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5.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6.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7.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889F30" w14:textId="77777777" w:rsidR="00FD022F" w:rsidRPr="00702DDD" w:rsidRDefault="00FD022F" w:rsidP="00A41FF8">
      <w:pPr>
        <w:jc w:val="center"/>
        <w:rPr>
          <w:rFonts w:ascii="Times New Roman" w:hAnsi="Times New Roman" w:cs="Times New Roman"/>
          <w:b/>
          <w:bCs/>
          <w:sz w:val="28"/>
          <w:szCs w:val="28"/>
        </w:rPr>
      </w:pPr>
      <w:r w:rsidRPr="00702DDD">
        <w:rPr>
          <w:rFonts w:ascii="Times New Roman" w:hAnsi="Times New Roman" w:cs="Times New Roman"/>
          <w:b/>
          <w:bCs/>
          <w:sz w:val="28"/>
          <w:szCs w:val="28"/>
        </w:rPr>
        <w:t>Assessing Global Meat Trade &amp; Local Infrastructure Upgrades</w:t>
      </w:r>
    </w:p>
    <w:p w14:paraId="418C74D4" w14:textId="77777777" w:rsidR="007D287F" w:rsidRPr="00702DDD" w:rsidRDefault="007D287F" w:rsidP="00DF4EE5">
      <w:pPr>
        <w:spacing w:after="240"/>
        <w:jc w:val="center"/>
        <w:rPr>
          <w:rFonts w:ascii="Times New Roman" w:hAnsi="Times New Roman" w:cs="Times New Roman"/>
          <w:b/>
          <w:bCs/>
          <w:sz w:val="28"/>
          <w:szCs w:val="28"/>
        </w:rPr>
      </w:pPr>
    </w:p>
    <w:p w14:paraId="446ABAC3" w14:textId="77777777" w:rsidR="007D287F" w:rsidRPr="00702DDD" w:rsidRDefault="007D287F" w:rsidP="00DF4EE5">
      <w:pPr>
        <w:spacing w:after="240"/>
        <w:jc w:val="center"/>
        <w:rPr>
          <w:rFonts w:ascii="Times New Roman" w:hAnsi="Times New Roman" w:cs="Times New Roman"/>
          <w:b/>
          <w:bCs/>
          <w:sz w:val="28"/>
          <w:szCs w:val="28"/>
        </w:rPr>
      </w:pPr>
    </w:p>
    <w:p w14:paraId="4D8BAB32" w14:textId="77777777" w:rsidR="007D287F" w:rsidRPr="00702DDD" w:rsidRDefault="007D287F" w:rsidP="00DF4EE5">
      <w:pPr>
        <w:spacing w:after="240"/>
        <w:jc w:val="center"/>
        <w:rPr>
          <w:rFonts w:ascii="Times New Roman" w:hAnsi="Times New Roman" w:cs="Times New Roman"/>
          <w:b/>
          <w:bCs/>
          <w:sz w:val="28"/>
          <w:szCs w:val="28"/>
        </w:rPr>
      </w:pPr>
    </w:p>
    <w:p w14:paraId="02338DA3" w14:textId="77777777" w:rsidR="007D287F" w:rsidRPr="00702DDD" w:rsidRDefault="007D287F" w:rsidP="00DF4EE5">
      <w:pPr>
        <w:spacing w:after="240"/>
        <w:jc w:val="center"/>
        <w:rPr>
          <w:rFonts w:ascii="Times New Roman" w:hAnsi="Times New Roman" w:cs="Times New Roman"/>
          <w:b/>
          <w:bCs/>
          <w:sz w:val="28"/>
          <w:szCs w:val="28"/>
        </w:rPr>
      </w:pPr>
    </w:p>
    <w:p w14:paraId="0ECD4BFB" w14:textId="77777777" w:rsidR="007D287F" w:rsidRPr="00702DDD" w:rsidRDefault="007D287F" w:rsidP="00DF4EE5">
      <w:pPr>
        <w:spacing w:after="240"/>
        <w:jc w:val="center"/>
        <w:rPr>
          <w:rFonts w:ascii="Times New Roman" w:hAnsi="Times New Roman" w:cs="Times New Roman"/>
          <w:b/>
          <w:bCs/>
          <w:sz w:val="28"/>
          <w:szCs w:val="28"/>
        </w:rPr>
      </w:pPr>
    </w:p>
    <w:p w14:paraId="74E8A4A4" w14:textId="77777777" w:rsidR="007D287F" w:rsidRPr="00702DDD" w:rsidRDefault="007D287F" w:rsidP="00DF4EE5">
      <w:pPr>
        <w:spacing w:after="240"/>
        <w:jc w:val="center"/>
        <w:rPr>
          <w:rFonts w:ascii="Times New Roman" w:hAnsi="Times New Roman" w:cs="Times New Roman"/>
          <w:b/>
          <w:bCs/>
          <w:sz w:val="28"/>
          <w:szCs w:val="28"/>
        </w:rPr>
      </w:pPr>
    </w:p>
    <w:p w14:paraId="1C010ADC" w14:textId="77777777" w:rsidR="007D287F" w:rsidRPr="00702DDD" w:rsidRDefault="007D287F" w:rsidP="00DF4EE5">
      <w:pPr>
        <w:spacing w:after="240"/>
        <w:jc w:val="center"/>
        <w:rPr>
          <w:rFonts w:ascii="Times New Roman" w:hAnsi="Times New Roman" w:cs="Times New Roman"/>
          <w:b/>
          <w:bCs/>
          <w:sz w:val="28"/>
          <w:szCs w:val="28"/>
        </w:rPr>
      </w:pPr>
    </w:p>
    <w:p w14:paraId="6F0A6752" w14:textId="77777777" w:rsidR="007D287F" w:rsidRPr="00702DDD" w:rsidRDefault="007D287F" w:rsidP="00DF4EE5">
      <w:pPr>
        <w:spacing w:after="240"/>
        <w:jc w:val="center"/>
        <w:rPr>
          <w:rFonts w:ascii="Times New Roman" w:hAnsi="Times New Roman" w:cs="Times New Roman"/>
          <w:b/>
          <w:bCs/>
          <w:sz w:val="28"/>
          <w:szCs w:val="28"/>
        </w:rPr>
      </w:pPr>
      <w:r w:rsidRPr="00702DDD">
        <w:rPr>
          <w:rFonts w:ascii="Times New Roman" w:hAnsi="Times New Roman" w:cs="Times New Roman"/>
          <w:b/>
          <w:bCs/>
          <w:sz w:val="28"/>
          <w:szCs w:val="28"/>
        </w:rPr>
        <w:t>A Thesis Presented for the</w:t>
      </w:r>
    </w:p>
    <w:p w14:paraId="11D1B8C5" w14:textId="488DE2E1" w:rsidR="00992872" w:rsidRPr="00702DDD" w:rsidRDefault="007D287F" w:rsidP="00DF4EE5">
      <w:pPr>
        <w:spacing w:after="240"/>
        <w:jc w:val="center"/>
        <w:rPr>
          <w:rFonts w:ascii="Times New Roman" w:hAnsi="Times New Roman" w:cs="Times New Roman"/>
          <w:b/>
          <w:bCs/>
          <w:sz w:val="28"/>
          <w:szCs w:val="28"/>
        </w:rPr>
      </w:pPr>
      <w:r w:rsidRPr="00702DDD">
        <w:rPr>
          <w:rFonts w:ascii="Times New Roman" w:hAnsi="Times New Roman" w:cs="Times New Roman"/>
          <w:b/>
          <w:bCs/>
          <w:sz w:val="28"/>
          <w:szCs w:val="28"/>
        </w:rPr>
        <w:t>Master of Science</w:t>
      </w:r>
    </w:p>
    <w:p w14:paraId="6854BE21" w14:textId="2044FE05" w:rsidR="007D287F" w:rsidRPr="00702DDD" w:rsidRDefault="007D287F" w:rsidP="00DF4EE5">
      <w:pPr>
        <w:spacing w:after="240"/>
        <w:jc w:val="center"/>
        <w:rPr>
          <w:rFonts w:ascii="Times New Roman" w:hAnsi="Times New Roman" w:cs="Times New Roman"/>
          <w:b/>
          <w:bCs/>
          <w:sz w:val="28"/>
          <w:szCs w:val="28"/>
        </w:rPr>
      </w:pPr>
      <w:r w:rsidRPr="00702DDD">
        <w:rPr>
          <w:rFonts w:ascii="Times New Roman" w:hAnsi="Times New Roman" w:cs="Times New Roman"/>
          <w:b/>
          <w:bCs/>
          <w:sz w:val="28"/>
          <w:szCs w:val="28"/>
        </w:rPr>
        <w:t>Degree</w:t>
      </w:r>
    </w:p>
    <w:p w14:paraId="160ED4D4" w14:textId="77777777" w:rsidR="007D287F" w:rsidRPr="00702DDD" w:rsidRDefault="007D287F" w:rsidP="00DF4EE5">
      <w:pPr>
        <w:spacing w:after="240"/>
        <w:jc w:val="center"/>
        <w:rPr>
          <w:rFonts w:ascii="Times New Roman" w:hAnsi="Times New Roman" w:cs="Times New Roman"/>
          <w:b/>
          <w:bCs/>
          <w:sz w:val="28"/>
          <w:szCs w:val="28"/>
        </w:rPr>
      </w:pPr>
      <w:r w:rsidRPr="00702DDD">
        <w:rPr>
          <w:rFonts w:ascii="Times New Roman" w:hAnsi="Times New Roman" w:cs="Times New Roman"/>
          <w:b/>
          <w:bCs/>
          <w:sz w:val="28"/>
          <w:szCs w:val="28"/>
        </w:rPr>
        <w:t>The University of Tennessee, Knoxville</w:t>
      </w:r>
    </w:p>
    <w:p w14:paraId="52077E83" w14:textId="77777777" w:rsidR="007D287F" w:rsidRPr="00702DDD" w:rsidRDefault="007D287F" w:rsidP="00DF4EE5">
      <w:pPr>
        <w:spacing w:after="240"/>
        <w:jc w:val="center"/>
        <w:rPr>
          <w:rFonts w:ascii="Times New Roman" w:hAnsi="Times New Roman" w:cs="Times New Roman"/>
          <w:b/>
          <w:bCs/>
          <w:sz w:val="28"/>
          <w:szCs w:val="28"/>
        </w:rPr>
      </w:pPr>
    </w:p>
    <w:p w14:paraId="048D5BF5" w14:textId="77777777" w:rsidR="007D287F" w:rsidRPr="00702DDD" w:rsidRDefault="007D287F" w:rsidP="00DF4EE5">
      <w:pPr>
        <w:spacing w:after="240"/>
        <w:jc w:val="center"/>
        <w:rPr>
          <w:rFonts w:ascii="Times New Roman" w:hAnsi="Times New Roman" w:cs="Times New Roman"/>
          <w:b/>
          <w:bCs/>
          <w:sz w:val="28"/>
          <w:szCs w:val="28"/>
        </w:rPr>
      </w:pPr>
    </w:p>
    <w:p w14:paraId="3E0D7CDA" w14:textId="77777777" w:rsidR="007D287F" w:rsidRPr="00702DDD" w:rsidRDefault="007D287F" w:rsidP="00DF4EE5">
      <w:pPr>
        <w:spacing w:after="240"/>
        <w:jc w:val="center"/>
        <w:rPr>
          <w:rFonts w:ascii="Times New Roman" w:hAnsi="Times New Roman" w:cs="Times New Roman"/>
          <w:b/>
          <w:bCs/>
          <w:sz w:val="28"/>
          <w:szCs w:val="28"/>
        </w:rPr>
      </w:pPr>
    </w:p>
    <w:p w14:paraId="267B8F8A" w14:textId="77777777" w:rsidR="007D287F" w:rsidRPr="00702DDD" w:rsidRDefault="007D287F" w:rsidP="00DF4EE5">
      <w:pPr>
        <w:spacing w:after="240"/>
        <w:jc w:val="center"/>
        <w:rPr>
          <w:rFonts w:ascii="Times New Roman" w:hAnsi="Times New Roman" w:cs="Times New Roman"/>
          <w:b/>
          <w:bCs/>
          <w:sz w:val="28"/>
          <w:szCs w:val="28"/>
        </w:rPr>
      </w:pPr>
    </w:p>
    <w:p w14:paraId="4865E209" w14:textId="3959AEBF" w:rsidR="007D287F" w:rsidRPr="00702DDD" w:rsidRDefault="00FD022F" w:rsidP="00DF4EE5">
      <w:pPr>
        <w:spacing w:after="240"/>
        <w:jc w:val="center"/>
        <w:rPr>
          <w:rFonts w:ascii="Times New Roman" w:hAnsi="Times New Roman" w:cs="Times New Roman"/>
          <w:b/>
          <w:bCs/>
          <w:sz w:val="28"/>
          <w:szCs w:val="28"/>
        </w:rPr>
      </w:pPr>
      <w:r w:rsidRPr="00702DDD">
        <w:rPr>
          <w:rFonts w:ascii="Times New Roman" w:hAnsi="Times New Roman" w:cs="Times New Roman"/>
          <w:b/>
          <w:bCs/>
          <w:sz w:val="28"/>
          <w:szCs w:val="28"/>
        </w:rPr>
        <w:t>Mary Lynn Marks</w:t>
      </w:r>
    </w:p>
    <w:p w14:paraId="1088AA13" w14:textId="30D96BC9" w:rsidR="00992872" w:rsidRPr="00702DDD" w:rsidRDefault="007D287F" w:rsidP="00DF4EE5">
      <w:pPr>
        <w:spacing w:after="240"/>
        <w:jc w:val="center"/>
        <w:rPr>
          <w:rFonts w:ascii="Times New Roman" w:hAnsi="Times New Roman" w:cs="Times New Roman"/>
          <w:b/>
          <w:bCs/>
          <w:sz w:val="28"/>
          <w:szCs w:val="28"/>
        </w:rPr>
      </w:pPr>
      <w:r w:rsidRPr="00702DDD">
        <w:rPr>
          <w:rFonts w:ascii="Times New Roman" w:hAnsi="Times New Roman" w:cs="Times New Roman"/>
          <w:b/>
          <w:bCs/>
          <w:sz w:val="28"/>
          <w:szCs w:val="28"/>
        </w:rPr>
        <w:t>Ma</w:t>
      </w:r>
      <w:r w:rsidR="00C50951" w:rsidRPr="00702DDD">
        <w:rPr>
          <w:rFonts w:ascii="Times New Roman" w:hAnsi="Times New Roman" w:cs="Times New Roman"/>
          <w:b/>
          <w:bCs/>
          <w:sz w:val="28"/>
          <w:szCs w:val="28"/>
        </w:rPr>
        <w:t>y</w:t>
      </w:r>
      <w:r w:rsidRPr="00702DDD">
        <w:rPr>
          <w:rFonts w:ascii="Times New Roman" w:hAnsi="Times New Roman" w:cs="Times New Roman"/>
          <w:b/>
          <w:bCs/>
          <w:sz w:val="28"/>
          <w:szCs w:val="28"/>
        </w:rPr>
        <w:t xml:space="preserve"> 202</w:t>
      </w:r>
      <w:r w:rsidR="00FD022F" w:rsidRPr="00702DDD">
        <w:rPr>
          <w:rFonts w:ascii="Times New Roman" w:hAnsi="Times New Roman" w:cs="Times New Roman"/>
          <w:b/>
          <w:bCs/>
          <w:sz w:val="28"/>
          <w:szCs w:val="28"/>
        </w:rPr>
        <w:t>2</w:t>
      </w:r>
    </w:p>
    <w:p w14:paraId="042716F5" w14:textId="77777777" w:rsidR="00992872" w:rsidRPr="00702DDD" w:rsidRDefault="00992872" w:rsidP="004560A0">
      <w:pPr>
        <w:spacing w:after="240" w:line="480" w:lineRule="auto"/>
        <w:jc w:val="center"/>
        <w:rPr>
          <w:rFonts w:ascii="Times New Roman" w:hAnsi="Times New Roman" w:cs="Times New Roman"/>
          <w:b/>
          <w:bCs/>
        </w:rPr>
      </w:pPr>
    </w:p>
    <w:p w14:paraId="7C1F0040" w14:textId="77777777" w:rsidR="00FD022F" w:rsidRPr="00702DDD" w:rsidRDefault="00FD022F">
      <w:pPr>
        <w:spacing w:after="160" w:line="259" w:lineRule="auto"/>
        <w:rPr>
          <w:rFonts w:ascii="Times New Roman" w:hAnsi="Times New Roman" w:cs="Times New Roman"/>
          <w:b/>
        </w:rPr>
      </w:pPr>
      <w:r w:rsidRPr="00702DDD">
        <w:rPr>
          <w:rFonts w:ascii="Times New Roman" w:hAnsi="Times New Roman" w:cs="Times New Roman"/>
          <w:b/>
        </w:rPr>
        <w:br w:type="page"/>
      </w:r>
    </w:p>
    <w:p w14:paraId="035BD87F" w14:textId="74F9009D" w:rsidR="00BC427E" w:rsidRPr="00702DDD" w:rsidRDefault="00D270B5" w:rsidP="007E4753">
      <w:pPr>
        <w:spacing w:after="240" w:line="480" w:lineRule="auto"/>
        <w:jc w:val="center"/>
        <w:rPr>
          <w:rFonts w:ascii="Times New Roman" w:hAnsi="Times New Roman" w:cs="Times New Roman"/>
          <w:sz w:val="22"/>
          <w:szCs w:val="22"/>
        </w:rPr>
      </w:pPr>
      <w:r w:rsidRPr="00702DDD">
        <w:rPr>
          <w:rFonts w:ascii="Times New Roman" w:hAnsi="Times New Roman" w:cs="Times New Roman"/>
          <w:b/>
        </w:rPr>
        <w:lastRenderedPageBreak/>
        <w:t>ABSTRACT</w:t>
      </w:r>
    </w:p>
    <w:p w14:paraId="0008856E" w14:textId="4FB32306" w:rsidR="002C5081" w:rsidRPr="00702DDD" w:rsidRDefault="00D270B5" w:rsidP="00BD5712">
      <w:pPr>
        <w:spacing w:line="480" w:lineRule="auto"/>
        <w:rPr>
          <w:rFonts w:ascii="Times New Roman" w:hAnsi="Times New Roman" w:cs="Times New Roman"/>
        </w:rPr>
      </w:pPr>
      <w:bookmarkStart w:id="0" w:name="_Hlk64386540"/>
      <w:r w:rsidRPr="00702DDD">
        <w:rPr>
          <w:rFonts w:ascii="Times New Roman" w:hAnsi="Times New Roman" w:cs="Times New Roman"/>
          <w:color w:val="000000"/>
          <w:shd w:val="clear" w:color="auto" w:fill="FFFFFF"/>
        </w:rPr>
        <w:t>This thesis is a combination of two distinct chapters. Chapter 1 focuses on</w:t>
      </w:r>
      <w:r w:rsidR="00BD5712" w:rsidRPr="00702DDD">
        <w:rPr>
          <w:rFonts w:ascii="Times New Roman" w:hAnsi="Times New Roman" w:cs="Times New Roman"/>
          <w:color w:val="000000"/>
          <w:shd w:val="clear" w:color="auto" w:fill="FFFFFF"/>
        </w:rPr>
        <w:t xml:space="preserve"> human pandemics impacts on global meat trade. </w:t>
      </w:r>
      <w:r w:rsidR="00BD5712" w:rsidRPr="00702DDD">
        <w:rPr>
          <w:rFonts w:ascii="Times New Roman" w:hAnsi="Times New Roman" w:cs="Times New Roman"/>
        </w:rPr>
        <w:t>An increase in future mass global pandemics is expected as zoonotic diseases, globalization, and trade escalate. These pandemics affect nearly every industrial sector, with animal protein no exception. The COVID-19 pandemic continues to be the largest, most expansive, and unprecedented pandemic in a century. Labor shortages and supply chain defragmentation are only a portion the production process affected. Studies have analyzed species specific disease events’ effects on animal trade, such as those caused by the African Swine Fever amongst Chinese herds. Few studies have identified and analyzed the effects on the animal protein trade in relation to global human pandemics, however. This study uses public trade data and recent pandemics (i.e. MERS-</w:t>
      </w:r>
      <w:proofErr w:type="spellStart"/>
      <w:r w:rsidR="00BD5712" w:rsidRPr="00702DDD">
        <w:rPr>
          <w:rFonts w:ascii="Times New Roman" w:hAnsi="Times New Roman" w:cs="Times New Roman"/>
        </w:rPr>
        <w:t>Cov</w:t>
      </w:r>
      <w:proofErr w:type="spellEnd"/>
      <w:r w:rsidR="00BD5712" w:rsidRPr="00702DDD">
        <w:rPr>
          <w:rFonts w:ascii="Times New Roman" w:hAnsi="Times New Roman" w:cs="Times New Roman"/>
        </w:rPr>
        <w:t xml:space="preserve">, COVID-19, Ebola, and Zika virus) to estimate the effects to global animal protein trade. The study results will improve preparedness and recognize implications to a potential future pandemic on the meat industry. </w:t>
      </w:r>
      <w:r w:rsidR="00BD5712" w:rsidRPr="00702DDD">
        <w:rPr>
          <w:rFonts w:ascii="Times New Roman" w:hAnsi="Times New Roman" w:cs="Times New Roman"/>
          <w:color w:val="000000"/>
          <w:shd w:val="clear" w:color="auto" w:fill="FFFFFF"/>
        </w:rPr>
        <w:t>Chapter 2 focuses on water infrastructure investment methodologies in communities in distress.</w:t>
      </w:r>
      <w:r w:rsidR="00BD5712" w:rsidRPr="00702DDD">
        <w:rPr>
          <w:rFonts w:ascii="Times New Roman" w:hAnsi="Times New Roman" w:cs="Times New Roman"/>
        </w:rPr>
        <w:t xml:space="preserve"> Many communities in Tennessee face water infrastructure needs. By 2040, these needs are estimated near $15.6 billion. The Tennessee Department of Environment &amp; Conservation (TDEC) Clean Water State Revolving Fund (CWSRF) seeks to ease the burden of these costs on distressed communities through low-interest loans and subsidies. Traditionally, this assistance has been distributed by a single economic metric (e.g., median household income). This study seeks to determine water infrastructure affordability through Ability-to-Pay indices composed of several socioeconomic and financial factors. The ATP indices will more accurately determine community affordability and will be a method able to be replicated for future fund distribution. </w:t>
      </w:r>
      <w:r w:rsidR="002C5081" w:rsidRPr="00702DDD">
        <w:rPr>
          <w:rFonts w:ascii="Times New Roman" w:hAnsi="Times New Roman" w:cs="Times New Roman"/>
          <w:color w:val="000000"/>
          <w:shd w:val="clear" w:color="auto" w:fill="FFFFFF"/>
        </w:rPr>
        <w:br w:type="page"/>
      </w:r>
    </w:p>
    <w:sdt>
      <w:sdtPr>
        <w:rPr>
          <w:rFonts w:ascii="Arial" w:hAnsi="Arial" w:cs="Arial"/>
          <w:b w:val="0"/>
          <w:i/>
          <w:iCs/>
          <w:caps w:val="0"/>
        </w:rPr>
        <w:id w:val="841349121"/>
        <w:docPartObj>
          <w:docPartGallery w:val="Table of Contents"/>
          <w:docPartUnique/>
        </w:docPartObj>
      </w:sdtPr>
      <w:sdtEndPr>
        <w:rPr>
          <w:bCs/>
          <w:i w:val="0"/>
          <w:iCs w:val="0"/>
          <w:noProof/>
        </w:rPr>
      </w:sdtEndPr>
      <w:sdtContent>
        <w:p w14:paraId="731538AE" w14:textId="55F1FD06" w:rsidR="00834DBA" w:rsidRPr="00A41FF8" w:rsidRDefault="00834DBA" w:rsidP="00A41FF8">
          <w:pPr>
            <w:pStyle w:val="TOCHeading"/>
          </w:pPr>
          <w:r w:rsidRPr="00A41FF8">
            <w:t>Table</w:t>
          </w:r>
          <w:r w:rsidR="00524933" w:rsidRPr="00A41FF8">
            <w:t xml:space="preserve"> </w:t>
          </w:r>
          <w:r w:rsidRPr="00A41FF8">
            <w:t>of Contents</w:t>
          </w:r>
        </w:p>
        <w:p w14:paraId="29491D7D" w14:textId="528759AE" w:rsidR="00524933" w:rsidRPr="001D5CFC" w:rsidRDefault="00834DBA" w:rsidP="003F646B">
          <w:pPr>
            <w:pStyle w:val="TOC1"/>
            <w:rPr>
              <w:rFonts w:ascii="Times New Roman" w:eastAsiaTheme="minorEastAsia" w:hAnsi="Times New Roman" w:cs="Times New Roman"/>
              <w:b w:val="0"/>
              <w:bCs w:val="0"/>
              <w:i w:val="0"/>
              <w:iCs w:val="0"/>
              <w:noProof/>
              <w:sz w:val="22"/>
              <w:szCs w:val="22"/>
            </w:rPr>
          </w:pPr>
          <w:r w:rsidRPr="00A41FF8">
            <w:rPr>
              <w:rFonts w:ascii="Times New Roman" w:hAnsi="Times New Roman" w:cs="Times New Roman"/>
              <w:i w:val="0"/>
              <w:iCs w:val="0"/>
            </w:rPr>
            <w:fldChar w:fldCharType="begin"/>
          </w:r>
          <w:r w:rsidRPr="00A41FF8">
            <w:rPr>
              <w:rFonts w:ascii="Times New Roman" w:hAnsi="Times New Roman" w:cs="Times New Roman"/>
              <w:i w:val="0"/>
              <w:iCs w:val="0"/>
            </w:rPr>
            <w:instrText xml:space="preserve"> TOC \o "1-3" \h \z \u </w:instrText>
          </w:r>
          <w:r w:rsidRPr="00A41FF8">
            <w:rPr>
              <w:rFonts w:ascii="Times New Roman" w:hAnsi="Times New Roman" w:cs="Times New Roman"/>
              <w:i w:val="0"/>
              <w:iCs w:val="0"/>
            </w:rPr>
            <w:fldChar w:fldCharType="separate"/>
          </w:r>
          <w:hyperlink w:anchor="_Toc98692968" w:history="1">
            <w:r w:rsidR="00524933" w:rsidRPr="001D5CFC">
              <w:rPr>
                <w:rStyle w:val="Hyperlink"/>
                <w:rFonts w:ascii="Times New Roman" w:hAnsi="Times New Roman" w:cs="Times New Roman"/>
                <w:b w:val="0"/>
                <w:bCs w:val="0"/>
                <w:i w:val="0"/>
                <w:iCs w:val="0"/>
                <w:noProof/>
                <w:sz w:val="22"/>
                <w:szCs w:val="22"/>
              </w:rPr>
              <w:t>Introduction</w:t>
            </w:r>
            <w:r w:rsidR="00524933" w:rsidRPr="001D5CFC">
              <w:rPr>
                <w:rFonts w:ascii="Times New Roman" w:hAnsi="Times New Roman" w:cs="Times New Roman"/>
                <w:b w:val="0"/>
                <w:bCs w:val="0"/>
                <w:i w:val="0"/>
                <w:iCs w:val="0"/>
                <w:noProof/>
                <w:webHidden/>
                <w:sz w:val="22"/>
                <w:szCs w:val="22"/>
              </w:rPr>
              <w:tab/>
            </w:r>
            <w:r w:rsidR="00524933" w:rsidRPr="001D5CFC">
              <w:rPr>
                <w:rFonts w:ascii="Times New Roman" w:hAnsi="Times New Roman" w:cs="Times New Roman"/>
                <w:b w:val="0"/>
                <w:bCs w:val="0"/>
                <w:i w:val="0"/>
                <w:iCs w:val="0"/>
                <w:noProof/>
                <w:webHidden/>
                <w:sz w:val="22"/>
                <w:szCs w:val="22"/>
              </w:rPr>
              <w:fldChar w:fldCharType="begin"/>
            </w:r>
            <w:r w:rsidR="00524933" w:rsidRPr="001D5CFC">
              <w:rPr>
                <w:rFonts w:ascii="Times New Roman" w:hAnsi="Times New Roman" w:cs="Times New Roman"/>
                <w:b w:val="0"/>
                <w:bCs w:val="0"/>
                <w:i w:val="0"/>
                <w:iCs w:val="0"/>
                <w:noProof/>
                <w:webHidden/>
                <w:sz w:val="22"/>
                <w:szCs w:val="22"/>
              </w:rPr>
              <w:instrText xml:space="preserve"> PAGEREF _Toc98692968 \h </w:instrText>
            </w:r>
            <w:r w:rsidR="00524933" w:rsidRPr="001D5CFC">
              <w:rPr>
                <w:rFonts w:ascii="Times New Roman" w:hAnsi="Times New Roman" w:cs="Times New Roman"/>
                <w:b w:val="0"/>
                <w:bCs w:val="0"/>
                <w:i w:val="0"/>
                <w:iCs w:val="0"/>
                <w:noProof/>
                <w:webHidden/>
                <w:sz w:val="22"/>
                <w:szCs w:val="22"/>
              </w:rPr>
            </w:r>
            <w:r w:rsidR="00524933" w:rsidRPr="001D5CFC">
              <w:rPr>
                <w:rFonts w:ascii="Times New Roman" w:hAnsi="Times New Roman" w:cs="Times New Roman"/>
                <w:b w:val="0"/>
                <w:bCs w:val="0"/>
                <w:i w:val="0"/>
                <w:iCs w:val="0"/>
                <w:noProof/>
                <w:webHidden/>
                <w:sz w:val="22"/>
                <w:szCs w:val="22"/>
              </w:rPr>
              <w:fldChar w:fldCharType="separate"/>
            </w:r>
            <w:r w:rsidR="00C72EA1" w:rsidRPr="001D5CFC">
              <w:rPr>
                <w:rFonts w:ascii="Times New Roman" w:hAnsi="Times New Roman" w:cs="Times New Roman"/>
                <w:b w:val="0"/>
                <w:bCs w:val="0"/>
                <w:i w:val="0"/>
                <w:iCs w:val="0"/>
                <w:noProof/>
                <w:webHidden/>
                <w:sz w:val="22"/>
                <w:szCs w:val="22"/>
              </w:rPr>
              <w:t>1</w:t>
            </w:r>
            <w:r w:rsidR="00524933" w:rsidRPr="001D5CFC">
              <w:rPr>
                <w:rFonts w:ascii="Times New Roman" w:hAnsi="Times New Roman" w:cs="Times New Roman"/>
                <w:b w:val="0"/>
                <w:bCs w:val="0"/>
                <w:i w:val="0"/>
                <w:iCs w:val="0"/>
                <w:noProof/>
                <w:webHidden/>
                <w:sz w:val="22"/>
                <w:szCs w:val="22"/>
              </w:rPr>
              <w:fldChar w:fldCharType="end"/>
            </w:r>
          </w:hyperlink>
        </w:p>
        <w:p w14:paraId="74FD0F8F" w14:textId="6182A590" w:rsidR="00524933" w:rsidRPr="001D5CFC" w:rsidRDefault="00D07965" w:rsidP="003F646B">
          <w:pPr>
            <w:pStyle w:val="TOC1"/>
            <w:rPr>
              <w:rFonts w:ascii="Times New Roman" w:eastAsiaTheme="minorEastAsia" w:hAnsi="Times New Roman" w:cs="Times New Roman"/>
              <w:b w:val="0"/>
              <w:bCs w:val="0"/>
              <w:i w:val="0"/>
              <w:iCs w:val="0"/>
              <w:noProof/>
              <w:sz w:val="22"/>
              <w:szCs w:val="22"/>
            </w:rPr>
          </w:pPr>
          <w:hyperlink w:anchor="_Toc98692969" w:history="1">
            <w:r w:rsidR="00524933" w:rsidRPr="001D5CFC">
              <w:rPr>
                <w:rStyle w:val="Hyperlink"/>
                <w:rFonts w:ascii="Times New Roman" w:hAnsi="Times New Roman" w:cs="Times New Roman"/>
                <w:b w:val="0"/>
                <w:bCs w:val="0"/>
                <w:i w:val="0"/>
                <w:iCs w:val="0"/>
                <w:noProof/>
                <w:sz w:val="22"/>
                <w:szCs w:val="22"/>
              </w:rPr>
              <w:t>Chapter 1: Human Health Event Effects on Global Meat Trade</w:t>
            </w:r>
            <w:r w:rsidR="00524933" w:rsidRPr="001D5CFC">
              <w:rPr>
                <w:rFonts w:ascii="Times New Roman" w:hAnsi="Times New Roman" w:cs="Times New Roman"/>
                <w:b w:val="0"/>
                <w:bCs w:val="0"/>
                <w:i w:val="0"/>
                <w:iCs w:val="0"/>
                <w:noProof/>
                <w:webHidden/>
                <w:sz w:val="22"/>
                <w:szCs w:val="22"/>
              </w:rPr>
              <w:tab/>
            </w:r>
            <w:r w:rsidR="00524933" w:rsidRPr="001D5CFC">
              <w:rPr>
                <w:rFonts w:ascii="Times New Roman" w:hAnsi="Times New Roman" w:cs="Times New Roman"/>
                <w:b w:val="0"/>
                <w:bCs w:val="0"/>
                <w:i w:val="0"/>
                <w:iCs w:val="0"/>
                <w:noProof/>
                <w:webHidden/>
                <w:sz w:val="22"/>
                <w:szCs w:val="22"/>
              </w:rPr>
              <w:fldChar w:fldCharType="begin"/>
            </w:r>
            <w:r w:rsidR="00524933" w:rsidRPr="001D5CFC">
              <w:rPr>
                <w:rFonts w:ascii="Times New Roman" w:hAnsi="Times New Roman" w:cs="Times New Roman"/>
                <w:b w:val="0"/>
                <w:bCs w:val="0"/>
                <w:i w:val="0"/>
                <w:iCs w:val="0"/>
                <w:noProof/>
                <w:webHidden/>
                <w:sz w:val="22"/>
                <w:szCs w:val="22"/>
              </w:rPr>
              <w:instrText xml:space="preserve"> PAGEREF _Toc98692969 \h </w:instrText>
            </w:r>
            <w:r w:rsidR="00524933" w:rsidRPr="001D5CFC">
              <w:rPr>
                <w:rFonts w:ascii="Times New Roman" w:hAnsi="Times New Roman" w:cs="Times New Roman"/>
                <w:b w:val="0"/>
                <w:bCs w:val="0"/>
                <w:i w:val="0"/>
                <w:iCs w:val="0"/>
                <w:noProof/>
                <w:webHidden/>
                <w:sz w:val="22"/>
                <w:szCs w:val="22"/>
              </w:rPr>
            </w:r>
            <w:r w:rsidR="00524933" w:rsidRPr="001D5CFC">
              <w:rPr>
                <w:rFonts w:ascii="Times New Roman" w:hAnsi="Times New Roman" w:cs="Times New Roman"/>
                <w:b w:val="0"/>
                <w:bCs w:val="0"/>
                <w:i w:val="0"/>
                <w:iCs w:val="0"/>
                <w:noProof/>
                <w:webHidden/>
                <w:sz w:val="22"/>
                <w:szCs w:val="22"/>
              </w:rPr>
              <w:fldChar w:fldCharType="separate"/>
            </w:r>
            <w:r w:rsidR="00C72EA1" w:rsidRPr="001D5CFC">
              <w:rPr>
                <w:rFonts w:ascii="Times New Roman" w:hAnsi="Times New Roman" w:cs="Times New Roman"/>
                <w:b w:val="0"/>
                <w:bCs w:val="0"/>
                <w:i w:val="0"/>
                <w:iCs w:val="0"/>
                <w:noProof/>
                <w:webHidden/>
                <w:sz w:val="22"/>
                <w:szCs w:val="22"/>
              </w:rPr>
              <w:t>2</w:t>
            </w:r>
            <w:r w:rsidR="00524933" w:rsidRPr="001D5CFC">
              <w:rPr>
                <w:rFonts w:ascii="Times New Roman" w:hAnsi="Times New Roman" w:cs="Times New Roman"/>
                <w:b w:val="0"/>
                <w:bCs w:val="0"/>
                <w:i w:val="0"/>
                <w:iCs w:val="0"/>
                <w:noProof/>
                <w:webHidden/>
                <w:sz w:val="22"/>
                <w:szCs w:val="22"/>
              </w:rPr>
              <w:fldChar w:fldCharType="end"/>
            </w:r>
          </w:hyperlink>
        </w:p>
        <w:p w14:paraId="2B4AE845" w14:textId="3363D4C9" w:rsidR="00524933" w:rsidRPr="001D5CFC" w:rsidRDefault="00D07965" w:rsidP="00C72EA1">
          <w:pPr>
            <w:pStyle w:val="TOC2"/>
            <w:rPr>
              <w:rFonts w:ascii="Times New Roman" w:eastAsiaTheme="minorEastAsia" w:hAnsi="Times New Roman" w:cs="Times New Roman"/>
              <w:b w:val="0"/>
              <w:bCs w:val="0"/>
              <w:noProof/>
            </w:rPr>
          </w:pPr>
          <w:hyperlink w:anchor="_Toc98692970" w:history="1">
            <w:r w:rsidR="00524933" w:rsidRPr="001D5CFC">
              <w:rPr>
                <w:rStyle w:val="Hyperlink"/>
                <w:rFonts w:ascii="Times New Roman" w:hAnsi="Times New Roman" w:cs="Times New Roman"/>
                <w:b w:val="0"/>
                <w:bCs w:val="0"/>
                <w:noProof/>
                <w:sz w:val="22"/>
              </w:rPr>
              <w:t>1.1 Introduction</w:t>
            </w:r>
            <w:r w:rsidR="00524933" w:rsidRPr="001D5CFC">
              <w:rPr>
                <w:rFonts w:ascii="Times New Roman" w:hAnsi="Times New Roman" w:cs="Times New Roman"/>
                <w:b w:val="0"/>
                <w:bCs w:val="0"/>
                <w:noProof/>
                <w:webHidden/>
              </w:rPr>
              <w:tab/>
            </w:r>
            <w:r w:rsidR="00524933" w:rsidRPr="001D5CFC">
              <w:rPr>
                <w:rFonts w:ascii="Times New Roman" w:hAnsi="Times New Roman" w:cs="Times New Roman"/>
                <w:b w:val="0"/>
                <w:bCs w:val="0"/>
                <w:noProof/>
                <w:webHidden/>
              </w:rPr>
              <w:fldChar w:fldCharType="begin"/>
            </w:r>
            <w:r w:rsidR="00524933" w:rsidRPr="001D5CFC">
              <w:rPr>
                <w:rFonts w:ascii="Times New Roman" w:hAnsi="Times New Roman" w:cs="Times New Roman"/>
                <w:b w:val="0"/>
                <w:bCs w:val="0"/>
                <w:noProof/>
                <w:webHidden/>
              </w:rPr>
              <w:instrText xml:space="preserve"> PAGEREF _Toc98692970 \h </w:instrText>
            </w:r>
            <w:r w:rsidR="00524933" w:rsidRPr="001D5CFC">
              <w:rPr>
                <w:rFonts w:ascii="Times New Roman" w:hAnsi="Times New Roman" w:cs="Times New Roman"/>
                <w:b w:val="0"/>
                <w:bCs w:val="0"/>
                <w:noProof/>
                <w:webHidden/>
              </w:rPr>
            </w:r>
            <w:r w:rsidR="00524933" w:rsidRPr="001D5CFC">
              <w:rPr>
                <w:rFonts w:ascii="Times New Roman" w:hAnsi="Times New Roman" w:cs="Times New Roman"/>
                <w:b w:val="0"/>
                <w:bCs w:val="0"/>
                <w:noProof/>
                <w:webHidden/>
              </w:rPr>
              <w:fldChar w:fldCharType="separate"/>
            </w:r>
            <w:r w:rsidR="00C72EA1" w:rsidRPr="001D5CFC">
              <w:rPr>
                <w:rFonts w:ascii="Times New Roman" w:hAnsi="Times New Roman" w:cs="Times New Roman"/>
                <w:b w:val="0"/>
                <w:bCs w:val="0"/>
                <w:noProof/>
                <w:webHidden/>
              </w:rPr>
              <w:t>4</w:t>
            </w:r>
            <w:r w:rsidR="00524933" w:rsidRPr="001D5CFC">
              <w:rPr>
                <w:rFonts w:ascii="Times New Roman" w:hAnsi="Times New Roman" w:cs="Times New Roman"/>
                <w:b w:val="0"/>
                <w:bCs w:val="0"/>
                <w:noProof/>
                <w:webHidden/>
              </w:rPr>
              <w:fldChar w:fldCharType="end"/>
            </w:r>
          </w:hyperlink>
        </w:p>
        <w:p w14:paraId="73BD7AB3" w14:textId="138AD514" w:rsidR="00524933" w:rsidRPr="001D5CFC" w:rsidRDefault="00D07965" w:rsidP="00C72EA1">
          <w:pPr>
            <w:pStyle w:val="TOC2"/>
            <w:rPr>
              <w:rFonts w:ascii="Times New Roman" w:eastAsiaTheme="minorEastAsia" w:hAnsi="Times New Roman" w:cs="Times New Roman"/>
              <w:b w:val="0"/>
              <w:bCs w:val="0"/>
              <w:noProof/>
            </w:rPr>
          </w:pPr>
          <w:hyperlink w:anchor="_Toc98692971" w:history="1">
            <w:r w:rsidR="00524933" w:rsidRPr="001D5CFC">
              <w:rPr>
                <w:rStyle w:val="Hyperlink"/>
                <w:rFonts w:ascii="Times New Roman" w:hAnsi="Times New Roman" w:cs="Times New Roman"/>
                <w:b w:val="0"/>
                <w:bCs w:val="0"/>
                <w:noProof/>
                <w:sz w:val="22"/>
              </w:rPr>
              <w:t>1.2 Literature Review</w:t>
            </w:r>
            <w:r w:rsidR="00524933" w:rsidRPr="001D5CFC">
              <w:rPr>
                <w:rFonts w:ascii="Times New Roman" w:hAnsi="Times New Roman" w:cs="Times New Roman"/>
                <w:b w:val="0"/>
                <w:bCs w:val="0"/>
                <w:noProof/>
                <w:webHidden/>
              </w:rPr>
              <w:tab/>
            </w:r>
            <w:r w:rsidR="00524933" w:rsidRPr="001D5CFC">
              <w:rPr>
                <w:rFonts w:ascii="Times New Roman" w:hAnsi="Times New Roman" w:cs="Times New Roman"/>
                <w:b w:val="0"/>
                <w:bCs w:val="0"/>
                <w:noProof/>
                <w:webHidden/>
              </w:rPr>
              <w:fldChar w:fldCharType="begin"/>
            </w:r>
            <w:r w:rsidR="00524933" w:rsidRPr="001D5CFC">
              <w:rPr>
                <w:rFonts w:ascii="Times New Roman" w:hAnsi="Times New Roman" w:cs="Times New Roman"/>
                <w:b w:val="0"/>
                <w:bCs w:val="0"/>
                <w:noProof/>
                <w:webHidden/>
              </w:rPr>
              <w:instrText xml:space="preserve"> PAGEREF _Toc98692971 \h </w:instrText>
            </w:r>
            <w:r w:rsidR="00524933" w:rsidRPr="001D5CFC">
              <w:rPr>
                <w:rFonts w:ascii="Times New Roman" w:hAnsi="Times New Roman" w:cs="Times New Roman"/>
                <w:b w:val="0"/>
                <w:bCs w:val="0"/>
                <w:noProof/>
                <w:webHidden/>
              </w:rPr>
            </w:r>
            <w:r w:rsidR="00524933" w:rsidRPr="001D5CFC">
              <w:rPr>
                <w:rFonts w:ascii="Times New Roman" w:hAnsi="Times New Roman" w:cs="Times New Roman"/>
                <w:b w:val="0"/>
                <w:bCs w:val="0"/>
                <w:noProof/>
                <w:webHidden/>
              </w:rPr>
              <w:fldChar w:fldCharType="separate"/>
            </w:r>
            <w:r w:rsidR="00C72EA1" w:rsidRPr="001D5CFC">
              <w:rPr>
                <w:rFonts w:ascii="Times New Roman" w:hAnsi="Times New Roman" w:cs="Times New Roman"/>
                <w:b w:val="0"/>
                <w:bCs w:val="0"/>
                <w:noProof/>
                <w:webHidden/>
              </w:rPr>
              <w:t>5</w:t>
            </w:r>
            <w:r w:rsidR="00524933" w:rsidRPr="001D5CFC">
              <w:rPr>
                <w:rFonts w:ascii="Times New Roman" w:hAnsi="Times New Roman" w:cs="Times New Roman"/>
                <w:b w:val="0"/>
                <w:bCs w:val="0"/>
                <w:noProof/>
                <w:webHidden/>
              </w:rPr>
              <w:fldChar w:fldCharType="end"/>
            </w:r>
          </w:hyperlink>
        </w:p>
        <w:p w14:paraId="47192AD9" w14:textId="09C14CB6" w:rsidR="00524933" w:rsidRPr="001D5CFC" w:rsidRDefault="00D07965" w:rsidP="00C72EA1">
          <w:pPr>
            <w:pStyle w:val="TOC3"/>
            <w:rPr>
              <w:rFonts w:ascii="Times New Roman" w:eastAsiaTheme="minorEastAsia" w:hAnsi="Times New Roman" w:cs="Times New Roman"/>
              <w:noProof/>
              <w:sz w:val="22"/>
              <w:szCs w:val="22"/>
            </w:rPr>
          </w:pPr>
          <w:hyperlink w:anchor="_Toc98692972" w:history="1">
            <w:r w:rsidR="00524933" w:rsidRPr="001D5CFC">
              <w:rPr>
                <w:rStyle w:val="Hyperlink"/>
                <w:rFonts w:ascii="Times New Roman" w:hAnsi="Times New Roman" w:cs="Times New Roman"/>
                <w:noProof/>
                <w:sz w:val="22"/>
                <w:szCs w:val="22"/>
              </w:rPr>
              <w:t>1.2.1 Animal Diseases</w:t>
            </w:r>
            <w:r w:rsidR="00524933" w:rsidRPr="001D5CFC">
              <w:rPr>
                <w:rFonts w:ascii="Times New Roman" w:hAnsi="Times New Roman" w:cs="Times New Roman"/>
                <w:noProof/>
                <w:webHidden/>
                <w:sz w:val="22"/>
                <w:szCs w:val="22"/>
              </w:rPr>
              <w:tab/>
            </w:r>
            <w:r w:rsidR="00524933" w:rsidRPr="001D5CFC">
              <w:rPr>
                <w:rFonts w:ascii="Times New Roman" w:hAnsi="Times New Roman" w:cs="Times New Roman"/>
                <w:noProof/>
                <w:webHidden/>
                <w:sz w:val="22"/>
                <w:szCs w:val="22"/>
              </w:rPr>
              <w:fldChar w:fldCharType="begin"/>
            </w:r>
            <w:r w:rsidR="00524933" w:rsidRPr="001D5CFC">
              <w:rPr>
                <w:rFonts w:ascii="Times New Roman" w:hAnsi="Times New Roman" w:cs="Times New Roman"/>
                <w:noProof/>
                <w:webHidden/>
                <w:sz w:val="22"/>
                <w:szCs w:val="22"/>
              </w:rPr>
              <w:instrText xml:space="preserve"> PAGEREF _Toc98692972 \h </w:instrText>
            </w:r>
            <w:r w:rsidR="00524933" w:rsidRPr="001D5CFC">
              <w:rPr>
                <w:rFonts w:ascii="Times New Roman" w:hAnsi="Times New Roman" w:cs="Times New Roman"/>
                <w:noProof/>
                <w:webHidden/>
                <w:sz w:val="22"/>
                <w:szCs w:val="22"/>
              </w:rPr>
            </w:r>
            <w:r w:rsidR="00524933" w:rsidRPr="001D5CFC">
              <w:rPr>
                <w:rFonts w:ascii="Times New Roman" w:hAnsi="Times New Roman" w:cs="Times New Roman"/>
                <w:noProof/>
                <w:webHidden/>
                <w:sz w:val="22"/>
                <w:szCs w:val="22"/>
              </w:rPr>
              <w:fldChar w:fldCharType="separate"/>
            </w:r>
            <w:r w:rsidR="00C72EA1" w:rsidRPr="001D5CFC">
              <w:rPr>
                <w:rFonts w:ascii="Times New Roman" w:hAnsi="Times New Roman" w:cs="Times New Roman"/>
                <w:noProof/>
                <w:webHidden/>
                <w:sz w:val="22"/>
                <w:szCs w:val="22"/>
              </w:rPr>
              <w:t>5</w:t>
            </w:r>
            <w:r w:rsidR="00524933" w:rsidRPr="001D5CFC">
              <w:rPr>
                <w:rFonts w:ascii="Times New Roman" w:hAnsi="Times New Roman" w:cs="Times New Roman"/>
                <w:noProof/>
                <w:webHidden/>
                <w:sz w:val="22"/>
                <w:szCs w:val="22"/>
              </w:rPr>
              <w:fldChar w:fldCharType="end"/>
            </w:r>
          </w:hyperlink>
        </w:p>
        <w:p w14:paraId="2B8DB08F" w14:textId="7B06A84D" w:rsidR="00524933" w:rsidRPr="001D5CFC" w:rsidRDefault="00D07965" w:rsidP="00C72EA1">
          <w:pPr>
            <w:pStyle w:val="TOC3"/>
            <w:rPr>
              <w:rFonts w:ascii="Times New Roman" w:eastAsiaTheme="minorEastAsia" w:hAnsi="Times New Roman" w:cs="Times New Roman"/>
              <w:noProof/>
              <w:sz w:val="22"/>
              <w:szCs w:val="22"/>
            </w:rPr>
          </w:pPr>
          <w:hyperlink w:anchor="_Toc98692973" w:history="1">
            <w:r w:rsidR="00524933" w:rsidRPr="001D5CFC">
              <w:rPr>
                <w:rStyle w:val="Hyperlink"/>
                <w:rFonts w:ascii="Times New Roman" w:hAnsi="Times New Roman" w:cs="Times New Roman"/>
                <w:noProof/>
                <w:sz w:val="22"/>
                <w:szCs w:val="22"/>
              </w:rPr>
              <w:t>1.2.2 Human Health Diseases</w:t>
            </w:r>
            <w:r w:rsidR="00524933" w:rsidRPr="001D5CFC">
              <w:rPr>
                <w:rFonts w:ascii="Times New Roman" w:hAnsi="Times New Roman" w:cs="Times New Roman"/>
                <w:noProof/>
                <w:webHidden/>
                <w:sz w:val="22"/>
                <w:szCs w:val="22"/>
              </w:rPr>
              <w:tab/>
            </w:r>
            <w:r w:rsidR="00524933" w:rsidRPr="001D5CFC">
              <w:rPr>
                <w:rFonts w:ascii="Times New Roman" w:hAnsi="Times New Roman" w:cs="Times New Roman"/>
                <w:noProof/>
                <w:webHidden/>
                <w:sz w:val="22"/>
                <w:szCs w:val="22"/>
              </w:rPr>
              <w:fldChar w:fldCharType="begin"/>
            </w:r>
            <w:r w:rsidR="00524933" w:rsidRPr="001D5CFC">
              <w:rPr>
                <w:rFonts w:ascii="Times New Roman" w:hAnsi="Times New Roman" w:cs="Times New Roman"/>
                <w:noProof/>
                <w:webHidden/>
                <w:sz w:val="22"/>
                <w:szCs w:val="22"/>
              </w:rPr>
              <w:instrText xml:space="preserve"> PAGEREF _Toc98692973 \h </w:instrText>
            </w:r>
            <w:r w:rsidR="00524933" w:rsidRPr="001D5CFC">
              <w:rPr>
                <w:rFonts w:ascii="Times New Roman" w:hAnsi="Times New Roman" w:cs="Times New Roman"/>
                <w:noProof/>
                <w:webHidden/>
                <w:sz w:val="22"/>
                <w:szCs w:val="22"/>
              </w:rPr>
            </w:r>
            <w:r w:rsidR="00524933" w:rsidRPr="001D5CFC">
              <w:rPr>
                <w:rFonts w:ascii="Times New Roman" w:hAnsi="Times New Roman" w:cs="Times New Roman"/>
                <w:noProof/>
                <w:webHidden/>
                <w:sz w:val="22"/>
                <w:szCs w:val="22"/>
              </w:rPr>
              <w:fldChar w:fldCharType="separate"/>
            </w:r>
            <w:r w:rsidR="00C72EA1" w:rsidRPr="001D5CFC">
              <w:rPr>
                <w:rFonts w:ascii="Times New Roman" w:hAnsi="Times New Roman" w:cs="Times New Roman"/>
                <w:noProof/>
                <w:webHidden/>
                <w:sz w:val="22"/>
                <w:szCs w:val="22"/>
              </w:rPr>
              <w:t>7</w:t>
            </w:r>
            <w:r w:rsidR="00524933" w:rsidRPr="001D5CFC">
              <w:rPr>
                <w:rFonts w:ascii="Times New Roman" w:hAnsi="Times New Roman" w:cs="Times New Roman"/>
                <w:noProof/>
                <w:webHidden/>
                <w:sz w:val="22"/>
                <w:szCs w:val="22"/>
              </w:rPr>
              <w:fldChar w:fldCharType="end"/>
            </w:r>
          </w:hyperlink>
        </w:p>
        <w:p w14:paraId="75BB1CBC" w14:textId="6E298338" w:rsidR="00524933" w:rsidRPr="001D5CFC" w:rsidRDefault="00D07965" w:rsidP="00C72EA1">
          <w:pPr>
            <w:pStyle w:val="TOC2"/>
            <w:rPr>
              <w:rFonts w:ascii="Times New Roman" w:eastAsiaTheme="minorEastAsia" w:hAnsi="Times New Roman" w:cs="Times New Roman"/>
              <w:b w:val="0"/>
              <w:bCs w:val="0"/>
              <w:noProof/>
            </w:rPr>
          </w:pPr>
          <w:hyperlink w:anchor="_Toc98692974" w:history="1">
            <w:r w:rsidR="00524933" w:rsidRPr="001D5CFC">
              <w:rPr>
                <w:rStyle w:val="Hyperlink"/>
                <w:rFonts w:ascii="Times New Roman" w:hAnsi="Times New Roman" w:cs="Times New Roman"/>
                <w:b w:val="0"/>
                <w:bCs w:val="0"/>
                <w:noProof/>
                <w:sz w:val="22"/>
              </w:rPr>
              <w:t>1.3 Methodology</w:t>
            </w:r>
            <w:r w:rsidR="00524933" w:rsidRPr="001D5CFC">
              <w:rPr>
                <w:rFonts w:ascii="Times New Roman" w:hAnsi="Times New Roman" w:cs="Times New Roman"/>
                <w:b w:val="0"/>
                <w:bCs w:val="0"/>
                <w:noProof/>
                <w:webHidden/>
              </w:rPr>
              <w:tab/>
            </w:r>
            <w:r w:rsidR="00524933" w:rsidRPr="001D5CFC">
              <w:rPr>
                <w:rFonts w:ascii="Times New Roman" w:hAnsi="Times New Roman" w:cs="Times New Roman"/>
                <w:b w:val="0"/>
                <w:bCs w:val="0"/>
                <w:noProof/>
                <w:webHidden/>
              </w:rPr>
              <w:fldChar w:fldCharType="begin"/>
            </w:r>
            <w:r w:rsidR="00524933" w:rsidRPr="001D5CFC">
              <w:rPr>
                <w:rFonts w:ascii="Times New Roman" w:hAnsi="Times New Roman" w:cs="Times New Roman"/>
                <w:b w:val="0"/>
                <w:bCs w:val="0"/>
                <w:noProof/>
                <w:webHidden/>
              </w:rPr>
              <w:instrText xml:space="preserve"> PAGEREF _Toc98692974 \h </w:instrText>
            </w:r>
            <w:r w:rsidR="00524933" w:rsidRPr="001D5CFC">
              <w:rPr>
                <w:rFonts w:ascii="Times New Roman" w:hAnsi="Times New Roman" w:cs="Times New Roman"/>
                <w:b w:val="0"/>
                <w:bCs w:val="0"/>
                <w:noProof/>
                <w:webHidden/>
              </w:rPr>
            </w:r>
            <w:r w:rsidR="00524933" w:rsidRPr="001D5CFC">
              <w:rPr>
                <w:rFonts w:ascii="Times New Roman" w:hAnsi="Times New Roman" w:cs="Times New Roman"/>
                <w:b w:val="0"/>
                <w:bCs w:val="0"/>
                <w:noProof/>
                <w:webHidden/>
              </w:rPr>
              <w:fldChar w:fldCharType="separate"/>
            </w:r>
            <w:r w:rsidR="00C72EA1" w:rsidRPr="001D5CFC">
              <w:rPr>
                <w:rFonts w:ascii="Times New Roman" w:hAnsi="Times New Roman" w:cs="Times New Roman"/>
                <w:b w:val="0"/>
                <w:bCs w:val="0"/>
                <w:noProof/>
                <w:webHidden/>
              </w:rPr>
              <w:t>8</w:t>
            </w:r>
            <w:r w:rsidR="00524933" w:rsidRPr="001D5CFC">
              <w:rPr>
                <w:rFonts w:ascii="Times New Roman" w:hAnsi="Times New Roman" w:cs="Times New Roman"/>
                <w:b w:val="0"/>
                <w:bCs w:val="0"/>
                <w:noProof/>
                <w:webHidden/>
              </w:rPr>
              <w:fldChar w:fldCharType="end"/>
            </w:r>
          </w:hyperlink>
        </w:p>
        <w:p w14:paraId="264A60BE" w14:textId="7C3407E3" w:rsidR="00524933" w:rsidRPr="001D5CFC" w:rsidRDefault="00D07965" w:rsidP="00C72EA1">
          <w:pPr>
            <w:pStyle w:val="TOC3"/>
            <w:rPr>
              <w:rFonts w:ascii="Times New Roman" w:eastAsiaTheme="minorEastAsia" w:hAnsi="Times New Roman" w:cs="Times New Roman"/>
              <w:noProof/>
              <w:sz w:val="22"/>
              <w:szCs w:val="22"/>
            </w:rPr>
          </w:pPr>
          <w:hyperlink w:anchor="_Toc98692975" w:history="1">
            <w:r w:rsidR="00524933" w:rsidRPr="001D5CFC">
              <w:rPr>
                <w:rStyle w:val="Hyperlink"/>
                <w:rFonts w:ascii="Times New Roman" w:hAnsi="Times New Roman" w:cs="Times New Roman"/>
                <w:noProof/>
                <w:sz w:val="22"/>
                <w:szCs w:val="22"/>
              </w:rPr>
              <w:t>1.3.1 Conceptual Framework</w:t>
            </w:r>
            <w:r w:rsidR="00524933" w:rsidRPr="001D5CFC">
              <w:rPr>
                <w:rFonts w:ascii="Times New Roman" w:hAnsi="Times New Roman" w:cs="Times New Roman"/>
                <w:noProof/>
                <w:webHidden/>
                <w:sz w:val="22"/>
                <w:szCs w:val="22"/>
              </w:rPr>
              <w:tab/>
            </w:r>
            <w:r w:rsidR="00524933" w:rsidRPr="001D5CFC">
              <w:rPr>
                <w:rFonts w:ascii="Times New Roman" w:hAnsi="Times New Roman" w:cs="Times New Roman"/>
                <w:noProof/>
                <w:webHidden/>
                <w:sz w:val="22"/>
                <w:szCs w:val="22"/>
              </w:rPr>
              <w:fldChar w:fldCharType="begin"/>
            </w:r>
            <w:r w:rsidR="00524933" w:rsidRPr="001D5CFC">
              <w:rPr>
                <w:rFonts w:ascii="Times New Roman" w:hAnsi="Times New Roman" w:cs="Times New Roman"/>
                <w:noProof/>
                <w:webHidden/>
                <w:sz w:val="22"/>
                <w:szCs w:val="22"/>
              </w:rPr>
              <w:instrText xml:space="preserve"> PAGEREF _Toc98692975 \h </w:instrText>
            </w:r>
            <w:r w:rsidR="00524933" w:rsidRPr="001D5CFC">
              <w:rPr>
                <w:rFonts w:ascii="Times New Roman" w:hAnsi="Times New Roman" w:cs="Times New Roman"/>
                <w:noProof/>
                <w:webHidden/>
                <w:sz w:val="22"/>
                <w:szCs w:val="22"/>
              </w:rPr>
            </w:r>
            <w:r w:rsidR="00524933" w:rsidRPr="001D5CFC">
              <w:rPr>
                <w:rFonts w:ascii="Times New Roman" w:hAnsi="Times New Roman" w:cs="Times New Roman"/>
                <w:noProof/>
                <w:webHidden/>
                <w:sz w:val="22"/>
                <w:szCs w:val="22"/>
              </w:rPr>
              <w:fldChar w:fldCharType="separate"/>
            </w:r>
            <w:r w:rsidR="00C72EA1" w:rsidRPr="001D5CFC">
              <w:rPr>
                <w:rFonts w:ascii="Times New Roman" w:hAnsi="Times New Roman" w:cs="Times New Roman"/>
                <w:noProof/>
                <w:webHidden/>
                <w:sz w:val="22"/>
                <w:szCs w:val="22"/>
              </w:rPr>
              <w:t>8</w:t>
            </w:r>
            <w:r w:rsidR="00524933" w:rsidRPr="001D5CFC">
              <w:rPr>
                <w:rFonts w:ascii="Times New Roman" w:hAnsi="Times New Roman" w:cs="Times New Roman"/>
                <w:noProof/>
                <w:webHidden/>
                <w:sz w:val="22"/>
                <w:szCs w:val="22"/>
              </w:rPr>
              <w:fldChar w:fldCharType="end"/>
            </w:r>
          </w:hyperlink>
        </w:p>
        <w:p w14:paraId="0E6E2A06" w14:textId="1BE30FF0" w:rsidR="00524933" w:rsidRPr="001D5CFC" w:rsidRDefault="00D07965" w:rsidP="00C72EA1">
          <w:pPr>
            <w:pStyle w:val="TOC3"/>
            <w:rPr>
              <w:rFonts w:ascii="Times New Roman" w:eastAsiaTheme="minorEastAsia" w:hAnsi="Times New Roman" w:cs="Times New Roman"/>
              <w:noProof/>
              <w:sz w:val="22"/>
              <w:szCs w:val="22"/>
            </w:rPr>
          </w:pPr>
          <w:hyperlink w:anchor="_Toc98692976" w:history="1">
            <w:r w:rsidR="00524933" w:rsidRPr="001D5CFC">
              <w:rPr>
                <w:rStyle w:val="Hyperlink"/>
                <w:rFonts w:ascii="Times New Roman" w:hAnsi="Times New Roman" w:cs="Times New Roman"/>
                <w:noProof/>
                <w:sz w:val="22"/>
                <w:szCs w:val="22"/>
              </w:rPr>
              <w:t>1.3.2 Modelling Framework</w:t>
            </w:r>
            <w:r w:rsidR="00524933" w:rsidRPr="001D5CFC">
              <w:rPr>
                <w:rFonts w:ascii="Times New Roman" w:hAnsi="Times New Roman" w:cs="Times New Roman"/>
                <w:noProof/>
                <w:webHidden/>
                <w:sz w:val="22"/>
                <w:szCs w:val="22"/>
              </w:rPr>
              <w:tab/>
            </w:r>
            <w:r w:rsidR="00524933" w:rsidRPr="001D5CFC">
              <w:rPr>
                <w:rFonts w:ascii="Times New Roman" w:hAnsi="Times New Roman" w:cs="Times New Roman"/>
                <w:noProof/>
                <w:webHidden/>
                <w:sz w:val="22"/>
                <w:szCs w:val="22"/>
              </w:rPr>
              <w:fldChar w:fldCharType="begin"/>
            </w:r>
            <w:r w:rsidR="00524933" w:rsidRPr="001D5CFC">
              <w:rPr>
                <w:rFonts w:ascii="Times New Roman" w:hAnsi="Times New Roman" w:cs="Times New Roman"/>
                <w:noProof/>
                <w:webHidden/>
                <w:sz w:val="22"/>
                <w:szCs w:val="22"/>
              </w:rPr>
              <w:instrText xml:space="preserve"> PAGEREF _Toc98692976 \h </w:instrText>
            </w:r>
            <w:r w:rsidR="00524933" w:rsidRPr="001D5CFC">
              <w:rPr>
                <w:rFonts w:ascii="Times New Roman" w:hAnsi="Times New Roman" w:cs="Times New Roman"/>
                <w:noProof/>
                <w:webHidden/>
                <w:sz w:val="22"/>
                <w:szCs w:val="22"/>
              </w:rPr>
            </w:r>
            <w:r w:rsidR="00524933" w:rsidRPr="001D5CFC">
              <w:rPr>
                <w:rFonts w:ascii="Times New Roman" w:hAnsi="Times New Roman" w:cs="Times New Roman"/>
                <w:noProof/>
                <w:webHidden/>
                <w:sz w:val="22"/>
                <w:szCs w:val="22"/>
              </w:rPr>
              <w:fldChar w:fldCharType="separate"/>
            </w:r>
            <w:r w:rsidR="00C72EA1" w:rsidRPr="001D5CFC">
              <w:rPr>
                <w:rFonts w:ascii="Times New Roman" w:hAnsi="Times New Roman" w:cs="Times New Roman"/>
                <w:noProof/>
                <w:webHidden/>
                <w:sz w:val="22"/>
                <w:szCs w:val="22"/>
              </w:rPr>
              <w:t>10</w:t>
            </w:r>
            <w:r w:rsidR="00524933" w:rsidRPr="001D5CFC">
              <w:rPr>
                <w:rFonts w:ascii="Times New Roman" w:hAnsi="Times New Roman" w:cs="Times New Roman"/>
                <w:noProof/>
                <w:webHidden/>
                <w:sz w:val="22"/>
                <w:szCs w:val="22"/>
              </w:rPr>
              <w:fldChar w:fldCharType="end"/>
            </w:r>
          </w:hyperlink>
        </w:p>
        <w:p w14:paraId="334EE938" w14:textId="7032B45B" w:rsidR="00524933" w:rsidRPr="001D5CFC" w:rsidRDefault="00D07965" w:rsidP="00C72EA1">
          <w:pPr>
            <w:pStyle w:val="TOC2"/>
            <w:rPr>
              <w:rFonts w:ascii="Times New Roman" w:eastAsiaTheme="minorEastAsia" w:hAnsi="Times New Roman" w:cs="Times New Roman"/>
              <w:b w:val="0"/>
              <w:bCs w:val="0"/>
              <w:noProof/>
            </w:rPr>
          </w:pPr>
          <w:hyperlink w:anchor="_Toc98692977" w:history="1">
            <w:r w:rsidR="00524933" w:rsidRPr="001D5CFC">
              <w:rPr>
                <w:rStyle w:val="Hyperlink"/>
                <w:rFonts w:ascii="Times New Roman" w:hAnsi="Times New Roman" w:cs="Times New Roman"/>
                <w:b w:val="0"/>
                <w:bCs w:val="0"/>
                <w:noProof/>
                <w:sz w:val="22"/>
              </w:rPr>
              <w:t>1.4 Data</w:t>
            </w:r>
            <w:r w:rsidR="00524933" w:rsidRPr="001D5CFC">
              <w:rPr>
                <w:rFonts w:ascii="Times New Roman" w:hAnsi="Times New Roman" w:cs="Times New Roman"/>
                <w:b w:val="0"/>
                <w:bCs w:val="0"/>
                <w:noProof/>
                <w:webHidden/>
              </w:rPr>
              <w:tab/>
            </w:r>
            <w:r w:rsidR="00524933" w:rsidRPr="001D5CFC">
              <w:rPr>
                <w:rFonts w:ascii="Times New Roman" w:hAnsi="Times New Roman" w:cs="Times New Roman"/>
                <w:b w:val="0"/>
                <w:bCs w:val="0"/>
                <w:noProof/>
                <w:webHidden/>
              </w:rPr>
              <w:fldChar w:fldCharType="begin"/>
            </w:r>
            <w:r w:rsidR="00524933" w:rsidRPr="001D5CFC">
              <w:rPr>
                <w:rFonts w:ascii="Times New Roman" w:hAnsi="Times New Roman" w:cs="Times New Roman"/>
                <w:b w:val="0"/>
                <w:bCs w:val="0"/>
                <w:noProof/>
                <w:webHidden/>
              </w:rPr>
              <w:instrText xml:space="preserve"> PAGEREF _Toc98692977 \h </w:instrText>
            </w:r>
            <w:r w:rsidR="00524933" w:rsidRPr="001D5CFC">
              <w:rPr>
                <w:rFonts w:ascii="Times New Roman" w:hAnsi="Times New Roman" w:cs="Times New Roman"/>
                <w:b w:val="0"/>
                <w:bCs w:val="0"/>
                <w:noProof/>
                <w:webHidden/>
              </w:rPr>
            </w:r>
            <w:r w:rsidR="00524933" w:rsidRPr="001D5CFC">
              <w:rPr>
                <w:rFonts w:ascii="Times New Roman" w:hAnsi="Times New Roman" w:cs="Times New Roman"/>
                <w:b w:val="0"/>
                <w:bCs w:val="0"/>
                <w:noProof/>
                <w:webHidden/>
              </w:rPr>
              <w:fldChar w:fldCharType="separate"/>
            </w:r>
            <w:r w:rsidR="00C72EA1" w:rsidRPr="001D5CFC">
              <w:rPr>
                <w:rFonts w:ascii="Times New Roman" w:hAnsi="Times New Roman" w:cs="Times New Roman"/>
                <w:b w:val="0"/>
                <w:bCs w:val="0"/>
                <w:noProof/>
                <w:webHidden/>
              </w:rPr>
              <w:t>11</w:t>
            </w:r>
            <w:r w:rsidR="00524933" w:rsidRPr="001D5CFC">
              <w:rPr>
                <w:rFonts w:ascii="Times New Roman" w:hAnsi="Times New Roman" w:cs="Times New Roman"/>
                <w:b w:val="0"/>
                <w:bCs w:val="0"/>
                <w:noProof/>
                <w:webHidden/>
              </w:rPr>
              <w:fldChar w:fldCharType="end"/>
            </w:r>
          </w:hyperlink>
        </w:p>
        <w:p w14:paraId="7555D64B" w14:textId="36EF1206" w:rsidR="00524933" w:rsidRPr="001D5CFC" w:rsidRDefault="00D07965" w:rsidP="00C72EA1">
          <w:pPr>
            <w:pStyle w:val="TOC2"/>
            <w:rPr>
              <w:rFonts w:ascii="Times New Roman" w:eastAsiaTheme="minorEastAsia" w:hAnsi="Times New Roman" w:cs="Times New Roman"/>
              <w:b w:val="0"/>
              <w:bCs w:val="0"/>
              <w:noProof/>
            </w:rPr>
          </w:pPr>
          <w:hyperlink w:anchor="_Toc98692978" w:history="1">
            <w:r w:rsidR="00524933" w:rsidRPr="001D5CFC">
              <w:rPr>
                <w:rStyle w:val="Hyperlink"/>
                <w:rFonts w:ascii="Times New Roman" w:hAnsi="Times New Roman" w:cs="Times New Roman"/>
                <w:b w:val="0"/>
                <w:bCs w:val="0"/>
                <w:noProof/>
                <w:sz w:val="22"/>
              </w:rPr>
              <w:t>1.5 Results</w:t>
            </w:r>
            <w:r w:rsidR="00524933" w:rsidRPr="001D5CFC">
              <w:rPr>
                <w:rFonts w:ascii="Times New Roman" w:hAnsi="Times New Roman" w:cs="Times New Roman"/>
                <w:b w:val="0"/>
                <w:bCs w:val="0"/>
                <w:noProof/>
                <w:webHidden/>
              </w:rPr>
              <w:tab/>
            </w:r>
            <w:r w:rsidR="00524933" w:rsidRPr="001D5CFC">
              <w:rPr>
                <w:rFonts w:ascii="Times New Roman" w:hAnsi="Times New Roman" w:cs="Times New Roman"/>
                <w:b w:val="0"/>
                <w:bCs w:val="0"/>
                <w:noProof/>
                <w:webHidden/>
              </w:rPr>
              <w:fldChar w:fldCharType="begin"/>
            </w:r>
            <w:r w:rsidR="00524933" w:rsidRPr="001D5CFC">
              <w:rPr>
                <w:rFonts w:ascii="Times New Roman" w:hAnsi="Times New Roman" w:cs="Times New Roman"/>
                <w:b w:val="0"/>
                <w:bCs w:val="0"/>
                <w:noProof/>
                <w:webHidden/>
              </w:rPr>
              <w:instrText xml:space="preserve"> PAGEREF _Toc98692978 \h </w:instrText>
            </w:r>
            <w:r w:rsidR="00524933" w:rsidRPr="001D5CFC">
              <w:rPr>
                <w:rFonts w:ascii="Times New Roman" w:hAnsi="Times New Roman" w:cs="Times New Roman"/>
                <w:b w:val="0"/>
                <w:bCs w:val="0"/>
                <w:noProof/>
                <w:webHidden/>
              </w:rPr>
            </w:r>
            <w:r w:rsidR="00524933" w:rsidRPr="001D5CFC">
              <w:rPr>
                <w:rFonts w:ascii="Times New Roman" w:hAnsi="Times New Roman" w:cs="Times New Roman"/>
                <w:b w:val="0"/>
                <w:bCs w:val="0"/>
                <w:noProof/>
                <w:webHidden/>
              </w:rPr>
              <w:fldChar w:fldCharType="separate"/>
            </w:r>
            <w:r w:rsidR="00C72EA1" w:rsidRPr="001D5CFC">
              <w:rPr>
                <w:rFonts w:ascii="Times New Roman" w:hAnsi="Times New Roman" w:cs="Times New Roman"/>
                <w:b w:val="0"/>
                <w:bCs w:val="0"/>
                <w:noProof/>
                <w:webHidden/>
              </w:rPr>
              <w:t>13</w:t>
            </w:r>
            <w:r w:rsidR="00524933" w:rsidRPr="001D5CFC">
              <w:rPr>
                <w:rFonts w:ascii="Times New Roman" w:hAnsi="Times New Roman" w:cs="Times New Roman"/>
                <w:b w:val="0"/>
                <w:bCs w:val="0"/>
                <w:noProof/>
                <w:webHidden/>
              </w:rPr>
              <w:fldChar w:fldCharType="end"/>
            </w:r>
          </w:hyperlink>
        </w:p>
        <w:p w14:paraId="790AE9FD" w14:textId="08971E7C" w:rsidR="00524933" w:rsidRPr="001D5CFC" w:rsidRDefault="00D07965" w:rsidP="00C72EA1">
          <w:pPr>
            <w:pStyle w:val="TOC3"/>
            <w:rPr>
              <w:rFonts w:ascii="Times New Roman" w:eastAsiaTheme="minorEastAsia" w:hAnsi="Times New Roman" w:cs="Times New Roman"/>
              <w:noProof/>
              <w:sz w:val="22"/>
              <w:szCs w:val="22"/>
            </w:rPr>
          </w:pPr>
          <w:hyperlink w:anchor="_Toc98692979" w:history="1">
            <w:r w:rsidR="00524933" w:rsidRPr="001D5CFC">
              <w:rPr>
                <w:rStyle w:val="Hyperlink"/>
                <w:rFonts w:ascii="Times New Roman" w:hAnsi="Times New Roman" w:cs="Times New Roman"/>
                <w:noProof/>
                <w:sz w:val="22"/>
                <w:szCs w:val="22"/>
              </w:rPr>
              <w:t>1.5.1 Human Health Event Impact Estimates</w:t>
            </w:r>
            <w:r w:rsidR="00524933" w:rsidRPr="001D5CFC">
              <w:rPr>
                <w:rFonts w:ascii="Times New Roman" w:hAnsi="Times New Roman" w:cs="Times New Roman"/>
                <w:noProof/>
                <w:webHidden/>
                <w:sz w:val="22"/>
                <w:szCs w:val="22"/>
              </w:rPr>
              <w:tab/>
            </w:r>
            <w:r w:rsidR="00524933" w:rsidRPr="001D5CFC">
              <w:rPr>
                <w:rFonts w:ascii="Times New Roman" w:hAnsi="Times New Roman" w:cs="Times New Roman"/>
                <w:noProof/>
                <w:webHidden/>
                <w:sz w:val="22"/>
                <w:szCs w:val="22"/>
              </w:rPr>
              <w:fldChar w:fldCharType="begin"/>
            </w:r>
            <w:r w:rsidR="00524933" w:rsidRPr="001D5CFC">
              <w:rPr>
                <w:rFonts w:ascii="Times New Roman" w:hAnsi="Times New Roman" w:cs="Times New Roman"/>
                <w:noProof/>
                <w:webHidden/>
                <w:sz w:val="22"/>
                <w:szCs w:val="22"/>
              </w:rPr>
              <w:instrText xml:space="preserve"> PAGEREF _Toc98692979 \h </w:instrText>
            </w:r>
            <w:r w:rsidR="00524933" w:rsidRPr="001D5CFC">
              <w:rPr>
                <w:rFonts w:ascii="Times New Roman" w:hAnsi="Times New Roman" w:cs="Times New Roman"/>
                <w:noProof/>
                <w:webHidden/>
                <w:sz w:val="22"/>
                <w:szCs w:val="22"/>
              </w:rPr>
            </w:r>
            <w:r w:rsidR="00524933" w:rsidRPr="001D5CFC">
              <w:rPr>
                <w:rFonts w:ascii="Times New Roman" w:hAnsi="Times New Roman" w:cs="Times New Roman"/>
                <w:noProof/>
                <w:webHidden/>
                <w:sz w:val="22"/>
                <w:szCs w:val="22"/>
              </w:rPr>
              <w:fldChar w:fldCharType="separate"/>
            </w:r>
            <w:r w:rsidR="00C72EA1" w:rsidRPr="001D5CFC">
              <w:rPr>
                <w:rFonts w:ascii="Times New Roman" w:hAnsi="Times New Roman" w:cs="Times New Roman"/>
                <w:noProof/>
                <w:webHidden/>
                <w:sz w:val="22"/>
                <w:szCs w:val="22"/>
              </w:rPr>
              <w:t>14</w:t>
            </w:r>
            <w:r w:rsidR="00524933" w:rsidRPr="001D5CFC">
              <w:rPr>
                <w:rFonts w:ascii="Times New Roman" w:hAnsi="Times New Roman" w:cs="Times New Roman"/>
                <w:noProof/>
                <w:webHidden/>
                <w:sz w:val="22"/>
                <w:szCs w:val="22"/>
              </w:rPr>
              <w:fldChar w:fldCharType="end"/>
            </w:r>
          </w:hyperlink>
        </w:p>
        <w:p w14:paraId="32BF7ABC" w14:textId="4CA9F476" w:rsidR="00524933" w:rsidRPr="001D5CFC" w:rsidRDefault="00D07965" w:rsidP="00C72EA1">
          <w:pPr>
            <w:pStyle w:val="TOC3"/>
            <w:rPr>
              <w:rFonts w:ascii="Times New Roman" w:eastAsiaTheme="minorEastAsia" w:hAnsi="Times New Roman" w:cs="Times New Roman"/>
              <w:noProof/>
              <w:sz w:val="22"/>
              <w:szCs w:val="22"/>
            </w:rPr>
          </w:pPr>
          <w:hyperlink w:anchor="_Toc98692980" w:history="1">
            <w:r w:rsidR="00524933" w:rsidRPr="001D5CFC">
              <w:rPr>
                <w:rStyle w:val="Hyperlink"/>
                <w:rFonts w:ascii="Times New Roman" w:hAnsi="Times New Roman" w:cs="Times New Roman"/>
                <w:noProof/>
                <w:sz w:val="22"/>
                <w:szCs w:val="22"/>
              </w:rPr>
              <w:t>1.5.2 Various Factor Impact Estimates</w:t>
            </w:r>
            <w:r w:rsidR="00524933" w:rsidRPr="001D5CFC">
              <w:rPr>
                <w:rFonts w:ascii="Times New Roman" w:hAnsi="Times New Roman" w:cs="Times New Roman"/>
                <w:noProof/>
                <w:webHidden/>
                <w:sz w:val="22"/>
                <w:szCs w:val="22"/>
              </w:rPr>
              <w:tab/>
            </w:r>
            <w:r w:rsidR="00524933" w:rsidRPr="001D5CFC">
              <w:rPr>
                <w:rFonts w:ascii="Times New Roman" w:hAnsi="Times New Roman" w:cs="Times New Roman"/>
                <w:noProof/>
                <w:webHidden/>
                <w:sz w:val="22"/>
                <w:szCs w:val="22"/>
              </w:rPr>
              <w:fldChar w:fldCharType="begin"/>
            </w:r>
            <w:r w:rsidR="00524933" w:rsidRPr="001D5CFC">
              <w:rPr>
                <w:rFonts w:ascii="Times New Roman" w:hAnsi="Times New Roman" w:cs="Times New Roman"/>
                <w:noProof/>
                <w:webHidden/>
                <w:sz w:val="22"/>
                <w:szCs w:val="22"/>
              </w:rPr>
              <w:instrText xml:space="preserve"> PAGEREF _Toc98692980 \h </w:instrText>
            </w:r>
            <w:r w:rsidR="00524933" w:rsidRPr="001D5CFC">
              <w:rPr>
                <w:rFonts w:ascii="Times New Roman" w:hAnsi="Times New Roman" w:cs="Times New Roman"/>
                <w:noProof/>
                <w:webHidden/>
                <w:sz w:val="22"/>
                <w:szCs w:val="22"/>
              </w:rPr>
            </w:r>
            <w:r w:rsidR="00524933" w:rsidRPr="001D5CFC">
              <w:rPr>
                <w:rFonts w:ascii="Times New Roman" w:hAnsi="Times New Roman" w:cs="Times New Roman"/>
                <w:noProof/>
                <w:webHidden/>
                <w:sz w:val="22"/>
                <w:szCs w:val="22"/>
              </w:rPr>
              <w:fldChar w:fldCharType="separate"/>
            </w:r>
            <w:r w:rsidR="00C72EA1" w:rsidRPr="001D5CFC">
              <w:rPr>
                <w:rFonts w:ascii="Times New Roman" w:hAnsi="Times New Roman" w:cs="Times New Roman"/>
                <w:noProof/>
                <w:webHidden/>
                <w:sz w:val="22"/>
                <w:szCs w:val="22"/>
              </w:rPr>
              <w:t>15</w:t>
            </w:r>
            <w:r w:rsidR="00524933" w:rsidRPr="001D5CFC">
              <w:rPr>
                <w:rFonts w:ascii="Times New Roman" w:hAnsi="Times New Roman" w:cs="Times New Roman"/>
                <w:noProof/>
                <w:webHidden/>
                <w:sz w:val="22"/>
                <w:szCs w:val="22"/>
              </w:rPr>
              <w:fldChar w:fldCharType="end"/>
            </w:r>
          </w:hyperlink>
        </w:p>
        <w:p w14:paraId="76D44075" w14:textId="3684F096" w:rsidR="00524933" w:rsidRPr="001D5CFC" w:rsidRDefault="00D07965" w:rsidP="00C72EA1">
          <w:pPr>
            <w:pStyle w:val="TOC2"/>
            <w:rPr>
              <w:rFonts w:ascii="Times New Roman" w:eastAsiaTheme="minorEastAsia" w:hAnsi="Times New Roman" w:cs="Times New Roman"/>
              <w:b w:val="0"/>
              <w:bCs w:val="0"/>
              <w:noProof/>
            </w:rPr>
          </w:pPr>
          <w:hyperlink w:anchor="_Toc98692981" w:history="1">
            <w:r w:rsidR="00524933" w:rsidRPr="001D5CFC">
              <w:rPr>
                <w:rStyle w:val="Hyperlink"/>
                <w:rFonts w:ascii="Times New Roman" w:hAnsi="Times New Roman" w:cs="Times New Roman"/>
                <w:b w:val="0"/>
                <w:bCs w:val="0"/>
                <w:noProof/>
                <w:sz w:val="22"/>
              </w:rPr>
              <w:t>1.6 Conclusion</w:t>
            </w:r>
            <w:r w:rsidR="00524933" w:rsidRPr="001D5CFC">
              <w:rPr>
                <w:rFonts w:ascii="Times New Roman" w:hAnsi="Times New Roman" w:cs="Times New Roman"/>
                <w:b w:val="0"/>
                <w:bCs w:val="0"/>
                <w:noProof/>
                <w:webHidden/>
              </w:rPr>
              <w:tab/>
            </w:r>
            <w:r w:rsidR="00524933" w:rsidRPr="001D5CFC">
              <w:rPr>
                <w:rFonts w:ascii="Times New Roman" w:hAnsi="Times New Roman" w:cs="Times New Roman"/>
                <w:b w:val="0"/>
                <w:bCs w:val="0"/>
                <w:noProof/>
                <w:webHidden/>
              </w:rPr>
              <w:fldChar w:fldCharType="begin"/>
            </w:r>
            <w:r w:rsidR="00524933" w:rsidRPr="001D5CFC">
              <w:rPr>
                <w:rFonts w:ascii="Times New Roman" w:hAnsi="Times New Roman" w:cs="Times New Roman"/>
                <w:b w:val="0"/>
                <w:bCs w:val="0"/>
                <w:noProof/>
                <w:webHidden/>
              </w:rPr>
              <w:instrText xml:space="preserve"> PAGEREF _Toc98692981 \h </w:instrText>
            </w:r>
            <w:r w:rsidR="00524933" w:rsidRPr="001D5CFC">
              <w:rPr>
                <w:rFonts w:ascii="Times New Roman" w:hAnsi="Times New Roman" w:cs="Times New Roman"/>
                <w:b w:val="0"/>
                <w:bCs w:val="0"/>
                <w:noProof/>
                <w:webHidden/>
              </w:rPr>
            </w:r>
            <w:r w:rsidR="00524933" w:rsidRPr="001D5CFC">
              <w:rPr>
                <w:rFonts w:ascii="Times New Roman" w:hAnsi="Times New Roman" w:cs="Times New Roman"/>
                <w:b w:val="0"/>
                <w:bCs w:val="0"/>
                <w:noProof/>
                <w:webHidden/>
              </w:rPr>
              <w:fldChar w:fldCharType="separate"/>
            </w:r>
            <w:r w:rsidR="00C72EA1" w:rsidRPr="001D5CFC">
              <w:rPr>
                <w:rFonts w:ascii="Times New Roman" w:hAnsi="Times New Roman" w:cs="Times New Roman"/>
                <w:b w:val="0"/>
                <w:bCs w:val="0"/>
                <w:noProof/>
                <w:webHidden/>
              </w:rPr>
              <w:t>18</w:t>
            </w:r>
            <w:r w:rsidR="00524933" w:rsidRPr="001D5CFC">
              <w:rPr>
                <w:rFonts w:ascii="Times New Roman" w:hAnsi="Times New Roman" w:cs="Times New Roman"/>
                <w:b w:val="0"/>
                <w:bCs w:val="0"/>
                <w:noProof/>
                <w:webHidden/>
              </w:rPr>
              <w:fldChar w:fldCharType="end"/>
            </w:r>
          </w:hyperlink>
        </w:p>
        <w:p w14:paraId="47B9B141" w14:textId="3928605A" w:rsidR="00524933" w:rsidRPr="001D5CFC" w:rsidRDefault="00D07965" w:rsidP="003F646B">
          <w:pPr>
            <w:pStyle w:val="TOC1"/>
            <w:rPr>
              <w:rFonts w:ascii="Times New Roman" w:eastAsiaTheme="minorEastAsia" w:hAnsi="Times New Roman" w:cs="Times New Roman"/>
              <w:b w:val="0"/>
              <w:bCs w:val="0"/>
              <w:i w:val="0"/>
              <w:iCs w:val="0"/>
              <w:noProof/>
              <w:sz w:val="22"/>
              <w:szCs w:val="22"/>
            </w:rPr>
          </w:pPr>
          <w:hyperlink w:anchor="_Toc98692982" w:history="1">
            <w:r w:rsidR="00524933" w:rsidRPr="001D5CFC">
              <w:rPr>
                <w:rStyle w:val="Hyperlink"/>
                <w:rFonts w:ascii="Times New Roman" w:hAnsi="Times New Roman" w:cs="Times New Roman"/>
                <w:b w:val="0"/>
                <w:bCs w:val="0"/>
                <w:i w:val="0"/>
                <w:iCs w:val="0"/>
                <w:noProof/>
                <w:sz w:val="22"/>
                <w:szCs w:val="22"/>
              </w:rPr>
              <w:t>Chapter 2: Factors Determining Affordability of Water Infrastructure Upgrades in Tennessee</w:t>
            </w:r>
            <w:r w:rsidR="00524933" w:rsidRPr="001D5CFC">
              <w:rPr>
                <w:rFonts w:ascii="Times New Roman" w:hAnsi="Times New Roman" w:cs="Times New Roman"/>
                <w:b w:val="0"/>
                <w:bCs w:val="0"/>
                <w:i w:val="0"/>
                <w:iCs w:val="0"/>
                <w:noProof/>
                <w:webHidden/>
                <w:sz w:val="22"/>
                <w:szCs w:val="22"/>
              </w:rPr>
              <w:tab/>
            </w:r>
            <w:r w:rsidR="00524933" w:rsidRPr="001D5CFC">
              <w:rPr>
                <w:rFonts w:ascii="Times New Roman" w:hAnsi="Times New Roman" w:cs="Times New Roman"/>
                <w:b w:val="0"/>
                <w:bCs w:val="0"/>
                <w:i w:val="0"/>
                <w:iCs w:val="0"/>
                <w:noProof/>
                <w:webHidden/>
                <w:sz w:val="22"/>
                <w:szCs w:val="22"/>
              </w:rPr>
              <w:fldChar w:fldCharType="begin"/>
            </w:r>
            <w:r w:rsidR="00524933" w:rsidRPr="001D5CFC">
              <w:rPr>
                <w:rFonts w:ascii="Times New Roman" w:hAnsi="Times New Roman" w:cs="Times New Roman"/>
                <w:b w:val="0"/>
                <w:bCs w:val="0"/>
                <w:i w:val="0"/>
                <w:iCs w:val="0"/>
                <w:noProof/>
                <w:webHidden/>
                <w:sz w:val="22"/>
                <w:szCs w:val="22"/>
              </w:rPr>
              <w:instrText xml:space="preserve"> PAGEREF _Toc98692982 \h </w:instrText>
            </w:r>
            <w:r w:rsidR="00524933" w:rsidRPr="001D5CFC">
              <w:rPr>
                <w:rFonts w:ascii="Times New Roman" w:hAnsi="Times New Roman" w:cs="Times New Roman"/>
                <w:b w:val="0"/>
                <w:bCs w:val="0"/>
                <w:i w:val="0"/>
                <w:iCs w:val="0"/>
                <w:noProof/>
                <w:webHidden/>
                <w:sz w:val="22"/>
                <w:szCs w:val="22"/>
              </w:rPr>
            </w:r>
            <w:r w:rsidR="00524933" w:rsidRPr="001D5CFC">
              <w:rPr>
                <w:rFonts w:ascii="Times New Roman" w:hAnsi="Times New Roman" w:cs="Times New Roman"/>
                <w:b w:val="0"/>
                <w:bCs w:val="0"/>
                <w:i w:val="0"/>
                <w:iCs w:val="0"/>
                <w:noProof/>
                <w:webHidden/>
                <w:sz w:val="22"/>
                <w:szCs w:val="22"/>
              </w:rPr>
              <w:fldChar w:fldCharType="separate"/>
            </w:r>
            <w:r w:rsidR="00C72EA1" w:rsidRPr="001D5CFC">
              <w:rPr>
                <w:rFonts w:ascii="Times New Roman" w:hAnsi="Times New Roman" w:cs="Times New Roman"/>
                <w:b w:val="0"/>
                <w:bCs w:val="0"/>
                <w:i w:val="0"/>
                <w:iCs w:val="0"/>
                <w:noProof/>
                <w:webHidden/>
                <w:sz w:val="22"/>
                <w:szCs w:val="22"/>
              </w:rPr>
              <w:t>19</w:t>
            </w:r>
            <w:r w:rsidR="00524933" w:rsidRPr="001D5CFC">
              <w:rPr>
                <w:rFonts w:ascii="Times New Roman" w:hAnsi="Times New Roman" w:cs="Times New Roman"/>
                <w:b w:val="0"/>
                <w:bCs w:val="0"/>
                <w:i w:val="0"/>
                <w:iCs w:val="0"/>
                <w:noProof/>
                <w:webHidden/>
                <w:sz w:val="22"/>
                <w:szCs w:val="22"/>
              </w:rPr>
              <w:fldChar w:fldCharType="end"/>
            </w:r>
          </w:hyperlink>
        </w:p>
        <w:p w14:paraId="39D1E20E" w14:textId="2CF88CB5" w:rsidR="00524933" w:rsidRPr="001D5CFC" w:rsidRDefault="00D07965" w:rsidP="00C72EA1">
          <w:pPr>
            <w:pStyle w:val="TOC2"/>
            <w:rPr>
              <w:rFonts w:ascii="Times New Roman" w:eastAsiaTheme="minorEastAsia" w:hAnsi="Times New Roman" w:cs="Times New Roman"/>
              <w:b w:val="0"/>
              <w:bCs w:val="0"/>
              <w:noProof/>
            </w:rPr>
          </w:pPr>
          <w:hyperlink w:anchor="_Toc98692983" w:history="1">
            <w:r w:rsidR="00524933" w:rsidRPr="001D5CFC">
              <w:rPr>
                <w:rStyle w:val="Hyperlink"/>
                <w:rFonts w:ascii="Times New Roman" w:hAnsi="Times New Roman" w:cs="Times New Roman"/>
                <w:b w:val="0"/>
                <w:bCs w:val="0"/>
                <w:noProof/>
                <w:sz w:val="22"/>
              </w:rPr>
              <w:t>2.1 Introduction</w:t>
            </w:r>
            <w:r w:rsidR="00524933" w:rsidRPr="001D5CFC">
              <w:rPr>
                <w:rFonts w:ascii="Times New Roman" w:hAnsi="Times New Roman" w:cs="Times New Roman"/>
                <w:b w:val="0"/>
                <w:bCs w:val="0"/>
                <w:noProof/>
                <w:webHidden/>
              </w:rPr>
              <w:tab/>
            </w:r>
            <w:r w:rsidR="00524933" w:rsidRPr="001D5CFC">
              <w:rPr>
                <w:rFonts w:ascii="Times New Roman" w:hAnsi="Times New Roman" w:cs="Times New Roman"/>
                <w:b w:val="0"/>
                <w:bCs w:val="0"/>
                <w:noProof/>
                <w:webHidden/>
              </w:rPr>
              <w:fldChar w:fldCharType="begin"/>
            </w:r>
            <w:r w:rsidR="00524933" w:rsidRPr="001D5CFC">
              <w:rPr>
                <w:rFonts w:ascii="Times New Roman" w:hAnsi="Times New Roman" w:cs="Times New Roman"/>
                <w:b w:val="0"/>
                <w:bCs w:val="0"/>
                <w:noProof/>
                <w:webHidden/>
              </w:rPr>
              <w:instrText xml:space="preserve"> PAGEREF _Toc98692983 \h </w:instrText>
            </w:r>
            <w:r w:rsidR="00524933" w:rsidRPr="001D5CFC">
              <w:rPr>
                <w:rFonts w:ascii="Times New Roman" w:hAnsi="Times New Roman" w:cs="Times New Roman"/>
                <w:b w:val="0"/>
                <w:bCs w:val="0"/>
                <w:noProof/>
                <w:webHidden/>
              </w:rPr>
            </w:r>
            <w:r w:rsidR="00524933" w:rsidRPr="001D5CFC">
              <w:rPr>
                <w:rFonts w:ascii="Times New Roman" w:hAnsi="Times New Roman" w:cs="Times New Roman"/>
                <w:b w:val="0"/>
                <w:bCs w:val="0"/>
                <w:noProof/>
                <w:webHidden/>
              </w:rPr>
              <w:fldChar w:fldCharType="separate"/>
            </w:r>
            <w:r w:rsidR="00C72EA1" w:rsidRPr="001D5CFC">
              <w:rPr>
                <w:rFonts w:ascii="Times New Roman" w:hAnsi="Times New Roman" w:cs="Times New Roman"/>
                <w:b w:val="0"/>
                <w:bCs w:val="0"/>
                <w:noProof/>
                <w:webHidden/>
              </w:rPr>
              <w:t>21</w:t>
            </w:r>
            <w:r w:rsidR="00524933" w:rsidRPr="001D5CFC">
              <w:rPr>
                <w:rFonts w:ascii="Times New Roman" w:hAnsi="Times New Roman" w:cs="Times New Roman"/>
                <w:b w:val="0"/>
                <w:bCs w:val="0"/>
                <w:noProof/>
                <w:webHidden/>
              </w:rPr>
              <w:fldChar w:fldCharType="end"/>
            </w:r>
          </w:hyperlink>
        </w:p>
        <w:p w14:paraId="43DA0BF3" w14:textId="2A8B551B" w:rsidR="00524933" w:rsidRPr="001D5CFC" w:rsidRDefault="00D07965" w:rsidP="00C72EA1">
          <w:pPr>
            <w:pStyle w:val="TOC2"/>
            <w:rPr>
              <w:rFonts w:ascii="Times New Roman" w:eastAsiaTheme="minorEastAsia" w:hAnsi="Times New Roman" w:cs="Times New Roman"/>
              <w:b w:val="0"/>
              <w:bCs w:val="0"/>
              <w:noProof/>
            </w:rPr>
          </w:pPr>
          <w:hyperlink w:anchor="_Toc98692984" w:history="1">
            <w:r w:rsidR="00524933" w:rsidRPr="001D5CFC">
              <w:rPr>
                <w:rStyle w:val="Hyperlink"/>
                <w:rFonts w:ascii="Times New Roman" w:hAnsi="Times New Roman" w:cs="Times New Roman"/>
                <w:b w:val="0"/>
                <w:bCs w:val="0"/>
                <w:noProof/>
                <w:sz w:val="22"/>
              </w:rPr>
              <w:t>2.2 Literature Review</w:t>
            </w:r>
            <w:r w:rsidR="00524933" w:rsidRPr="001D5CFC">
              <w:rPr>
                <w:rFonts w:ascii="Times New Roman" w:hAnsi="Times New Roman" w:cs="Times New Roman"/>
                <w:b w:val="0"/>
                <w:bCs w:val="0"/>
                <w:noProof/>
                <w:webHidden/>
              </w:rPr>
              <w:tab/>
            </w:r>
            <w:r w:rsidR="00524933" w:rsidRPr="001D5CFC">
              <w:rPr>
                <w:rFonts w:ascii="Times New Roman" w:hAnsi="Times New Roman" w:cs="Times New Roman"/>
                <w:b w:val="0"/>
                <w:bCs w:val="0"/>
                <w:noProof/>
                <w:webHidden/>
              </w:rPr>
              <w:fldChar w:fldCharType="begin"/>
            </w:r>
            <w:r w:rsidR="00524933" w:rsidRPr="001D5CFC">
              <w:rPr>
                <w:rFonts w:ascii="Times New Roman" w:hAnsi="Times New Roman" w:cs="Times New Roman"/>
                <w:b w:val="0"/>
                <w:bCs w:val="0"/>
                <w:noProof/>
                <w:webHidden/>
              </w:rPr>
              <w:instrText xml:space="preserve"> PAGEREF _Toc98692984 \h </w:instrText>
            </w:r>
            <w:r w:rsidR="00524933" w:rsidRPr="001D5CFC">
              <w:rPr>
                <w:rFonts w:ascii="Times New Roman" w:hAnsi="Times New Roman" w:cs="Times New Roman"/>
                <w:b w:val="0"/>
                <w:bCs w:val="0"/>
                <w:noProof/>
                <w:webHidden/>
              </w:rPr>
            </w:r>
            <w:r w:rsidR="00524933" w:rsidRPr="001D5CFC">
              <w:rPr>
                <w:rFonts w:ascii="Times New Roman" w:hAnsi="Times New Roman" w:cs="Times New Roman"/>
                <w:b w:val="0"/>
                <w:bCs w:val="0"/>
                <w:noProof/>
                <w:webHidden/>
              </w:rPr>
              <w:fldChar w:fldCharType="separate"/>
            </w:r>
            <w:r w:rsidR="00C72EA1" w:rsidRPr="001D5CFC">
              <w:rPr>
                <w:rFonts w:ascii="Times New Roman" w:hAnsi="Times New Roman" w:cs="Times New Roman"/>
                <w:b w:val="0"/>
                <w:bCs w:val="0"/>
                <w:noProof/>
                <w:webHidden/>
              </w:rPr>
              <w:t>22</w:t>
            </w:r>
            <w:r w:rsidR="00524933" w:rsidRPr="001D5CFC">
              <w:rPr>
                <w:rFonts w:ascii="Times New Roman" w:hAnsi="Times New Roman" w:cs="Times New Roman"/>
                <w:b w:val="0"/>
                <w:bCs w:val="0"/>
                <w:noProof/>
                <w:webHidden/>
              </w:rPr>
              <w:fldChar w:fldCharType="end"/>
            </w:r>
          </w:hyperlink>
        </w:p>
        <w:p w14:paraId="1F095374" w14:textId="2281BF13" w:rsidR="00524933" w:rsidRPr="001D5CFC" w:rsidRDefault="00D07965" w:rsidP="00C72EA1">
          <w:pPr>
            <w:pStyle w:val="TOC3"/>
            <w:rPr>
              <w:rFonts w:ascii="Times New Roman" w:eastAsiaTheme="minorEastAsia" w:hAnsi="Times New Roman" w:cs="Times New Roman"/>
              <w:noProof/>
              <w:sz w:val="22"/>
              <w:szCs w:val="22"/>
            </w:rPr>
          </w:pPr>
          <w:hyperlink w:anchor="_Toc98692985" w:history="1">
            <w:r w:rsidR="00524933" w:rsidRPr="001D5CFC">
              <w:rPr>
                <w:rStyle w:val="Hyperlink"/>
                <w:rFonts w:ascii="Times New Roman" w:hAnsi="Times New Roman" w:cs="Times New Roman"/>
                <w:noProof/>
                <w:sz w:val="22"/>
                <w:szCs w:val="22"/>
              </w:rPr>
              <w:t>2.2.1 Water Infrastructure</w:t>
            </w:r>
            <w:r w:rsidR="00524933" w:rsidRPr="001D5CFC">
              <w:rPr>
                <w:rFonts w:ascii="Times New Roman" w:hAnsi="Times New Roman" w:cs="Times New Roman"/>
                <w:noProof/>
                <w:webHidden/>
                <w:sz w:val="22"/>
                <w:szCs w:val="22"/>
              </w:rPr>
              <w:tab/>
            </w:r>
            <w:r w:rsidR="00524933" w:rsidRPr="001D5CFC">
              <w:rPr>
                <w:rFonts w:ascii="Times New Roman" w:hAnsi="Times New Roman" w:cs="Times New Roman"/>
                <w:noProof/>
                <w:webHidden/>
                <w:sz w:val="22"/>
                <w:szCs w:val="22"/>
              </w:rPr>
              <w:fldChar w:fldCharType="begin"/>
            </w:r>
            <w:r w:rsidR="00524933" w:rsidRPr="001D5CFC">
              <w:rPr>
                <w:rFonts w:ascii="Times New Roman" w:hAnsi="Times New Roman" w:cs="Times New Roman"/>
                <w:noProof/>
                <w:webHidden/>
                <w:sz w:val="22"/>
                <w:szCs w:val="22"/>
              </w:rPr>
              <w:instrText xml:space="preserve"> PAGEREF _Toc98692985 \h </w:instrText>
            </w:r>
            <w:r w:rsidR="00524933" w:rsidRPr="001D5CFC">
              <w:rPr>
                <w:rFonts w:ascii="Times New Roman" w:hAnsi="Times New Roman" w:cs="Times New Roman"/>
                <w:noProof/>
                <w:webHidden/>
                <w:sz w:val="22"/>
                <w:szCs w:val="22"/>
              </w:rPr>
            </w:r>
            <w:r w:rsidR="00524933" w:rsidRPr="001D5CFC">
              <w:rPr>
                <w:rFonts w:ascii="Times New Roman" w:hAnsi="Times New Roman" w:cs="Times New Roman"/>
                <w:noProof/>
                <w:webHidden/>
                <w:sz w:val="22"/>
                <w:szCs w:val="22"/>
              </w:rPr>
              <w:fldChar w:fldCharType="separate"/>
            </w:r>
            <w:r w:rsidR="00C72EA1" w:rsidRPr="001D5CFC">
              <w:rPr>
                <w:rFonts w:ascii="Times New Roman" w:hAnsi="Times New Roman" w:cs="Times New Roman"/>
                <w:noProof/>
                <w:webHidden/>
                <w:sz w:val="22"/>
                <w:szCs w:val="22"/>
              </w:rPr>
              <w:t>22</w:t>
            </w:r>
            <w:r w:rsidR="00524933" w:rsidRPr="001D5CFC">
              <w:rPr>
                <w:rFonts w:ascii="Times New Roman" w:hAnsi="Times New Roman" w:cs="Times New Roman"/>
                <w:noProof/>
                <w:webHidden/>
                <w:sz w:val="22"/>
                <w:szCs w:val="22"/>
              </w:rPr>
              <w:fldChar w:fldCharType="end"/>
            </w:r>
          </w:hyperlink>
        </w:p>
        <w:p w14:paraId="43D34B61" w14:textId="22C6FE44" w:rsidR="00524933" w:rsidRPr="001D5CFC" w:rsidRDefault="00D07965" w:rsidP="00C72EA1">
          <w:pPr>
            <w:pStyle w:val="TOC3"/>
            <w:rPr>
              <w:rFonts w:ascii="Times New Roman" w:eastAsiaTheme="minorEastAsia" w:hAnsi="Times New Roman" w:cs="Times New Roman"/>
              <w:noProof/>
              <w:sz w:val="22"/>
              <w:szCs w:val="22"/>
            </w:rPr>
          </w:pPr>
          <w:hyperlink w:anchor="_Toc98692986" w:history="1">
            <w:r w:rsidR="00524933" w:rsidRPr="001D5CFC">
              <w:rPr>
                <w:rStyle w:val="Hyperlink"/>
                <w:rFonts w:ascii="Times New Roman" w:hAnsi="Times New Roman" w:cs="Times New Roman"/>
                <w:noProof/>
                <w:sz w:val="22"/>
                <w:szCs w:val="22"/>
              </w:rPr>
              <w:t>2.2.2 Indices</w:t>
            </w:r>
            <w:r w:rsidR="00524933" w:rsidRPr="001D5CFC">
              <w:rPr>
                <w:rFonts w:ascii="Times New Roman" w:hAnsi="Times New Roman" w:cs="Times New Roman"/>
                <w:noProof/>
                <w:webHidden/>
                <w:sz w:val="22"/>
                <w:szCs w:val="22"/>
              </w:rPr>
              <w:tab/>
            </w:r>
            <w:r w:rsidR="00524933" w:rsidRPr="001D5CFC">
              <w:rPr>
                <w:rFonts w:ascii="Times New Roman" w:hAnsi="Times New Roman" w:cs="Times New Roman"/>
                <w:noProof/>
                <w:webHidden/>
                <w:sz w:val="22"/>
                <w:szCs w:val="22"/>
              </w:rPr>
              <w:fldChar w:fldCharType="begin"/>
            </w:r>
            <w:r w:rsidR="00524933" w:rsidRPr="001D5CFC">
              <w:rPr>
                <w:rFonts w:ascii="Times New Roman" w:hAnsi="Times New Roman" w:cs="Times New Roman"/>
                <w:noProof/>
                <w:webHidden/>
                <w:sz w:val="22"/>
                <w:szCs w:val="22"/>
              </w:rPr>
              <w:instrText xml:space="preserve"> PAGEREF _Toc98692986 \h </w:instrText>
            </w:r>
            <w:r w:rsidR="00524933" w:rsidRPr="001D5CFC">
              <w:rPr>
                <w:rFonts w:ascii="Times New Roman" w:hAnsi="Times New Roman" w:cs="Times New Roman"/>
                <w:noProof/>
                <w:webHidden/>
                <w:sz w:val="22"/>
                <w:szCs w:val="22"/>
              </w:rPr>
            </w:r>
            <w:r w:rsidR="00524933" w:rsidRPr="001D5CFC">
              <w:rPr>
                <w:rFonts w:ascii="Times New Roman" w:hAnsi="Times New Roman" w:cs="Times New Roman"/>
                <w:noProof/>
                <w:webHidden/>
                <w:sz w:val="22"/>
                <w:szCs w:val="22"/>
              </w:rPr>
              <w:fldChar w:fldCharType="separate"/>
            </w:r>
            <w:r w:rsidR="00C72EA1" w:rsidRPr="001D5CFC">
              <w:rPr>
                <w:rFonts w:ascii="Times New Roman" w:hAnsi="Times New Roman" w:cs="Times New Roman"/>
                <w:noProof/>
                <w:webHidden/>
                <w:sz w:val="22"/>
                <w:szCs w:val="22"/>
              </w:rPr>
              <w:t>23</w:t>
            </w:r>
            <w:r w:rsidR="00524933" w:rsidRPr="001D5CFC">
              <w:rPr>
                <w:rFonts w:ascii="Times New Roman" w:hAnsi="Times New Roman" w:cs="Times New Roman"/>
                <w:noProof/>
                <w:webHidden/>
                <w:sz w:val="22"/>
                <w:szCs w:val="22"/>
              </w:rPr>
              <w:fldChar w:fldCharType="end"/>
            </w:r>
          </w:hyperlink>
        </w:p>
        <w:p w14:paraId="1BFF9198" w14:textId="11F19908" w:rsidR="00524933" w:rsidRPr="001D5CFC" w:rsidRDefault="00D07965" w:rsidP="00C72EA1">
          <w:pPr>
            <w:pStyle w:val="TOC3"/>
            <w:rPr>
              <w:rFonts w:ascii="Times New Roman" w:eastAsiaTheme="minorEastAsia" w:hAnsi="Times New Roman" w:cs="Times New Roman"/>
              <w:noProof/>
              <w:sz w:val="22"/>
              <w:szCs w:val="22"/>
            </w:rPr>
          </w:pPr>
          <w:hyperlink w:anchor="_Toc98692987" w:history="1">
            <w:r w:rsidR="00524933" w:rsidRPr="001D5CFC">
              <w:rPr>
                <w:rStyle w:val="Hyperlink"/>
                <w:rFonts w:ascii="Times New Roman" w:hAnsi="Times New Roman" w:cs="Times New Roman"/>
                <w:noProof/>
                <w:sz w:val="22"/>
                <w:szCs w:val="22"/>
              </w:rPr>
              <w:t>2.2.3 Input-Output Models</w:t>
            </w:r>
            <w:r w:rsidR="00524933" w:rsidRPr="001D5CFC">
              <w:rPr>
                <w:rFonts w:ascii="Times New Roman" w:hAnsi="Times New Roman" w:cs="Times New Roman"/>
                <w:noProof/>
                <w:webHidden/>
                <w:sz w:val="22"/>
                <w:szCs w:val="22"/>
              </w:rPr>
              <w:tab/>
            </w:r>
            <w:r w:rsidR="00524933" w:rsidRPr="001D5CFC">
              <w:rPr>
                <w:rFonts w:ascii="Times New Roman" w:hAnsi="Times New Roman" w:cs="Times New Roman"/>
                <w:noProof/>
                <w:webHidden/>
                <w:sz w:val="22"/>
                <w:szCs w:val="22"/>
              </w:rPr>
              <w:fldChar w:fldCharType="begin"/>
            </w:r>
            <w:r w:rsidR="00524933" w:rsidRPr="001D5CFC">
              <w:rPr>
                <w:rFonts w:ascii="Times New Roman" w:hAnsi="Times New Roman" w:cs="Times New Roman"/>
                <w:noProof/>
                <w:webHidden/>
                <w:sz w:val="22"/>
                <w:szCs w:val="22"/>
              </w:rPr>
              <w:instrText xml:space="preserve"> PAGEREF _Toc98692987 \h </w:instrText>
            </w:r>
            <w:r w:rsidR="00524933" w:rsidRPr="001D5CFC">
              <w:rPr>
                <w:rFonts w:ascii="Times New Roman" w:hAnsi="Times New Roman" w:cs="Times New Roman"/>
                <w:noProof/>
                <w:webHidden/>
                <w:sz w:val="22"/>
                <w:szCs w:val="22"/>
              </w:rPr>
            </w:r>
            <w:r w:rsidR="00524933" w:rsidRPr="001D5CFC">
              <w:rPr>
                <w:rFonts w:ascii="Times New Roman" w:hAnsi="Times New Roman" w:cs="Times New Roman"/>
                <w:noProof/>
                <w:webHidden/>
                <w:sz w:val="22"/>
                <w:szCs w:val="22"/>
              </w:rPr>
              <w:fldChar w:fldCharType="separate"/>
            </w:r>
            <w:r w:rsidR="00C72EA1" w:rsidRPr="001D5CFC">
              <w:rPr>
                <w:rFonts w:ascii="Times New Roman" w:hAnsi="Times New Roman" w:cs="Times New Roman"/>
                <w:noProof/>
                <w:webHidden/>
                <w:sz w:val="22"/>
                <w:szCs w:val="22"/>
              </w:rPr>
              <w:t>24</w:t>
            </w:r>
            <w:r w:rsidR="00524933" w:rsidRPr="001D5CFC">
              <w:rPr>
                <w:rFonts w:ascii="Times New Roman" w:hAnsi="Times New Roman" w:cs="Times New Roman"/>
                <w:noProof/>
                <w:webHidden/>
                <w:sz w:val="22"/>
                <w:szCs w:val="22"/>
              </w:rPr>
              <w:fldChar w:fldCharType="end"/>
            </w:r>
          </w:hyperlink>
        </w:p>
        <w:p w14:paraId="36814764" w14:textId="1DF76D7D" w:rsidR="00524933" w:rsidRPr="001D5CFC" w:rsidRDefault="00D07965" w:rsidP="00C72EA1">
          <w:pPr>
            <w:pStyle w:val="TOC3"/>
            <w:rPr>
              <w:rFonts w:ascii="Times New Roman" w:eastAsiaTheme="minorEastAsia" w:hAnsi="Times New Roman" w:cs="Times New Roman"/>
              <w:noProof/>
              <w:sz w:val="22"/>
              <w:szCs w:val="22"/>
            </w:rPr>
          </w:pPr>
          <w:hyperlink w:anchor="_Toc98692988" w:history="1">
            <w:r w:rsidR="00524933" w:rsidRPr="001D5CFC">
              <w:rPr>
                <w:rStyle w:val="Hyperlink"/>
                <w:rFonts w:ascii="Times New Roman" w:hAnsi="Times New Roman" w:cs="Times New Roman"/>
                <w:noProof/>
                <w:sz w:val="22"/>
                <w:szCs w:val="22"/>
              </w:rPr>
              <w:t>2.2.4 IMPLAN Software</w:t>
            </w:r>
            <w:r w:rsidR="00524933" w:rsidRPr="001D5CFC">
              <w:rPr>
                <w:rFonts w:ascii="Times New Roman" w:hAnsi="Times New Roman" w:cs="Times New Roman"/>
                <w:noProof/>
                <w:webHidden/>
                <w:sz w:val="22"/>
                <w:szCs w:val="22"/>
              </w:rPr>
              <w:tab/>
            </w:r>
            <w:r w:rsidR="00524933" w:rsidRPr="001D5CFC">
              <w:rPr>
                <w:rFonts w:ascii="Times New Roman" w:hAnsi="Times New Roman" w:cs="Times New Roman"/>
                <w:noProof/>
                <w:webHidden/>
                <w:sz w:val="22"/>
                <w:szCs w:val="22"/>
              </w:rPr>
              <w:fldChar w:fldCharType="begin"/>
            </w:r>
            <w:r w:rsidR="00524933" w:rsidRPr="001D5CFC">
              <w:rPr>
                <w:rFonts w:ascii="Times New Roman" w:hAnsi="Times New Roman" w:cs="Times New Roman"/>
                <w:noProof/>
                <w:webHidden/>
                <w:sz w:val="22"/>
                <w:szCs w:val="22"/>
              </w:rPr>
              <w:instrText xml:space="preserve"> PAGEREF _Toc98692988 \h </w:instrText>
            </w:r>
            <w:r w:rsidR="00524933" w:rsidRPr="001D5CFC">
              <w:rPr>
                <w:rFonts w:ascii="Times New Roman" w:hAnsi="Times New Roman" w:cs="Times New Roman"/>
                <w:noProof/>
                <w:webHidden/>
                <w:sz w:val="22"/>
                <w:szCs w:val="22"/>
              </w:rPr>
            </w:r>
            <w:r w:rsidR="00524933" w:rsidRPr="001D5CFC">
              <w:rPr>
                <w:rFonts w:ascii="Times New Roman" w:hAnsi="Times New Roman" w:cs="Times New Roman"/>
                <w:noProof/>
                <w:webHidden/>
                <w:sz w:val="22"/>
                <w:szCs w:val="22"/>
              </w:rPr>
              <w:fldChar w:fldCharType="separate"/>
            </w:r>
            <w:r w:rsidR="00C72EA1" w:rsidRPr="001D5CFC">
              <w:rPr>
                <w:rFonts w:ascii="Times New Roman" w:hAnsi="Times New Roman" w:cs="Times New Roman"/>
                <w:noProof/>
                <w:webHidden/>
                <w:sz w:val="22"/>
                <w:szCs w:val="22"/>
              </w:rPr>
              <w:t>26</w:t>
            </w:r>
            <w:r w:rsidR="00524933" w:rsidRPr="001D5CFC">
              <w:rPr>
                <w:rFonts w:ascii="Times New Roman" w:hAnsi="Times New Roman" w:cs="Times New Roman"/>
                <w:noProof/>
                <w:webHidden/>
                <w:sz w:val="22"/>
                <w:szCs w:val="22"/>
              </w:rPr>
              <w:fldChar w:fldCharType="end"/>
            </w:r>
          </w:hyperlink>
        </w:p>
        <w:p w14:paraId="189C92A2" w14:textId="26355AEE" w:rsidR="00524933" w:rsidRPr="001D5CFC" w:rsidRDefault="00D07965" w:rsidP="00C72EA1">
          <w:pPr>
            <w:pStyle w:val="TOC2"/>
            <w:rPr>
              <w:rFonts w:ascii="Times New Roman" w:eastAsiaTheme="minorEastAsia" w:hAnsi="Times New Roman" w:cs="Times New Roman"/>
              <w:b w:val="0"/>
              <w:bCs w:val="0"/>
              <w:noProof/>
            </w:rPr>
          </w:pPr>
          <w:hyperlink w:anchor="_Toc98692989" w:history="1">
            <w:r w:rsidR="00524933" w:rsidRPr="001D5CFC">
              <w:rPr>
                <w:rStyle w:val="Hyperlink"/>
                <w:rFonts w:ascii="Times New Roman" w:hAnsi="Times New Roman" w:cs="Times New Roman"/>
                <w:b w:val="0"/>
                <w:bCs w:val="0"/>
                <w:noProof/>
                <w:sz w:val="22"/>
              </w:rPr>
              <w:t>2.3 Methodology</w:t>
            </w:r>
            <w:r w:rsidR="00524933" w:rsidRPr="001D5CFC">
              <w:rPr>
                <w:rFonts w:ascii="Times New Roman" w:hAnsi="Times New Roman" w:cs="Times New Roman"/>
                <w:b w:val="0"/>
                <w:bCs w:val="0"/>
                <w:noProof/>
                <w:webHidden/>
              </w:rPr>
              <w:tab/>
            </w:r>
            <w:r w:rsidR="00524933" w:rsidRPr="001D5CFC">
              <w:rPr>
                <w:rFonts w:ascii="Times New Roman" w:hAnsi="Times New Roman" w:cs="Times New Roman"/>
                <w:b w:val="0"/>
                <w:bCs w:val="0"/>
                <w:noProof/>
                <w:webHidden/>
              </w:rPr>
              <w:fldChar w:fldCharType="begin"/>
            </w:r>
            <w:r w:rsidR="00524933" w:rsidRPr="001D5CFC">
              <w:rPr>
                <w:rFonts w:ascii="Times New Roman" w:hAnsi="Times New Roman" w:cs="Times New Roman"/>
                <w:b w:val="0"/>
                <w:bCs w:val="0"/>
                <w:noProof/>
                <w:webHidden/>
              </w:rPr>
              <w:instrText xml:space="preserve"> PAGEREF _Toc98692989 \h </w:instrText>
            </w:r>
            <w:r w:rsidR="00524933" w:rsidRPr="001D5CFC">
              <w:rPr>
                <w:rFonts w:ascii="Times New Roman" w:hAnsi="Times New Roman" w:cs="Times New Roman"/>
                <w:b w:val="0"/>
                <w:bCs w:val="0"/>
                <w:noProof/>
                <w:webHidden/>
              </w:rPr>
            </w:r>
            <w:r w:rsidR="00524933" w:rsidRPr="001D5CFC">
              <w:rPr>
                <w:rFonts w:ascii="Times New Roman" w:hAnsi="Times New Roman" w:cs="Times New Roman"/>
                <w:b w:val="0"/>
                <w:bCs w:val="0"/>
                <w:noProof/>
                <w:webHidden/>
              </w:rPr>
              <w:fldChar w:fldCharType="separate"/>
            </w:r>
            <w:r w:rsidR="00C72EA1" w:rsidRPr="001D5CFC">
              <w:rPr>
                <w:rFonts w:ascii="Times New Roman" w:hAnsi="Times New Roman" w:cs="Times New Roman"/>
                <w:b w:val="0"/>
                <w:bCs w:val="0"/>
                <w:noProof/>
                <w:webHidden/>
              </w:rPr>
              <w:t>26</w:t>
            </w:r>
            <w:r w:rsidR="00524933" w:rsidRPr="001D5CFC">
              <w:rPr>
                <w:rFonts w:ascii="Times New Roman" w:hAnsi="Times New Roman" w:cs="Times New Roman"/>
                <w:b w:val="0"/>
                <w:bCs w:val="0"/>
                <w:noProof/>
                <w:webHidden/>
              </w:rPr>
              <w:fldChar w:fldCharType="end"/>
            </w:r>
          </w:hyperlink>
        </w:p>
        <w:p w14:paraId="49B21962" w14:textId="37AEC4C4" w:rsidR="00524933" w:rsidRPr="001D5CFC" w:rsidRDefault="00D07965" w:rsidP="00C72EA1">
          <w:pPr>
            <w:pStyle w:val="TOC3"/>
            <w:rPr>
              <w:rFonts w:ascii="Times New Roman" w:eastAsiaTheme="minorEastAsia" w:hAnsi="Times New Roman" w:cs="Times New Roman"/>
              <w:noProof/>
              <w:sz w:val="22"/>
              <w:szCs w:val="22"/>
            </w:rPr>
          </w:pPr>
          <w:hyperlink w:anchor="_Toc98692990" w:history="1">
            <w:r w:rsidR="00524933" w:rsidRPr="001D5CFC">
              <w:rPr>
                <w:rStyle w:val="Hyperlink"/>
                <w:rFonts w:ascii="Times New Roman" w:hAnsi="Times New Roman" w:cs="Times New Roman"/>
                <w:noProof/>
                <w:sz w:val="22"/>
                <w:szCs w:val="22"/>
              </w:rPr>
              <w:t>2.3.1 Conceptual Framework</w:t>
            </w:r>
            <w:r w:rsidR="00524933" w:rsidRPr="001D5CFC">
              <w:rPr>
                <w:rFonts w:ascii="Times New Roman" w:hAnsi="Times New Roman" w:cs="Times New Roman"/>
                <w:noProof/>
                <w:webHidden/>
                <w:sz w:val="22"/>
                <w:szCs w:val="22"/>
              </w:rPr>
              <w:tab/>
            </w:r>
            <w:r w:rsidR="00524933" w:rsidRPr="001D5CFC">
              <w:rPr>
                <w:rFonts w:ascii="Times New Roman" w:hAnsi="Times New Roman" w:cs="Times New Roman"/>
                <w:noProof/>
                <w:webHidden/>
                <w:sz w:val="22"/>
                <w:szCs w:val="22"/>
              </w:rPr>
              <w:fldChar w:fldCharType="begin"/>
            </w:r>
            <w:r w:rsidR="00524933" w:rsidRPr="001D5CFC">
              <w:rPr>
                <w:rFonts w:ascii="Times New Roman" w:hAnsi="Times New Roman" w:cs="Times New Roman"/>
                <w:noProof/>
                <w:webHidden/>
                <w:sz w:val="22"/>
                <w:szCs w:val="22"/>
              </w:rPr>
              <w:instrText xml:space="preserve"> PAGEREF _Toc98692990 \h </w:instrText>
            </w:r>
            <w:r w:rsidR="00524933" w:rsidRPr="001D5CFC">
              <w:rPr>
                <w:rFonts w:ascii="Times New Roman" w:hAnsi="Times New Roman" w:cs="Times New Roman"/>
                <w:noProof/>
                <w:webHidden/>
                <w:sz w:val="22"/>
                <w:szCs w:val="22"/>
              </w:rPr>
            </w:r>
            <w:r w:rsidR="00524933" w:rsidRPr="001D5CFC">
              <w:rPr>
                <w:rFonts w:ascii="Times New Roman" w:hAnsi="Times New Roman" w:cs="Times New Roman"/>
                <w:noProof/>
                <w:webHidden/>
                <w:sz w:val="22"/>
                <w:szCs w:val="22"/>
              </w:rPr>
              <w:fldChar w:fldCharType="separate"/>
            </w:r>
            <w:r w:rsidR="00C72EA1" w:rsidRPr="001D5CFC">
              <w:rPr>
                <w:rFonts w:ascii="Times New Roman" w:hAnsi="Times New Roman" w:cs="Times New Roman"/>
                <w:noProof/>
                <w:webHidden/>
                <w:sz w:val="22"/>
                <w:szCs w:val="22"/>
              </w:rPr>
              <w:t>26</w:t>
            </w:r>
            <w:r w:rsidR="00524933" w:rsidRPr="001D5CFC">
              <w:rPr>
                <w:rFonts w:ascii="Times New Roman" w:hAnsi="Times New Roman" w:cs="Times New Roman"/>
                <w:noProof/>
                <w:webHidden/>
                <w:sz w:val="22"/>
                <w:szCs w:val="22"/>
              </w:rPr>
              <w:fldChar w:fldCharType="end"/>
            </w:r>
          </w:hyperlink>
        </w:p>
        <w:p w14:paraId="508497D9" w14:textId="3A1481AB" w:rsidR="00524933" w:rsidRPr="001D5CFC" w:rsidRDefault="00D07965" w:rsidP="00C72EA1">
          <w:pPr>
            <w:pStyle w:val="TOC3"/>
            <w:rPr>
              <w:rFonts w:ascii="Times New Roman" w:eastAsiaTheme="minorEastAsia" w:hAnsi="Times New Roman" w:cs="Times New Roman"/>
              <w:noProof/>
              <w:sz w:val="22"/>
              <w:szCs w:val="22"/>
            </w:rPr>
          </w:pPr>
          <w:hyperlink w:anchor="_Toc98692991" w:history="1">
            <w:r w:rsidR="00524933" w:rsidRPr="001D5CFC">
              <w:rPr>
                <w:rStyle w:val="Hyperlink"/>
                <w:rFonts w:ascii="Times New Roman" w:hAnsi="Times New Roman" w:cs="Times New Roman"/>
                <w:noProof/>
                <w:sz w:val="22"/>
                <w:szCs w:val="22"/>
              </w:rPr>
              <w:t>2.3.2 Method 1: Median Household Income</w:t>
            </w:r>
            <w:r w:rsidR="00524933" w:rsidRPr="001D5CFC">
              <w:rPr>
                <w:rFonts w:ascii="Times New Roman" w:hAnsi="Times New Roman" w:cs="Times New Roman"/>
                <w:noProof/>
                <w:webHidden/>
                <w:sz w:val="22"/>
                <w:szCs w:val="22"/>
              </w:rPr>
              <w:tab/>
            </w:r>
            <w:r w:rsidR="00524933" w:rsidRPr="001D5CFC">
              <w:rPr>
                <w:rFonts w:ascii="Times New Roman" w:hAnsi="Times New Roman" w:cs="Times New Roman"/>
                <w:noProof/>
                <w:webHidden/>
                <w:sz w:val="22"/>
                <w:szCs w:val="22"/>
              </w:rPr>
              <w:fldChar w:fldCharType="begin"/>
            </w:r>
            <w:r w:rsidR="00524933" w:rsidRPr="001D5CFC">
              <w:rPr>
                <w:rFonts w:ascii="Times New Roman" w:hAnsi="Times New Roman" w:cs="Times New Roman"/>
                <w:noProof/>
                <w:webHidden/>
                <w:sz w:val="22"/>
                <w:szCs w:val="22"/>
              </w:rPr>
              <w:instrText xml:space="preserve"> PAGEREF _Toc98692991 \h </w:instrText>
            </w:r>
            <w:r w:rsidR="00524933" w:rsidRPr="001D5CFC">
              <w:rPr>
                <w:rFonts w:ascii="Times New Roman" w:hAnsi="Times New Roman" w:cs="Times New Roman"/>
                <w:noProof/>
                <w:webHidden/>
                <w:sz w:val="22"/>
                <w:szCs w:val="22"/>
              </w:rPr>
            </w:r>
            <w:r w:rsidR="00524933" w:rsidRPr="001D5CFC">
              <w:rPr>
                <w:rFonts w:ascii="Times New Roman" w:hAnsi="Times New Roman" w:cs="Times New Roman"/>
                <w:noProof/>
                <w:webHidden/>
                <w:sz w:val="22"/>
                <w:szCs w:val="22"/>
              </w:rPr>
              <w:fldChar w:fldCharType="separate"/>
            </w:r>
            <w:r w:rsidR="00C72EA1" w:rsidRPr="001D5CFC">
              <w:rPr>
                <w:rFonts w:ascii="Times New Roman" w:hAnsi="Times New Roman" w:cs="Times New Roman"/>
                <w:noProof/>
                <w:webHidden/>
                <w:sz w:val="22"/>
                <w:szCs w:val="22"/>
              </w:rPr>
              <w:t>27</w:t>
            </w:r>
            <w:r w:rsidR="00524933" w:rsidRPr="001D5CFC">
              <w:rPr>
                <w:rFonts w:ascii="Times New Roman" w:hAnsi="Times New Roman" w:cs="Times New Roman"/>
                <w:noProof/>
                <w:webHidden/>
                <w:sz w:val="22"/>
                <w:szCs w:val="22"/>
              </w:rPr>
              <w:fldChar w:fldCharType="end"/>
            </w:r>
          </w:hyperlink>
        </w:p>
        <w:p w14:paraId="09C2321B" w14:textId="27C04C56" w:rsidR="00524933" w:rsidRPr="001D5CFC" w:rsidRDefault="00D07965" w:rsidP="00C72EA1">
          <w:pPr>
            <w:pStyle w:val="TOC3"/>
            <w:rPr>
              <w:rFonts w:ascii="Times New Roman" w:eastAsiaTheme="minorEastAsia" w:hAnsi="Times New Roman" w:cs="Times New Roman"/>
              <w:noProof/>
              <w:sz w:val="22"/>
              <w:szCs w:val="22"/>
            </w:rPr>
          </w:pPr>
          <w:hyperlink w:anchor="_Toc98692992" w:history="1">
            <w:r w:rsidR="00524933" w:rsidRPr="001D5CFC">
              <w:rPr>
                <w:rStyle w:val="Hyperlink"/>
                <w:rFonts w:ascii="Times New Roman" w:hAnsi="Times New Roman" w:cs="Times New Roman"/>
                <w:noProof/>
                <w:sz w:val="22"/>
                <w:szCs w:val="22"/>
              </w:rPr>
              <w:t>2.3.3 Method 2: Simple Average</w:t>
            </w:r>
            <w:r w:rsidR="00524933" w:rsidRPr="001D5CFC">
              <w:rPr>
                <w:rFonts w:ascii="Times New Roman" w:hAnsi="Times New Roman" w:cs="Times New Roman"/>
                <w:noProof/>
                <w:webHidden/>
                <w:sz w:val="22"/>
                <w:szCs w:val="22"/>
              </w:rPr>
              <w:tab/>
            </w:r>
            <w:r w:rsidR="00524933" w:rsidRPr="001D5CFC">
              <w:rPr>
                <w:rFonts w:ascii="Times New Roman" w:hAnsi="Times New Roman" w:cs="Times New Roman"/>
                <w:noProof/>
                <w:webHidden/>
                <w:sz w:val="22"/>
                <w:szCs w:val="22"/>
              </w:rPr>
              <w:fldChar w:fldCharType="begin"/>
            </w:r>
            <w:r w:rsidR="00524933" w:rsidRPr="001D5CFC">
              <w:rPr>
                <w:rFonts w:ascii="Times New Roman" w:hAnsi="Times New Roman" w:cs="Times New Roman"/>
                <w:noProof/>
                <w:webHidden/>
                <w:sz w:val="22"/>
                <w:szCs w:val="22"/>
              </w:rPr>
              <w:instrText xml:space="preserve"> PAGEREF _Toc98692992 \h </w:instrText>
            </w:r>
            <w:r w:rsidR="00524933" w:rsidRPr="001D5CFC">
              <w:rPr>
                <w:rFonts w:ascii="Times New Roman" w:hAnsi="Times New Roman" w:cs="Times New Roman"/>
                <w:noProof/>
                <w:webHidden/>
                <w:sz w:val="22"/>
                <w:szCs w:val="22"/>
              </w:rPr>
            </w:r>
            <w:r w:rsidR="00524933" w:rsidRPr="001D5CFC">
              <w:rPr>
                <w:rFonts w:ascii="Times New Roman" w:hAnsi="Times New Roman" w:cs="Times New Roman"/>
                <w:noProof/>
                <w:webHidden/>
                <w:sz w:val="22"/>
                <w:szCs w:val="22"/>
              </w:rPr>
              <w:fldChar w:fldCharType="separate"/>
            </w:r>
            <w:r w:rsidR="00C72EA1" w:rsidRPr="001D5CFC">
              <w:rPr>
                <w:rFonts w:ascii="Times New Roman" w:hAnsi="Times New Roman" w:cs="Times New Roman"/>
                <w:noProof/>
                <w:webHidden/>
                <w:sz w:val="22"/>
                <w:szCs w:val="22"/>
              </w:rPr>
              <w:t>27</w:t>
            </w:r>
            <w:r w:rsidR="00524933" w:rsidRPr="001D5CFC">
              <w:rPr>
                <w:rFonts w:ascii="Times New Roman" w:hAnsi="Times New Roman" w:cs="Times New Roman"/>
                <w:noProof/>
                <w:webHidden/>
                <w:sz w:val="22"/>
                <w:szCs w:val="22"/>
              </w:rPr>
              <w:fldChar w:fldCharType="end"/>
            </w:r>
          </w:hyperlink>
        </w:p>
        <w:p w14:paraId="7A08FA37" w14:textId="27784D56" w:rsidR="00524933" w:rsidRPr="001D5CFC" w:rsidRDefault="00D07965" w:rsidP="00C72EA1">
          <w:pPr>
            <w:pStyle w:val="TOC3"/>
            <w:rPr>
              <w:rFonts w:ascii="Times New Roman" w:eastAsiaTheme="minorEastAsia" w:hAnsi="Times New Roman" w:cs="Times New Roman"/>
              <w:noProof/>
              <w:sz w:val="22"/>
              <w:szCs w:val="22"/>
            </w:rPr>
          </w:pPr>
          <w:hyperlink w:anchor="_Toc98692993" w:history="1">
            <w:r w:rsidR="00524933" w:rsidRPr="001D5CFC">
              <w:rPr>
                <w:rStyle w:val="Hyperlink"/>
                <w:rFonts w:ascii="Times New Roman" w:hAnsi="Times New Roman" w:cs="Times New Roman"/>
                <w:noProof/>
                <w:sz w:val="22"/>
                <w:szCs w:val="22"/>
              </w:rPr>
              <w:t>2.3.4 Method 3: Negative Scaling</w:t>
            </w:r>
            <w:r w:rsidR="00524933" w:rsidRPr="001D5CFC">
              <w:rPr>
                <w:rFonts w:ascii="Times New Roman" w:hAnsi="Times New Roman" w:cs="Times New Roman"/>
                <w:noProof/>
                <w:webHidden/>
                <w:sz w:val="22"/>
                <w:szCs w:val="22"/>
              </w:rPr>
              <w:tab/>
            </w:r>
            <w:r w:rsidR="00524933" w:rsidRPr="001D5CFC">
              <w:rPr>
                <w:rFonts w:ascii="Times New Roman" w:hAnsi="Times New Roman" w:cs="Times New Roman"/>
                <w:noProof/>
                <w:webHidden/>
                <w:sz w:val="22"/>
                <w:szCs w:val="22"/>
              </w:rPr>
              <w:fldChar w:fldCharType="begin"/>
            </w:r>
            <w:r w:rsidR="00524933" w:rsidRPr="001D5CFC">
              <w:rPr>
                <w:rFonts w:ascii="Times New Roman" w:hAnsi="Times New Roman" w:cs="Times New Roman"/>
                <w:noProof/>
                <w:webHidden/>
                <w:sz w:val="22"/>
                <w:szCs w:val="22"/>
              </w:rPr>
              <w:instrText xml:space="preserve"> PAGEREF _Toc98692993 \h </w:instrText>
            </w:r>
            <w:r w:rsidR="00524933" w:rsidRPr="001D5CFC">
              <w:rPr>
                <w:rFonts w:ascii="Times New Roman" w:hAnsi="Times New Roman" w:cs="Times New Roman"/>
                <w:noProof/>
                <w:webHidden/>
                <w:sz w:val="22"/>
                <w:szCs w:val="22"/>
              </w:rPr>
            </w:r>
            <w:r w:rsidR="00524933" w:rsidRPr="001D5CFC">
              <w:rPr>
                <w:rFonts w:ascii="Times New Roman" w:hAnsi="Times New Roman" w:cs="Times New Roman"/>
                <w:noProof/>
                <w:webHidden/>
                <w:sz w:val="22"/>
                <w:szCs w:val="22"/>
              </w:rPr>
              <w:fldChar w:fldCharType="separate"/>
            </w:r>
            <w:r w:rsidR="00C72EA1" w:rsidRPr="001D5CFC">
              <w:rPr>
                <w:rFonts w:ascii="Times New Roman" w:hAnsi="Times New Roman" w:cs="Times New Roman"/>
                <w:noProof/>
                <w:webHidden/>
                <w:sz w:val="22"/>
                <w:szCs w:val="22"/>
              </w:rPr>
              <w:t>28</w:t>
            </w:r>
            <w:r w:rsidR="00524933" w:rsidRPr="001D5CFC">
              <w:rPr>
                <w:rFonts w:ascii="Times New Roman" w:hAnsi="Times New Roman" w:cs="Times New Roman"/>
                <w:noProof/>
                <w:webHidden/>
                <w:sz w:val="22"/>
                <w:szCs w:val="22"/>
              </w:rPr>
              <w:fldChar w:fldCharType="end"/>
            </w:r>
          </w:hyperlink>
        </w:p>
        <w:p w14:paraId="457409F7" w14:textId="05E4DF64" w:rsidR="00524933" w:rsidRPr="001D5CFC" w:rsidRDefault="00D07965" w:rsidP="00C72EA1">
          <w:pPr>
            <w:pStyle w:val="TOC3"/>
            <w:rPr>
              <w:rFonts w:ascii="Times New Roman" w:eastAsiaTheme="minorEastAsia" w:hAnsi="Times New Roman" w:cs="Times New Roman"/>
              <w:noProof/>
              <w:sz w:val="22"/>
              <w:szCs w:val="22"/>
            </w:rPr>
          </w:pPr>
          <w:hyperlink w:anchor="_Toc98692994" w:history="1">
            <w:r w:rsidR="00524933" w:rsidRPr="001D5CFC">
              <w:rPr>
                <w:rStyle w:val="Hyperlink"/>
                <w:rFonts w:ascii="Times New Roman" w:hAnsi="Times New Roman" w:cs="Times New Roman"/>
                <w:noProof/>
                <w:sz w:val="22"/>
                <w:szCs w:val="22"/>
              </w:rPr>
              <w:t>2.3.5 Ranking Community Scores</w:t>
            </w:r>
            <w:r w:rsidR="00524933" w:rsidRPr="001D5CFC">
              <w:rPr>
                <w:rFonts w:ascii="Times New Roman" w:hAnsi="Times New Roman" w:cs="Times New Roman"/>
                <w:noProof/>
                <w:webHidden/>
                <w:sz w:val="22"/>
                <w:szCs w:val="22"/>
              </w:rPr>
              <w:tab/>
            </w:r>
            <w:r w:rsidR="00524933" w:rsidRPr="001D5CFC">
              <w:rPr>
                <w:rFonts w:ascii="Times New Roman" w:hAnsi="Times New Roman" w:cs="Times New Roman"/>
                <w:noProof/>
                <w:webHidden/>
                <w:sz w:val="22"/>
                <w:szCs w:val="22"/>
              </w:rPr>
              <w:fldChar w:fldCharType="begin"/>
            </w:r>
            <w:r w:rsidR="00524933" w:rsidRPr="001D5CFC">
              <w:rPr>
                <w:rFonts w:ascii="Times New Roman" w:hAnsi="Times New Roman" w:cs="Times New Roman"/>
                <w:noProof/>
                <w:webHidden/>
                <w:sz w:val="22"/>
                <w:szCs w:val="22"/>
              </w:rPr>
              <w:instrText xml:space="preserve"> PAGEREF _Toc98692994 \h </w:instrText>
            </w:r>
            <w:r w:rsidR="00524933" w:rsidRPr="001D5CFC">
              <w:rPr>
                <w:rFonts w:ascii="Times New Roman" w:hAnsi="Times New Roman" w:cs="Times New Roman"/>
                <w:noProof/>
                <w:webHidden/>
                <w:sz w:val="22"/>
                <w:szCs w:val="22"/>
              </w:rPr>
            </w:r>
            <w:r w:rsidR="00524933" w:rsidRPr="001D5CFC">
              <w:rPr>
                <w:rFonts w:ascii="Times New Roman" w:hAnsi="Times New Roman" w:cs="Times New Roman"/>
                <w:noProof/>
                <w:webHidden/>
                <w:sz w:val="22"/>
                <w:szCs w:val="22"/>
              </w:rPr>
              <w:fldChar w:fldCharType="separate"/>
            </w:r>
            <w:r w:rsidR="00C72EA1" w:rsidRPr="001D5CFC">
              <w:rPr>
                <w:rFonts w:ascii="Times New Roman" w:hAnsi="Times New Roman" w:cs="Times New Roman"/>
                <w:noProof/>
                <w:webHidden/>
                <w:sz w:val="22"/>
                <w:szCs w:val="22"/>
              </w:rPr>
              <w:t>29</w:t>
            </w:r>
            <w:r w:rsidR="00524933" w:rsidRPr="001D5CFC">
              <w:rPr>
                <w:rFonts w:ascii="Times New Roman" w:hAnsi="Times New Roman" w:cs="Times New Roman"/>
                <w:noProof/>
                <w:webHidden/>
                <w:sz w:val="22"/>
                <w:szCs w:val="22"/>
              </w:rPr>
              <w:fldChar w:fldCharType="end"/>
            </w:r>
          </w:hyperlink>
        </w:p>
        <w:p w14:paraId="0FAF177C" w14:textId="0CA6C233" w:rsidR="00524933" w:rsidRPr="001D5CFC" w:rsidRDefault="00D07965" w:rsidP="00C72EA1">
          <w:pPr>
            <w:pStyle w:val="TOC2"/>
            <w:rPr>
              <w:rFonts w:ascii="Times New Roman" w:eastAsiaTheme="minorEastAsia" w:hAnsi="Times New Roman" w:cs="Times New Roman"/>
              <w:b w:val="0"/>
              <w:bCs w:val="0"/>
              <w:noProof/>
            </w:rPr>
          </w:pPr>
          <w:hyperlink w:anchor="_Toc98692995" w:history="1">
            <w:r w:rsidR="00524933" w:rsidRPr="001D5CFC">
              <w:rPr>
                <w:rStyle w:val="Hyperlink"/>
                <w:rFonts w:ascii="Times New Roman" w:hAnsi="Times New Roman" w:cs="Times New Roman"/>
                <w:b w:val="0"/>
                <w:bCs w:val="0"/>
                <w:noProof/>
                <w:sz w:val="22"/>
              </w:rPr>
              <w:t>2.4 Data</w:t>
            </w:r>
            <w:r w:rsidR="00524933" w:rsidRPr="001D5CFC">
              <w:rPr>
                <w:rFonts w:ascii="Times New Roman" w:hAnsi="Times New Roman" w:cs="Times New Roman"/>
                <w:b w:val="0"/>
                <w:bCs w:val="0"/>
                <w:noProof/>
                <w:webHidden/>
              </w:rPr>
              <w:tab/>
            </w:r>
            <w:r w:rsidR="00524933" w:rsidRPr="001D5CFC">
              <w:rPr>
                <w:rFonts w:ascii="Times New Roman" w:hAnsi="Times New Roman" w:cs="Times New Roman"/>
                <w:b w:val="0"/>
                <w:bCs w:val="0"/>
                <w:noProof/>
                <w:webHidden/>
              </w:rPr>
              <w:fldChar w:fldCharType="begin"/>
            </w:r>
            <w:r w:rsidR="00524933" w:rsidRPr="001D5CFC">
              <w:rPr>
                <w:rFonts w:ascii="Times New Roman" w:hAnsi="Times New Roman" w:cs="Times New Roman"/>
                <w:b w:val="0"/>
                <w:bCs w:val="0"/>
                <w:noProof/>
                <w:webHidden/>
              </w:rPr>
              <w:instrText xml:space="preserve"> PAGEREF _Toc98692995 \h </w:instrText>
            </w:r>
            <w:r w:rsidR="00524933" w:rsidRPr="001D5CFC">
              <w:rPr>
                <w:rFonts w:ascii="Times New Roman" w:hAnsi="Times New Roman" w:cs="Times New Roman"/>
                <w:b w:val="0"/>
                <w:bCs w:val="0"/>
                <w:noProof/>
                <w:webHidden/>
              </w:rPr>
            </w:r>
            <w:r w:rsidR="00524933" w:rsidRPr="001D5CFC">
              <w:rPr>
                <w:rFonts w:ascii="Times New Roman" w:hAnsi="Times New Roman" w:cs="Times New Roman"/>
                <w:b w:val="0"/>
                <w:bCs w:val="0"/>
                <w:noProof/>
                <w:webHidden/>
              </w:rPr>
              <w:fldChar w:fldCharType="separate"/>
            </w:r>
            <w:r w:rsidR="00C72EA1" w:rsidRPr="001D5CFC">
              <w:rPr>
                <w:rFonts w:ascii="Times New Roman" w:hAnsi="Times New Roman" w:cs="Times New Roman"/>
                <w:b w:val="0"/>
                <w:bCs w:val="0"/>
                <w:noProof/>
                <w:webHidden/>
              </w:rPr>
              <w:t>30</w:t>
            </w:r>
            <w:r w:rsidR="00524933" w:rsidRPr="001D5CFC">
              <w:rPr>
                <w:rFonts w:ascii="Times New Roman" w:hAnsi="Times New Roman" w:cs="Times New Roman"/>
                <w:b w:val="0"/>
                <w:bCs w:val="0"/>
                <w:noProof/>
                <w:webHidden/>
              </w:rPr>
              <w:fldChar w:fldCharType="end"/>
            </w:r>
          </w:hyperlink>
        </w:p>
        <w:p w14:paraId="4B249FDA" w14:textId="3F788FBE" w:rsidR="00524933" w:rsidRPr="001D5CFC" w:rsidRDefault="00D07965" w:rsidP="00C72EA1">
          <w:pPr>
            <w:pStyle w:val="TOC2"/>
            <w:rPr>
              <w:rFonts w:ascii="Times New Roman" w:eastAsiaTheme="minorEastAsia" w:hAnsi="Times New Roman" w:cs="Times New Roman"/>
              <w:b w:val="0"/>
              <w:bCs w:val="0"/>
              <w:noProof/>
            </w:rPr>
          </w:pPr>
          <w:hyperlink w:anchor="_Toc98692996" w:history="1">
            <w:r w:rsidR="00524933" w:rsidRPr="001D5CFC">
              <w:rPr>
                <w:rStyle w:val="Hyperlink"/>
                <w:rFonts w:ascii="Times New Roman" w:hAnsi="Times New Roman" w:cs="Times New Roman"/>
                <w:b w:val="0"/>
                <w:bCs w:val="0"/>
                <w:noProof/>
                <w:sz w:val="22"/>
              </w:rPr>
              <w:t>2.5 Results</w:t>
            </w:r>
            <w:r w:rsidR="00524933" w:rsidRPr="001D5CFC">
              <w:rPr>
                <w:rFonts w:ascii="Times New Roman" w:hAnsi="Times New Roman" w:cs="Times New Roman"/>
                <w:b w:val="0"/>
                <w:bCs w:val="0"/>
                <w:noProof/>
                <w:webHidden/>
              </w:rPr>
              <w:tab/>
            </w:r>
            <w:r w:rsidR="00524933" w:rsidRPr="001D5CFC">
              <w:rPr>
                <w:rFonts w:ascii="Times New Roman" w:hAnsi="Times New Roman" w:cs="Times New Roman"/>
                <w:b w:val="0"/>
                <w:bCs w:val="0"/>
                <w:noProof/>
                <w:webHidden/>
              </w:rPr>
              <w:fldChar w:fldCharType="begin"/>
            </w:r>
            <w:r w:rsidR="00524933" w:rsidRPr="001D5CFC">
              <w:rPr>
                <w:rFonts w:ascii="Times New Roman" w:hAnsi="Times New Roman" w:cs="Times New Roman"/>
                <w:b w:val="0"/>
                <w:bCs w:val="0"/>
                <w:noProof/>
                <w:webHidden/>
              </w:rPr>
              <w:instrText xml:space="preserve"> PAGEREF _Toc98692996 \h </w:instrText>
            </w:r>
            <w:r w:rsidR="00524933" w:rsidRPr="001D5CFC">
              <w:rPr>
                <w:rFonts w:ascii="Times New Roman" w:hAnsi="Times New Roman" w:cs="Times New Roman"/>
                <w:b w:val="0"/>
                <w:bCs w:val="0"/>
                <w:noProof/>
                <w:webHidden/>
              </w:rPr>
            </w:r>
            <w:r w:rsidR="00524933" w:rsidRPr="001D5CFC">
              <w:rPr>
                <w:rFonts w:ascii="Times New Roman" w:hAnsi="Times New Roman" w:cs="Times New Roman"/>
                <w:b w:val="0"/>
                <w:bCs w:val="0"/>
                <w:noProof/>
                <w:webHidden/>
              </w:rPr>
              <w:fldChar w:fldCharType="separate"/>
            </w:r>
            <w:r w:rsidR="00C72EA1" w:rsidRPr="001D5CFC">
              <w:rPr>
                <w:rFonts w:ascii="Times New Roman" w:hAnsi="Times New Roman" w:cs="Times New Roman"/>
                <w:b w:val="0"/>
                <w:bCs w:val="0"/>
                <w:noProof/>
                <w:webHidden/>
              </w:rPr>
              <w:t>31</w:t>
            </w:r>
            <w:r w:rsidR="00524933" w:rsidRPr="001D5CFC">
              <w:rPr>
                <w:rFonts w:ascii="Times New Roman" w:hAnsi="Times New Roman" w:cs="Times New Roman"/>
                <w:b w:val="0"/>
                <w:bCs w:val="0"/>
                <w:noProof/>
                <w:webHidden/>
              </w:rPr>
              <w:fldChar w:fldCharType="end"/>
            </w:r>
          </w:hyperlink>
        </w:p>
        <w:p w14:paraId="571543B0" w14:textId="25BFE821" w:rsidR="00524933" w:rsidRPr="001D5CFC" w:rsidRDefault="00D07965" w:rsidP="00C72EA1">
          <w:pPr>
            <w:pStyle w:val="TOC3"/>
            <w:rPr>
              <w:rFonts w:ascii="Times New Roman" w:eastAsiaTheme="minorEastAsia" w:hAnsi="Times New Roman" w:cs="Times New Roman"/>
              <w:noProof/>
              <w:sz w:val="22"/>
              <w:szCs w:val="22"/>
            </w:rPr>
          </w:pPr>
          <w:hyperlink w:anchor="_Toc98692997" w:history="1">
            <w:r w:rsidR="00524933" w:rsidRPr="001D5CFC">
              <w:rPr>
                <w:rStyle w:val="Hyperlink"/>
                <w:rFonts w:ascii="Times New Roman" w:hAnsi="Times New Roman" w:cs="Times New Roman"/>
                <w:noProof/>
                <w:sz w:val="22"/>
                <w:szCs w:val="22"/>
              </w:rPr>
              <w:t>2.5.1 ATPI Method Results</w:t>
            </w:r>
            <w:r w:rsidR="00524933" w:rsidRPr="001D5CFC">
              <w:rPr>
                <w:rFonts w:ascii="Times New Roman" w:hAnsi="Times New Roman" w:cs="Times New Roman"/>
                <w:noProof/>
                <w:webHidden/>
                <w:sz w:val="22"/>
                <w:szCs w:val="22"/>
              </w:rPr>
              <w:tab/>
            </w:r>
            <w:r w:rsidR="00524933" w:rsidRPr="001D5CFC">
              <w:rPr>
                <w:rFonts w:ascii="Times New Roman" w:hAnsi="Times New Roman" w:cs="Times New Roman"/>
                <w:noProof/>
                <w:webHidden/>
                <w:sz w:val="22"/>
                <w:szCs w:val="22"/>
              </w:rPr>
              <w:fldChar w:fldCharType="begin"/>
            </w:r>
            <w:r w:rsidR="00524933" w:rsidRPr="001D5CFC">
              <w:rPr>
                <w:rFonts w:ascii="Times New Roman" w:hAnsi="Times New Roman" w:cs="Times New Roman"/>
                <w:noProof/>
                <w:webHidden/>
                <w:sz w:val="22"/>
                <w:szCs w:val="22"/>
              </w:rPr>
              <w:instrText xml:space="preserve"> PAGEREF _Toc98692997 \h </w:instrText>
            </w:r>
            <w:r w:rsidR="00524933" w:rsidRPr="001D5CFC">
              <w:rPr>
                <w:rFonts w:ascii="Times New Roman" w:hAnsi="Times New Roman" w:cs="Times New Roman"/>
                <w:noProof/>
                <w:webHidden/>
                <w:sz w:val="22"/>
                <w:szCs w:val="22"/>
              </w:rPr>
            </w:r>
            <w:r w:rsidR="00524933" w:rsidRPr="001D5CFC">
              <w:rPr>
                <w:rFonts w:ascii="Times New Roman" w:hAnsi="Times New Roman" w:cs="Times New Roman"/>
                <w:noProof/>
                <w:webHidden/>
                <w:sz w:val="22"/>
                <w:szCs w:val="22"/>
              </w:rPr>
              <w:fldChar w:fldCharType="separate"/>
            </w:r>
            <w:r w:rsidR="00C72EA1" w:rsidRPr="001D5CFC">
              <w:rPr>
                <w:rFonts w:ascii="Times New Roman" w:hAnsi="Times New Roman" w:cs="Times New Roman"/>
                <w:noProof/>
                <w:webHidden/>
                <w:sz w:val="22"/>
                <w:szCs w:val="22"/>
              </w:rPr>
              <w:t>31</w:t>
            </w:r>
            <w:r w:rsidR="00524933" w:rsidRPr="001D5CFC">
              <w:rPr>
                <w:rFonts w:ascii="Times New Roman" w:hAnsi="Times New Roman" w:cs="Times New Roman"/>
                <w:noProof/>
                <w:webHidden/>
                <w:sz w:val="22"/>
                <w:szCs w:val="22"/>
              </w:rPr>
              <w:fldChar w:fldCharType="end"/>
            </w:r>
          </w:hyperlink>
        </w:p>
        <w:p w14:paraId="65D29A71" w14:textId="7B1167D8" w:rsidR="00524933" w:rsidRPr="001D5CFC" w:rsidRDefault="00D07965" w:rsidP="00C72EA1">
          <w:pPr>
            <w:pStyle w:val="TOC3"/>
            <w:rPr>
              <w:rFonts w:ascii="Times New Roman" w:eastAsiaTheme="minorEastAsia" w:hAnsi="Times New Roman" w:cs="Times New Roman"/>
              <w:noProof/>
              <w:sz w:val="22"/>
              <w:szCs w:val="22"/>
            </w:rPr>
          </w:pPr>
          <w:hyperlink w:anchor="_Toc98692998" w:history="1">
            <w:r w:rsidR="00524933" w:rsidRPr="001D5CFC">
              <w:rPr>
                <w:rStyle w:val="Hyperlink"/>
                <w:rFonts w:ascii="Times New Roman" w:hAnsi="Times New Roman" w:cs="Times New Roman"/>
                <w:noProof/>
                <w:sz w:val="22"/>
                <w:szCs w:val="22"/>
              </w:rPr>
              <w:t>2.5.2 IMPLAN Impact Results</w:t>
            </w:r>
            <w:r w:rsidR="00524933" w:rsidRPr="001D5CFC">
              <w:rPr>
                <w:rFonts w:ascii="Times New Roman" w:hAnsi="Times New Roman" w:cs="Times New Roman"/>
                <w:noProof/>
                <w:webHidden/>
                <w:sz w:val="22"/>
                <w:szCs w:val="22"/>
              </w:rPr>
              <w:tab/>
            </w:r>
            <w:r w:rsidR="00524933" w:rsidRPr="001D5CFC">
              <w:rPr>
                <w:rFonts w:ascii="Times New Roman" w:hAnsi="Times New Roman" w:cs="Times New Roman"/>
                <w:noProof/>
                <w:webHidden/>
                <w:sz w:val="22"/>
                <w:szCs w:val="22"/>
              </w:rPr>
              <w:fldChar w:fldCharType="begin"/>
            </w:r>
            <w:r w:rsidR="00524933" w:rsidRPr="001D5CFC">
              <w:rPr>
                <w:rFonts w:ascii="Times New Roman" w:hAnsi="Times New Roman" w:cs="Times New Roman"/>
                <w:noProof/>
                <w:webHidden/>
                <w:sz w:val="22"/>
                <w:szCs w:val="22"/>
              </w:rPr>
              <w:instrText xml:space="preserve"> PAGEREF _Toc98692998 \h </w:instrText>
            </w:r>
            <w:r w:rsidR="00524933" w:rsidRPr="001D5CFC">
              <w:rPr>
                <w:rFonts w:ascii="Times New Roman" w:hAnsi="Times New Roman" w:cs="Times New Roman"/>
                <w:noProof/>
                <w:webHidden/>
                <w:sz w:val="22"/>
                <w:szCs w:val="22"/>
              </w:rPr>
            </w:r>
            <w:r w:rsidR="00524933" w:rsidRPr="001D5CFC">
              <w:rPr>
                <w:rFonts w:ascii="Times New Roman" w:hAnsi="Times New Roman" w:cs="Times New Roman"/>
                <w:noProof/>
                <w:webHidden/>
                <w:sz w:val="22"/>
                <w:szCs w:val="22"/>
              </w:rPr>
              <w:fldChar w:fldCharType="separate"/>
            </w:r>
            <w:r w:rsidR="00C72EA1" w:rsidRPr="001D5CFC">
              <w:rPr>
                <w:rFonts w:ascii="Times New Roman" w:hAnsi="Times New Roman" w:cs="Times New Roman"/>
                <w:noProof/>
                <w:webHidden/>
                <w:sz w:val="22"/>
                <w:szCs w:val="22"/>
              </w:rPr>
              <w:t>33</w:t>
            </w:r>
            <w:r w:rsidR="00524933" w:rsidRPr="001D5CFC">
              <w:rPr>
                <w:rFonts w:ascii="Times New Roman" w:hAnsi="Times New Roman" w:cs="Times New Roman"/>
                <w:noProof/>
                <w:webHidden/>
                <w:sz w:val="22"/>
                <w:szCs w:val="22"/>
              </w:rPr>
              <w:fldChar w:fldCharType="end"/>
            </w:r>
          </w:hyperlink>
        </w:p>
        <w:p w14:paraId="5B7BC348" w14:textId="09561CB8" w:rsidR="00524933" w:rsidRPr="001D5CFC" w:rsidRDefault="00D07965" w:rsidP="00C72EA1">
          <w:pPr>
            <w:pStyle w:val="TOC2"/>
            <w:rPr>
              <w:rFonts w:ascii="Times New Roman" w:eastAsiaTheme="minorEastAsia" w:hAnsi="Times New Roman" w:cs="Times New Roman"/>
              <w:b w:val="0"/>
              <w:bCs w:val="0"/>
              <w:noProof/>
            </w:rPr>
          </w:pPr>
          <w:hyperlink w:anchor="_Toc98692999" w:history="1">
            <w:r w:rsidR="00524933" w:rsidRPr="001D5CFC">
              <w:rPr>
                <w:rStyle w:val="Hyperlink"/>
                <w:rFonts w:ascii="Times New Roman" w:hAnsi="Times New Roman" w:cs="Times New Roman"/>
                <w:b w:val="0"/>
                <w:bCs w:val="0"/>
                <w:noProof/>
                <w:sz w:val="22"/>
              </w:rPr>
              <w:t>2.6 Conclusion</w:t>
            </w:r>
            <w:r w:rsidR="00524933" w:rsidRPr="001D5CFC">
              <w:rPr>
                <w:rFonts w:ascii="Times New Roman" w:hAnsi="Times New Roman" w:cs="Times New Roman"/>
                <w:b w:val="0"/>
                <w:bCs w:val="0"/>
                <w:noProof/>
                <w:webHidden/>
              </w:rPr>
              <w:tab/>
            </w:r>
            <w:r w:rsidR="00524933" w:rsidRPr="001D5CFC">
              <w:rPr>
                <w:rFonts w:ascii="Times New Roman" w:hAnsi="Times New Roman" w:cs="Times New Roman"/>
                <w:b w:val="0"/>
                <w:bCs w:val="0"/>
                <w:noProof/>
                <w:webHidden/>
              </w:rPr>
              <w:fldChar w:fldCharType="begin"/>
            </w:r>
            <w:r w:rsidR="00524933" w:rsidRPr="001D5CFC">
              <w:rPr>
                <w:rFonts w:ascii="Times New Roman" w:hAnsi="Times New Roman" w:cs="Times New Roman"/>
                <w:b w:val="0"/>
                <w:bCs w:val="0"/>
                <w:noProof/>
                <w:webHidden/>
              </w:rPr>
              <w:instrText xml:space="preserve"> PAGEREF _Toc98692999 \h </w:instrText>
            </w:r>
            <w:r w:rsidR="00524933" w:rsidRPr="001D5CFC">
              <w:rPr>
                <w:rFonts w:ascii="Times New Roman" w:hAnsi="Times New Roman" w:cs="Times New Roman"/>
                <w:b w:val="0"/>
                <w:bCs w:val="0"/>
                <w:noProof/>
                <w:webHidden/>
              </w:rPr>
            </w:r>
            <w:r w:rsidR="00524933" w:rsidRPr="001D5CFC">
              <w:rPr>
                <w:rFonts w:ascii="Times New Roman" w:hAnsi="Times New Roman" w:cs="Times New Roman"/>
                <w:b w:val="0"/>
                <w:bCs w:val="0"/>
                <w:noProof/>
                <w:webHidden/>
              </w:rPr>
              <w:fldChar w:fldCharType="separate"/>
            </w:r>
            <w:r w:rsidR="00C72EA1" w:rsidRPr="001D5CFC">
              <w:rPr>
                <w:rFonts w:ascii="Times New Roman" w:hAnsi="Times New Roman" w:cs="Times New Roman"/>
                <w:b w:val="0"/>
                <w:bCs w:val="0"/>
                <w:noProof/>
                <w:webHidden/>
              </w:rPr>
              <w:t>35</w:t>
            </w:r>
            <w:r w:rsidR="00524933" w:rsidRPr="001D5CFC">
              <w:rPr>
                <w:rFonts w:ascii="Times New Roman" w:hAnsi="Times New Roman" w:cs="Times New Roman"/>
                <w:b w:val="0"/>
                <w:bCs w:val="0"/>
                <w:noProof/>
                <w:webHidden/>
              </w:rPr>
              <w:fldChar w:fldCharType="end"/>
            </w:r>
          </w:hyperlink>
        </w:p>
        <w:p w14:paraId="35FF8004" w14:textId="3CE836A9" w:rsidR="00524933" w:rsidRPr="001D5CFC" w:rsidRDefault="00D07965" w:rsidP="003F646B">
          <w:pPr>
            <w:pStyle w:val="TOC1"/>
            <w:rPr>
              <w:rFonts w:ascii="Times New Roman" w:eastAsiaTheme="minorEastAsia" w:hAnsi="Times New Roman" w:cs="Times New Roman"/>
              <w:b w:val="0"/>
              <w:bCs w:val="0"/>
              <w:i w:val="0"/>
              <w:iCs w:val="0"/>
              <w:noProof/>
              <w:sz w:val="22"/>
              <w:szCs w:val="22"/>
            </w:rPr>
          </w:pPr>
          <w:hyperlink w:anchor="_Toc98693000" w:history="1">
            <w:r w:rsidR="00524933" w:rsidRPr="001D5CFC">
              <w:rPr>
                <w:rStyle w:val="Hyperlink"/>
                <w:rFonts w:ascii="Times New Roman" w:hAnsi="Times New Roman" w:cs="Times New Roman"/>
                <w:b w:val="0"/>
                <w:bCs w:val="0"/>
                <w:i w:val="0"/>
                <w:iCs w:val="0"/>
                <w:noProof/>
                <w:sz w:val="22"/>
                <w:szCs w:val="22"/>
              </w:rPr>
              <w:t>Conclusion</w:t>
            </w:r>
            <w:r w:rsidR="00524933" w:rsidRPr="001D5CFC">
              <w:rPr>
                <w:rFonts w:ascii="Times New Roman" w:hAnsi="Times New Roman" w:cs="Times New Roman"/>
                <w:b w:val="0"/>
                <w:bCs w:val="0"/>
                <w:i w:val="0"/>
                <w:iCs w:val="0"/>
                <w:noProof/>
                <w:webHidden/>
                <w:sz w:val="22"/>
                <w:szCs w:val="22"/>
              </w:rPr>
              <w:tab/>
            </w:r>
            <w:r w:rsidR="00524933" w:rsidRPr="001D5CFC">
              <w:rPr>
                <w:rFonts w:ascii="Times New Roman" w:hAnsi="Times New Roman" w:cs="Times New Roman"/>
                <w:b w:val="0"/>
                <w:bCs w:val="0"/>
                <w:i w:val="0"/>
                <w:iCs w:val="0"/>
                <w:noProof/>
                <w:webHidden/>
                <w:sz w:val="22"/>
                <w:szCs w:val="22"/>
              </w:rPr>
              <w:fldChar w:fldCharType="begin"/>
            </w:r>
            <w:r w:rsidR="00524933" w:rsidRPr="001D5CFC">
              <w:rPr>
                <w:rFonts w:ascii="Times New Roman" w:hAnsi="Times New Roman" w:cs="Times New Roman"/>
                <w:b w:val="0"/>
                <w:bCs w:val="0"/>
                <w:i w:val="0"/>
                <w:iCs w:val="0"/>
                <w:noProof/>
                <w:webHidden/>
                <w:sz w:val="22"/>
                <w:szCs w:val="22"/>
              </w:rPr>
              <w:instrText xml:space="preserve"> PAGEREF _Toc98693000 \h </w:instrText>
            </w:r>
            <w:r w:rsidR="00524933" w:rsidRPr="001D5CFC">
              <w:rPr>
                <w:rFonts w:ascii="Times New Roman" w:hAnsi="Times New Roman" w:cs="Times New Roman"/>
                <w:b w:val="0"/>
                <w:bCs w:val="0"/>
                <w:i w:val="0"/>
                <w:iCs w:val="0"/>
                <w:noProof/>
                <w:webHidden/>
                <w:sz w:val="22"/>
                <w:szCs w:val="22"/>
              </w:rPr>
            </w:r>
            <w:r w:rsidR="00524933" w:rsidRPr="001D5CFC">
              <w:rPr>
                <w:rFonts w:ascii="Times New Roman" w:hAnsi="Times New Roman" w:cs="Times New Roman"/>
                <w:b w:val="0"/>
                <w:bCs w:val="0"/>
                <w:i w:val="0"/>
                <w:iCs w:val="0"/>
                <w:noProof/>
                <w:webHidden/>
                <w:sz w:val="22"/>
                <w:szCs w:val="22"/>
              </w:rPr>
              <w:fldChar w:fldCharType="separate"/>
            </w:r>
            <w:r w:rsidR="00C72EA1" w:rsidRPr="001D5CFC">
              <w:rPr>
                <w:rFonts w:ascii="Times New Roman" w:hAnsi="Times New Roman" w:cs="Times New Roman"/>
                <w:b w:val="0"/>
                <w:bCs w:val="0"/>
                <w:i w:val="0"/>
                <w:iCs w:val="0"/>
                <w:noProof/>
                <w:webHidden/>
                <w:sz w:val="22"/>
                <w:szCs w:val="22"/>
              </w:rPr>
              <w:t>37</w:t>
            </w:r>
            <w:r w:rsidR="00524933" w:rsidRPr="001D5CFC">
              <w:rPr>
                <w:rFonts w:ascii="Times New Roman" w:hAnsi="Times New Roman" w:cs="Times New Roman"/>
                <w:b w:val="0"/>
                <w:bCs w:val="0"/>
                <w:i w:val="0"/>
                <w:iCs w:val="0"/>
                <w:noProof/>
                <w:webHidden/>
                <w:sz w:val="22"/>
                <w:szCs w:val="22"/>
              </w:rPr>
              <w:fldChar w:fldCharType="end"/>
            </w:r>
          </w:hyperlink>
        </w:p>
        <w:p w14:paraId="25DEF1A5" w14:textId="3067DC3C" w:rsidR="00524933" w:rsidRPr="001D5CFC" w:rsidRDefault="00D07965" w:rsidP="003F646B">
          <w:pPr>
            <w:pStyle w:val="TOC1"/>
            <w:rPr>
              <w:rFonts w:ascii="Times New Roman" w:eastAsiaTheme="minorEastAsia" w:hAnsi="Times New Roman" w:cs="Times New Roman"/>
              <w:b w:val="0"/>
              <w:bCs w:val="0"/>
              <w:i w:val="0"/>
              <w:iCs w:val="0"/>
              <w:noProof/>
              <w:sz w:val="22"/>
              <w:szCs w:val="22"/>
            </w:rPr>
          </w:pPr>
          <w:hyperlink w:anchor="_Toc98693001" w:history="1">
            <w:r w:rsidR="00524933" w:rsidRPr="001D5CFC">
              <w:rPr>
                <w:rStyle w:val="Hyperlink"/>
                <w:rFonts w:ascii="Times New Roman" w:hAnsi="Times New Roman" w:cs="Times New Roman"/>
                <w:b w:val="0"/>
                <w:bCs w:val="0"/>
                <w:i w:val="0"/>
                <w:iCs w:val="0"/>
                <w:noProof/>
                <w:sz w:val="22"/>
                <w:szCs w:val="22"/>
              </w:rPr>
              <w:t>References</w:t>
            </w:r>
            <w:r w:rsidR="00524933" w:rsidRPr="001D5CFC">
              <w:rPr>
                <w:rFonts w:ascii="Times New Roman" w:hAnsi="Times New Roman" w:cs="Times New Roman"/>
                <w:b w:val="0"/>
                <w:bCs w:val="0"/>
                <w:i w:val="0"/>
                <w:iCs w:val="0"/>
                <w:noProof/>
                <w:webHidden/>
                <w:sz w:val="22"/>
                <w:szCs w:val="22"/>
              </w:rPr>
              <w:tab/>
            </w:r>
            <w:r w:rsidR="00524933" w:rsidRPr="001D5CFC">
              <w:rPr>
                <w:rFonts w:ascii="Times New Roman" w:hAnsi="Times New Roman" w:cs="Times New Roman"/>
                <w:b w:val="0"/>
                <w:bCs w:val="0"/>
                <w:i w:val="0"/>
                <w:iCs w:val="0"/>
                <w:noProof/>
                <w:webHidden/>
                <w:sz w:val="22"/>
                <w:szCs w:val="22"/>
              </w:rPr>
              <w:fldChar w:fldCharType="begin"/>
            </w:r>
            <w:r w:rsidR="00524933" w:rsidRPr="001D5CFC">
              <w:rPr>
                <w:rFonts w:ascii="Times New Roman" w:hAnsi="Times New Roman" w:cs="Times New Roman"/>
                <w:b w:val="0"/>
                <w:bCs w:val="0"/>
                <w:i w:val="0"/>
                <w:iCs w:val="0"/>
                <w:noProof/>
                <w:webHidden/>
                <w:sz w:val="22"/>
                <w:szCs w:val="22"/>
              </w:rPr>
              <w:instrText xml:space="preserve"> PAGEREF _Toc98693001 \h </w:instrText>
            </w:r>
            <w:r w:rsidR="00524933" w:rsidRPr="001D5CFC">
              <w:rPr>
                <w:rFonts w:ascii="Times New Roman" w:hAnsi="Times New Roman" w:cs="Times New Roman"/>
                <w:b w:val="0"/>
                <w:bCs w:val="0"/>
                <w:i w:val="0"/>
                <w:iCs w:val="0"/>
                <w:noProof/>
                <w:webHidden/>
                <w:sz w:val="22"/>
                <w:szCs w:val="22"/>
              </w:rPr>
            </w:r>
            <w:r w:rsidR="00524933" w:rsidRPr="001D5CFC">
              <w:rPr>
                <w:rFonts w:ascii="Times New Roman" w:hAnsi="Times New Roman" w:cs="Times New Roman"/>
                <w:b w:val="0"/>
                <w:bCs w:val="0"/>
                <w:i w:val="0"/>
                <w:iCs w:val="0"/>
                <w:noProof/>
                <w:webHidden/>
                <w:sz w:val="22"/>
                <w:szCs w:val="22"/>
              </w:rPr>
              <w:fldChar w:fldCharType="separate"/>
            </w:r>
            <w:r w:rsidR="00C72EA1" w:rsidRPr="001D5CFC">
              <w:rPr>
                <w:rFonts w:ascii="Times New Roman" w:hAnsi="Times New Roman" w:cs="Times New Roman"/>
                <w:b w:val="0"/>
                <w:bCs w:val="0"/>
                <w:i w:val="0"/>
                <w:iCs w:val="0"/>
                <w:noProof/>
                <w:webHidden/>
                <w:sz w:val="22"/>
                <w:szCs w:val="22"/>
              </w:rPr>
              <w:t>38</w:t>
            </w:r>
            <w:r w:rsidR="00524933" w:rsidRPr="001D5CFC">
              <w:rPr>
                <w:rFonts w:ascii="Times New Roman" w:hAnsi="Times New Roman" w:cs="Times New Roman"/>
                <w:b w:val="0"/>
                <w:bCs w:val="0"/>
                <w:i w:val="0"/>
                <w:iCs w:val="0"/>
                <w:noProof/>
                <w:webHidden/>
                <w:sz w:val="22"/>
                <w:szCs w:val="22"/>
              </w:rPr>
              <w:fldChar w:fldCharType="end"/>
            </w:r>
          </w:hyperlink>
        </w:p>
        <w:p w14:paraId="2D67D82B" w14:textId="020D405E" w:rsidR="00524933" w:rsidRPr="001D5CFC" w:rsidRDefault="00D07965" w:rsidP="003F646B">
          <w:pPr>
            <w:pStyle w:val="TOC1"/>
            <w:rPr>
              <w:rFonts w:ascii="Times New Roman" w:eastAsiaTheme="minorEastAsia" w:hAnsi="Times New Roman" w:cs="Times New Roman"/>
              <w:b w:val="0"/>
              <w:bCs w:val="0"/>
              <w:i w:val="0"/>
              <w:iCs w:val="0"/>
              <w:noProof/>
              <w:sz w:val="22"/>
              <w:szCs w:val="22"/>
            </w:rPr>
          </w:pPr>
          <w:hyperlink w:anchor="_Toc98693002" w:history="1">
            <w:r w:rsidR="00524933" w:rsidRPr="001D5CFC">
              <w:rPr>
                <w:rStyle w:val="Hyperlink"/>
                <w:rFonts w:ascii="Times New Roman" w:hAnsi="Times New Roman" w:cs="Times New Roman"/>
                <w:b w:val="0"/>
                <w:bCs w:val="0"/>
                <w:i w:val="0"/>
                <w:iCs w:val="0"/>
                <w:noProof/>
                <w:sz w:val="22"/>
                <w:szCs w:val="22"/>
              </w:rPr>
              <w:t>Appendix</w:t>
            </w:r>
            <w:r w:rsidR="00524933" w:rsidRPr="001D5CFC">
              <w:rPr>
                <w:rFonts w:ascii="Times New Roman" w:hAnsi="Times New Roman" w:cs="Times New Roman"/>
                <w:b w:val="0"/>
                <w:bCs w:val="0"/>
                <w:i w:val="0"/>
                <w:iCs w:val="0"/>
                <w:noProof/>
                <w:webHidden/>
                <w:sz w:val="22"/>
                <w:szCs w:val="22"/>
              </w:rPr>
              <w:tab/>
            </w:r>
            <w:r w:rsidR="00524933" w:rsidRPr="001D5CFC">
              <w:rPr>
                <w:rFonts w:ascii="Times New Roman" w:hAnsi="Times New Roman" w:cs="Times New Roman"/>
                <w:b w:val="0"/>
                <w:bCs w:val="0"/>
                <w:i w:val="0"/>
                <w:iCs w:val="0"/>
                <w:noProof/>
                <w:webHidden/>
                <w:sz w:val="22"/>
                <w:szCs w:val="22"/>
              </w:rPr>
              <w:fldChar w:fldCharType="begin"/>
            </w:r>
            <w:r w:rsidR="00524933" w:rsidRPr="001D5CFC">
              <w:rPr>
                <w:rFonts w:ascii="Times New Roman" w:hAnsi="Times New Roman" w:cs="Times New Roman"/>
                <w:b w:val="0"/>
                <w:bCs w:val="0"/>
                <w:i w:val="0"/>
                <w:iCs w:val="0"/>
                <w:noProof/>
                <w:webHidden/>
                <w:sz w:val="22"/>
                <w:szCs w:val="22"/>
              </w:rPr>
              <w:instrText xml:space="preserve"> PAGEREF _Toc98693002 \h </w:instrText>
            </w:r>
            <w:r w:rsidR="00524933" w:rsidRPr="001D5CFC">
              <w:rPr>
                <w:rFonts w:ascii="Times New Roman" w:hAnsi="Times New Roman" w:cs="Times New Roman"/>
                <w:b w:val="0"/>
                <w:bCs w:val="0"/>
                <w:i w:val="0"/>
                <w:iCs w:val="0"/>
                <w:noProof/>
                <w:webHidden/>
                <w:sz w:val="22"/>
                <w:szCs w:val="22"/>
              </w:rPr>
            </w:r>
            <w:r w:rsidR="00524933" w:rsidRPr="001D5CFC">
              <w:rPr>
                <w:rFonts w:ascii="Times New Roman" w:hAnsi="Times New Roman" w:cs="Times New Roman"/>
                <w:b w:val="0"/>
                <w:bCs w:val="0"/>
                <w:i w:val="0"/>
                <w:iCs w:val="0"/>
                <w:noProof/>
                <w:webHidden/>
                <w:sz w:val="22"/>
                <w:szCs w:val="22"/>
              </w:rPr>
              <w:fldChar w:fldCharType="separate"/>
            </w:r>
            <w:r w:rsidR="00C72EA1" w:rsidRPr="001D5CFC">
              <w:rPr>
                <w:rFonts w:ascii="Times New Roman" w:hAnsi="Times New Roman" w:cs="Times New Roman"/>
                <w:b w:val="0"/>
                <w:bCs w:val="0"/>
                <w:i w:val="0"/>
                <w:iCs w:val="0"/>
                <w:noProof/>
                <w:webHidden/>
                <w:sz w:val="22"/>
                <w:szCs w:val="22"/>
              </w:rPr>
              <w:t>46</w:t>
            </w:r>
            <w:r w:rsidR="00524933" w:rsidRPr="001D5CFC">
              <w:rPr>
                <w:rFonts w:ascii="Times New Roman" w:hAnsi="Times New Roman" w:cs="Times New Roman"/>
                <w:b w:val="0"/>
                <w:bCs w:val="0"/>
                <w:i w:val="0"/>
                <w:iCs w:val="0"/>
                <w:noProof/>
                <w:webHidden/>
                <w:sz w:val="22"/>
                <w:szCs w:val="22"/>
              </w:rPr>
              <w:fldChar w:fldCharType="end"/>
            </w:r>
          </w:hyperlink>
        </w:p>
        <w:p w14:paraId="03DCAFAF" w14:textId="0D0DF516" w:rsidR="00524933" w:rsidRPr="001D5CFC" w:rsidRDefault="00524933" w:rsidP="003F646B">
          <w:pPr>
            <w:pStyle w:val="TOC1"/>
            <w:rPr>
              <w:rFonts w:ascii="Times New Roman" w:eastAsiaTheme="minorEastAsia" w:hAnsi="Times New Roman" w:cs="Times New Roman"/>
              <w:b w:val="0"/>
              <w:bCs w:val="0"/>
              <w:i w:val="0"/>
              <w:iCs w:val="0"/>
              <w:noProof/>
              <w:sz w:val="22"/>
              <w:szCs w:val="22"/>
            </w:rPr>
          </w:pPr>
          <w:r w:rsidRPr="001D5CFC">
            <w:rPr>
              <w:rFonts w:ascii="Times New Roman" w:hAnsi="Times New Roman" w:cs="Times New Roman"/>
              <w:b w:val="0"/>
              <w:bCs w:val="0"/>
              <w:i w:val="0"/>
              <w:iCs w:val="0"/>
              <w:noProof/>
              <w:sz w:val="22"/>
              <w:szCs w:val="22"/>
            </w:rPr>
            <w:t>Vita</w:t>
          </w:r>
          <w:r w:rsidRPr="001D5CFC">
            <w:rPr>
              <w:rFonts w:ascii="Times New Roman" w:hAnsi="Times New Roman" w:cs="Times New Roman"/>
              <w:b w:val="0"/>
              <w:bCs w:val="0"/>
              <w:i w:val="0"/>
              <w:iCs w:val="0"/>
              <w:noProof/>
              <w:webHidden/>
              <w:sz w:val="22"/>
              <w:szCs w:val="22"/>
            </w:rPr>
            <w:tab/>
          </w:r>
          <w:r w:rsidR="003F646B" w:rsidRPr="001D5CFC">
            <w:rPr>
              <w:rFonts w:ascii="Times New Roman" w:hAnsi="Times New Roman" w:cs="Times New Roman"/>
              <w:b w:val="0"/>
              <w:bCs w:val="0"/>
              <w:i w:val="0"/>
              <w:iCs w:val="0"/>
              <w:noProof/>
              <w:sz w:val="22"/>
              <w:szCs w:val="22"/>
            </w:rPr>
            <w:t>72</w:t>
          </w:r>
        </w:p>
        <w:p w14:paraId="4B568182" w14:textId="77777777" w:rsidR="00C72EA1" w:rsidRDefault="00834DBA" w:rsidP="00C72EA1">
          <w:pPr>
            <w:rPr>
              <w:bCs/>
              <w:noProof/>
            </w:rPr>
          </w:pPr>
          <w:r w:rsidRPr="00A41FF8">
            <w:rPr>
              <w:rFonts w:ascii="Times New Roman" w:hAnsi="Times New Roman" w:cs="Times New Roman"/>
              <w:b/>
              <w:bCs/>
              <w:noProof/>
            </w:rPr>
            <w:fldChar w:fldCharType="end"/>
          </w:r>
        </w:p>
      </w:sdtContent>
    </w:sdt>
    <w:p w14:paraId="5994872B" w14:textId="77777777" w:rsidR="00A41FF8" w:rsidRDefault="00A41FF8" w:rsidP="00A41FF8">
      <w:pPr>
        <w:rPr>
          <w:rFonts w:ascii="Times New Roman" w:hAnsi="Times New Roman" w:cs="Times New Roman"/>
          <w:b/>
          <w:bCs/>
          <w:color w:val="000000"/>
          <w:shd w:val="clear" w:color="auto" w:fill="FFFFFF"/>
        </w:rPr>
      </w:pPr>
    </w:p>
    <w:p w14:paraId="1FC95E8E" w14:textId="77777777" w:rsidR="000654A5" w:rsidRDefault="000654A5" w:rsidP="00A41FF8">
      <w:pPr>
        <w:jc w:val="center"/>
        <w:rPr>
          <w:rFonts w:ascii="Times New Roman" w:hAnsi="Times New Roman" w:cs="Times New Roman"/>
          <w:b/>
          <w:bCs/>
          <w:color w:val="000000"/>
          <w:shd w:val="clear" w:color="auto" w:fill="FFFFFF"/>
        </w:rPr>
      </w:pPr>
    </w:p>
    <w:p w14:paraId="37D5A993" w14:textId="26121C03" w:rsidR="002C5081" w:rsidRPr="00C72EA1" w:rsidRDefault="002C5081" w:rsidP="00A41FF8">
      <w:pPr>
        <w:jc w:val="center"/>
        <w:rPr>
          <w:rFonts w:ascii="Times New Roman" w:hAnsi="Times New Roman" w:cs="Times New Roman"/>
          <w:bCs/>
          <w:noProof/>
        </w:rPr>
      </w:pPr>
      <w:r w:rsidRPr="00702DDD">
        <w:rPr>
          <w:rFonts w:ascii="Times New Roman" w:hAnsi="Times New Roman" w:cs="Times New Roman"/>
          <w:b/>
          <w:bCs/>
          <w:color w:val="000000"/>
          <w:shd w:val="clear" w:color="auto" w:fill="FFFFFF"/>
        </w:rPr>
        <w:t>LIST OF TABLES</w:t>
      </w:r>
    </w:p>
    <w:p w14:paraId="4E4B0F31" w14:textId="77777777" w:rsidR="00524933" w:rsidRPr="00702DDD" w:rsidRDefault="00524933" w:rsidP="00855C3F">
      <w:pPr>
        <w:rPr>
          <w:rFonts w:ascii="Times New Roman" w:hAnsi="Times New Roman" w:cs="Times New Roman"/>
          <w:bCs/>
        </w:rPr>
      </w:pPr>
    </w:p>
    <w:p w14:paraId="74F334D5" w14:textId="1420EDAF" w:rsidR="00855C3F" w:rsidRPr="00702DDD" w:rsidRDefault="00855C3F" w:rsidP="00855C3F">
      <w:pPr>
        <w:rPr>
          <w:rFonts w:ascii="Times New Roman" w:hAnsi="Times New Roman" w:cs="Times New Roman"/>
          <w:bCs/>
        </w:rPr>
      </w:pPr>
      <w:r w:rsidRPr="00702DDD">
        <w:rPr>
          <w:rFonts w:ascii="Times New Roman" w:hAnsi="Times New Roman" w:cs="Times New Roman"/>
          <w:bCs/>
        </w:rPr>
        <w:t>Table 1.1: Harmonized System Product Codes and Description Used in the Analysis</w:t>
      </w:r>
    </w:p>
    <w:p w14:paraId="705E5107" w14:textId="1F8CA2EB" w:rsidR="00855C3F" w:rsidRPr="00702DDD" w:rsidRDefault="00B30F13" w:rsidP="00855C3F">
      <w:pPr>
        <w:ind w:firstLine="720"/>
        <w:rPr>
          <w:rFonts w:ascii="Times New Roman" w:hAnsi="Times New Roman" w:cs="Times New Roman"/>
          <w:color w:val="000000"/>
          <w:shd w:val="clear" w:color="auto" w:fill="FFFFFF"/>
        </w:rPr>
      </w:pPr>
      <w:r w:rsidRPr="00702DDD">
        <w:rPr>
          <w:rFonts w:ascii="Times New Roman" w:hAnsi="Times New Roman" w:cs="Times New Roman"/>
          <w:color w:val="000000"/>
          <w:shd w:val="clear" w:color="auto" w:fill="FFFFFF"/>
        </w:rPr>
        <w:t>……………………………………………………………………………...</w:t>
      </w:r>
      <w:r w:rsidRPr="00702DDD">
        <w:rPr>
          <w:rFonts w:ascii="Times New Roman" w:hAnsi="Times New Roman" w:cs="Times New Roman"/>
          <w:color w:val="000000"/>
          <w:shd w:val="clear" w:color="auto" w:fill="FFFFFF"/>
        </w:rPr>
        <w:tab/>
      </w:r>
      <w:r w:rsidRPr="00702DDD">
        <w:rPr>
          <w:rFonts w:ascii="Times New Roman" w:hAnsi="Times New Roman" w:cs="Times New Roman"/>
          <w:color w:val="000000"/>
          <w:shd w:val="clear" w:color="auto" w:fill="FFFFFF"/>
        </w:rPr>
        <w:tab/>
      </w:r>
      <w:r w:rsidR="00855C3F" w:rsidRPr="00702DDD">
        <w:rPr>
          <w:rFonts w:ascii="Times New Roman" w:hAnsi="Times New Roman" w:cs="Times New Roman"/>
          <w:color w:val="000000"/>
          <w:shd w:val="clear" w:color="auto" w:fill="FFFFFF"/>
        </w:rPr>
        <w:t>4</w:t>
      </w:r>
      <w:r w:rsidR="00C72EA1">
        <w:rPr>
          <w:rFonts w:ascii="Times New Roman" w:hAnsi="Times New Roman" w:cs="Times New Roman"/>
          <w:color w:val="000000"/>
          <w:shd w:val="clear" w:color="auto" w:fill="FFFFFF"/>
        </w:rPr>
        <w:t>7</w:t>
      </w:r>
    </w:p>
    <w:p w14:paraId="5FC795CA" w14:textId="77777777" w:rsidR="00855C3F" w:rsidRPr="00702DDD" w:rsidRDefault="00855C3F" w:rsidP="00855C3F">
      <w:pPr>
        <w:ind w:firstLine="720"/>
        <w:rPr>
          <w:rFonts w:ascii="Times New Roman" w:hAnsi="Times New Roman" w:cs="Times New Roman"/>
          <w:color w:val="000000"/>
          <w:shd w:val="clear" w:color="auto" w:fill="FFFFFF"/>
        </w:rPr>
      </w:pPr>
    </w:p>
    <w:p w14:paraId="6D4CC82C" w14:textId="2990C75D" w:rsidR="00855C3F" w:rsidRPr="00702DDD" w:rsidRDefault="00855C3F" w:rsidP="00461586">
      <w:pPr>
        <w:rPr>
          <w:rFonts w:ascii="Times New Roman" w:hAnsi="Times New Roman" w:cs="Times New Roman"/>
          <w:b/>
          <w:bCs/>
        </w:rPr>
      </w:pPr>
      <w:r w:rsidRPr="00702DDD">
        <w:rPr>
          <w:rFonts w:ascii="Times New Roman" w:hAnsi="Times New Roman" w:cs="Times New Roman"/>
        </w:rPr>
        <w:t>Table 1.2: Top Mean Global Meat Exporters from 2000-2019………</w:t>
      </w:r>
      <w:r w:rsidR="002C5081" w:rsidRPr="00702DDD">
        <w:rPr>
          <w:rFonts w:ascii="Times New Roman" w:hAnsi="Times New Roman" w:cs="Times New Roman"/>
          <w:color w:val="000000"/>
          <w:shd w:val="clear" w:color="auto" w:fill="FFFFFF"/>
        </w:rPr>
        <w:t>……</w:t>
      </w:r>
      <w:r w:rsidR="00B30F13" w:rsidRPr="00702DDD">
        <w:rPr>
          <w:rFonts w:ascii="Times New Roman" w:hAnsi="Times New Roman" w:cs="Times New Roman"/>
          <w:color w:val="000000"/>
          <w:shd w:val="clear" w:color="auto" w:fill="FFFFFF"/>
        </w:rPr>
        <w:t>…...</w:t>
      </w:r>
      <w:r w:rsidR="00461586" w:rsidRPr="00702DDD">
        <w:rPr>
          <w:rFonts w:ascii="Times New Roman" w:hAnsi="Times New Roman" w:cs="Times New Roman"/>
          <w:color w:val="000000"/>
          <w:shd w:val="clear" w:color="auto" w:fill="FFFFFF"/>
        </w:rPr>
        <w:t>.....</w:t>
      </w:r>
      <w:r w:rsidR="00B30F13" w:rsidRPr="00702DDD">
        <w:rPr>
          <w:rFonts w:ascii="Times New Roman" w:hAnsi="Times New Roman" w:cs="Times New Roman"/>
          <w:color w:val="000000"/>
          <w:shd w:val="clear" w:color="auto" w:fill="FFFFFF"/>
        </w:rPr>
        <w:tab/>
      </w:r>
      <w:r w:rsidR="00B30F13" w:rsidRPr="00702DDD">
        <w:rPr>
          <w:rFonts w:ascii="Times New Roman" w:hAnsi="Times New Roman" w:cs="Times New Roman"/>
          <w:color w:val="000000"/>
          <w:shd w:val="clear" w:color="auto" w:fill="FFFFFF"/>
        </w:rPr>
        <w:tab/>
      </w:r>
      <w:r w:rsidR="00501F39" w:rsidRPr="00702DDD">
        <w:rPr>
          <w:rFonts w:ascii="Times New Roman" w:hAnsi="Times New Roman" w:cs="Times New Roman"/>
          <w:color w:val="000000"/>
          <w:shd w:val="clear" w:color="auto" w:fill="FFFFFF"/>
        </w:rPr>
        <w:t>5</w:t>
      </w:r>
      <w:r w:rsidR="00C72EA1">
        <w:rPr>
          <w:rFonts w:ascii="Times New Roman" w:hAnsi="Times New Roman" w:cs="Times New Roman"/>
          <w:color w:val="000000"/>
          <w:shd w:val="clear" w:color="auto" w:fill="FFFFFF"/>
        </w:rPr>
        <w:t>1</w:t>
      </w:r>
    </w:p>
    <w:p w14:paraId="0089950B" w14:textId="77777777" w:rsidR="00461586" w:rsidRPr="00702DDD" w:rsidRDefault="00461586" w:rsidP="00461586">
      <w:pPr>
        <w:rPr>
          <w:rFonts w:ascii="Times New Roman" w:hAnsi="Times New Roman" w:cs="Times New Roman"/>
          <w:b/>
          <w:bCs/>
        </w:rPr>
      </w:pPr>
    </w:p>
    <w:p w14:paraId="2B061EC7" w14:textId="2AAC27AA" w:rsidR="002C5081" w:rsidRPr="00702DDD" w:rsidRDefault="00461586" w:rsidP="00461586">
      <w:pPr>
        <w:spacing w:line="480" w:lineRule="auto"/>
        <w:ind w:left="720" w:hanging="720"/>
        <w:rPr>
          <w:rFonts w:ascii="Times New Roman" w:hAnsi="Times New Roman" w:cs="Times New Roman"/>
          <w:color w:val="000000"/>
          <w:highlight w:val="yellow"/>
          <w:shd w:val="clear" w:color="auto" w:fill="FFFFFF"/>
        </w:rPr>
      </w:pPr>
      <w:r w:rsidRPr="00702DDD">
        <w:rPr>
          <w:rFonts w:ascii="Times New Roman" w:hAnsi="Times New Roman" w:cs="Times New Roman"/>
        </w:rPr>
        <w:t>Table 1.3: Analyzed Pandemic Details</w:t>
      </w:r>
      <w:r w:rsidRPr="00702DDD">
        <w:rPr>
          <w:rFonts w:ascii="Times New Roman" w:hAnsi="Times New Roman" w:cs="Times New Roman"/>
          <w:color w:val="000000"/>
          <w:shd w:val="clear" w:color="auto" w:fill="FFFFFF"/>
        </w:rPr>
        <w:t xml:space="preserve"> </w:t>
      </w:r>
      <w:r w:rsidR="00B30F13" w:rsidRPr="00702DDD">
        <w:rPr>
          <w:rFonts w:ascii="Times New Roman" w:hAnsi="Times New Roman" w:cs="Times New Roman"/>
          <w:color w:val="000000"/>
          <w:shd w:val="clear" w:color="auto" w:fill="FFFFFF"/>
        </w:rPr>
        <w:t>………………………………………...</w:t>
      </w:r>
      <w:r w:rsidRPr="00702DDD">
        <w:rPr>
          <w:rFonts w:ascii="Times New Roman" w:hAnsi="Times New Roman" w:cs="Times New Roman"/>
          <w:color w:val="000000"/>
          <w:shd w:val="clear" w:color="auto" w:fill="FFFFFF"/>
        </w:rPr>
        <w:t>.....</w:t>
      </w:r>
      <w:r w:rsidR="00B30F13" w:rsidRPr="00702DDD">
        <w:rPr>
          <w:rFonts w:ascii="Times New Roman" w:hAnsi="Times New Roman" w:cs="Times New Roman"/>
          <w:color w:val="000000"/>
          <w:shd w:val="clear" w:color="auto" w:fill="FFFFFF"/>
        </w:rPr>
        <w:tab/>
      </w:r>
      <w:r w:rsidR="00B30F13" w:rsidRPr="00702DDD">
        <w:rPr>
          <w:rFonts w:ascii="Times New Roman" w:hAnsi="Times New Roman" w:cs="Times New Roman"/>
          <w:color w:val="000000"/>
          <w:shd w:val="clear" w:color="auto" w:fill="FFFFFF"/>
        </w:rPr>
        <w:tab/>
      </w:r>
      <w:r w:rsidRPr="00702DDD">
        <w:rPr>
          <w:rFonts w:ascii="Times New Roman" w:hAnsi="Times New Roman" w:cs="Times New Roman"/>
          <w:color w:val="000000"/>
          <w:shd w:val="clear" w:color="auto" w:fill="FFFFFF"/>
        </w:rPr>
        <w:t>5</w:t>
      </w:r>
      <w:r w:rsidR="00C72EA1">
        <w:rPr>
          <w:rFonts w:ascii="Times New Roman" w:hAnsi="Times New Roman" w:cs="Times New Roman"/>
          <w:color w:val="000000"/>
          <w:shd w:val="clear" w:color="auto" w:fill="FFFFFF"/>
        </w:rPr>
        <w:t>1</w:t>
      </w:r>
    </w:p>
    <w:p w14:paraId="0CC4481B" w14:textId="1F854D55" w:rsidR="00461586" w:rsidRPr="00702DDD" w:rsidRDefault="00461586" w:rsidP="00461586">
      <w:pPr>
        <w:rPr>
          <w:rFonts w:ascii="Times New Roman" w:hAnsi="Times New Roman" w:cs="Times New Roman"/>
        </w:rPr>
      </w:pPr>
      <w:r w:rsidRPr="00702DDD">
        <w:rPr>
          <w:rFonts w:ascii="Times New Roman" w:hAnsi="Times New Roman" w:cs="Times New Roman"/>
        </w:rPr>
        <w:t>Table 1.</w:t>
      </w:r>
      <w:r w:rsidR="00C72EA1">
        <w:rPr>
          <w:rFonts w:ascii="Times New Roman" w:hAnsi="Times New Roman" w:cs="Times New Roman"/>
        </w:rPr>
        <w:t>4</w:t>
      </w:r>
      <w:r w:rsidRPr="00702DDD">
        <w:rPr>
          <w:rFonts w:ascii="Times New Roman" w:hAnsi="Times New Roman" w:cs="Times New Roman"/>
        </w:rPr>
        <w:t xml:space="preserve">: Estimated and Transformed Elasticities for the Effects of Human Health Events on </w:t>
      </w:r>
    </w:p>
    <w:p w14:paraId="3D79F040" w14:textId="77777777" w:rsidR="00461586" w:rsidRPr="00702DDD" w:rsidRDefault="00461586" w:rsidP="00461586">
      <w:pPr>
        <w:ind w:firstLine="720"/>
        <w:rPr>
          <w:rFonts w:ascii="Times New Roman" w:hAnsi="Times New Roman" w:cs="Times New Roman"/>
        </w:rPr>
      </w:pPr>
    </w:p>
    <w:p w14:paraId="24D77762" w14:textId="1F8EC97E" w:rsidR="002C5081" w:rsidRPr="00702DDD" w:rsidRDefault="00461586" w:rsidP="00461586">
      <w:pPr>
        <w:ind w:left="720"/>
        <w:rPr>
          <w:rFonts w:ascii="Times New Roman" w:hAnsi="Times New Roman" w:cs="Times New Roman"/>
          <w:color w:val="000000"/>
          <w:shd w:val="clear" w:color="auto" w:fill="FFFFFF"/>
        </w:rPr>
      </w:pPr>
      <w:r w:rsidRPr="00702DDD">
        <w:rPr>
          <w:rFonts w:ascii="Times New Roman" w:hAnsi="Times New Roman" w:cs="Times New Roman"/>
        </w:rPr>
        <w:t>Meat Trade by Protein, 2010-2020</w:t>
      </w:r>
      <w:r w:rsidR="002C5081" w:rsidRPr="00702DDD">
        <w:rPr>
          <w:rFonts w:ascii="Times New Roman" w:hAnsi="Times New Roman" w:cs="Times New Roman"/>
          <w:color w:val="000000"/>
          <w:shd w:val="clear" w:color="auto" w:fill="FFFFFF"/>
        </w:rPr>
        <w:t>………………</w:t>
      </w:r>
      <w:r w:rsidR="00B30F13" w:rsidRPr="00702DDD">
        <w:rPr>
          <w:rFonts w:ascii="Times New Roman" w:hAnsi="Times New Roman" w:cs="Times New Roman"/>
          <w:color w:val="000000"/>
          <w:shd w:val="clear" w:color="auto" w:fill="FFFFFF"/>
        </w:rPr>
        <w:t>...</w:t>
      </w:r>
      <w:r w:rsidRPr="00702DDD">
        <w:rPr>
          <w:rFonts w:ascii="Times New Roman" w:hAnsi="Times New Roman" w:cs="Times New Roman"/>
          <w:color w:val="000000"/>
          <w:shd w:val="clear" w:color="auto" w:fill="FFFFFF"/>
        </w:rPr>
        <w:t>....................................</w:t>
      </w:r>
      <w:r w:rsidR="00B30F13" w:rsidRPr="00702DDD">
        <w:rPr>
          <w:rFonts w:ascii="Times New Roman" w:hAnsi="Times New Roman" w:cs="Times New Roman"/>
          <w:color w:val="000000"/>
          <w:shd w:val="clear" w:color="auto" w:fill="FFFFFF"/>
        </w:rPr>
        <w:tab/>
      </w:r>
      <w:r w:rsidR="00B30F13" w:rsidRPr="00702DDD">
        <w:rPr>
          <w:rFonts w:ascii="Times New Roman" w:hAnsi="Times New Roman" w:cs="Times New Roman"/>
          <w:color w:val="000000"/>
          <w:shd w:val="clear" w:color="auto" w:fill="FFFFFF"/>
        </w:rPr>
        <w:tab/>
      </w:r>
      <w:r w:rsidRPr="00702DDD">
        <w:rPr>
          <w:rFonts w:ascii="Times New Roman" w:hAnsi="Times New Roman" w:cs="Times New Roman"/>
          <w:color w:val="000000"/>
          <w:shd w:val="clear" w:color="auto" w:fill="FFFFFF"/>
        </w:rPr>
        <w:t>5</w:t>
      </w:r>
      <w:r w:rsidR="00C72EA1">
        <w:rPr>
          <w:rFonts w:ascii="Times New Roman" w:hAnsi="Times New Roman" w:cs="Times New Roman"/>
          <w:color w:val="000000"/>
          <w:shd w:val="clear" w:color="auto" w:fill="FFFFFF"/>
        </w:rPr>
        <w:t>2</w:t>
      </w:r>
    </w:p>
    <w:p w14:paraId="5E7BE076" w14:textId="77777777" w:rsidR="00461586" w:rsidRPr="00702DDD" w:rsidRDefault="00461586" w:rsidP="00461586">
      <w:pPr>
        <w:ind w:firstLine="720"/>
        <w:rPr>
          <w:rFonts w:ascii="Times New Roman" w:hAnsi="Times New Roman" w:cs="Times New Roman"/>
        </w:rPr>
      </w:pPr>
    </w:p>
    <w:p w14:paraId="790BC231" w14:textId="452F6462" w:rsidR="002C5081" w:rsidRPr="00702DDD" w:rsidRDefault="002C5081" w:rsidP="004560A0">
      <w:pPr>
        <w:spacing w:line="480" w:lineRule="auto"/>
        <w:ind w:left="720" w:hanging="720"/>
        <w:rPr>
          <w:rFonts w:ascii="Times New Roman" w:hAnsi="Times New Roman" w:cs="Times New Roman"/>
          <w:color w:val="000000"/>
          <w:shd w:val="clear" w:color="auto" w:fill="FFFFFF"/>
        </w:rPr>
      </w:pPr>
      <w:r w:rsidRPr="00702DDD">
        <w:rPr>
          <w:rFonts w:ascii="Times New Roman" w:hAnsi="Times New Roman" w:cs="Times New Roman"/>
          <w:color w:val="000000"/>
          <w:shd w:val="clear" w:color="auto" w:fill="FFFFFF"/>
        </w:rPr>
        <w:t xml:space="preserve">Table </w:t>
      </w:r>
      <w:r w:rsidR="00C72EA1">
        <w:rPr>
          <w:rFonts w:ascii="Times New Roman" w:hAnsi="Times New Roman" w:cs="Times New Roman"/>
          <w:color w:val="000000"/>
          <w:shd w:val="clear" w:color="auto" w:fill="FFFFFF"/>
        </w:rPr>
        <w:t>2.1</w:t>
      </w:r>
      <w:r w:rsidRPr="00702DDD">
        <w:rPr>
          <w:rFonts w:ascii="Times New Roman" w:hAnsi="Times New Roman" w:cs="Times New Roman"/>
          <w:color w:val="000000"/>
          <w:shd w:val="clear" w:color="auto" w:fill="FFFFFF"/>
        </w:rPr>
        <w:t xml:space="preserve">: </w:t>
      </w:r>
      <w:r w:rsidR="00461586" w:rsidRPr="00702DDD">
        <w:rPr>
          <w:rFonts w:ascii="Times New Roman" w:hAnsi="Times New Roman" w:cs="Times New Roman"/>
        </w:rPr>
        <w:t>2019 County Affordability Scores and Bins for MHI, Simple Average, and Negative Scaled Average Methods</w:t>
      </w:r>
      <w:r w:rsidRPr="00702DDD">
        <w:rPr>
          <w:rFonts w:ascii="Times New Roman" w:hAnsi="Times New Roman" w:cs="Times New Roman"/>
          <w:color w:val="000000"/>
          <w:shd w:val="clear" w:color="auto" w:fill="FFFFFF"/>
        </w:rPr>
        <w:t xml:space="preserve"> ………………………………….………</w:t>
      </w:r>
      <w:r w:rsidR="00B30F13" w:rsidRPr="00702DDD">
        <w:rPr>
          <w:rFonts w:ascii="Times New Roman" w:hAnsi="Times New Roman" w:cs="Times New Roman"/>
          <w:color w:val="000000"/>
          <w:shd w:val="clear" w:color="auto" w:fill="FFFFFF"/>
        </w:rPr>
        <w:t>…</w:t>
      </w:r>
      <w:r w:rsidR="00461586" w:rsidRPr="00702DDD">
        <w:rPr>
          <w:rFonts w:ascii="Times New Roman" w:hAnsi="Times New Roman" w:cs="Times New Roman"/>
          <w:color w:val="000000"/>
          <w:shd w:val="clear" w:color="auto" w:fill="FFFFFF"/>
        </w:rPr>
        <w:t>……</w:t>
      </w:r>
      <w:r w:rsidR="00B30F13" w:rsidRPr="00702DDD">
        <w:rPr>
          <w:rFonts w:ascii="Times New Roman" w:hAnsi="Times New Roman" w:cs="Times New Roman"/>
          <w:color w:val="000000"/>
          <w:shd w:val="clear" w:color="auto" w:fill="FFFFFF"/>
        </w:rPr>
        <w:tab/>
      </w:r>
      <w:r w:rsidR="00B30F13" w:rsidRPr="00702DDD">
        <w:rPr>
          <w:rFonts w:ascii="Times New Roman" w:hAnsi="Times New Roman" w:cs="Times New Roman"/>
          <w:color w:val="000000"/>
          <w:shd w:val="clear" w:color="auto" w:fill="FFFFFF"/>
        </w:rPr>
        <w:tab/>
      </w:r>
      <w:r w:rsidR="00911A65" w:rsidRPr="00702DDD">
        <w:rPr>
          <w:rFonts w:ascii="Times New Roman" w:hAnsi="Times New Roman" w:cs="Times New Roman"/>
          <w:color w:val="000000"/>
          <w:shd w:val="clear" w:color="auto" w:fill="FFFFFF"/>
        </w:rPr>
        <w:t>5</w:t>
      </w:r>
      <w:r w:rsidR="00C72EA1">
        <w:rPr>
          <w:rFonts w:ascii="Times New Roman" w:hAnsi="Times New Roman" w:cs="Times New Roman"/>
          <w:color w:val="000000"/>
          <w:shd w:val="clear" w:color="auto" w:fill="FFFFFF"/>
        </w:rPr>
        <w:t>3</w:t>
      </w:r>
    </w:p>
    <w:p w14:paraId="5325B89A" w14:textId="6E569BFC" w:rsidR="002C5081" w:rsidRPr="00702DDD" w:rsidRDefault="00911A65" w:rsidP="00911A65">
      <w:pPr>
        <w:rPr>
          <w:rFonts w:ascii="Times New Roman" w:hAnsi="Times New Roman" w:cs="Times New Roman"/>
          <w:bCs/>
          <w:color w:val="000000"/>
          <w:shd w:val="clear" w:color="auto" w:fill="FFFFFF"/>
        </w:rPr>
      </w:pPr>
      <w:r w:rsidRPr="00702DDD">
        <w:rPr>
          <w:rFonts w:ascii="Times New Roman" w:hAnsi="Times New Roman" w:cs="Times New Roman"/>
          <w:bCs/>
        </w:rPr>
        <w:t xml:space="preserve">Table </w:t>
      </w:r>
      <w:r w:rsidR="00C72EA1">
        <w:rPr>
          <w:rFonts w:ascii="Times New Roman" w:hAnsi="Times New Roman" w:cs="Times New Roman"/>
          <w:bCs/>
        </w:rPr>
        <w:t>2.2</w:t>
      </w:r>
      <w:r w:rsidRPr="00702DDD">
        <w:rPr>
          <w:rFonts w:ascii="Times New Roman" w:hAnsi="Times New Roman" w:cs="Times New Roman"/>
          <w:bCs/>
        </w:rPr>
        <w:t xml:space="preserve">: 2019 Tennessee Governor’s Distressed Counties </w:t>
      </w:r>
      <w:r w:rsidR="002C5081" w:rsidRPr="00702DDD">
        <w:rPr>
          <w:rFonts w:ascii="Times New Roman" w:hAnsi="Times New Roman" w:cs="Times New Roman"/>
          <w:bCs/>
          <w:color w:val="000000"/>
          <w:shd w:val="clear" w:color="auto" w:fill="FFFFFF"/>
        </w:rPr>
        <w:t>…………</w:t>
      </w:r>
      <w:r w:rsidRPr="00702DDD">
        <w:rPr>
          <w:rFonts w:ascii="Times New Roman" w:hAnsi="Times New Roman" w:cs="Times New Roman"/>
          <w:bCs/>
          <w:color w:val="000000"/>
          <w:shd w:val="clear" w:color="auto" w:fill="FFFFFF"/>
        </w:rPr>
        <w:t>…...</w:t>
      </w:r>
      <w:r w:rsidR="002C5081" w:rsidRPr="00702DDD">
        <w:rPr>
          <w:rFonts w:ascii="Times New Roman" w:hAnsi="Times New Roman" w:cs="Times New Roman"/>
          <w:bCs/>
          <w:color w:val="000000"/>
          <w:shd w:val="clear" w:color="auto" w:fill="FFFFFF"/>
        </w:rPr>
        <w:t>……</w:t>
      </w:r>
      <w:r w:rsidR="00B30F13" w:rsidRPr="00702DDD">
        <w:rPr>
          <w:rFonts w:ascii="Times New Roman" w:hAnsi="Times New Roman" w:cs="Times New Roman"/>
          <w:bCs/>
          <w:color w:val="000000"/>
          <w:shd w:val="clear" w:color="auto" w:fill="FFFFFF"/>
        </w:rPr>
        <w:t>…</w:t>
      </w:r>
      <w:r w:rsidRPr="00702DDD">
        <w:rPr>
          <w:rFonts w:ascii="Times New Roman" w:hAnsi="Times New Roman" w:cs="Times New Roman"/>
          <w:bCs/>
          <w:color w:val="000000"/>
          <w:shd w:val="clear" w:color="auto" w:fill="FFFFFF"/>
        </w:rPr>
        <w:tab/>
      </w:r>
      <w:r w:rsidR="00B30F13" w:rsidRPr="00702DDD">
        <w:rPr>
          <w:rFonts w:ascii="Times New Roman" w:hAnsi="Times New Roman" w:cs="Times New Roman"/>
          <w:bCs/>
          <w:color w:val="000000"/>
          <w:shd w:val="clear" w:color="auto" w:fill="FFFFFF"/>
        </w:rPr>
        <w:tab/>
      </w:r>
      <w:r w:rsidRPr="00702DDD">
        <w:rPr>
          <w:rFonts w:ascii="Times New Roman" w:hAnsi="Times New Roman" w:cs="Times New Roman"/>
          <w:bCs/>
          <w:color w:val="000000"/>
          <w:shd w:val="clear" w:color="auto" w:fill="FFFFFF"/>
        </w:rPr>
        <w:t>5</w:t>
      </w:r>
      <w:r w:rsidR="00C72EA1">
        <w:rPr>
          <w:rFonts w:ascii="Times New Roman" w:hAnsi="Times New Roman" w:cs="Times New Roman"/>
          <w:bCs/>
          <w:color w:val="000000"/>
          <w:shd w:val="clear" w:color="auto" w:fill="FFFFFF"/>
        </w:rPr>
        <w:t>5</w:t>
      </w:r>
    </w:p>
    <w:p w14:paraId="14B4C13F" w14:textId="189CADB1" w:rsidR="00911A65" w:rsidRPr="00702DDD" w:rsidRDefault="00911A65" w:rsidP="00911A65">
      <w:pPr>
        <w:rPr>
          <w:rFonts w:ascii="Times New Roman" w:hAnsi="Times New Roman" w:cs="Times New Roman"/>
          <w:bCs/>
          <w:color w:val="000000"/>
          <w:shd w:val="clear" w:color="auto" w:fill="FFFFFF"/>
        </w:rPr>
      </w:pPr>
    </w:p>
    <w:p w14:paraId="417A2176" w14:textId="45CD31B6" w:rsidR="00911A65" w:rsidRPr="00702DDD" w:rsidRDefault="00911A65" w:rsidP="00911A65">
      <w:pPr>
        <w:rPr>
          <w:rFonts w:ascii="Times New Roman" w:hAnsi="Times New Roman" w:cs="Times New Roman"/>
          <w:bCs/>
          <w:color w:val="000000"/>
          <w:shd w:val="clear" w:color="auto" w:fill="FFFFFF"/>
        </w:rPr>
      </w:pPr>
      <w:r w:rsidRPr="00702DDD">
        <w:rPr>
          <w:rFonts w:ascii="Times New Roman" w:hAnsi="Times New Roman" w:cs="Times New Roman"/>
          <w:bCs/>
        </w:rPr>
        <w:t>Table 2.</w:t>
      </w:r>
      <w:r w:rsidR="00C72EA1">
        <w:rPr>
          <w:rFonts w:ascii="Times New Roman" w:hAnsi="Times New Roman" w:cs="Times New Roman"/>
          <w:bCs/>
        </w:rPr>
        <w:t>3</w:t>
      </w:r>
      <w:r w:rsidRPr="00702DDD">
        <w:rPr>
          <w:rFonts w:ascii="Times New Roman" w:hAnsi="Times New Roman" w:cs="Times New Roman"/>
          <w:bCs/>
        </w:rPr>
        <w:t xml:space="preserve">: 2019 Tennessee Regional Multipliers </w:t>
      </w:r>
      <w:r w:rsidRPr="00702DDD">
        <w:rPr>
          <w:rFonts w:ascii="Times New Roman" w:hAnsi="Times New Roman" w:cs="Times New Roman"/>
          <w:bCs/>
          <w:color w:val="000000"/>
          <w:shd w:val="clear" w:color="auto" w:fill="FFFFFF"/>
        </w:rPr>
        <w:t>……………...…………………</w:t>
      </w:r>
      <w:r w:rsidRPr="00702DDD">
        <w:rPr>
          <w:rFonts w:ascii="Times New Roman" w:hAnsi="Times New Roman" w:cs="Times New Roman"/>
          <w:bCs/>
          <w:color w:val="000000"/>
          <w:shd w:val="clear" w:color="auto" w:fill="FFFFFF"/>
        </w:rPr>
        <w:tab/>
      </w:r>
      <w:r w:rsidRPr="00702DDD">
        <w:rPr>
          <w:rFonts w:ascii="Times New Roman" w:hAnsi="Times New Roman" w:cs="Times New Roman"/>
          <w:bCs/>
          <w:color w:val="000000"/>
          <w:shd w:val="clear" w:color="auto" w:fill="FFFFFF"/>
        </w:rPr>
        <w:tab/>
        <w:t>5</w:t>
      </w:r>
      <w:r w:rsidR="00C72EA1">
        <w:rPr>
          <w:rFonts w:ascii="Times New Roman" w:hAnsi="Times New Roman" w:cs="Times New Roman"/>
          <w:bCs/>
          <w:color w:val="000000"/>
          <w:shd w:val="clear" w:color="auto" w:fill="FFFFFF"/>
        </w:rPr>
        <w:t>6</w:t>
      </w:r>
    </w:p>
    <w:p w14:paraId="0A2442AD" w14:textId="2789FB8A" w:rsidR="00911A65" w:rsidRPr="00702DDD" w:rsidRDefault="00911A65" w:rsidP="00B852D1">
      <w:pPr>
        <w:rPr>
          <w:rFonts w:ascii="Times New Roman" w:hAnsi="Times New Roman" w:cs="Times New Roman"/>
          <w:bCs/>
          <w:color w:val="000000"/>
          <w:shd w:val="clear" w:color="auto" w:fill="FFFFFF"/>
        </w:rPr>
      </w:pPr>
    </w:p>
    <w:p w14:paraId="2F583870" w14:textId="25CE15C7" w:rsidR="00911A65" w:rsidRPr="00702DDD" w:rsidRDefault="00911A65" w:rsidP="00B852D1">
      <w:pPr>
        <w:rPr>
          <w:rFonts w:ascii="Times New Roman" w:hAnsi="Times New Roman" w:cs="Times New Roman"/>
          <w:bCs/>
        </w:rPr>
      </w:pPr>
      <w:r w:rsidRPr="00702DDD">
        <w:rPr>
          <w:rFonts w:ascii="Times New Roman" w:hAnsi="Times New Roman" w:cs="Times New Roman"/>
          <w:bCs/>
        </w:rPr>
        <w:t>Table 2.</w:t>
      </w:r>
      <w:r w:rsidR="00C72EA1">
        <w:rPr>
          <w:rFonts w:ascii="Times New Roman" w:hAnsi="Times New Roman" w:cs="Times New Roman"/>
          <w:bCs/>
        </w:rPr>
        <w:t>4</w:t>
      </w:r>
      <w:r w:rsidRPr="00702DDD">
        <w:rPr>
          <w:rFonts w:ascii="Times New Roman" w:hAnsi="Times New Roman" w:cs="Times New Roman"/>
          <w:bCs/>
        </w:rPr>
        <w:t xml:space="preserve">: 2019 Tennessee Employment Impacts by ATPI Method Allocation (in </w:t>
      </w:r>
    </w:p>
    <w:p w14:paraId="57683717" w14:textId="77777777" w:rsidR="00911A65" w:rsidRPr="00702DDD" w:rsidRDefault="00911A65" w:rsidP="00B852D1">
      <w:pPr>
        <w:rPr>
          <w:rFonts w:ascii="Times New Roman" w:hAnsi="Times New Roman" w:cs="Times New Roman"/>
          <w:bCs/>
        </w:rPr>
      </w:pPr>
    </w:p>
    <w:p w14:paraId="728CBFD7" w14:textId="2D150A2D" w:rsidR="00911A65" w:rsidRPr="00702DDD" w:rsidRDefault="00911A65" w:rsidP="00B852D1">
      <w:pPr>
        <w:ind w:firstLine="720"/>
        <w:rPr>
          <w:rFonts w:ascii="Times New Roman" w:hAnsi="Times New Roman" w:cs="Times New Roman"/>
          <w:bCs/>
          <w:color w:val="000000"/>
          <w:shd w:val="clear" w:color="auto" w:fill="FFFFFF"/>
        </w:rPr>
      </w:pPr>
      <w:r w:rsidRPr="00702DDD">
        <w:rPr>
          <w:rFonts w:ascii="Times New Roman" w:hAnsi="Times New Roman" w:cs="Times New Roman"/>
          <w:bCs/>
        </w:rPr>
        <w:t>Jobs</w:t>
      </w:r>
      <w:r w:rsidRPr="00702DDD">
        <w:rPr>
          <w:rFonts w:ascii="Times New Roman" w:hAnsi="Times New Roman" w:cs="Times New Roman"/>
          <w:b/>
        </w:rPr>
        <w:t>)</w:t>
      </w:r>
      <w:r w:rsidRPr="00702DDD">
        <w:rPr>
          <w:rFonts w:ascii="Times New Roman" w:hAnsi="Times New Roman" w:cs="Times New Roman"/>
          <w:bCs/>
          <w:color w:val="000000"/>
          <w:shd w:val="clear" w:color="auto" w:fill="FFFFFF"/>
        </w:rPr>
        <w:t>……………...…………………</w:t>
      </w:r>
      <w:r w:rsidRPr="00702DDD">
        <w:rPr>
          <w:rFonts w:ascii="Times New Roman" w:hAnsi="Times New Roman" w:cs="Times New Roman"/>
          <w:bCs/>
          <w:color w:val="000000"/>
          <w:shd w:val="clear" w:color="auto" w:fill="FFFFFF"/>
        </w:rPr>
        <w:tab/>
        <w:t>……………………………………....</w:t>
      </w:r>
      <w:r w:rsidRPr="00702DDD">
        <w:rPr>
          <w:rFonts w:ascii="Times New Roman" w:hAnsi="Times New Roman" w:cs="Times New Roman"/>
          <w:bCs/>
          <w:color w:val="000000"/>
          <w:shd w:val="clear" w:color="auto" w:fill="FFFFFF"/>
        </w:rPr>
        <w:tab/>
        <w:t>5</w:t>
      </w:r>
      <w:r w:rsidR="00C72EA1">
        <w:rPr>
          <w:rFonts w:ascii="Times New Roman" w:hAnsi="Times New Roman" w:cs="Times New Roman"/>
          <w:bCs/>
          <w:color w:val="000000"/>
          <w:shd w:val="clear" w:color="auto" w:fill="FFFFFF"/>
        </w:rPr>
        <w:t>7</w:t>
      </w:r>
    </w:p>
    <w:p w14:paraId="785851CE" w14:textId="0918C303" w:rsidR="00911A65" w:rsidRPr="00702DDD" w:rsidRDefault="00911A65" w:rsidP="00911A65">
      <w:pPr>
        <w:rPr>
          <w:rFonts w:ascii="Times New Roman" w:hAnsi="Times New Roman" w:cs="Times New Roman"/>
          <w:bCs/>
          <w:color w:val="000000"/>
          <w:shd w:val="clear" w:color="auto" w:fill="FFFFFF"/>
        </w:rPr>
      </w:pPr>
    </w:p>
    <w:p w14:paraId="2F86BC6C" w14:textId="14454A17" w:rsidR="00911A65" w:rsidRPr="00702DDD" w:rsidRDefault="00911A65" w:rsidP="00911A65">
      <w:pPr>
        <w:spacing w:line="480" w:lineRule="auto"/>
        <w:rPr>
          <w:rFonts w:ascii="Times New Roman" w:hAnsi="Times New Roman" w:cs="Times New Roman"/>
          <w:bCs/>
          <w:highlight w:val="green"/>
        </w:rPr>
      </w:pPr>
      <w:r w:rsidRPr="00702DDD">
        <w:rPr>
          <w:rFonts w:ascii="Times New Roman" w:hAnsi="Times New Roman" w:cs="Times New Roman"/>
          <w:bCs/>
        </w:rPr>
        <w:t>Table 2.</w:t>
      </w:r>
      <w:r w:rsidR="00C72EA1">
        <w:rPr>
          <w:rFonts w:ascii="Times New Roman" w:hAnsi="Times New Roman" w:cs="Times New Roman"/>
          <w:bCs/>
        </w:rPr>
        <w:t>5</w:t>
      </w:r>
      <w:r w:rsidRPr="00702DDD">
        <w:rPr>
          <w:rFonts w:ascii="Times New Roman" w:hAnsi="Times New Roman" w:cs="Times New Roman"/>
          <w:bCs/>
        </w:rPr>
        <w:t xml:space="preserve"> 2019 Tennessee Labor Income Impacts by ATPI Method Allocation (in Dollars)</w:t>
      </w:r>
    </w:p>
    <w:p w14:paraId="5C1A9D3E" w14:textId="62A1D067" w:rsidR="00911A65" w:rsidRPr="00702DDD" w:rsidRDefault="00911A65" w:rsidP="00911A65">
      <w:pPr>
        <w:spacing w:line="480" w:lineRule="auto"/>
        <w:ind w:firstLine="720"/>
        <w:rPr>
          <w:rFonts w:ascii="Times New Roman" w:hAnsi="Times New Roman" w:cs="Times New Roman"/>
          <w:bCs/>
          <w:color w:val="000000"/>
          <w:shd w:val="clear" w:color="auto" w:fill="FFFFFF"/>
        </w:rPr>
      </w:pPr>
      <w:r w:rsidRPr="00702DDD">
        <w:rPr>
          <w:rFonts w:ascii="Times New Roman" w:hAnsi="Times New Roman" w:cs="Times New Roman"/>
          <w:bCs/>
          <w:color w:val="000000"/>
          <w:shd w:val="clear" w:color="auto" w:fill="FFFFFF"/>
        </w:rPr>
        <w:t>...……………………………………………………….................................</w:t>
      </w:r>
      <w:r w:rsidRPr="00702DDD">
        <w:rPr>
          <w:rFonts w:ascii="Times New Roman" w:hAnsi="Times New Roman" w:cs="Times New Roman"/>
          <w:bCs/>
          <w:color w:val="000000"/>
          <w:shd w:val="clear" w:color="auto" w:fill="FFFFFF"/>
        </w:rPr>
        <w:tab/>
        <w:t>5</w:t>
      </w:r>
      <w:r w:rsidR="00C72EA1">
        <w:rPr>
          <w:rFonts w:ascii="Times New Roman" w:hAnsi="Times New Roman" w:cs="Times New Roman"/>
          <w:bCs/>
          <w:color w:val="000000"/>
          <w:shd w:val="clear" w:color="auto" w:fill="FFFFFF"/>
        </w:rPr>
        <w:t>8</w:t>
      </w:r>
    </w:p>
    <w:p w14:paraId="7A876B83" w14:textId="04385487" w:rsidR="00911A65" w:rsidRPr="00702DDD" w:rsidRDefault="00911A65" w:rsidP="00911A65">
      <w:pPr>
        <w:rPr>
          <w:rFonts w:ascii="Times New Roman" w:hAnsi="Times New Roman" w:cs="Times New Roman"/>
          <w:bCs/>
          <w:highlight w:val="green"/>
        </w:rPr>
      </w:pPr>
      <w:r w:rsidRPr="00702DDD">
        <w:rPr>
          <w:rFonts w:ascii="Times New Roman" w:hAnsi="Times New Roman" w:cs="Times New Roman"/>
          <w:bCs/>
        </w:rPr>
        <w:t>Table 2.</w:t>
      </w:r>
      <w:r w:rsidR="00C72EA1">
        <w:rPr>
          <w:rFonts w:ascii="Times New Roman" w:hAnsi="Times New Roman" w:cs="Times New Roman"/>
          <w:bCs/>
        </w:rPr>
        <w:t>6</w:t>
      </w:r>
      <w:r w:rsidRPr="00702DDD">
        <w:rPr>
          <w:rFonts w:ascii="Times New Roman" w:hAnsi="Times New Roman" w:cs="Times New Roman"/>
          <w:bCs/>
        </w:rPr>
        <w:t xml:space="preserve"> 2019 Tennessee Value Added Impacts by ATPI Method Allocation (in Dollars)</w:t>
      </w:r>
    </w:p>
    <w:p w14:paraId="7B62CF5F" w14:textId="77777777" w:rsidR="00911A65" w:rsidRPr="00702DDD" w:rsidRDefault="00911A65" w:rsidP="00911A65">
      <w:pPr>
        <w:ind w:firstLine="720"/>
        <w:rPr>
          <w:rFonts w:ascii="Times New Roman" w:hAnsi="Times New Roman" w:cs="Times New Roman"/>
          <w:bCs/>
          <w:color w:val="000000"/>
          <w:shd w:val="clear" w:color="auto" w:fill="FFFFFF"/>
        </w:rPr>
      </w:pPr>
    </w:p>
    <w:p w14:paraId="631C85C4" w14:textId="2497444E" w:rsidR="00911A65" w:rsidRPr="00702DDD" w:rsidRDefault="00911A65" w:rsidP="00911A65">
      <w:pPr>
        <w:ind w:firstLine="720"/>
        <w:rPr>
          <w:rFonts w:ascii="Times New Roman" w:hAnsi="Times New Roman" w:cs="Times New Roman"/>
          <w:bCs/>
          <w:color w:val="000000"/>
          <w:shd w:val="clear" w:color="auto" w:fill="FFFFFF"/>
        </w:rPr>
      </w:pPr>
      <w:r w:rsidRPr="00702DDD">
        <w:rPr>
          <w:rFonts w:ascii="Times New Roman" w:hAnsi="Times New Roman" w:cs="Times New Roman"/>
          <w:bCs/>
          <w:color w:val="000000"/>
          <w:shd w:val="clear" w:color="auto" w:fill="FFFFFF"/>
        </w:rPr>
        <w:t>...……………………………………………………….................................</w:t>
      </w:r>
      <w:r w:rsidRPr="00702DDD">
        <w:rPr>
          <w:rFonts w:ascii="Times New Roman" w:hAnsi="Times New Roman" w:cs="Times New Roman"/>
          <w:bCs/>
          <w:color w:val="000000"/>
          <w:shd w:val="clear" w:color="auto" w:fill="FFFFFF"/>
        </w:rPr>
        <w:tab/>
        <w:t>5</w:t>
      </w:r>
      <w:r w:rsidR="00C72EA1">
        <w:rPr>
          <w:rFonts w:ascii="Times New Roman" w:hAnsi="Times New Roman" w:cs="Times New Roman"/>
          <w:bCs/>
          <w:color w:val="000000"/>
          <w:shd w:val="clear" w:color="auto" w:fill="FFFFFF"/>
        </w:rPr>
        <w:t>9</w:t>
      </w:r>
    </w:p>
    <w:p w14:paraId="2DA774F7" w14:textId="77777777" w:rsidR="00911A65" w:rsidRPr="00702DDD" w:rsidRDefault="00911A65" w:rsidP="00911A65">
      <w:pPr>
        <w:rPr>
          <w:rFonts w:ascii="Times New Roman" w:hAnsi="Times New Roman" w:cs="Times New Roman"/>
          <w:bCs/>
          <w:color w:val="000000"/>
          <w:shd w:val="clear" w:color="auto" w:fill="FFFFFF"/>
        </w:rPr>
      </w:pPr>
    </w:p>
    <w:p w14:paraId="130E5E2E" w14:textId="3205490C" w:rsidR="00911A65" w:rsidRPr="00702DDD" w:rsidRDefault="00911A65" w:rsidP="00B852D1">
      <w:pPr>
        <w:rPr>
          <w:rFonts w:ascii="Times New Roman" w:hAnsi="Times New Roman" w:cs="Times New Roman"/>
          <w:bCs/>
        </w:rPr>
      </w:pPr>
      <w:r w:rsidRPr="00702DDD">
        <w:rPr>
          <w:rFonts w:ascii="Times New Roman" w:hAnsi="Times New Roman" w:cs="Times New Roman"/>
          <w:bCs/>
        </w:rPr>
        <w:t>Table 2.</w:t>
      </w:r>
      <w:r w:rsidR="00C72EA1">
        <w:rPr>
          <w:rFonts w:ascii="Times New Roman" w:hAnsi="Times New Roman" w:cs="Times New Roman"/>
          <w:bCs/>
        </w:rPr>
        <w:t>7</w:t>
      </w:r>
      <w:r w:rsidRPr="00702DDD">
        <w:rPr>
          <w:rFonts w:ascii="Times New Roman" w:hAnsi="Times New Roman" w:cs="Times New Roman"/>
          <w:bCs/>
        </w:rPr>
        <w:t xml:space="preserve"> 2019 Tennessee Output Impacts by ATPI Method Allocation (in Dollars)</w:t>
      </w:r>
    </w:p>
    <w:p w14:paraId="04624B2F" w14:textId="77777777" w:rsidR="00911A65" w:rsidRPr="00702DDD" w:rsidRDefault="00911A65" w:rsidP="00B852D1">
      <w:pPr>
        <w:ind w:firstLine="720"/>
        <w:rPr>
          <w:rFonts w:ascii="Times New Roman" w:hAnsi="Times New Roman" w:cs="Times New Roman"/>
          <w:bCs/>
          <w:color w:val="000000"/>
          <w:shd w:val="clear" w:color="auto" w:fill="FFFFFF"/>
        </w:rPr>
      </w:pPr>
    </w:p>
    <w:p w14:paraId="31551438" w14:textId="020093D4" w:rsidR="00911A65" w:rsidRPr="00702DDD" w:rsidRDefault="00911A65" w:rsidP="00B852D1">
      <w:pPr>
        <w:ind w:firstLine="720"/>
        <w:rPr>
          <w:rFonts w:ascii="Times New Roman" w:hAnsi="Times New Roman" w:cs="Times New Roman"/>
          <w:bCs/>
          <w:color w:val="000000"/>
          <w:shd w:val="clear" w:color="auto" w:fill="FFFFFF"/>
        </w:rPr>
      </w:pPr>
      <w:r w:rsidRPr="00702DDD">
        <w:rPr>
          <w:rFonts w:ascii="Times New Roman" w:hAnsi="Times New Roman" w:cs="Times New Roman"/>
          <w:bCs/>
          <w:color w:val="000000"/>
          <w:shd w:val="clear" w:color="auto" w:fill="FFFFFF"/>
        </w:rPr>
        <w:t>...……………………………………………………….................................</w:t>
      </w:r>
      <w:r w:rsidRPr="00702DDD">
        <w:rPr>
          <w:rFonts w:ascii="Times New Roman" w:hAnsi="Times New Roman" w:cs="Times New Roman"/>
          <w:bCs/>
          <w:color w:val="000000"/>
          <w:shd w:val="clear" w:color="auto" w:fill="FFFFFF"/>
        </w:rPr>
        <w:tab/>
      </w:r>
      <w:r w:rsidR="00C72EA1">
        <w:rPr>
          <w:rFonts w:ascii="Times New Roman" w:hAnsi="Times New Roman" w:cs="Times New Roman"/>
          <w:bCs/>
          <w:color w:val="000000"/>
          <w:shd w:val="clear" w:color="auto" w:fill="FFFFFF"/>
        </w:rPr>
        <w:t>60</w:t>
      </w:r>
    </w:p>
    <w:p w14:paraId="4F8D234E" w14:textId="77777777" w:rsidR="00911A65" w:rsidRPr="00702DDD" w:rsidRDefault="00911A65" w:rsidP="00911A65">
      <w:pPr>
        <w:ind w:firstLine="720"/>
        <w:rPr>
          <w:rFonts w:ascii="Times New Roman" w:hAnsi="Times New Roman" w:cs="Times New Roman"/>
          <w:bCs/>
          <w:color w:val="000000"/>
          <w:shd w:val="clear" w:color="auto" w:fill="FFFFFF"/>
        </w:rPr>
      </w:pPr>
    </w:p>
    <w:p w14:paraId="3557083C" w14:textId="794D8C41" w:rsidR="00911A65" w:rsidRPr="00702DDD" w:rsidRDefault="00911A65" w:rsidP="00702DDD">
      <w:pPr>
        <w:rPr>
          <w:rFonts w:ascii="Times New Roman" w:hAnsi="Times New Roman" w:cs="Times New Roman"/>
          <w:bCs/>
        </w:rPr>
      </w:pPr>
      <w:r w:rsidRPr="00702DDD">
        <w:rPr>
          <w:rFonts w:ascii="Times New Roman" w:hAnsi="Times New Roman" w:cs="Times New Roman"/>
          <w:bCs/>
        </w:rPr>
        <w:t>Table 2.</w:t>
      </w:r>
      <w:r w:rsidR="00C72EA1">
        <w:rPr>
          <w:rFonts w:ascii="Times New Roman" w:hAnsi="Times New Roman" w:cs="Times New Roman"/>
          <w:bCs/>
        </w:rPr>
        <w:t>8</w:t>
      </w:r>
      <w:r w:rsidRPr="00702DDD">
        <w:rPr>
          <w:rFonts w:ascii="Times New Roman" w:hAnsi="Times New Roman" w:cs="Times New Roman"/>
          <w:bCs/>
        </w:rPr>
        <w:t xml:space="preserve"> 2019 Top Industry Impacts by ATPI Methods (in Dollars</w:t>
      </w:r>
      <w:r w:rsidR="00AE6FC2" w:rsidRPr="00702DDD">
        <w:rPr>
          <w:rFonts w:ascii="Times New Roman" w:hAnsi="Times New Roman" w:cs="Times New Roman"/>
          <w:bCs/>
          <w:color w:val="000000"/>
          <w:shd w:val="clear" w:color="auto" w:fill="FFFFFF"/>
        </w:rPr>
        <w:t>)……….</w:t>
      </w:r>
      <w:r w:rsidRPr="00702DDD">
        <w:rPr>
          <w:rFonts w:ascii="Times New Roman" w:hAnsi="Times New Roman" w:cs="Times New Roman"/>
          <w:bCs/>
          <w:color w:val="000000"/>
          <w:shd w:val="clear" w:color="auto" w:fill="FFFFFF"/>
        </w:rPr>
        <w:t>.........</w:t>
      </w:r>
      <w:r w:rsidR="00C72EA1">
        <w:rPr>
          <w:rFonts w:ascii="Times New Roman" w:hAnsi="Times New Roman" w:cs="Times New Roman"/>
          <w:bCs/>
          <w:color w:val="000000"/>
          <w:shd w:val="clear" w:color="auto" w:fill="FFFFFF"/>
        </w:rPr>
        <w:t>.</w:t>
      </w:r>
      <w:r w:rsidRPr="00702DDD">
        <w:rPr>
          <w:rFonts w:ascii="Times New Roman" w:hAnsi="Times New Roman" w:cs="Times New Roman"/>
          <w:bCs/>
          <w:color w:val="000000"/>
          <w:shd w:val="clear" w:color="auto" w:fill="FFFFFF"/>
        </w:rPr>
        <w:tab/>
      </w:r>
      <w:r w:rsidR="00C72EA1">
        <w:rPr>
          <w:rFonts w:ascii="Times New Roman" w:hAnsi="Times New Roman" w:cs="Times New Roman"/>
          <w:bCs/>
          <w:color w:val="000000"/>
          <w:shd w:val="clear" w:color="auto" w:fill="FFFFFF"/>
        </w:rPr>
        <w:tab/>
      </w:r>
      <w:r w:rsidR="00AE6FC2" w:rsidRPr="00702DDD">
        <w:rPr>
          <w:rFonts w:ascii="Times New Roman" w:hAnsi="Times New Roman" w:cs="Times New Roman"/>
          <w:bCs/>
          <w:color w:val="000000"/>
          <w:shd w:val="clear" w:color="auto" w:fill="FFFFFF"/>
        </w:rPr>
        <w:t>6</w:t>
      </w:r>
      <w:r w:rsidR="00C72EA1">
        <w:rPr>
          <w:rFonts w:ascii="Times New Roman" w:hAnsi="Times New Roman" w:cs="Times New Roman"/>
          <w:bCs/>
          <w:color w:val="000000"/>
          <w:shd w:val="clear" w:color="auto" w:fill="FFFFFF"/>
        </w:rPr>
        <w:t>1</w:t>
      </w:r>
    </w:p>
    <w:p w14:paraId="15FE1086" w14:textId="77777777" w:rsidR="00911A65" w:rsidRPr="00702DDD" w:rsidRDefault="00911A65" w:rsidP="00911A65">
      <w:pPr>
        <w:rPr>
          <w:rFonts w:ascii="Times New Roman" w:hAnsi="Times New Roman" w:cs="Times New Roman"/>
          <w:bCs/>
          <w:color w:val="000000"/>
          <w:shd w:val="clear" w:color="auto" w:fill="FFFFFF"/>
        </w:rPr>
      </w:pPr>
    </w:p>
    <w:p w14:paraId="73839567" w14:textId="77777777" w:rsidR="00911A65" w:rsidRPr="00702DDD" w:rsidRDefault="00911A65" w:rsidP="00911A65">
      <w:pPr>
        <w:rPr>
          <w:rFonts w:ascii="Times New Roman" w:hAnsi="Times New Roman" w:cs="Times New Roman"/>
          <w:bCs/>
          <w:color w:val="000000"/>
          <w:shd w:val="clear" w:color="auto" w:fill="FFFFFF"/>
        </w:rPr>
      </w:pPr>
    </w:p>
    <w:p w14:paraId="68A23405" w14:textId="77777777" w:rsidR="00702DDD" w:rsidRDefault="00702DDD">
      <w:pPr>
        <w:spacing w:after="160" w:line="259" w:lineRule="auto"/>
        <w:rPr>
          <w:rFonts w:ascii="Times New Roman" w:hAnsi="Times New Roman" w:cs="Times New Roman"/>
          <w:b/>
          <w:color w:val="000000"/>
          <w:shd w:val="clear" w:color="auto" w:fill="FFFFFF"/>
        </w:rPr>
      </w:pPr>
      <w:r>
        <w:rPr>
          <w:rFonts w:ascii="Times New Roman" w:hAnsi="Times New Roman" w:cs="Times New Roman"/>
          <w:b/>
          <w:color w:val="000000"/>
          <w:shd w:val="clear" w:color="auto" w:fill="FFFFFF"/>
        </w:rPr>
        <w:br w:type="page"/>
      </w:r>
    </w:p>
    <w:p w14:paraId="3BDB82A6" w14:textId="2DA68753" w:rsidR="002C5081" w:rsidRPr="00702DDD" w:rsidRDefault="002C5081" w:rsidP="00AE6FC2">
      <w:pPr>
        <w:spacing w:line="480" w:lineRule="auto"/>
        <w:jc w:val="center"/>
        <w:rPr>
          <w:rFonts w:ascii="Times New Roman" w:hAnsi="Times New Roman" w:cs="Times New Roman"/>
          <w:b/>
          <w:color w:val="000000"/>
          <w:shd w:val="clear" w:color="auto" w:fill="FFFFFF"/>
        </w:rPr>
      </w:pPr>
      <w:r w:rsidRPr="00702DDD">
        <w:rPr>
          <w:rFonts w:ascii="Times New Roman" w:hAnsi="Times New Roman" w:cs="Times New Roman"/>
          <w:b/>
          <w:color w:val="000000"/>
          <w:shd w:val="clear" w:color="auto" w:fill="FFFFFF"/>
        </w:rPr>
        <w:lastRenderedPageBreak/>
        <w:t>LIST OF FIGURES</w:t>
      </w:r>
    </w:p>
    <w:p w14:paraId="1B96B98F" w14:textId="76660B58" w:rsidR="002C5081" w:rsidRPr="00702DDD" w:rsidRDefault="0028030B" w:rsidP="0028030B">
      <w:pPr>
        <w:rPr>
          <w:rFonts w:ascii="Times New Roman" w:hAnsi="Times New Roman" w:cs="Times New Roman"/>
          <w:bCs/>
          <w:color w:val="000000"/>
          <w:shd w:val="clear" w:color="auto" w:fill="FFFFFF"/>
        </w:rPr>
      </w:pPr>
      <w:r w:rsidRPr="00702DDD">
        <w:rPr>
          <w:rFonts w:ascii="Times New Roman" w:hAnsi="Times New Roman" w:cs="Times New Roman"/>
          <w:bCs/>
        </w:rPr>
        <w:t>Figure 1.</w:t>
      </w:r>
      <w:r w:rsidR="00C72EA1">
        <w:rPr>
          <w:rFonts w:ascii="Times New Roman" w:hAnsi="Times New Roman" w:cs="Times New Roman"/>
          <w:bCs/>
        </w:rPr>
        <w:t>1</w:t>
      </w:r>
      <w:r w:rsidRPr="00702DDD">
        <w:rPr>
          <w:rFonts w:ascii="Times New Roman" w:hAnsi="Times New Roman" w:cs="Times New Roman"/>
          <w:bCs/>
        </w:rPr>
        <w:t xml:space="preserve">: Data and Disease Timeline </w:t>
      </w:r>
      <w:r w:rsidR="00B30F13" w:rsidRPr="00702DDD">
        <w:rPr>
          <w:rFonts w:ascii="Times New Roman" w:hAnsi="Times New Roman" w:cs="Times New Roman"/>
          <w:bCs/>
          <w:color w:val="000000"/>
          <w:shd w:val="clear" w:color="auto" w:fill="FFFFFF"/>
        </w:rPr>
        <w:t>…</w:t>
      </w:r>
      <w:r w:rsidRPr="00702DDD">
        <w:rPr>
          <w:rFonts w:ascii="Times New Roman" w:hAnsi="Times New Roman" w:cs="Times New Roman"/>
          <w:bCs/>
          <w:color w:val="000000"/>
          <w:shd w:val="clear" w:color="auto" w:fill="FFFFFF"/>
        </w:rPr>
        <w:t>………………………………………….</w:t>
      </w:r>
      <w:r w:rsidR="00B30F13" w:rsidRPr="00702DDD">
        <w:rPr>
          <w:rFonts w:ascii="Times New Roman" w:hAnsi="Times New Roman" w:cs="Times New Roman"/>
          <w:bCs/>
          <w:color w:val="000000"/>
          <w:shd w:val="clear" w:color="auto" w:fill="FFFFFF"/>
        </w:rPr>
        <w:tab/>
      </w:r>
      <w:r w:rsidR="00B30F13" w:rsidRPr="00702DDD">
        <w:rPr>
          <w:rFonts w:ascii="Times New Roman" w:hAnsi="Times New Roman" w:cs="Times New Roman"/>
          <w:bCs/>
          <w:color w:val="000000"/>
          <w:shd w:val="clear" w:color="auto" w:fill="FFFFFF"/>
        </w:rPr>
        <w:tab/>
      </w:r>
      <w:r w:rsidRPr="00702DDD">
        <w:rPr>
          <w:rFonts w:ascii="Times New Roman" w:hAnsi="Times New Roman" w:cs="Times New Roman"/>
          <w:bCs/>
          <w:color w:val="000000"/>
          <w:shd w:val="clear" w:color="auto" w:fill="FFFFFF"/>
        </w:rPr>
        <w:t>6</w:t>
      </w:r>
      <w:r w:rsidR="00C72EA1">
        <w:rPr>
          <w:rFonts w:ascii="Times New Roman" w:hAnsi="Times New Roman" w:cs="Times New Roman"/>
          <w:bCs/>
          <w:color w:val="000000"/>
          <w:shd w:val="clear" w:color="auto" w:fill="FFFFFF"/>
        </w:rPr>
        <w:t>2</w:t>
      </w:r>
    </w:p>
    <w:p w14:paraId="675201ED" w14:textId="77777777" w:rsidR="0028030B" w:rsidRPr="00702DDD" w:rsidRDefault="0028030B" w:rsidP="0028030B">
      <w:pPr>
        <w:rPr>
          <w:rFonts w:ascii="Times New Roman" w:hAnsi="Times New Roman" w:cs="Times New Roman"/>
          <w:b/>
        </w:rPr>
      </w:pPr>
    </w:p>
    <w:p w14:paraId="005961AB" w14:textId="62B94695" w:rsidR="002C5081" w:rsidRPr="00702DDD" w:rsidRDefault="0028030B" w:rsidP="0028030B">
      <w:pPr>
        <w:rPr>
          <w:rFonts w:ascii="Times New Roman" w:hAnsi="Times New Roman" w:cs="Times New Roman"/>
          <w:bCs/>
          <w:color w:val="000000"/>
          <w:shd w:val="clear" w:color="auto" w:fill="FFFFFF"/>
        </w:rPr>
      </w:pPr>
      <w:r w:rsidRPr="00702DDD">
        <w:rPr>
          <w:rFonts w:ascii="Times New Roman" w:hAnsi="Times New Roman" w:cs="Times New Roman"/>
          <w:bCs/>
        </w:rPr>
        <w:t>Figure 2.1: Economic Impact and Multiplier Effect Relationships …………………</w:t>
      </w:r>
      <w:r w:rsidRPr="00702DDD">
        <w:rPr>
          <w:rFonts w:ascii="Times New Roman" w:hAnsi="Times New Roman" w:cs="Times New Roman"/>
          <w:bCs/>
        </w:rPr>
        <w:tab/>
      </w:r>
      <w:r w:rsidR="00501F39" w:rsidRPr="00702DDD">
        <w:rPr>
          <w:rFonts w:ascii="Times New Roman" w:hAnsi="Times New Roman" w:cs="Times New Roman"/>
          <w:bCs/>
          <w:color w:val="000000"/>
          <w:shd w:val="clear" w:color="auto" w:fill="FFFFFF"/>
        </w:rPr>
        <w:t>6</w:t>
      </w:r>
      <w:r w:rsidR="00C72EA1">
        <w:rPr>
          <w:rFonts w:ascii="Times New Roman" w:hAnsi="Times New Roman" w:cs="Times New Roman"/>
          <w:bCs/>
          <w:color w:val="000000"/>
          <w:shd w:val="clear" w:color="auto" w:fill="FFFFFF"/>
        </w:rPr>
        <w:t>2</w:t>
      </w:r>
    </w:p>
    <w:p w14:paraId="64566B57" w14:textId="77777777" w:rsidR="0028030B" w:rsidRPr="00702DDD" w:rsidRDefault="0028030B" w:rsidP="0028030B">
      <w:pPr>
        <w:rPr>
          <w:rFonts w:ascii="Times New Roman" w:hAnsi="Times New Roman" w:cs="Times New Roman"/>
          <w:b/>
        </w:rPr>
      </w:pPr>
    </w:p>
    <w:p w14:paraId="000491E0" w14:textId="5EB64225" w:rsidR="002C5081" w:rsidRPr="00702DDD" w:rsidRDefault="0028030B" w:rsidP="0028030B">
      <w:pPr>
        <w:rPr>
          <w:rFonts w:ascii="Times New Roman" w:hAnsi="Times New Roman" w:cs="Times New Roman"/>
          <w:bCs/>
          <w:color w:val="000000"/>
          <w:shd w:val="clear" w:color="auto" w:fill="FFFFFF"/>
        </w:rPr>
      </w:pPr>
      <w:r w:rsidRPr="00702DDD">
        <w:rPr>
          <w:rFonts w:ascii="Times New Roman" w:hAnsi="Times New Roman" w:cs="Times New Roman"/>
          <w:bCs/>
        </w:rPr>
        <w:t>Figure 2.2: Tennessee Economic and Community Development Regions, 2018……</w:t>
      </w:r>
      <w:r w:rsidR="00B30F13" w:rsidRPr="00702DDD">
        <w:rPr>
          <w:rFonts w:ascii="Times New Roman" w:hAnsi="Times New Roman" w:cs="Times New Roman"/>
          <w:bCs/>
          <w:color w:val="000000"/>
          <w:shd w:val="clear" w:color="auto" w:fill="FFFFFF"/>
        </w:rPr>
        <w:tab/>
      </w:r>
      <w:r w:rsidR="00501F39" w:rsidRPr="00702DDD">
        <w:rPr>
          <w:rFonts w:ascii="Times New Roman" w:hAnsi="Times New Roman" w:cs="Times New Roman"/>
          <w:bCs/>
          <w:color w:val="000000"/>
          <w:shd w:val="clear" w:color="auto" w:fill="FFFFFF"/>
        </w:rPr>
        <w:t>6</w:t>
      </w:r>
      <w:r w:rsidR="00C72EA1">
        <w:rPr>
          <w:rFonts w:ascii="Times New Roman" w:hAnsi="Times New Roman" w:cs="Times New Roman"/>
          <w:bCs/>
          <w:color w:val="000000"/>
          <w:shd w:val="clear" w:color="auto" w:fill="FFFFFF"/>
        </w:rPr>
        <w:t>3</w:t>
      </w:r>
    </w:p>
    <w:p w14:paraId="10F0F011" w14:textId="42CA7E70" w:rsidR="0028030B" w:rsidRPr="00702DDD" w:rsidRDefault="0028030B" w:rsidP="0028030B">
      <w:pPr>
        <w:rPr>
          <w:rFonts w:ascii="Times New Roman" w:hAnsi="Times New Roman" w:cs="Times New Roman"/>
          <w:bCs/>
          <w:color w:val="000000"/>
          <w:shd w:val="clear" w:color="auto" w:fill="FFFFFF"/>
        </w:rPr>
      </w:pPr>
    </w:p>
    <w:p w14:paraId="4AC75FE2" w14:textId="33A4FAE4" w:rsidR="0028030B" w:rsidRPr="00702DDD" w:rsidRDefault="0028030B" w:rsidP="0028030B">
      <w:pPr>
        <w:rPr>
          <w:rFonts w:ascii="Times New Roman" w:hAnsi="Times New Roman" w:cs="Times New Roman"/>
          <w:bCs/>
          <w:color w:val="000000"/>
          <w:shd w:val="clear" w:color="auto" w:fill="FFFFFF"/>
        </w:rPr>
      </w:pPr>
      <w:r w:rsidRPr="00702DDD">
        <w:rPr>
          <w:rFonts w:ascii="Times New Roman" w:hAnsi="Times New Roman" w:cs="Times New Roman"/>
          <w:bCs/>
        </w:rPr>
        <w:t>Figure 2.3: 2019 MHI Frequency of Affordability Bin Score……………………….</w:t>
      </w:r>
      <w:r w:rsidRPr="00702DDD">
        <w:rPr>
          <w:rFonts w:ascii="Times New Roman" w:hAnsi="Times New Roman" w:cs="Times New Roman"/>
          <w:bCs/>
          <w:color w:val="000000"/>
          <w:shd w:val="clear" w:color="auto" w:fill="FFFFFF"/>
        </w:rPr>
        <w:tab/>
        <w:t>6</w:t>
      </w:r>
      <w:r w:rsidR="00C72EA1">
        <w:rPr>
          <w:rFonts w:ascii="Times New Roman" w:hAnsi="Times New Roman" w:cs="Times New Roman"/>
          <w:bCs/>
          <w:color w:val="000000"/>
          <w:shd w:val="clear" w:color="auto" w:fill="FFFFFF"/>
        </w:rPr>
        <w:t>3</w:t>
      </w:r>
    </w:p>
    <w:p w14:paraId="33EC4242" w14:textId="201666A2" w:rsidR="0028030B" w:rsidRPr="00702DDD" w:rsidRDefault="0028030B" w:rsidP="0028030B">
      <w:pPr>
        <w:rPr>
          <w:rFonts w:ascii="Times New Roman" w:hAnsi="Times New Roman" w:cs="Times New Roman"/>
          <w:bCs/>
          <w:color w:val="000000"/>
          <w:shd w:val="clear" w:color="auto" w:fill="FFFFFF"/>
        </w:rPr>
      </w:pPr>
    </w:p>
    <w:p w14:paraId="228FB2B5" w14:textId="7FAAC064" w:rsidR="0028030B" w:rsidRPr="00702DDD" w:rsidRDefault="0028030B" w:rsidP="0028030B">
      <w:pPr>
        <w:rPr>
          <w:rFonts w:ascii="Times New Roman" w:hAnsi="Times New Roman" w:cs="Times New Roman"/>
          <w:bCs/>
          <w:color w:val="000000"/>
          <w:shd w:val="clear" w:color="auto" w:fill="FFFFFF"/>
        </w:rPr>
      </w:pPr>
      <w:r w:rsidRPr="00702DDD">
        <w:rPr>
          <w:rFonts w:ascii="Times New Roman" w:hAnsi="Times New Roman" w:cs="Times New Roman"/>
          <w:bCs/>
        </w:rPr>
        <w:t>Figure 2.4</w:t>
      </w:r>
      <w:r w:rsidR="00B852D1" w:rsidRPr="00702DDD">
        <w:rPr>
          <w:rFonts w:ascii="Times New Roman" w:hAnsi="Times New Roman" w:cs="Times New Roman"/>
          <w:bCs/>
        </w:rPr>
        <w:t>:</w:t>
      </w:r>
      <w:r w:rsidRPr="00702DDD">
        <w:rPr>
          <w:rFonts w:ascii="Times New Roman" w:hAnsi="Times New Roman" w:cs="Times New Roman"/>
          <w:bCs/>
        </w:rPr>
        <w:t xml:space="preserve"> 2019 Simple Average Frequency of Affordability Bin Score……</w:t>
      </w:r>
      <w:r w:rsidR="00B852D1" w:rsidRPr="00702DDD">
        <w:rPr>
          <w:rFonts w:ascii="Times New Roman" w:hAnsi="Times New Roman" w:cs="Times New Roman"/>
          <w:bCs/>
        </w:rPr>
        <w:t>……..</w:t>
      </w:r>
      <w:r w:rsidRPr="00702DDD">
        <w:rPr>
          <w:rFonts w:ascii="Times New Roman" w:hAnsi="Times New Roman" w:cs="Times New Roman"/>
          <w:bCs/>
          <w:color w:val="000000"/>
          <w:shd w:val="clear" w:color="auto" w:fill="FFFFFF"/>
        </w:rPr>
        <w:tab/>
        <w:t>6</w:t>
      </w:r>
      <w:r w:rsidR="00C72EA1">
        <w:rPr>
          <w:rFonts w:ascii="Times New Roman" w:hAnsi="Times New Roman" w:cs="Times New Roman"/>
          <w:bCs/>
          <w:color w:val="000000"/>
          <w:shd w:val="clear" w:color="auto" w:fill="FFFFFF"/>
        </w:rPr>
        <w:t>4</w:t>
      </w:r>
    </w:p>
    <w:p w14:paraId="55DFBFA4" w14:textId="25F81D6E" w:rsidR="00B852D1" w:rsidRPr="00702DDD" w:rsidRDefault="00B852D1" w:rsidP="0028030B">
      <w:pPr>
        <w:rPr>
          <w:rFonts w:ascii="Times New Roman" w:hAnsi="Times New Roman" w:cs="Times New Roman"/>
          <w:bCs/>
          <w:color w:val="000000"/>
          <w:shd w:val="clear" w:color="auto" w:fill="FFFFFF"/>
        </w:rPr>
      </w:pPr>
    </w:p>
    <w:p w14:paraId="338A7AE6" w14:textId="2C71EE6B" w:rsidR="00B852D1" w:rsidRPr="00702DDD" w:rsidRDefault="00B852D1" w:rsidP="00B852D1">
      <w:pPr>
        <w:rPr>
          <w:rFonts w:ascii="Times New Roman" w:hAnsi="Times New Roman" w:cs="Times New Roman"/>
          <w:bCs/>
          <w:color w:val="000000"/>
          <w:shd w:val="clear" w:color="auto" w:fill="FFFFFF"/>
        </w:rPr>
      </w:pPr>
      <w:r w:rsidRPr="00702DDD">
        <w:rPr>
          <w:rFonts w:ascii="Times New Roman" w:hAnsi="Times New Roman" w:cs="Times New Roman"/>
          <w:bCs/>
        </w:rPr>
        <w:t>Figure 2.5: 2019 Negative Scaled Average Frequency of Affordability Bin Score….</w:t>
      </w:r>
      <w:r w:rsidRPr="00702DDD">
        <w:rPr>
          <w:rFonts w:ascii="Times New Roman" w:hAnsi="Times New Roman" w:cs="Times New Roman"/>
          <w:bCs/>
          <w:color w:val="000000"/>
          <w:shd w:val="clear" w:color="auto" w:fill="FFFFFF"/>
        </w:rPr>
        <w:tab/>
        <w:t>6</w:t>
      </w:r>
      <w:r w:rsidR="00C72EA1">
        <w:rPr>
          <w:rFonts w:ascii="Times New Roman" w:hAnsi="Times New Roman" w:cs="Times New Roman"/>
          <w:bCs/>
          <w:color w:val="000000"/>
          <w:shd w:val="clear" w:color="auto" w:fill="FFFFFF"/>
        </w:rPr>
        <w:t>4</w:t>
      </w:r>
    </w:p>
    <w:p w14:paraId="6AC11C10" w14:textId="1C33128C" w:rsidR="00B852D1" w:rsidRPr="00702DDD" w:rsidRDefault="00B852D1" w:rsidP="00B852D1">
      <w:pPr>
        <w:rPr>
          <w:rFonts w:ascii="Times New Roman" w:hAnsi="Times New Roman" w:cs="Times New Roman"/>
          <w:bCs/>
          <w:color w:val="000000"/>
          <w:shd w:val="clear" w:color="auto" w:fill="FFFFFF"/>
        </w:rPr>
      </w:pPr>
    </w:p>
    <w:p w14:paraId="062623A7" w14:textId="705F5E42" w:rsidR="00B852D1" w:rsidRPr="00702DDD" w:rsidRDefault="00B852D1" w:rsidP="00B852D1">
      <w:pPr>
        <w:rPr>
          <w:rFonts w:ascii="Times New Roman" w:hAnsi="Times New Roman" w:cs="Times New Roman"/>
          <w:bCs/>
          <w:color w:val="000000"/>
          <w:shd w:val="clear" w:color="auto" w:fill="FFFFFF"/>
        </w:rPr>
      </w:pPr>
      <w:r w:rsidRPr="00702DDD">
        <w:rPr>
          <w:rFonts w:ascii="Times New Roman" w:hAnsi="Times New Roman" w:cs="Times New Roman"/>
          <w:bCs/>
        </w:rPr>
        <w:t>Figure 2.</w:t>
      </w:r>
      <w:r w:rsidR="00C72EA1">
        <w:rPr>
          <w:rFonts w:ascii="Times New Roman" w:hAnsi="Times New Roman" w:cs="Times New Roman"/>
          <w:bCs/>
        </w:rPr>
        <w:t>6</w:t>
      </w:r>
      <w:r w:rsidRPr="00702DDD">
        <w:rPr>
          <w:rFonts w:ascii="Times New Roman" w:hAnsi="Times New Roman" w:cs="Times New Roman"/>
          <w:bCs/>
        </w:rPr>
        <w:t>: Tennessee County ATPI Indices based on MHI Method……………...….</w:t>
      </w:r>
      <w:r w:rsidRPr="00702DDD">
        <w:rPr>
          <w:rFonts w:ascii="Times New Roman" w:hAnsi="Times New Roman" w:cs="Times New Roman"/>
          <w:bCs/>
          <w:color w:val="000000"/>
          <w:shd w:val="clear" w:color="auto" w:fill="FFFFFF"/>
        </w:rPr>
        <w:tab/>
        <w:t>6</w:t>
      </w:r>
      <w:r w:rsidR="00C72EA1">
        <w:rPr>
          <w:rFonts w:ascii="Times New Roman" w:hAnsi="Times New Roman" w:cs="Times New Roman"/>
          <w:bCs/>
          <w:color w:val="000000"/>
          <w:shd w:val="clear" w:color="auto" w:fill="FFFFFF"/>
        </w:rPr>
        <w:t>5</w:t>
      </w:r>
    </w:p>
    <w:p w14:paraId="21E417A3" w14:textId="20D908CB" w:rsidR="00B852D1" w:rsidRPr="00702DDD" w:rsidRDefault="00B852D1" w:rsidP="00B852D1">
      <w:pPr>
        <w:rPr>
          <w:rFonts w:ascii="Times New Roman" w:hAnsi="Times New Roman" w:cs="Times New Roman"/>
          <w:bCs/>
          <w:color w:val="000000"/>
          <w:shd w:val="clear" w:color="auto" w:fill="FFFFFF"/>
        </w:rPr>
      </w:pPr>
    </w:p>
    <w:p w14:paraId="6F4C5636" w14:textId="37C0BF17" w:rsidR="00B852D1" w:rsidRPr="00702DDD" w:rsidRDefault="00B852D1" w:rsidP="00B852D1">
      <w:pPr>
        <w:rPr>
          <w:rFonts w:ascii="Times New Roman" w:hAnsi="Times New Roman" w:cs="Times New Roman"/>
          <w:bCs/>
          <w:color w:val="000000"/>
          <w:shd w:val="clear" w:color="auto" w:fill="FFFFFF"/>
        </w:rPr>
      </w:pPr>
      <w:r w:rsidRPr="00702DDD">
        <w:rPr>
          <w:rFonts w:ascii="Times New Roman" w:hAnsi="Times New Roman" w:cs="Times New Roman"/>
          <w:bCs/>
        </w:rPr>
        <w:t>Figure 2.</w:t>
      </w:r>
      <w:r w:rsidR="00C72EA1">
        <w:rPr>
          <w:rFonts w:ascii="Times New Roman" w:hAnsi="Times New Roman" w:cs="Times New Roman"/>
          <w:bCs/>
        </w:rPr>
        <w:t>7</w:t>
      </w:r>
      <w:r w:rsidRPr="00702DDD">
        <w:rPr>
          <w:rFonts w:ascii="Times New Roman" w:hAnsi="Times New Roman" w:cs="Times New Roman"/>
          <w:bCs/>
        </w:rPr>
        <w:t>: Tennessee County ATPI Indices based on Simple Average Method…..….</w:t>
      </w:r>
      <w:r w:rsidRPr="00702DDD">
        <w:rPr>
          <w:rFonts w:ascii="Times New Roman" w:hAnsi="Times New Roman" w:cs="Times New Roman"/>
          <w:bCs/>
          <w:color w:val="000000"/>
          <w:shd w:val="clear" w:color="auto" w:fill="FFFFFF"/>
        </w:rPr>
        <w:tab/>
        <w:t>6</w:t>
      </w:r>
      <w:r w:rsidR="00C72EA1">
        <w:rPr>
          <w:rFonts w:ascii="Times New Roman" w:hAnsi="Times New Roman" w:cs="Times New Roman"/>
          <w:bCs/>
          <w:color w:val="000000"/>
          <w:shd w:val="clear" w:color="auto" w:fill="FFFFFF"/>
        </w:rPr>
        <w:t>5</w:t>
      </w:r>
    </w:p>
    <w:p w14:paraId="5C1881FE" w14:textId="3E666589" w:rsidR="00B852D1" w:rsidRPr="00702DDD" w:rsidRDefault="00B852D1" w:rsidP="00B852D1">
      <w:pPr>
        <w:rPr>
          <w:rFonts w:ascii="Times New Roman" w:hAnsi="Times New Roman" w:cs="Times New Roman"/>
          <w:bCs/>
          <w:color w:val="000000"/>
          <w:shd w:val="clear" w:color="auto" w:fill="FFFFFF"/>
        </w:rPr>
      </w:pPr>
    </w:p>
    <w:p w14:paraId="1BB398B4" w14:textId="078037A5" w:rsidR="00B852D1" w:rsidRPr="00702DDD" w:rsidRDefault="00B852D1" w:rsidP="00B852D1">
      <w:pPr>
        <w:rPr>
          <w:rFonts w:ascii="Times New Roman" w:hAnsi="Times New Roman" w:cs="Times New Roman"/>
          <w:bCs/>
        </w:rPr>
      </w:pPr>
      <w:r w:rsidRPr="00702DDD">
        <w:rPr>
          <w:rFonts w:ascii="Times New Roman" w:hAnsi="Times New Roman" w:cs="Times New Roman"/>
          <w:bCs/>
        </w:rPr>
        <w:t>Figure 2.</w:t>
      </w:r>
      <w:r w:rsidR="00C72EA1">
        <w:rPr>
          <w:rFonts w:ascii="Times New Roman" w:hAnsi="Times New Roman" w:cs="Times New Roman"/>
          <w:bCs/>
        </w:rPr>
        <w:t>8</w:t>
      </w:r>
      <w:r w:rsidRPr="00702DDD">
        <w:rPr>
          <w:rFonts w:ascii="Times New Roman" w:hAnsi="Times New Roman" w:cs="Times New Roman"/>
          <w:bCs/>
        </w:rPr>
        <w:t>: Tennessee County ATPI Indices based on Negative Scaled Average Method</w:t>
      </w:r>
    </w:p>
    <w:p w14:paraId="6B0072E8" w14:textId="55069491" w:rsidR="00B852D1" w:rsidRPr="00702DDD" w:rsidRDefault="00B852D1" w:rsidP="00B852D1">
      <w:pPr>
        <w:rPr>
          <w:rFonts w:ascii="Times New Roman" w:hAnsi="Times New Roman" w:cs="Times New Roman"/>
          <w:bCs/>
          <w:color w:val="000000"/>
          <w:shd w:val="clear" w:color="auto" w:fill="FFFFFF"/>
        </w:rPr>
      </w:pPr>
      <w:r w:rsidRPr="00702DDD">
        <w:rPr>
          <w:rFonts w:ascii="Times New Roman" w:hAnsi="Times New Roman" w:cs="Times New Roman"/>
          <w:bCs/>
        </w:rPr>
        <w:tab/>
        <w:t>………………………………………………………………………………….</w:t>
      </w:r>
      <w:r w:rsidRPr="00702DDD">
        <w:rPr>
          <w:rFonts w:ascii="Times New Roman" w:hAnsi="Times New Roman" w:cs="Times New Roman"/>
          <w:bCs/>
          <w:color w:val="000000"/>
          <w:shd w:val="clear" w:color="auto" w:fill="FFFFFF"/>
        </w:rPr>
        <w:tab/>
        <w:t>6</w:t>
      </w:r>
      <w:r w:rsidR="00C72EA1">
        <w:rPr>
          <w:rFonts w:ascii="Times New Roman" w:hAnsi="Times New Roman" w:cs="Times New Roman"/>
          <w:bCs/>
          <w:color w:val="000000"/>
          <w:shd w:val="clear" w:color="auto" w:fill="FFFFFF"/>
        </w:rPr>
        <w:t>5</w:t>
      </w:r>
    </w:p>
    <w:p w14:paraId="19ACF36B" w14:textId="3C72178A" w:rsidR="00B852D1" w:rsidRPr="00702DDD" w:rsidRDefault="00B852D1" w:rsidP="00B852D1">
      <w:pPr>
        <w:rPr>
          <w:rFonts w:ascii="Times New Roman" w:hAnsi="Times New Roman" w:cs="Times New Roman"/>
          <w:bCs/>
          <w:color w:val="000000"/>
          <w:shd w:val="clear" w:color="auto" w:fill="FFFFFF"/>
        </w:rPr>
      </w:pPr>
    </w:p>
    <w:p w14:paraId="76B13159" w14:textId="4AA3A0B8" w:rsidR="00B852D1" w:rsidRPr="00702DDD" w:rsidRDefault="00B852D1" w:rsidP="00B852D1">
      <w:pPr>
        <w:rPr>
          <w:rFonts w:ascii="Times New Roman" w:hAnsi="Times New Roman" w:cs="Times New Roman"/>
          <w:bCs/>
          <w:color w:val="000000"/>
          <w:shd w:val="clear" w:color="auto" w:fill="FFFFFF"/>
        </w:rPr>
      </w:pPr>
      <w:r w:rsidRPr="00702DDD">
        <w:rPr>
          <w:rFonts w:ascii="Times New Roman" w:hAnsi="Times New Roman" w:cs="Times New Roman"/>
          <w:bCs/>
        </w:rPr>
        <w:t>Figure</w:t>
      </w:r>
      <w:r w:rsidR="00C72EA1">
        <w:rPr>
          <w:rFonts w:ascii="Times New Roman" w:hAnsi="Times New Roman" w:cs="Times New Roman"/>
          <w:bCs/>
        </w:rPr>
        <w:t xml:space="preserve"> </w:t>
      </w:r>
      <w:r w:rsidRPr="00702DDD">
        <w:rPr>
          <w:rFonts w:ascii="Times New Roman" w:hAnsi="Times New Roman" w:cs="Times New Roman"/>
          <w:bCs/>
        </w:rPr>
        <w:t>2.</w:t>
      </w:r>
      <w:r w:rsidR="00C72EA1">
        <w:rPr>
          <w:rFonts w:ascii="Times New Roman" w:hAnsi="Times New Roman" w:cs="Times New Roman"/>
          <w:bCs/>
        </w:rPr>
        <w:t>9</w:t>
      </w:r>
      <w:r w:rsidRPr="00702DDD">
        <w:rPr>
          <w:rFonts w:ascii="Times New Roman" w:hAnsi="Times New Roman" w:cs="Times New Roman"/>
          <w:bCs/>
        </w:rPr>
        <w:t>: 2019 Tennessee Aggregated Employment Effects by ATPI Method……</w:t>
      </w:r>
      <w:r w:rsidRPr="00702DDD">
        <w:rPr>
          <w:rFonts w:ascii="Times New Roman" w:hAnsi="Times New Roman" w:cs="Times New Roman"/>
          <w:bCs/>
          <w:color w:val="000000"/>
          <w:shd w:val="clear" w:color="auto" w:fill="FFFFFF"/>
        </w:rPr>
        <w:tab/>
        <w:t>6</w:t>
      </w:r>
      <w:r w:rsidR="00C72EA1">
        <w:rPr>
          <w:rFonts w:ascii="Times New Roman" w:hAnsi="Times New Roman" w:cs="Times New Roman"/>
          <w:bCs/>
          <w:color w:val="000000"/>
          <w:shd w:val="clear" w:color="auto" w:fill="FFFFFF"/>
        </w:rPr>
        <w:t>6</w:t>
      </w:r>
    </w:p>
    <w:p w14:paraId="5BFD0B9B" w14:textId="2DF6CE08" w:rsidR="00B852D1" w:rsidRPr="00702DDD" w:rsidRDefault="00B852D1" w:rsidP="00B852D1">
      <w:pPr>
        <w:rPr>
          <w:rFonts w:ascii="Times New Roman" w:hAnsi="Times New Roman" w:cs="Times New Roman"/>
          <w:bCs/>
          <w:color w:val="000000"/>
          <w:shd w:val="clear" w:color="auto" w:fill="FFFFFF"/>
        </w:rPr>
      </w:pPr>
    </w:p>
    <w:p w14:paraId="0A62CE8B" w14:textId="607BFB3C" w:rsidR="00B852D1" w:rsidRPr="00702DDD" w:rsidRDefault="00B852D1" w:rsidP="00B852D1">
      <w:pPr>
        <w:rPr>
          <w:rFonts w:ascii="Times New Roman" w:hAnsi="Times New Roman" w:cs="Times New Roman"/>
          <w:bCs/>
        </w:rPr>
      </w:pPr>
      <w:r w:rsidRPr="00702DDD">
        <w:rPr>
          <w:rFonts w:ascii="Times New Roman" w:hAnsi="Times New Roman" w:cs="Times New Roman"/>
          <w:bCs/>
        </w:rPr>
        <w:t>Figure 2.1</w:t>
      </w:r>
      <w:r w:rsidR="00C72EA1">
        <w:rPr>
          <w:rFonts w:ascii="Times New Roman" w:hAnsi="Times New Roman" w:cs="Times New Roman"/>
          <w:bCs/>
        </w:rPr>
        <w:t>0</w:t>
      </w:r>
      <w:r w:rsidRPr="00702DDD">
        <w:rPr>
          <w:rFonts w:ascii="Times New Roman" w:hAnsi="Times New Roman" w:cs="Times New Roman"/>
          <w:bCs/>
        </w:rPr>
        <w:t>: 2019 Tennessee Aggregated Labor Income Effects by ATPI Method……</w:t>
      </w:r>
      <w:r w:rsidRPr="00702DDD">
        <w:rPr>
          <w:rFonts w:ascii="Times New Roman" w:hAnsi="Times New Roman" w:cs="Times New Roman"/>
          <w:bCs/>
          <w:color w:val="000000"/>
          <w:shd w:val="clear" w:color="auto" w:fill="FFFFFF"/>
        </w:rPr>
        <w:tab/>
        <w:t>6</w:t>
      </w:r>
      <w:r w:rsidR="00C72EA1">
        <w:rPr>
          <w:rFonts w:ascii="Times New Roman" w:hAnsi="Times New Roman" w:cs="Times New Roman"/>
          <w:bCs/>
          <w:color w:val="000000"/>
          <w:shd w:val="clear" w:color="auto" w:fill="FFFFFF"/>
        </w:rPr>
        <w:t>6</w:t>
      </w:r>
    </w:p>
    <w:p w14:paraId="704ACDC3" w14:textId="4338B220" w:rsidR="00B852D1" w:rsidRPr="00702DDD" w:rsidRDefault="00B852D1" w:rsidP="00B852D1">
      <w:pPr>
        <w:rPr>
          <w:rFonts w:ascii="Times New Roman" w:hAnsi="Times New Roman" w:cs="Times New Roman"/>
          <w:bCs/>
          <w:color w:val="000000"/>
          <w:shd w:val="clear" w:color="auto" w:fill="FFFFFF"/>
        </w:rPr>
      </w:pPr>
    </w:p>
    <w:p w14:paraId="5E910E0E" w14:textId="230AB1A7" w:rsidR="00B852D1" w:rsidRPr="00702DDD" w:rsidRDefault="00B852D1" w:rsidP="00B852D1">
      <w:pPr>
        <w:rPr>
          <w:rFonts w:ascii="Times New Roman" w:hAnsi="Times New Roman" w:cs="Times New Roman"/>
          <w:bCs/>
          <w:color w:val="000000"/>
          <w:shd w:val="clear" w:color="auto" w:fill="FFFFFF"/>
        </w:rPr>
      </w:pPr>
      <w:r w:rsidRPr="00702DDD">
        <w:rPr>
          <w:rFonts w:ascii="Times New Roman" w:hAnsi="Times New Roman" w:cs="Times New Roman"/>
          <w:bCs/>
        </w:rPr>
        <w:t>Figure 2.1</w:t>
      </w:r>
      <w:r w:rsidR="00C72EA1">
        <w:rPr>
          <w:rFonts w:ascii="Times New Roman" w:hAnsi="Times New Roman" w:cs="Times New Roman"/>
          <w:bCs/>
        </w:rPr>
        <w:t>1</w:t>
      </w:r>
      <w:r w:rsidRPr="00702DDD">
        <w:rPr>
          <w:rFonts w:ascii="Times New Roman" w:hAnsi="Times New Roman" w:cs="Times New Roman"/>
          <w:bCs/>
        </w:rPr>
        <w:t>: 2019 Tennessee Aggregated Value-Added Effects by ATPI Method….…</w:t>
      </w:r>
      <w:r w:rsidRPr="00702DDD">
        <w:rPr>
          <w:rFonts w:ascii="Times New Roman" w:hAnsi="Times New Roman" w:cs="Times New Roman"/>
          <w:bCs/>
          <w:color w:val="000000"/>
          <w:shd w:val="clear" w:color="auto" w:fill="FFFFFF"/>
        </w:rPr>
        <w:tab/>
        <w:t>6</w:t>
      </w:r>
      <w:r w:rsidR="00C72EA1">
        <w:rPr>
          <w:rFonts w:ascii="Times New Roman" w:hAnsi="Times New Roman" w:cs="Times New Roman"/>
          <w:bCs/>
          <w:color w:val="000000"/>
          <w:shd w:val="clear" w:color="auto" w:fill="FFFFFF"/>
        </w:rPr>
        <w:t>7</w:t>
      </w:r>
    </w:p>
    <w:p w14:paraId="203DF126" w14:textId="0353C675" w:rsidR="00B852D1" w:rsidRPr="00702DDD" w:rsidRDefault="00B852D1" w:rsidP="00B852D1">
      <w:pPr>
        <w:rPr>
          <w:rFonts w:ascii="Times New Roman" w:hAnsi="Times New Roman" w:cs="Times New Roman"/>
          <w:bCs/>
          <w:color w:val="000000"/>
          <w:shd w:val="clear" w:color="auto" w:fill="FFFFFF"/>
        </w:rPr>
      </w:pPr>
    </w:p>
    <w:p w14:paraId="17591844" w14:textId="02DB47B2" w:rsidR="00B852D1" w:rsidRDefault="00B852D1" w:rsidP="00B852D1">
      <w:pPr>
        <w:rPr>
          <w:rFonts w:ascii="Times New Roman" w:hAnsi="Times New Roman" w:cs="Times New Roman"/>
          <w:bCs/>
          <w:color w:val="000000"/>
          <w:shd w:val="clear" w:color="auto" w:fill="FFFFFF"/>
        </w:rPr>
      </w:pPr>
      <w:r w:rsidRPr="00702DDD">
        <w:rPr>
          <w:rFonts w:ascii="Times New Roman" w:hAnsi="Times New Roman" w:cs="Times New Roman"/>
          <w:bCs/>
        </w:rPr>
        <w:t>Figure 2.1</w:t>
      </w:r>
      <w:r w:rsidR="00C72EA1">
        <w:rPr>
          <w:rFonts w:ascii="Times New Roman" w:hAnsi="Times New Roman" w:cs="Times New Roman"/>
          <w:bCs/>
        </w:rPr>
        <w:t>2</w:t>
      </w:r>
      <w:r w:rsidRPr="00702DDD">
        <w:rPr>
          <w:rFonts w:ascii="Times New Roman" w:hAnsi="Times New Roman" w:cs="Times New Roman"/>
          <w:bCs/>
        </w:rPr>
        <w:t>: 2019 Tennessee Aggregated Output Effects by ATPI Method………....…</w:t>
      </w:r>
      <w:r w:rsidRPr="00702DDD">
        <w:rPr>
          <w:rFonts w:ascii="Times New Roman" w:hAnsi="Times New Roman" w:cs="Times New Roman"/>
          <w:bCs/>
          <w:color w:val="000000"/>
          <w:shd w:val="clear" w:color="auto" w:fill="FFFFFF"/>
        </w:rPr>
        <w:tab/>
        <w:t>6</w:t>
      </w:r>
      <w:r w:rsidR="00C72EA1">
        <w:rPr>
          <w:rFonts w:ascii="Times New Roman" w:hAnsi="Times New Roman" w:cs="Times New Roman"/>
          <w:bCs/>
          <w:color w:val="000000"/>
          <w:shd w:val="clear" w:color="auto" w:fill="FFFFFF"/>
        </w:rPr>
        <w:t>7</w:t>
      </w:r>
    </w:p>
    <w:p w14:paraId="04A08EDF" w14:textId="762A7FFF" w:rsidR="00C72EA1" w:rsidRDefault="00C72EA1" w:rsidP="00B852D1">
      <w:pPr>
        <w:rPr>
          <w:rFonts w:ascii="Times New Roman" w:hAnsi="Times New Roman" w:cs="Times New Roman"/>
          <w:bCs/>
        </w:rPr>
      </w:pPr>
    </w:p>
    <w:p w14:paraId="3AA2A8E6" w14:textId="59A23146" w:rsidR="00C72EA1" w:rsidRDefault="00C72EA1" w:rsidP="00C72EA1">
      <w:pPr>
        <w:rPr>
          <w:rFonts w:ascii="Times New Roman" w:hAnsi="Times New Roman" w:cs="Times New Roman"/>
          <w:bCs/>
          <w:color w:val="000000"/>
          <w:shd w:val="clear" w:color="auto" w:fill="FFFFFF"/>
        </w:rPr>
      </w:pPr>
      <w:r w:rsidRPr="00C72EA1">
        <w:rPr>
          <w:rFonts w:ascii="Times New Roman" w:hAnsi="Times New Roman" w:cs="Times New Roman"/>
          <w:bCs/>
        </w:rPr>
        <w:t>Figure 2.1</w:t>
      </w:r>
      <w:r>
        <w:rPr>
          <w:rFonts w:ascii="Times New Roman" w:hAnsi="Times New Roman" w:cs="Times New Roman"/>
          <w:bCs/>
        </w:rPr>
        <w:t>3:</w:t>
      </w:r>
      <w:r w:rsidRPr="00C72EA1">
        <w:rPr>
          <w:rFonts w:ascii="Times New Roman" w:hAnsi="Times New Roman" w:cs="Times New Roman"/>
          <w:bCs/>
        </w:rPr>
        <w:t xml:space="preserve"> 2019 Tennessee Employment Effects by Region from the MHI ATPI </w:t>
      </w:r>
      <w:r w:rsidRPr="00702DDD">
        <w:rPr>
          <w:rFonts w:ascii="Times New Roman" w:hAnsi="Times New Roman" w:cs="Times New Roman"/>
          <w:bCs/>
        </w:rPr>
        <w:t>……</w:t>
      </w:r>
      <w:r w:rsidRPr="00702DDD">
        <w:rPr>
          <w:rFonts w:ascii="Times New Roman" w:hAnsi="Times New Roman" w:cs="Times New Roman"/>
          <w:bCs/>
          <w:color w:val="000000"/>
          <w:shd w:val="clear" w:color="auto" w:fill="FFFFFF"/>
        </w:rPr>
        <w:tab/>
        <w:t>6</w:t>
      </w:r>
      <w:r>
        <w:rPr>
          <w:rFonts w:ascii="Times New Roman" w:hAnsi="Times New Roman" w:cs="Times New Roman"/>
          <w:bCs/>
          <w:color w:val="000000"/>
          <w:shd w:val="clear" w:color="auto" w:fill="FFFFFF"/>
        </w:rPr>
        <w:t>8</w:t>
      </w:r>
    </w:p>
    <w:p w14:paraId="3E492FCF" w14:textId="77253437" w:rsidR="00C72EA1" w:rsidRDefault="00C72EA1" w:rsidP="00C72EA1">
      <w:pPr>
        <w:rPr>
          <w:rFonts w:ascii="Times New Roman" w:hAnsi="Times New Roman" w:cs="Times New Roman"/>
          <w:bCs/>
          <w:color w:val="000000"/>
          <w:shd w:val="clear" w:color="auto" w:fill="FFFFFF"/>
        </w:rPr>
      </w:pPr>
    </w:p>
    <w:p w14:paraId="7EBD46D2" w14:textId="56E1E575" w:rsidR="00C72EA1" w:rsidRPr="00C72EA1" w:rsidRDefault="00C72EA1" w:rsidP="00C72EA1">
      <w:pPr>
        <w:rPr>
          <w:rFonts w:ascii="Times New Roman" w:hAnsi="Times New Roman" w:cs="Times New Roman"/>
          <w:bCs/>
        </w:rPr>
      </w:pPr>
      <w:r w:rsidRPr="00C72EA1">
        <w:rPr>
          <w:rFonts w:ascii="Times New Roman" w:hAnsi="Times New Roman" w:cs="Times New Roman"/>
          <w:bCs/>
        </w:rPr>
        <w:t>Figure 2.</w:t>
      </w:r>
      <w:r>
        <w:rPr>
          <w:rFonts w:ascii="Times New Roman" w:hAnsi="Times New Roman" w:cs="Times New Roman"/>
          <w:bCs/>
        </w:rPr>
        <w:t>14:</w:t>
      </w:r>
      <w:r w:rsidRPr="00C72EA1">
        <w:rPr>
          <w:rFonts w:ascii="Times New Roman" w:hAnsi="Times New Roman" w:cs="Times New Roman"/>
          <w:bCs/>
        </w:rPr>
        <w:t xml:space="preserve"> 2019 Tennessee Employment Effects by Region from the Simple Average ATPI</w:t>
      </w:r>
    </w:p>
    <w:p w14:paraId="75973A6F" w14:textId="6BDD32A2" w:rsidR="00C72EA1" w:rsidRDefault="00C72EA1" w:rsidP="00C72EA1">
      <w:pPr>
        <w:rPr>
          <w:rFonts w:ascii="Times New Roman" w:hAnsi="Times New Roman" w:cs="Times New Roman"/>
          <w:bCs/>
          <w:color w:val="000000"/>
          <w:shd w:val="clear" w:color="auto" w:fill="FFFFFF"/>
        </w:rPr>
      </w:pPr>
      <w:r w:rsidRPr="00702DDD">
        <w:rPr>
          <w:rFonts w:ascii="Times New Roman" w:hAnsi="Times New Roman" w:cs="Times New Roman"/>
          <w:bCs/>
        </w:rPr>
        <w:tab/>
        <w:t>………………………………………………………………………………….</w:t>
      </w:r>
      <w:r w:rsidRPr="00702DDD">
        <w:rPr>
          <w:rFonts w:ascii="Times New Roman" w:hAnsi="Times New Roman" w:cs="Times New Roman"/>
          <w:bCs/>
          <w:color w:val="000000"/>
          <w:shd w:val="clear" w:color="auto" w:fill="FFFFFF"/>
        </w:rPr>
        <w:tab/>
        <w:t>6</w:t>
      </w:r>
      <w:r>
        <w:rPr>
          <w:rFonts w:ascii="Times New Roman" w:hAnsi="Times New Roman" w:cs="Times New Roman"/>
          <w:bCs/>
          <w:color w:val="000000"/>
          <w:shd w:val="clear" w:color="auto" w:fill="FFFFFF"/>
        </w:rPr>
        <w:t>8</w:t>
      </w:r>
    </w:p>
    <w:p w14:paraId="1FEC5974" w14:textId="5DF6936F" w:rsidR="00C72EA1" w:rsidRDefault="00C72EA1" w:rsidP="00C72EA1">
      <w:pPr>
        <w:rPr>
          <w:rFonts w:ascii="Times New Roman" w:hAnsi="Times New Roman" w:cs="Times New Roman"/>
          <w:bCs/>
          <w:color w:val="000000"/>
          <w:shd w:val="clear" w:color="auto" w:fill="FFFFFF"/>
        </w:rPr>
      </w:pPr>
    </w:p>
    <w:p w14:paraId="2CC5C793" w14:textId="2211B503" w:rsidR="00C72EA1" w:rsidRPr="00C72EA1" w:rsidRDefault="00C72EA1" w:rsidP="00C72EA1">
      <w:pPr>
        <w:rPr>
          <w:rFonts w:ascii="Times New Roman" w:hAnsi="Times New Roman" w:cs="Times New Roman"/>
          <w:bCs/>
        </w:rPr>
      </w:pPr>
      <w:r w:rsidRPr="00C72EA1">
        <w:rPr>
          <w:rFonts w:ascii="Times New Roman" w:hAnsi="Times New Roman" w:cs="Times New Roman"/>
          <w:bCs/>
        </w:rPr>
        <w:t>Figure 2.</w:t>
      </w:r>
      <w:r>
        <w:rPr>
          <w:rFonts w:ascii="Times New Roman" w:hAnsi="Times New Roman" w:cs="Times New Roman"/>
          <w:bCs/>
        </w:rPr>
        <w:t>15:</w:t>
      </w:r>
      <w:r w:rsidRPr="00C72EA1">
        <w:rPr>
          <w:rFonts w:ascii="Times New Roman" w:hAnsi="Times New Roman" w:cs="Times New Roman"/>
          <w:bCs/>
        </w:rPr>
        <w:t xml:space="preserve"> 2019 Tennessee Employment Effects by Region from the Negative Scaled Average ATPI</w:t>
      </w:r>
    </w:p>
    <w:p w14:paraId="13C600C0" w14:textId="4764ADB2" w:rsidR="00C72EA1" w:rsidRDefault="00C72EA1" w:rsidP="00C72EA1">
      <w:pPr>
        <w:rPr>
          <w:rFonts w:ascii="Times New Roman" w:hAnsi="Times New Roman" w:cs="Times New Roman"/>
          <w:bCs/>
        </w:rPr>
      </w:pPr>
      <w:r w:rsidRPr="00702DDD">
        <w:rPr>
          <w:rFonts w:ascii="Times New Roman" w:hAnsi="Times New Roman" w:cs="Times New Roman"/>
          <w:bCs/>
        </w:rPr>
        <w:tab/>
        <w:t>………………………………………………………………………………….</w:t>
      </w:r>
      <w:r w:rsidR="00432428">
        <w:rPr>
          <w:rFonts w:ascii="Times New Roman" w:hAnsi="Times New Roman" w:cs="Times New Roman"/>
          <w:bCs/>
        </w:rPr>
        <w:t>.</w:t>
      </w:r>
      <w:r w:rsidRPr="00C72EA1">
        <w:rPr>
          <w:rFonts w:ascii="Times New Roman" w:hAnsi="Times New Roman" w:cs="Times New Roman"/>
          <w:bCs/>
        </w:rPr>
        <w:tab/>
        <w:t>68</w:t>
      </w:r>
    </w:p>
    <w:p w14:paraId="165BEC0A" w14:textId="2148FE25" w:rsidR="00C72EA1" w:rsidRDefault="00C72EA1" w:rsidP="00C72EA1">
      <w:pPr>
        <w:rPr>
          <w:rFonts w:ascii="Times New Roman" w:hAnsi="Times New Roman" w:cs="Times New Roman"/>
          <w:bCs/>
        </w:rPr>
      </w:pPr>
    </w:p>
    <w:p w14:paraId="066CD5F4" w14:textId="2F74BFC9" w:rsidR="00C72EA1" w:rsidRDefault="00C72EA1" w:rsidP="00C72EA1">
      <w:pPr>
        <w:rPr>
          <w:rFonts w:ascii="Times New Roman" w:hAnsi="Times New Roman" w:cs="Times New Roman"/>
          <w:bCs/>
          <w:color w:val="000000"/>
          <w:shd w:val="clear" w:color="auto" w:fill="FFFFFF"/>
        </w:rPr>
      </w:pPr>
      <w:r w:rsidRPr="00C72EA1">
        <w:rPr>
          <w:rFonts w:ascii="Times New Roman" w:hAnsi="Times New Roman" w:cs="Times New Roman"/>
          <w:bCs/>
        </w:rPr>
        <w:t>Figure 2.</w:t>
      </w:r>
      <w:r>
        <w:rPr>
          <w:rFonts w:ascii="Times New Roman" w:hAnsi="Times New Roman" w:cs="Times New Roman"/>
          <w:bCs/>
        </w:rPr>
        <w:t>16:</w:t>
      </w:r>
      <w:r w:rsidRPr="00C72EA1">
        <w:rPr>
          <w:rFonts w:ascii="Times New Roman" w:hAnsi="Times New Roman" w:cs="Times New Roman"/>
          <w:bCs/>
        </w:rPr>
        <w:t xml:space="preserve"> 2019 Tennessee Labor Income Effects by Region from the MHI ATPI</w:t>
      </w:r>
      <w:r w:rsidRPr="00702DDD">
        <w:rPr>
          <w:rFonts w:ascii="Times New Roman" w:hAnsi="Times New Roman" w:cs="Times New Roman"/>
          <w:bCs/>
        </w:rPr>
        <w:t>……</w:t>
      </w:r>
      <w:r w:rsidRPr="00702DDD">
        <w:rPr>
          <w:rFonts w:ascii="Times New Roman" w:hAnsi="Times New Roman" w:cs="Times New Roman"/>
          <w:bCs/>
          <w:color w:val="000000"/>
          <w:shd w:val="clear" w:color="auto" w:fill="FFFFFF"/>
        </w:rPr>
        <w:tab/>
        <w:t>6</w:t>
      </w:r>
      <w:r>
        <w:rPr>
          <w:rFonts w:ascii="Times New Roman" w:hAnsi="Times New Roman" w:cs="Times New Roman"/>
          <w:bCs/>
          <w:color w:val="000000"/>
          <w:shd w:val="clear" w:color="auto" w:fill="FFFFFF"/>
        </w:rPr>
        <w:t>9</w:t>
      </w:r>
    </w:p>
    <w:p w14:paraId="4F46B3FA" w14:textId="59FF6907" w:rsidR="00C72EA1" w:rsidRDefault="00C72EA1" w:rsidP="00C72EA1">
      <w:pPr>
        <w:rPr>
          <w:rFonts w:ascii="Times New Roman" w:hAnsi="Times New Roman" w:cs="Times New Roman"/>
          <w:bCs/>
          <w:color w:val="000000"/>
          <w:shd w:val="clear" w:color="auto" w:fill="FFFFFF"/>
        </w:rPr>
      </w:pPr>
    </w:p>
    <w:p w14:paraId="1DEBBB90" w14:textId="28EB9074" w:rsidR="00C72EA1" w:rsidRPr="00C72EA1" w:rsidRDefault="00C72EA1" w:rsidP="00C72EA1">
      <w:pPr>
        <w:rPr>
          <w:rFonts w:ascii="Times New Roman" w:hAnsi="Times New Roman" w:cs="Times New Roman"/>
          <w:bCs/>
        </w:rPr>
      </w:pPr>
      <w:r w:rsidRPr="00C72EA1">
        <w:rPr>
          <w:rFonts w:ascii="Times New Roman" w:hAnsi="Times New Roman" w:cs="Times New Roman"/>
          <w:bCs/>
        </w:rPr>
        <w:t>Figure 2.</w:t>
      </w:r>
      <w:r>
        <w:rPr>
          <w:rFonts w:ascii="Times New Roman" w:hAnsi="Times New Roman" w:cs="Times New Roman"/>
          <w:bCs/>
        </w:rPr>
        <w:t>17:</w:t>
      </w:r>
      <w:r w:rsidRPr="00C72EA1">
        <w:rPr>
          <w:rFonts w:ascii="Times New Roman" w:hAnsi="Times New Roman" w:cs="Times New Roman"/>
          <w:bCs/>
        </w:rPr>
        <w:t xml:space="preserve"> 2019 Tennessee Labor Income Effects by Region from the Simple Average ATPI</w:t>
      </w:r>
    </w:p>
    <w:p w14:paraId="02BCF3BF" w14:textId="73AAEE35" w:rsidR="00C72EA1" w:rsidRDefault="00C72EA1" w:rsidP="00C72EA1">
      <w:pPr>
        <w:rPr>
          <w:rFonts w:ascii="Times New Roman" w:hAnsi="Times New Roman" w:cs="Times New Roman"/>
          <w:bCs/>
        </w:rPr>
      </w:pPr>
      <w:r w:rsidRPr="00702DDD">
        <w:rPr>
          <w:rFonts w:ascii="Times New Roman" w:hAnsi="Times New Roman" w:cs="Times New Roman"/>
          <w:bCs/>
        </w:rPr>
        <w:tab/>
        <w:t>………………………………………………………………………………….</w:t>
      </w:r>
      <w:r w:rsidRPr="00C72EA1">
        <w:rPr>
          <w:rFonts w:ascii="Times New Roman" w:hAnsi="Times New Roman" w:cs="Times New Roman"/>
          <w:bCs/>
        </w:rPr>
        <w:tab/>
        <w:t>6</w:t>
      </w:r>
      <w:r>
        <w:rPr>
          <w:rFonts w:ascii="Times New Roman" w:hAnsi="Times New Roman" w:cs="Times New Roman"/>
          <w:bCs/>
        </w:rPr>
        <w:t>9</w:t>
      </w:r>
    </w:p>
    <w:p w14:paraId="7F815B2A" w14:textId="1F12F350" w:rsidR="00C72EA1" w:rsidRDefault="00C72EA1" w:rsidP="00C72EA1">
      <w:pPr>
        <w:rPr>
          <w:rFonts w:ascii="Times New Roman" w:hAnsi="Times New Roman" w:cs="Times New Roman"/>
          <w:bCs/>
        </w:rPr>
      </w:pPr>
    </w:p>
    <w:p w14:paraId="6DB193FC" w14:textId="77777777" w:rsidR="00C72EA1" w:rsidRDefault="00C72EA1" w:rsidP="00C72EA1">
      <w:pPr>
        <w:rPr>
          <w:rFonts w:ascii="Times New Roman" w:hAnsi="Times New Roman" w:cs="Times New Roman"/>
          <w:bCs/>
        </w:rPr>
      </w:pPr>
    </w:p>
    <w:p w14:paraId="49312A49" w14:textId="580B7EB4" w:rsidR="00C72EA1" w:rsidRDefault="00C72EA1" w:rsidP="00C72EA1">
      <w:pPr>
        <w:rPr>
          <w:rFonts w:ascii="Times New Roman" w:hAnsi="Times New Roman" w:cs="Times New Roman"/>
          <w:bCs/>
        </w:rPr>
      </w:pPr>
      <w:r w:rsidRPr="00C72EA1">
        <w:rPr>
          <w:rFonts w:ascii="Times New Roman" w:hAnsi="Times New Roman" w:cs="Times New Roman"/>
          <w:bCs/>
        </w:rPr>
        <w:lastRenderedPageBreak/>
        <w:t>Figure 2.</w:t>
      </w:r>
      <w:r>
        <w:rPr>
          <w:rFonts w:ascii="Times New Roman" w:hAnsi="Times New Roman" w:cs="Times New Roman"/>
          <w:bCs/>
        </w:rPr>
        <w:t>18:</w:t>
      </w:r>
      <w:r w:rsidRPr="00C72EA1">
        <w:rPr>
          <w:rFonts w:ascii="Times New Roman" w:hAnsi="Times New Roman" w:cs="Times New Roman"/>
          <w:bCs/>
        </w:rPr>
        <w:t xml:space="preserve"> 2019 Tennessee Labor Income Effects by Region from the Negative Scaled Average ATPI</w:t>
      </w:r>
      <w:r>
        <w:rPr>
          <w:rFonts w:ascii="Times New Roman" w:hAnsi="Times New Roman" w:cs="Times New Roman"/>
          <w:bCs/>
        </w:rPr>
        <w:t>…</w:t>
      </w:r>
      <w:r w:rsidRPr="00702DDD">
        <w:rPr>
          <w:rFonts w:ascii="Times New Roman" w:hAnsi="Times New Roman" w:cs="Times New Roman"/>
          <w:bCs/>
        </w:rPr>
        <w:t>………………………………………………………………………………….</w:t>
      </w:r>
      <w:r w:rsidRPr="00C72EA1">
        <w:rPr>
          <w:rFonts w:ascii="Times New Roman" w:hAnsi="Times New Roman" w:cs="Times New Roman"/>
          <w:bCs/>
        </w:rPr>
        <w:tab/>
        <w:t>6</w:t>
      </w:r>
      <w:r>
        <w:rPr>
          <w:rFonts w:ascii="Times New Roman" w:hAnsi="Times New Roman" w:cs="Times New Roman"/>
          <w:bCs/>
        </w:rPr>
        <w:t>9</w:t>
      </w:r>
    </w:p>
    <w:p w14:paraId="283EE25E" w14:textId="62BD2796" w:rsidR="00C72EA1" w:rsidRDefault="00C72EA1" w:rsidP="00C72EA1">
      <w:pPr>
        <w:rPr>
          <w:rFonts w:ascii="Times New Roman" w:hAnsi="Times New Roman" w:cs="Times New Roman"/>
          <w:bCs/>
        </w:rPr>
      </w:pPr>
    </w:p>
    <w:p w14:paraId="7F5336B8" w14:textId="3AC9C7AA" w:rsidR="00C72EA1" w:rsidRDefault="00C72EA1" w:rsidP="00C72EA1">
      <w:pPr>
        <w:rPr>
          <w:rFonts w:ascii="Times New Roman" w:hAnsi="Times New Roman" w:cs="Times New Roman"/>
          <w:bCs/>
        </w:rPr>
      </w:pPr>
      <w:r w:rsidRPr="00C72EA1">
        <w:rPr>
          <w:rFonts w:ascii="Times New Roman" w:hAnsi="Times New Roman" w:cs="Times New Roman"/>
          <w:bCs/>
        </w:rPr>
        <w:t>Figure 2.</w:t>
      </w:r>
      <w:r>
        <w:rPr>
          <w:rFonts w:ascii="Times New Roman" w:hAnsi="Times New Roman" w:cs="Times New Roman"/>
          <w:bCs/>
        </w:rPr>
        <w:t>19</w:t>
      </w:r>
      <w:r w:rsidRPr="00C72EA1">
        <w:rPr>
          <w:rFonts w:ascii="Times New Roman" w:hAnsi="Times New Roman" w:cs="Times New Roman"/>
          <w:bCs/>
        </w:rPr>
        <w:t>: 2019 Tennessee Value Added Effects by Region from the MHI ATPI</w:t>
      </w:r>
      <w:r>
        <w:rPr>
          <w:rFonts w:ascii="Times New Roman" w:hAnsi="Times New Roman" w:cs="Times New Roman"/>
          <w:bCs/>
        </w:rPr>
        <w:t>.</w:t>
      </w:r>
      <w:r w:rsidRPr="00702DDD">
        <w:rPr>
          <w:rFonts w:ascii="Times New Roman" w:hAnsi="Times New Roman" w:cs="Times New Roman"/>
          <w:bCs/>
        </w:rPr>
        <w:t>….</w:t>
      </w:r>
      <w:r w:rsidRPr="00C72EA1">
        <w:rPr>
          <w:rFonts w:ascii="Times New Roman" w:hAnsi="Times New Roman" w:cs="Times New Roman"/>
          <w:bCs/>
        </w:rPr>
        <w:tab/>
      </w:r>
      <w:r>
        <w:rPr>
          <w:rFonts w:ascii="Times New Roman" w:hAnsi="Times New Roman" w:cs="Times New Roman"/>
          <w:bCs/>
        </w:rPr>
        <w:t>70</w:t>
      </w:r>
    </w:p>
    <w:p w14:paraId="4ABF078C" w14:textId="36A3E746" w:rsidR="00C72EA1" w:rsidRDefault="00C72EA1" w:rsidP="00C72EA1">
      <w:pPr>
        <w:rPr>
          <w:rFonts w:ascii="Times New Roman" w:hAnsi="Times New Roman" w:cs="Times New Roman"/>
          <w:bCs/>
        </w:rPr>
      </w:pPr>
    </w:p>
    <w:p w14:paraId="65128F84" w14:textId="665EECE3" w:rsidR="00C72EA1" w:rsidRPr="00C72EA1" w:rsidRDefault="00C72EA1" w:rsidP="00C72EA1">
      <w:pPr>
        <w:rPr>
          <w:rFonts w:ascii="Times New Roman" w:hAnsi="Times New Roman" w:cs="Times New Roman"/>
          <w:bCs/>
        </w:rPr>
      </w:pPr>
      <w:r w:rsidRPr="00C72EA1">
        <w:rPr>
          <w:rFonts w:ascii="Times New Roman" w:hAnsi="Times New Roman" w:cs="Times New Roman"/>
          <w:bCs/>
        </w:rPr>
        <w:t>Figure 2.</w:t>
      </w:r>
      <w:r>
        <w:rPr>
          <w:rFonts w:ascii="Times New Roman" w:hAnsi="Times New Roman" w:cs="Times New Roman"/>
          <w:bCs/>
        </w:rPr>
        <w:t>20:</w:t>
      </w:r>
      <w:r w:rsidRPr="00C72EA1">
        <w:rPr>
          <w:rFonts w:ascii="Times New Roman" w:hAnsi="Times New Roman" w:cs="Times New Roman"/>
          <w:bCs/>
        </w:rPr>
        <w:t xml:space="preserve"> 2019 Tennessee Value Added Effects by Region from the Simple Average ATPI</w:t>
      </w:r>
    </w:p>
    <w:p w14:paraId="77886140" w14:textId="77777777" w:rsidR="00C72EA1" w:rsidRDefault="00C72EA1" w:rsidP="00C72EA1">
      <w:pPr>
        <w:rPr>
          <w:rFonts w:ascii="Times New Roman" w:hAnsi="Times New Roman" w:cs="Times New Roman"/>
          <w:bCs/>
        </w:rPr>
      </w:pPr>
      <w:r w:rsidRPr="00702DDD">
        <w:rPr>
          <w:rFonts w:ascii="Times New Roman" w:hAnsi="Times New Roman" w:cs="Times New Roman"/>
          <w:bCs/>
        </w:rPr>
        <w:tab/>
        <w:t>………………………………………………………………………………….</w:t>
      </w:r>
      <w:r w:rsidRPr="00C72EA1">
        <w:rPr>
          <w:rFonts w:ascii="Times New Roman" w:hAnsi="Times New Roman" w:cs="Times New Roman"/>
          <w:bCs/>
        </w:rPr>
        <w:tab/>
      </w:r>
      <w:r>
        <w:rPr>
          <w:rFonts w:ascii="Times New Roman" w:hAnsi="Times New Roman" w:cs="Times New Roman"/>
          <w:bCs/>
        </w:rPr>
        <w:t>70</w:t>
      </w:r>
    </w:p>
    <w:p w14:paraId="48EC3CE0" w14:textId="31C00683" w:rsidR="00C72EA1" w:rsidRDefault="00C72EA1" w:rsidP="00C72EA1">
      <w:pPr>
        <w:rPr>
          <w:rFonts w:ascii="Times New Roman" w:hAnsi="Times New Roman" w:cs="Times New Roman"/>
          <w:bCs/>
        </w:rPr>
      </w:pPr>
    </w:p>
    <w:p w14:paraId="7B5C3079" w14:textId="7A7103C8" w:rsidR="00C72EA1" w:rsidRDefault="00C72EA1" w:rsidP="00C72EA1">
      <w:pPr>
        <w:rPr>
          <w:rFonts w:ascii="Times New Roman" w:hAnsi="Times New Roman" w:cs="Times New Roman"/>
          <w:bCs/>
        </w:rPr>
      </w:pPr>
      <w:r w:rsidRPr="00C72EA1">
        <w:rPr>
          <w:rFonts w:ascii="Times New Roman" w:hAnsi="Times New Roman" w:cs="Times New Roman"/>
          <w:bCs/>
        </w:rPr>
        <w:t>Figure 2.</w:t>
      </w:r>
      <w:r>
        <w:rPr>
          <w:rFonts w:ascii="Times New Roman" w:hAnsi="Times New Roman" w:cs="Times New Roman"/>
          <w:bCs/>
        </w:rPr>
        <w:t>21:</w:t>
      </w:r>
      <w:r w:rsidRPr="00C72EA1">
        <w:rPr>
          <w:rFonts w:ascii="Times New Roman" w:hAnsi="Times New Roman" w:cs="Times New Roman"/>
          <w:bCs/>
        </w:rPr>
        <w:t xml:space="preserve"> 2019 Tennessee Value Added Effects by Region from the Negative Scaled Average ATPI</w:t>
      </w:r>
      <w:r>
        <w:rPr>
          <w:rFonts w:ascii="Times New Roman" w:hAnsi="Times New Roman" w:cs="Times New Roman"/>
          <w:b/>
        </w:rPr>
        <w:t>…</w:t>
      </w:r>
      <w:r w:rsidRPr="00702DDD">
        <w:rPr>
          <w:rFonts w:ascii="Times New Roman" w:hAnsi="Times New Roman" w:cs="Times New Roman"/>
          <w:bCs/>
        </w:rPr>
        <w:t>………………………………………………………………………………….</w:t>
      </w:r>
      <w:r w:rsidRPr="00C72EA1">
        <w:rPr>
          <w:rFonts w:ascii="Times New Roman" w:hAnsi="Times New Roman" w:cs="Times New Roman"/>
          <w:bCs/>
        </w:rPr>
        <w:tab/>
      </w:r>
      <w:r>
        <w:rPr>
          <w:rFonts w:ascii="Times New Roman" w:hAnsi="Times New Roman" w:cs="Times New Roman"/>
          <w:bCs/>
        </w:rPr>
        <w:t>70</w:t>
      </w:r>
    </w:p>
    <w:p w14:paraId="5CAB0AD6" w14:textId="7823B0F1" w:rsidR="00C72EA1" w:rsidRDefault="00C72EA1" w:rsidP="00C72EA1">
      <w:pPr>
        <w:rPr>
          <w:rFonts w:ascii="Times New Roman" w:hAnsi="Times New Roman" w:cs="Times New Roman"/>
          <w:bCs/>
        </w:rPr>
      </w:pPr>
    </w:p>
    <w:p w14:paraId="25FFF802" w14:textId="0B3F53F5" w:rsidR="00C72EA1" w:rsidRDefault="00C72EA1" w:rsidP="00C72EA1">
      <w:pPr>
        <w:rPr>
          <w:rFonts w:ascii="Times New Roman" w:hAnsi="Times New Roman" w:cs="Times New Roman"/>
          <w:bCs/>
        </w:rPr>
      </w:pPr>
      <w:r w:rsidRPr="00C72EA1">
        <w:rPr>
          <w:rFonts w:ascii="Times New Roman" w:hAnsi="Times New Roman" w:cs="Times New Roman"/>
          <w:bCs/>
        </w:rPr>
        <w:t>Figure 2.</w:t>
      </w:r>
      <w:r>
        <w:rPr>
          <w:rFonts w:ascii="Times New Roman" w:hAnsi="Times New Roman" w:cs="Times New Roman"/>
          <w:bCs/>
        </w:rPr>
        <w:t>22</w:t>
      </w:r>
      <w:r w:rsidRPr="00C72EA1">
        <w:rPr>
          <w:rFonts w:ascii="Times New Roman" w:hAnsi="Times New Roman" w:cs="Times New Roman"/>
          <w:bCs/>
        </w:rPr>
        <w:t>: 2019 Tennessee Output Effects by Region from the MHI ATPI</w:t>
      </w:r>
      <w:r>
        <w:rPr>
          <w:rFonts w:ascii="Times New Roman" w:hAnsi="Times New Roman" w:cs="Times New Roman"/>
          <w:b/>
        </w:rPr>
        <w:t xml:space="preserve"> </w:t>
      </w:r>
      <w:r w:rsidRPr="00C72EA1">
        <w:rPr>
          <w:rFonts w:ascii="Times New Roman" w:hAnsi="Times New Roman" w:cs="Times New Roman"/>
          <w:bCs/>
        </w:rPr>
        <w:t>…..…</w:t>
      </w:r>
      <w:r>
        <w:rPr>
          <w:rFonts w:ascii="Times New Roman" w:hAnsi="Times New Roman" w:cs="Times New Roman"/>
          <w:bCs/>
        </w:rPr>
        <w:t>….</w:t>
      </w:r>
      <w:r w:rsidRPr="00C72EA1">
        <w:rPr>
          <w:rFonts w:ascii="Times New Roman" w:hAnsi="Times New Roman" w:cs="Times New Roman"/>
          <w:bCs/>
        </w:rPr>
        <w:tab/>
      </w:r>
      <w:r>
        <w:rPr>
          <w:rFonts w:ascii="Times New Roman" w:hAnsi="Times New Roman" w:cs="Times New Roman"/>
          <w:bCs/>
        </w:rPr>
        <w:t>71</w:t>
      </w:r>
    </w:p>
    <w:p w14:paraId="4C5E4DF2" w14:textId="2B16105C" w:rsidR="00C72EA1" w:rsidRDefault="00C72EA1" w:rsidP="00C72EA1">
      <w:pPr>
        <w:rPr>
          <w:rFonts w:ascii="Times New Roman" w:hAnsi="Times New Roman" w:cs="Times New Roman"/>
          <w:bCs/>
        </w:rPr>
      </w:pPr>
    </w:p>
    <w:p w14:paraId="6AEF5F74" w14:textId="6F9FC2EF" w:rsidR="00C72EA1" w:rsidRPr="00C72EA1" w:rsidRDefault="00C72EA1" w:rsidP="00C72EA1">
      <w:pPr>
        <w:rPr>
          <w:rFonts w:ascii="Times New Roman" w:hAnsi="Times New Roman" w:cs="Times New Roman"/>
          <w:bCs/>
        </w:rPr>
      </w:pPr>
      <w:r w:rsidRPr="00C72EA1">
        <w:rPr>
          <w:rFonts w:ascii="Times New Roman" w:hAnsi="Times New Roman" w:cs="Times New Roman"/>
          <w:bCs/>
        </w:rPr>
        <w:t>Figure 2.2</w:t>
      </w:r>
      <w:r>
        <w:rPr>
          <w:rFonts w:ascii="Times New Roman" w:hAnsi="Times New Roman" w:cs="Times New Roman"/>
          <w:bCs/>
        </w:rPr>
        <w:t>3:</w:t>
      </w:r>
      <w:r w:rsidRPr="00C72EA1">
        <w:rPr>
          <w:rFonts w:ascii="Times New Roman" w:hAnsi="Times New Roman" w:cs="Times New Roman"/>
          <w:bCs/>
        </w:rPr>
        <w:t xml:space="preserve"> 2019 Tennessee Output Effects by Region from the Simple Average ATPI </w:t>
      </w:r>
    </w:p>
    <w:p w14:paraId="3CA2B82D" w14:textId="4E37FEA9" w:rsidR="00C72EA1" w:rsidRDefault="00C72EA1" w:rsidP="00C72EA1">
      <w:pPr>
        <w:rPr>
          <w:rFonts w:ascii="Times New Roman" w:hAnsi="Times New Roman" w:cs="Times New Roman"/>
          <w:bCs/>
        </w:rPr>
      </w:pPr>
      <w:r w:rsidRPr="00702DDD">
        <w:rPr>
          <w:rFonts w:ascii="Times New Roman" w:hAnsi="Times New Roman" w:cs="Times New Roman"/>
          <w:bCs/>
        </w:rPr>
        <w:tab/>
        <w:t>………………………………………………………………………………….</w:t>
      </w:r>
      <w:r w:rsidRPr="00C72EA1">
        <w:rPr>
          <w:rFonts w:ascii="Times New Roman" w:hAnsi="Times New Roman" w:cs="Times New Roman"/>
          <w:bCs/>
        </w:rPr>
        <w:tab/>
      </w:r>
      <w:r>
        <w:rPr>
          <w:rFonts w:ascii="Times New Roman" w:hAnsi="Times New Roman" w:cs="Times New Roman"/>
          <w:bCs/>
        </w:rPr>
        <w:t>71</w:t>
      </w:r>
    </w:p>
    <w:p w14:paraId="553177E1" w14:textId="244FE7C1" w:rsidR="00C72EA1" w:rsidRDefault="00C72EA1" w:rsidP="00C72EA1">
      <w:pPr>
        <w:rPr>
          <w:rFonts w:ascii="Times New Roman" w:hAnsi="Times New Roman" w:cs="Times New Roman"/>
          <w:bCs/>
        </w:rPr>
      </w:pPr>
    </w:p>
    <w:p w14:paraId="2B47C3C9" w14:textId="3DBB6EED" w:rsidR="00C72EA1" w:rsidRPr="00C72EA1" w:rsidRDefault="00C72EA1" w:rsidP="00C72EA1">
      <w:pPr>
        <w:rPr>
          <w:rFonts w:ascii="Times New Roman" w:hAnsi="Times New Roman" w:cs="Times New Roman"/>
          <w:bCs/>
        </w:rPr>
      </w:pPr>
      <w:r w:rsidRPr="00C72EA1">
        <w:rPr>
          <w:rFonts w:ascii="Times New Roman" w:hAnsi="Times New Roman" w:cs="Times New Roman"/>
          <w:bCs/>
        </w:rPr>
        <w:t>Figure 2.</w:t>
      </w:r>
      <w:r>
        <w:rPr>
          <w:rFonts w:ascii="Times New Roman" w:hAnsi="Times New Roman" w:cs="Times New Roman"/>
          <w:bCs/>
        </w:rPr>
        <w:t>24:</w:t>
      </w:r>
      <w:r w:rsidRPr="00C72EA1">
        <w:rPr>
          <w:rFonts w:ascii="Times New Roman" w:hAnsi="Times New Roman" w:cs="Times New Roman"/>
          <w:bCs/>
        </w:rPr>
        <w:t xml:space="preserve"> 2019 Tennessee Output Effects by Region from the Negative Scaled Average ATPI</w:t>
      </w:r>
    </w:p>
    <w:p w14:paraId="6B160CC6" w14:textId="29C2A52F" w:rsidR="00C72EA1" w:rsidRDefault="00C72EA1" w:rsidP="00C72EA1">
      <w:pPr>
        <w:ind w:firstLine="720"/>
        <w:rPr>
          <w:rFonts w:ascii="Times New Roman" w:hAnsi="Times New Roman" w:cs="Times New Roman"/>
          <w:bCs/>
        </w:rPr>
      </w:pPr>
      <w:r>
        <w:rPr>
          <w:rFonts w:ascii="Times New Roman" w:hAnsi="Times New Roman" w:cs="Times New Roman"/>
          <w:b/>
        </w:rPr>
        <w:t>…</w:t>
      </w:r>
      <w:r w:rsidRPr="00702DDD">
        <w:rPr>
          <w:rFonts w:ascii="Times New Roman" w:hAnsi="Times New Roman" w:cs="Times New Roman"/>
          <w:bCs/>
        </w:rPr>
        <w:t>………………………………………………………………………………….</w:t>
      </w:r>
      <w:r w:rsidRPr="00C72EA1">
        <w:rPr>
          <w:rFonts w:ascii="Times New Roman" w:hAnsi="Times New Roman" w:cs="Times New Roman"/>
          <w:bCs/>
        </w:rPr>
        <w:tab/>
      </w:r>
      <w:r>
        <w:rPr>
          <w:rFonts w:ascii="Times New Roman" w:hAnsi="Times New Roman" w:cs="Times New Roman"/>
          <w:bCs/>
        </w:rPr>
        <w:t>71</w:t>
      </w:r>
    </w:p>
    <w:p w14:paraId="287A92AF" w14:textId="77777777" w:rsidR="00C72EA1" w:rsidRDefault="00C72EA1" w:rsidP="00C72EA1">
      <w:pPr>
        <w:rPr>
          <w:rFonts w:ascii="Times New Roman" w:hAnsi="Times New Roman" w:cs="Times New Roman"/>
          <w:bCs/>
        </w:rPr>
      </w:pPr>
    </w:p>
    <w:p w14:paraId="00FB9326" w14:textId="2C6564E2" w:rsidR="00C72EA1" w:rsidRDefault="00C72EA1" w:rsidP="00C72EA1">
      <w:pPr>
        <w:rPr>
          <w:rFonts w:ascii="Times New Roman" w:hAnsi="Times New Roman" w:cs="Times New Roman"/>
          <w:bCs/>
        </w:rPr>
      </w:pPr>
    </w:p>
    <w:p w14:paraId="48DC0A11" w14:textId="77777777" w:rsidR="00C72EA1" w:rsidRDefault="00C72EA1" w:rsidP="00C72EA1">
      <w:pPr>
        <w:rPr>
          <w:rFonts w:ascii="Times New Roman" w:hAnsi="Times New Roman" w:cs="Times New Roman"/>
          <w:bCs/>
        </w:rPr>
      </w:pPr>
    </w:p>
    <w:p w14:paraId="452BFA06" w14:textId="18B3800D" w:rsidR="00C72EA1" w:rsidRDefault="00C72EA1" w:rsidP="00C72EA1">
      <w:pPr>
        <w:rPr>
          <w:rFonts w:ascii="Times New Roman" w:hAnsi="Times New Roman" w:cs="Times New Roman"/>
          <w:bCs/>
        </w:rPr>
      </w:pPr>
    </w:p>
    <w:p w14:paraId="3944352F" w14:textId="77777777" w:rsidR="00C72EA1" w:rsidRDefault="00C72EA1" w:rsidP="00C72EA1">
      <w:pPr>
        <w:rPr>
          <w:rFonts w:ascii="Times New Roman" w:hAnsi="Times New Roman" w:cs="Times New Roman"/>
          <w:bCs/>
        </w:rPr>
      </w:pPr>
    </w:p>
    <w:p w14:paraId="087E66D4" w14:textId="77777777" w:rsidR="00C72EA1" w:rsidRPr="00C72EA1" w:rsidRDefault="00C72EA1" w:rsidP="00C72EA1">
      <w:pPr>
        <w:rPr>
          <w:rFonts w:ascii="Times New Roman" w:hAnsi="Times New Roman" w:cs="Times New Roman"/>
          <w:b/>
        </w:rPr>
      </w:pPr>
    </w:p>
    <w:p w14:paraId="0C480A63" w14:textId="77777777" w:rsidR="00C72EA1" w:rsidRPr="00C72EA1" w:rsidRDefault="00C72EA1" w:rsidP="00C72EA1">
      <w:pPr>
        <w:rPr>
          <w:rFonts w:ascii="Times New Roman" w:hAnsi="Times New Roman" w:cs="Times New Roman"/>
          <w:b/>
        </w:rPr>
      </w:pPr>
    </w:p>
    <w:p w14:paraId="2EC68DC8" w14:textId="77777777" w:rsidR="00C72EA1" w:rsidRDefault="00C72EA1" w:rsidP="00C72EA1">
      <w:pPr>
        <w:rPr>
          <w:rFonts w:ascii="Times New Roman" w:hAnsi="Times New Roman" w:cs="Times New Roman"/>
          <w:bCs/>
        </w:rPr>
      </w:pPr>
    </w:p>
    <w:p w14:paraId="0DA489D3" w14:textId="77777777" w:rsidR="00C72EA1" w:rsidRDefault="00C72EA1" w:rsidP="00C72EA1">
      <w:pPr>
        <w:rPr>
          <w:rFonts w:ascii="Times New Roman" w:hAnsi="Times New Roman" w:cs="Times New Roman"/>
          <w:bCs/>
        </w:rPr>
      </w:pPr>
    </w:p>
    <w:p w14:paraId="350D137D" w14:textId="77777777" w:rsidR="00C72EA1" w:rsidRDefault="00C72EA1" w:rsidP="00C72EA1">
      <w:pPr>
        <w:rPr>
          <w:rFonts w:ascii="Times New Roman" w:hAnsi="Times New Roman" w:cs="Times New Roman"/>
          <w:bCs/>
        </w:rPr>
      </w:pPr>
    </w:p>
    <w:p w14:paraId="7FEBC5CA" w14:textId="1A00AB62" w:rsidR="00C72EA1" w:rsidRDefault="00C72EA1" w:rsidP="00C72EA1">
      <w:pPr>
        <w:rPr>
          <w:rFonts w:ascii="Times New Roman" w:hAnsi="Times New Roman" w:cs="Times New Roman"/>
          <w:bCs/>
        </w:rPr>
      </w:pPr>
    </w:p>
    <w:p w14:paraId="26BB8C58" w14:textId="77777777" w:rsidR="00C72EA1" w:rsidRDefault="00C72EA1" w:rsidP="00C72EA1">
      <w:pPr>
        <w:rPr>
          <w:rFonts w:ascii="Times New Roman" w:hAnsi="Times New Roman" w:cs="Times New Roman"/>
          <w:bCs/>
        </w:rPr>
      </w:pPr>
    </w:p>
    <w:p w14:paraId="366D1DAA" w14:textId="77777777" w:rsidR="00C72EA1" w:rsidRDefault="00C72EA1" w:rsidP="00C72EA1">
      <w:pPr>
        <w:rPr>
          <w:rFonts w:ascii="Times New Roman" w:hAnsi="Times New Roman" w:cs="Times New Roman"/>
          <w:bCs/>
          <w:color w:val="000000"/>
          <w:shd w:val="clear" w:color="auto" w:fill="FFFFFF"/>
        </w:rPr>
      </w:pPr>
    </w:p>
    <w:p w14:paraId="79E5D116" w14:textId="77777777" w:rsidR="00C72EA1" w:rsidRPr="00C72EA1" w:rsidRDefault="00C72EA1" w:rsidP="00C72EA1">
      <w:pPr>
        <w:rPr>
          <w:rFonts w:ascii="Times New Roman" w:hAnsi="Times New Roman" w:cs="Times New Roman"/>
          <w:bCs/>
        </w:rPr>
      </w:pPr>
    </w:p>
    <w:p w14:paraId="084A95C8" w14:textId="77777777" w:rsidR="00C72EA1" w:rsidRPr="00C72EA1" w:rsidRDefault="00C72EA1" w:rsidP="00C72EA1">
      <w:pPr>
        <w:rPr>
          <w:rFonts w:ascii="Times New Roman" w:hAnsi="Times New Roman" w:cs="Times New Roman"/>
          <w:bCs/>
        </w:rPr>
      </w:pPr>
    </w:p>
    <w:p w14:paraId="578301F5" w14:textId="77777777" w:rsidR="00C72EA1" w:rsidRPr="00702DDD" w:rsidRDefault="00C72EA1" w:rsidP="00C72EA1">
      <w:pPr>
        <w:rPr>
          <w:rFonts w:ascii="Times New Roman" w:hAnsi="Times New Roman" w:cs="Times New Roman"/>
          <w:bCs/>
          <w:color w:val="000000"/>
          <w:shd w:val="clear" w:color="auto" w:fill="FFFFFF"/>
        </w:rPr>
      </w:pPr>
    </w:p>
    <w:p w14:paraId="69510E8D" w14:textId="77777777" w:rsidR="00C72EA1" w:rsidRDefault="00C72EA1" w:rsidP="00C72EA1">
      <w:pPr>
        <w:rPr>
          <w:rFonts w:ascii="Times New Roman" w:hAnsi="Times New Roman" w:cs="Times New Roman"/>
          <w:bCs/>
          <w:color w:val="000000"/>
          <w:shd w:val="clear" w:color="auto" w:fill="FFFFFF"/>
        </w:rPr>
      </w:pPr>
    </w:p>
    <w:p w14:paraId="2256F605" w14:textId="0C86D0C7" w:rsidR="00C72EA1" w:rsidRDefault="00C72EA1" w:rsidP="00C72EA1">
      <w:pPr>
        <w:rPr>
          <w:rFonts w:ascii="Times New Roman" w:hAnsi="Times New Roman" w:cs="Times New Roman"/>
          <w:bCs/>
          <w:color w:val="000000"/>
          <w:shd w:val="clear" w:color="auto" w:fill="FFFFFF"/>
        </w:rPr>
      </w:pPr>
    </w:p>
    <w:p w14:paraId="2B041266" w14:textId="77777777" w:rsidR="00C72EA1" w:rsidRPr="00C72EA1" w:rsidRDefault="00C72EA1" w:rsidP="00C72EA1">
      <w:pPr>
        <w:rPr>
          <w:rFonts w:ascii="Times New Roman" w:hAnsi="Times New Roman" w:cs="Times New Roman"/>
          <w:bCs/>
        </w:rPr>
      </w:pPr>
    </w:p>
    <w:p w14:paraId="577D44DC" w14:textId="77777777" w:rsidR="00C72EA1" w:rsidRPr="00702DDD" w:rsidRDefault="00C72EA1" w:rsidP="00B852D1">
      <w:pPr>
        <w:rPr>
          <w:rFonts w:ascii="Times New Roman" w:hAnsi="Times New Roman" w:cs="Times New Roman"/>
          <w:bCs/>
        </w:rPr>
      </w:pPr>
    </w:p>
    <w:p w14:paraId="3FF1275C" w14:textId="77777777" w:rsidR="00B852D1" w:rsidRPr="00702DDD" w:rsidRDefault="00B852D1" w:rsidP="00B852D1">
      <w:pPr>
        <w:rPr>
          <w:rFonts w:ascii="Times New Roman" w:hAnsi="Times New Roman" w:cs="Times New Roman"/>
          <w:bCs/>
          <w:highlight w:val="green"/>
        </w:rPr>
      </w:pPr>
    </w:p>
    <w:p w14:paraId="04C71AEF" w14:textId="77777777" w:rsidR="003870EC" w:rsidRPr="00702DDD" w:rsidRDefault="003870EC" w:rsidP="004560A0">
      <w:pPr>
        <w:spacing w:line="259" w:lineRule="auto"/>
        <w:rPr>
          <w:rFonts w:ascii="Times New Roman" w:hAnsi="Times New Roman" w:cs="Times New Roman"/>
          <w:color w:val="000000"/>
          <w:shd w:val="clear" w:color="auto" w:fill="FFFFFF"/>
        </w:rPr>
      </w:pPr>
    </w:p>
    <w:p w14:paraId="55B0044E" w14:textId="77777777" w:rsidR="003870EC" w:rsidRPr="00702DDD" w:rsidRDefault="003870EC" w:rsidP="004560A0">
      <w:pPr>
        <w:spacing w:line="259" w:lineRule="auto"/>
        <w:rPr>
          <w:rFonts w:ascii="Times New Roman" w:hAnsi="Times New Roman" w:cs="Times New Roman"/>
          <w:color w:val="000000"/>
          <w:shd w:val="clear" w:color="auto" w:fill="FFFFFF"/>
        </w:rPr>
      </w:pPr>
    </w:p>
    <w:bookmarkEnd w:id="0"/>
    <w:p w14:paraId="0C3FA5DB" w14:textId="77777777" w:rsidR="001D7365" w:rsidRPr="00702DDD" w:rsidRDefault="001D7365" w:rsidP="004560A0">
      <w:pPr>
        <w:numPr>
          <w:ilvl w:val="12"/>
          <w:numId w:val="0"/>
        </w:numPr>
        <w:spacing w:after="240"/>
        <w:rPr>
          <w:rFonts w:ascii="Times New Roman" w:hAnsi="Times New Roman" w:cs="Times New Roman"/>
          <w:color w:val="000000"/>
          <w:shd w:val="clear" w:color="auto" w:fill="FFFFFF"/>
        </w:rPr>
      </w:pPr>
    </w:p>
    <w:p w14:paraId="20645EBC" w14:textId="67C24782" w:rsidR="003870EC" w:rsidRPr="00702DDD" w:rsidRDefault="003870EC" w:rsidP="004560A0">
      <w:pPr>
        <w:numPr>
          <w:ilvl w:val="12"/>
          <w:numId w:val="0"/>
        </w:numPr>
        <w:spacing w:after="240"/>
        <w:rPr>
          <w:rFonts w:ascii="Times New Roman" w:hAnsi="Times New Roman" w:cs="Times New Roman"/>
        </w:rPr>
        <w:sectPr w:rsidR="003870EC" w:rsidRPr="00702DDD" w:rsidSect="002C5081">
          <w:headerReference w:type="even" r:id="rId8"/>
          <w:headerReference w:type="default" r:id="rId9"/>
          <w:footerReference w:type="default" r:id="rId10"/>
          <w:pgSz w:w="12240" w:h="15840" w:code="1"/>
          <w:pgMar w:top="1440" w:right="1440" w:bottom="1440" w:left="1440" w:header="720" w:footer="1440" w:gutter="0"/>
          <w:pgNumType w:fmt="lowerRoman" w:start="1"/>
          <w:cols w:space="720"/>
          <w:noEndnote/>
          <w:titlePg/>
        </w:sectPr>
      </w:pPr>
    </w:p>
    <w:p w14:paraId="45931F53" w14:textId="31615EE5" w:rsidR="007D287F" w:rsidRPr="00702DDD" w:rsidRDefault="007D287F" w:rsidP="00A41FF8">
      <w:pPr>
        <w:pStyle w:val="Heading1"/>
      </w:pPr>
      <w:bookmarkStart w:id="1" w:name="_Toc98692968"/>
      <w:r w:rsidRPr="00702DDD">
        <w:lastRenderedPageBreak/>
        <w:t>I</w:t>
      </w:r>
      <w:r w:rsidR="00834DBA" w:rsidRPr="00702DDD">
        <w:t>ntroduction</w:t>
      </w:r>
      <w:bookmarkEnd w:id="1"/>
    </w:p>
    <w:p w14:paraId="401AD4BB" w14:textId="2AC8B6E8" w:rsidR="00EF03AB" w:rsidRPr="00702DDD" w:rsidRDefault="007E4753" w:rsidP="007E4753">
      <w:pPr>
        <w:spacing w:line="480" w:lineRule="auto"/>
        <w:rPr>
          <w:rFonts w:ascii="Times New Roman" w:hAnsi="Times New Roman" w:cs="Times New Roman"/>
        </w:rPr>
      </w:pPr>
      <w:r w:rsidRPr="00702DDD">
        <w:rPr>
          <w:rFonts w:ascii="Times New Roman" w:hAnsi="Times New Roman" w:cs="Times New Roman"/>
        </w:rPr>
        <w:t>Human health is affected by various sectors at the local and global levels.</w:t>
      </w:r>
      <w:r w:rsidR="00EF03AB" w:rsidRPr="00702DDD">
        <w:rPr>
          <w:rFonts w:ascii="Times New Roman" w:hAnsi="Times New Roman" w:cs="Times New Roman"/>
        </w:rPr>
        <w:t xml:space="preserve"> A large human health event (such as a pandemic) may impact how trade partners, producers, and consumers participate in the market and </w:t>
      </w:r>
      <w:r w:rsidR="00310887">
        <w:rPr>
          <w:rFonts w:ascii="Times New Roman" w:hAnsi="Times New Roman" w:cs="Times New Roman"/>
        </w:rPr>
        <w:t xml:space="preserve">may </w:t>
      </w:r>
      <w:r w:rsidR="00EF03AB" w:rsidRPr="00702DDD">
        <w:rPr>
          <w:rFonts w:ascii="Times New Roman" w:hAnsi="Times New Roman" w:cs="Times New Roman"/>
        </w:rPr>
        <w:t>potentially cause a breadth of supply chain disruption</w:t>
      </w:r>
      <w:r w:rsidR="00310887">
        <w:rPr>
          <w:rFonts w:ascii="Times New Roman" w:hAnsi="Times New Roman" w:cs="Times New Roman"/>
        </w:rPr>
        <w:t>s</w:t>
      </w:r>
      <w:r w:rsidR="001F27EE" w:rsidRPr="00702DDD">
        <w:rPr>
          <w:rFonts w:ascii="Times New Roman" w:hAnsi="Times New Roman" w:cs="Times New Roman"/>
        </w:rPr>
        <w:t xml:space="preserve"> </w:t>
      </w:r>
      <w:r w:rsidR="00310887">
        <w:rPr>
          <w:rFonts w:ascii="Times New Roman" w:hAnsi="Times New Roman" w:cs="Times New Roman"/>
        </w:rPr>
        <w:t xml:space="preserve">in addition to </w:t>
      </w:r>
      <w:r w:rsidR="001F27EE" w:rsidRPr="00702DDD">
        <w:rPr>
          <w:rFonts w:ascii="Times New Roman" w:hAnsi="Times New Roman" w:cs="Times New Roman"/>
        </w:rPr>
        <w:t>the impacts on human health</w:t>
      </w:r>
      <w:r w:rsidR="00EF03AB" w:rsidRPr="00702DDD">
        <w:rPr>
          <w:rFonts w:ascii="Times New Roman" w:hAnsi="Times New Roman" w:cs="Times New Roman"/>
        </w:rPr>
        <w:t xml:space="preserve">. </w:t>
      </w:r>
      <w:r w:rsidRPr="00702DDD">
        <w:rPr>
          <w:rFonts w:ascii="Times New Roman" w:hAnsi="Times New Roman" w:cs="Times New Roman"/>
        </w:rPr>
        <w:t xml:space="preserve">Two vital sectors </w:t>
      </w:r>
      <w:r w:rsidR="00EF03AB" w:rsidRPr="00702DDD">
        <w:rPr>
          <w:rFonts w:ascii="Times New Roman" w:hAnsi="Times New Roman" w:cs="Times New Roman"/>
        </w:rPr>
        <w:t xml:space="preserve">involved in human health </w:t>
      </w:r>
      <w:r w:rsidRPr="00702DDD">
        <w:rPr>
          <w:rFonts w:ascii="Times New Roman" w:hAnsi="Times New Roman" w:cs="Times New Roman"/>
        </w:rPr>
        <w:t>are meat trade and water infrastructure</w:t>
      </w:r>
      <w:r w:rsidR="00EF03AB" w:rsidRPr="00702DDD">
        <w:rPr>
          <w:rFonts w:ascii="Times New Roman" w:hAnsi="Times New Roman" w:cs="Times New Roman"/>
        </w:rPr>
        <w:t>, both substantial and wide-reaching</w:t>
      </w:r>
      <w:r w:rsidR="004460D4" w:rsidRPr="00702DDD">
        <w:rPr>
          <w:rFonts w:ascii="Times New Roman" w:hAnsi="Times New Roman" w:cs="Times New Roman"/>
        </w:rPr>
        <w:t xml:space="preserve"> with critical roles in basic human needs</w:t>
      </w:r>
      <w:r w:rsidR="00EF03AB" w:rsidRPr="00702DDD">
        <w:rPr>
          <w:rFonts w:ascii="Times New Roman" w:hAnsi="Times New Roman" w:cs="Times New Roman"/>
        </w:rPr>
        <w:t xml:space="preserve">. </w:t>
      </w:r>
      <w:r w:rsidRPr="00702DDD">
        <w:rPr>
          <w:rFonts w:ascii="Times New Roman" w:hAnsi="Times New Roman" w:cs="Times New Roman"/>
        </w:rPr>
        <w:t xml:space="preserve"> The substantial international meat trade may be affected by large scale and wide-ranging human health events. Local water infrastructure may not be adequate due to community distress and lack of affordability </w:t>
      </w:r>
      <w:r w:rsidR="00425B5E">
        <w:rPr>
          <w:rFonts w:ascii="Times New Roman" w:hAnsi="Times New Roman" w:cs="Times New Roman"/>
        </w:rPr>
        <w:t>which limit investments for</w:t>
      </w:r>
      <w:r w:rsidRPr="00702DDD">
        <w:rPr>
          <w:rFonts w:ascii="Times New Roman" w:hAnsi="Times New Roman" w:cs="Times New Roman"/>
        </w:rPr>
        <w:t xml:space="preserve"> needed improvements. </w:t>
      </w:r>
      <w:r w:rsidR="00EF03AB" w:rsidRPr="00702DDD">
        <w:rPr>
          <w:rFonts w:ascii="Times New Roman" w:hAnsi="Times New Roman" w:cs="Times New Roman"/>
        </w:rPr>
        <w:t xml:space="preserve">Potential impacts from these human health events as well as solutions to human health needs are </w:t>
      </w:r>
      <w:r w:rsidR="00425B5E">
        <w:rPr>
          <w:rFonts w:ascii="Times New Roman" w:hAnsi="Times New Roman" w:cs="Times New Roman"/>
        </w:rPr>
        <w:t>important</w:t>
      </w:r>
      <w:r w:rsidR="00EF03AB" w:rsidRPr="00702DDD">
        <w:rPr>
          <w:rFonts w:ascii="Times New Roman" w:hAnsi="Times New Roman" w:cs="Times New Roman"/>
        </w:rPr>
        <w:t xml:space="preserve"> to study and analyze to </w:t>
      </w:r>
      <w:r w:rsidR="00B25162" w:rsidRPr="00702DDD">
        <w:rPr>
          <w:rFonts w:ascii="Times New Roman" w:hAnsi="Times New Roman" w:cs="Times New Roman"/>
        </w:rPr>
        <w:t xml:space="preserve">assist policy makers, governments, and market participants in decision-making. </w:t>
      </w:r>
      <w:r w:rsidR="00EF03AB" w:rsidRPr="00702DDD">
        <w:rPr>
          <w:rFonts w:ascii="Times New Roman" w:hAnsi="Times New Roman" w:cs="Times New Roman"/>
        </w:rPr>
        <w:t xml:space="preserve"> </w:t>
      </w:r>
    </w:p>
    <w:p w14:paraId="4DD3D9CC" w14:textId="610FE91D" w:rsidR="007E4753" w:rsidRPr="00702DDD" w:rsidRDefault="007E4753" w:rsidP="00B25162">
      <w:pPr>
        <w:spacing w:line="480" w:lineRule="auto"/>
        <w:ind w:firstLine="720"/>
        <w:rPr>
          <w:rFonts w:ascii="Times New Roman" w:hAnsi="Times New Roman" w:cs="Times New Roman"/>
          <w:b/>
          <w:bCs/>
        </w:rPr>
      </w:pPr>
      <w:r w:rsidRPr="00702DDD">
        <w:rPr>
          <w:rFonts w:ascii="Times New Roman" w:hAnsi="Times New Roman" w:cs="Times New Roman"/>
        </w:rPr>
        <w:t xml:space="preserve">This study is a multiple-part analysis designed to explore these varied </w:t>
      </w:r>
      <w:r w:rsidR="004460D4" w:rsidRPr="00702DDD">
        <w:rPr>
          <w:rFonts w:ascii="Times New Roman" w:hAnsi="Times New Roman" w:cs="Times New Roman"/>
        </w:rPr>
        <w:t>topics</w:t>
      </w:r>
      <w:r w:rsidRPr="00702DDD">
        <w:rPr>
          <w:rFonts w:ascii="Times New Roman" w:hAnsi="Times New Roman" w:cs="Times New Roman"/>
        </w:rPr>
        <w:t>. The first chapter will estimate the effects of recent pandemics on global export trade values</w:t>
      </w:r>
      <w:r w:rsidR="004460D4" w:rsidRPr="00702DDD">
        <w:rPr>
          <w:rFonts w:ascii="Times New Roman" w:hAnsi="Times New Roman" w:cs="Times New Roman"/>
        </w:rPr>
        <w:t xml:space="preserve">, assessing the impact on </w:t>
      </w:r>
      <w:r w:rsidR="00425B5E">
        <w:rPr>
          <w:rFonts w:ascii="Times New Roman" w:hAnsi="Times New Roman" w:cs="Times New Roman"/>
        </w:rPr>
        <w:t xml:space="preserve">the value of </w:t>
      </w:r>
      <w:r w:rsidR="004460D4" w:rsidRPr="00702DDD">
        <w:rPr>
          <w:rFonts w:ascii="Times New Roman" w:hAnsi="Times New Roman" w:cs="Times New Roman"/>
        </w:rPr>
        <w:t>global protein movement</w:t>
      </w:r>
      <w:r w:rsidR="00425B5E">
        <w:rPr>
          <w:rFonts w:ascii="Times New Roman" w:hAnsi="Times New Roman" w:cs="Times New Roman"/>
        </w:rPr>
        <w:t>s</w:t>
      </w:r>
      <w:r w:rsidR="004460D4" w:rsidRPr="00702DDD">
        <w:rPr>
          <w:rFonts w:ascii="Times New Roman" w:hAnsi="Times New Roman" w:cs="Times New Roman"/>
        </w:rPr>
        <w:t xml:space="preserve"> related to disease disruptions</w:t>
      </w:r>
      <w:r w:rsidRPr="00702DDD">
        <w:rPr>
          <w:rFonts w:ascii="Times New Roman" w:hAnsi="Times New Roman" w:cs="Times New Roman"/>
        </w:rPr>
        <w:t>. The second chapter will form several ability-to-pay indexes for water infrastructure subsidies and use IMPLAN input-output software to estimate the economic effects of the distressed subsidies to Tennessee counties</w:t>
      </w:r>
      <w:r w:rsidR="004460D4" w:rsidRPr="00702DDD">
        <w:rPr>
          <w:rFonts w:ascii="Times New Roman" w:hAnsi="Times New Roman" w:cs="Times New Roman"/>
        </w:rPr>
        <w:t>, providing an evaluation of current and proposed methodologies</w:t>
      </w:r>
      <w:r w:rsidRPr="00702DDD">
        <w:rPr>
          <w:rFonts w:ascii="Times New Roman" w:hAnsi="Times New Roman" w:cs="Times New Roman"/>
        </w:rPr>
        <w:t xml:space="preserve">. The study implications will identify how human health events may impact existing industry and potential implications from future events, as well as analyzes and proposes a new way to identify distress to distribute needed funds more accurately to communities seeking to prioritize human health through clean water.  </w:t>
      </w:r>
    </w:p>
    <w:p w14:paraId="14AD902D" w14:textId="77777777" w:rsidR="007D287F" w:rsidRPr="00702DDD" w:rsidRDefault="007D287F" w:rsidP="004560A0">
      <w:pPr>
        <w:spacing w:after="240"/>
        <w:rPr>
          <w:rFonts w:ascii="Times New Roman" w:hAnsi="Times New Roman" w:cs="Times New Roman"/>
        </w:rPr>
      </w:pPr>
    </w:p>
    <w:p w14:paraId="637E3469" w14:textId="321252CA" w:rsidR="008D3C4E" w:rsidRPr="00A41FF8" w:rsidRDefault="007D287F" w:rsidP="00A41FF8">
      <w:pPr>
        <w:spacing w:after="240"/>
        <w:rPr>
          <w:rFonts w:ascii="Times New Roman" w:hAnsi="Times New Roman" w:cs="Times New Roman"/>
          <w:b/>
          <w:bCs/>
          <w:caps/>
          <w:color w:val="000000" w:themeColor="text1"/>
          <w:sz w:val="28"/>
        </w:rPr>
      </w:pPr>
      <w:r w:rsidRPr="00702DDD">
        <w:rPr>
          <w:rFonts w:ascii="Times New Roman" w:hAnsi="Times New Roman" w:cs="Times New Roman"/>
        </w:rPr>
        <w:br w:type="page"/>
      </w:r>
    </w:p>
    <w:p w14:paraId="5F2A0971" w14:textId="2EA60909" w:rsidR="003870EC" w:rsidRPr="00702DDD" w:rsidRDefault="00834DBA" w:rsidP="00A41FF8">
      <w:pPr>
        <w:pStyle w:val="Heading1"/>
      </w:pPr>
      <w:bookmarkStart w:id="2" w:name="_Toc98692969"/>
      <w:r w:rsidRPr="00702DDD">
        <w:lastRenderedPageBreak/>
        <w:t>Chapter 1: Human Health Event Effects on Global Meat Trade</w:t>
      </w:r>
      <w:bookmarkEnd w:id="2"/>
    </w:p>
    <w:p w14:paraId="4EA88CC4" w14:textId="77777777" w:rsidR="003870EC" w:rsidRPr="00702DDD" w:rsidRDefault="003870EC" w:rsidP="00A41FF8">
      <w:pPr>
        <w:pStyle w:val="Heading1"/>
      </w:pPr>
    </w:p>
    <w:p w14:paraId="654D847E" w14:textId="77777777" w:rsidR="003870EC" w:rsidRPr="00702DDD" w:rsidRDefault="003870EC" w:rsidP="00A41FF8">
      <w:pPr>
        <w:pStyle w:val="Heading1"/>
      </w:pPr>
    </w:p>
    <w:p w14:paraId="43C0D0B9" w14:textId="332D20BB" w:rsidR="00BC427E" w:rsidRPr="00702DDD" w:rsidRDefault="008D3C4E" w:rsidP="00A41FF8">
      <w:pPr>
        <w:pStyle w:val="Heading1"/>
      </w:pPr>
      <w:r w:rsidRPr="00702DDD">
        <w:br w:type="page"/>
      </w:r>
    </w:p>
    <w:p w14:paraId="0875BECB" w14:textId="77777777" w:rsidR="00BC427E" w:rsidRPr="00702DDD" w:rsidRDefault="00BC427E" w:rsidP="004560A0">
      <w:pPr>
        <w:spacing w:after="240" w:line="480" w:lineRule="auto"/>
        <w:jc w:val="center"/>
        <w:rPr>
          <w:rFonts w:ascii="Times New Roman" w:hAnsi="Times New Roman" w:cs="Times New Roman"/>
          <w:b/>
          <w:bCs/>
        </w:rPr>
      </w:pPr>
      <w:bookmarkStart w:id="3" w:name="_Hlk64385926"/>
      <w:r w:rsidRPr="00702DDD">
        <w:rPr>
          <w:rFonts w:ascii="Times New Roman" w:hAnsi="Times New Roman" w:cs="Times New Roman"/>
          <w:b/>
          <w:bCs/>
        </w:rPr>
        <w:lastRenderedPageBreak/>
        <w:t>ABSTRACT CHAPTER 1</w:t>
      </w:r>
    </w:p>
    <w:bookmarkEnd w:id="3"/>
    <w:p w14:paraId="6D111C72" w14:textId="0053CBB5" w:rsidR="003870EC" w:rsidRPr="00702DDD" w:rsidRDefault="00FD022F" w:rsidP="004560A0">
      <w:pPr>
        <w:spacing w:after="240" w:line="480" w:lineRule="auto"/>
        <w:rPr>
          <w:rFonts w:ascii="Times New Roman" w:hAnsi="Times New Roman" w:cs="Times New Roman"/>
          <w:color w:val="000000"/>
        </w:rPr>
      </w:pPr>
      <w:r w:rsidRPr="00702DDD">
        <w:rPr>
          <w:rFonts w:ascii="Times New Roman" w:hAnsi="Times New Roman" w:cs="Times New Roman"/>
        </w:rPr>
        <w:t>An increase in future mass global pandemics is expected as zoonotic diseases, globalization, and trade escalate. These pandemics affect nearly every industrial sector, with animal protein no exception. The COVID-19 pandemic continues to be the largest, most expansive, and unprecedented pandemic in a century. Labor shortages and supply chain defragmentation are only a portion the production process affected. Studies have analyzed species specific disease events’ effects on animal trade, such as those caused by the African Swine Fever amongst Chinese herds. Few studies have identified and analyzed the effects on the animal protein trade in relation to global human pandemics, however. This study uses public trade data and recent pandemics (i.e.</w:t>
      </w:r>
      <w:r w:rsidR="00E53504" w:rsidRPr="00702DDD">
        <w:rPr>
          <w:rFonts w:ascii="Times New Roman" w:hAnsi="Times New Roman" w:cs="Times New Roman"/>
        </w:rPr>
        <w:t>,</w:t>
      </w:r>
      <w:r w:rsidRPr="00702DDD">
        <w:rPr>
          <w:rFonts w:ascii="Times New Roman" w:hAnsi="Times New Roman" w:cs="Times New Roman"/>
        </w:rPr>
        <w:t xml:space="preserve"> MERS-</w:t>
      </w:r>
      <w:proofErr w:type="spellStart"/>
      <w:r w:rsidRPr="00702DDD">
        <w:rPr>
          <w:rFonts w:ascii="Times New Roman" w:hAnsi="Times New Roman" w:cs="Times New Roman"/>
        </w:rPr>
        <w:t>Cov</w:t>
      </w:r>
      <w:proofErr w:type="spellEnd"/>
      <w:r w:rsidRPr="00702DDD">
        <w:rPr>
          <w:rFonts w:ascii="Times New Roman" w:hAnsi="Times New Roman" w:cs="Times New Roman"/>
        </w:rPr>
        <w:t>, COVID-19, Ebola, and Zika virus) to estimate the effects to global animal protein trade. The study results will improve preparedness and recognize implications to a potential future pandemic on the meat industry.</w:t>
      </w:r>
      <w:r w:rsidR="00BC427E" w:rsidRPr="00702DDD">
        <w:rPr>
          <w:rFonts w:ascii="Times New Roman" w:hAnsi="Times New Roman" w:cs="Times New Roman"/>
          <w:color w:val="000000"/>
        </w:rPr>
        <w:t xml:space="preserve"> </w:t>
      </w:r>
    </w:p>
    <w:p w14:paraId="105749AC" w14:textId="77777777" w:rsidR="003870EC" w:rsidRPr="00702DDD" w:rsidRDefault="003870EC" w:rsidP="004560A0">
      <w:pPr>
        <w:spacing w:after="240" w:line="480" w:lineRule="auto"/>
        <w:rPr>
          <w:rFonts w:ascii="Times New Roman" w:hAnsi="Times New Roman" w:cs="Times New Roman"/>
          <w:color w:val="000000"/>
        </w:rPr>
      </w:pPr>
    </w:p>
    <w:p w14:paraId="18634F52" w14:textId="447D273E" w:rsidR="00BC427E" w:rsidRPr="00702DDD" w:rsidRDefault="00BC427E" w:rsidP="004560A0">
      <w:pPr>
        <w:spacing w:after="240" w:line="480" w:lineRule="auto"/>
        <w:rPr>
          <w:rFonts w:ascii="Times New Roman" w:hAnsi="Times New Roman" w:cs="Times New Roman"/>
          <w:color w:val="000000"/>
        </w:rPr>
      </w:pPr>
      <w:r w:rsidRPr="00702DDD">
        <w:rPr>
          <w:rFonts w:ascii="Times New Roman" w:hAnsi="Times New Roman" w:cs="Times New Roman"/>
          <w:color w:val="000000"/>
        </w:rPr>
        <w:br w:type="page"/>
      </w:r>
    </w:p>
    <w:p w14:paraId="48F60BDD" w14:textId="33842F8F" w:rsidR="00FD022F" w:rsidRPr="000654A5" w:rsidRDefault="00FD022F" w:rsidP="000654A5">
      <w:pPr>
        <w:pStyle w:val="Heading2"/>
      </w:pPr>
      <w:bookmarkStart w:id="4" w:name="_Toc98444510"/>
      <w:bookmarkStart w:id="5" w:name="_Toc98692970"/>
      <w:r w:rsidRPr="000654A5">
        <w:lastRenderedPageBreak/>
        <w:t>1.1 Introduction</w:t>
      </w:r>
      <w:bookmarkEnd w:id="4"/>
      <w:bookmarkEnd w:id="5"/>
    </w:p>
    <w:p w14:paraId="223201D7" w14:textId="55FDCFA1" w:rsidR="00FD022F" w:rsidRPr="00702DDD" w:rsidRDefault="00FD022F" w:rsidP="00FD022F">
      <w:pPr>
        <w:spacing w:line="480" w:lineRule="auto"/>
        <w:rPr>
          <w:rFonts w:ascii="Times New Roman" w:hAnsi="Times New Roman" w:cs="Times New Roman"/>
        </w:rPr>
      </w:pPr>
      <w:r w:rsidRPr="00702DDD">
        <w:rPr>
          <w:rFonts w:ascii="Times New Roman" w:hAnsi="Times New Roman" w:cs="Times New Roman"/>
        </w:rPr>
        <w:t xml:space="preserve">Pathogenic disease outbreaks and infection rates have been increasing internationally for the past fifty years </w:t>
      </w:r>
      <w:r w:rsidRPr="00702DDD">
        <w:rPr>
          <w:rFonts w:ascii="Times New Roman" w:hAnsi="Times New Roman" w:cs="Times New Roman"/>
        </w:rPr>
        <w:fldChar w:fldCharType="begin"/>
      </w:r>
      <w:r w:rsidR="00C016E8" w:rsidRPr="00702DDD">
        <w:rPr>
          <w:rFonts w:ascii="Times New Roman" w:hAnsi="Times New Roman" w:cs="Times New Roman"/>
        </w:rPr>
        <w:instrText xml:space="preserve"> ADDIN ZOTERO_ITEM CSL_CITATION {"citationID":"cqU2Vy4W","properties":{"formattedCitation":"(Christiansen, 2018)","plainCitation":"(Christiansen, 2018)","noteIndex":0},"citationItems":[{"id":2485,"uris":["http://zotero.org/groups/2546976/items/LUDRV4XW"],"uri":["http://zotero.org/groups/2546976/items/LUDRV4XW"],"itemData":{"id":2485,"type":"article-magazine","abstract":"Scientific American is the essential guide to the most awe-inspiring advances in science and technology, explaining how they change our understanding of the world and shape our lives.,","container-title":"Scientific American","language":"en","note":"DOI: 10.1038/scientificamerican0518-48","title":"Global Infections by the Numbers","URL":"https://www.scientificamerican.com/article/global-infections-by-the-numbers/","author":[{"family":"Christiansen","given":"Jen"}],"accessed":{"date-parts":[["2020",12,8]]},"issued":{"date-parts":[["2018",5,1]]}}}],"schema":"https://github.com/citation-style-language/schema/raw/master/csl-citation.json"} </w:instrText>
      </w:r>
      <w:r w:rsidRPr="00702DDD">
        <w:rPr>
          <w:rFonts w:ascii="Times New Roman" w:hAnsi="Times New Roman" w:cs="Times New Roman"/>
        </w:rPr>
        <w:fldChar w:fldCharType="separate"/>
      </w:r>
      <w:r w:rsidR="00C016E8" w:rsidRPr="00702DDD">
        <w:rPr>
          <w:rFonts w:ascii="Times New Roman" w:hAnsi="Times New Roman" w:cs="Times New Roman"/>
          <w:noProof/>
        </w:rPr>
        <w:t>(Christiansen, 2018)</w:t>
      </w:r>
      <w:r w:rsidRPr="00702DDD">
        <w:rPr>
          <w:rFonts w:ascii="Times New Roman" w:hAnsi="Times New Roman" w:cs="Times New Roman"/>
        </w:rPr>
        <w:fldChar w:fldCharType="end"/>
      </w:r>
      <w:r w:rsidRPr="00702DDD">
        <w:rPr>
          <w:rFonts w:ascii="Times New Roman" w:hAnsi="Times New Roman" w:cs="Times New Roman"/>
        </w:rPr>
        <w:t xml:space="preserve">. Global disease outbreaks can have devastating effects on human mortality and morbidity, global economies, and trade. The impact of zoonotic disease disruptions on animal protein industries, such as the African Swine Fever (ASF) outbreak in 2019 that severely affected European and Asian swine herds have been studied </w:t>
      </w:r>
      <w:r w:rsidRPr="00702DDD">
        <w:rPr>
          <w:rFonts w:ascii="Times New Roman" w:hAnsi="Times New Roman" w:cs="Times New Roman"/>
          <w:noProof/>
        </w:rPr>
        <w:t xml:space="preserve"> </w:t>
      </w:r>
      <w:r w:rsidRPr="00702DDD">
        <w:rPr>
          <w:rFonts w:ascii="Times New Roman" w:hAnsi="Times New Roman" w:cs="Times New Roman"/>
        </w:rPr>
        <w:fldChar w:fldCharType="begin"/>
      </w:r>
      <w:r w:rsidR="00C016E8" w:rsidRPr="00702DDD">
        <w:rPr>
          <w:rFonts w:ascii="Times New Roman" w:hAnsi="Times New Roman" w:cs="Times New Roman"/>
        </w:rPr>
        <w:instrText xml:space="preserve"> ADDIN ZOTERO_ITEM CSL_CITATION {"citationID":"wnQBYsto","properties":{"formattedCitation":"(USDA APHIS, 2019)","plainCitation":"(USDA APHIS, 2019)","noteIndex":0},"citationItems":[{"id":2598,"uris":["http://zotero.org/groups/2546976/items/UGRR6FJQ"],"uri":["http://zotero.org/groups/2546976/items/UGRR6FJQ"],"itemData":{"id":2598,"type":"report","title":"Joint Statement on the International African Swine Fever Forum","URL":"https://www.aphis.usda.gov/aphis/newsroom/news/sa_by_date/sa-2019/asf-forum","author":[{"literal":"USDA APHIS"}],"accessed":{"date-parts":[["2021",2,25]]},"issued":{"date-parts":[["2019",5,2]]}}}],"schema":"https://github.com/citation-style-language/schema/raw/master/csl-citation.json"} </w:instrText>
      </w:r>
      <w:r w:rsidRPr="00702DDD">
        <w:rPr>
          <w:rFonts w:ascii="Times New Roman" w:hAnsi="Times New Roman" w:cs="Times New Roman"/>
        </w:rPr>
        <w:fldChar w:fldCharType="separate"/>
      </w:r>
      <w:r w:rsidR="00C016E8" w:rsidRPr="00702DDD">
        <w:rPr>
          <w:rFonts w:ascii="Times New Roman" w:hAnsi="Times New Roman" w:cs="Times New Roman"/>
          <w:noProof/>
        </w:rPr>
        <w:t>(USDA APHIS, 2019)</w:t>
      </w:r>
      <w:r w:rsidRPr="00702DDD">
        <w:rPr>
          <w:rFonts w:ascii="Times New Roman" w:hAnsi="Times New Roman" w:cs="Times New Roman"/>
        </w:rPr>
        <w:fldChar w:fldCharType="end"/>
      </w:r>
      <w:r w:rsidRPr="00702DDD">
        <w:rPr>
          <w:rFonts w:ascii="Times New Roman" w:hAnsi="Times New Roman" w:cs="Times New Roman"/>
        </w:rPr>
        <w:t>. However, it is an emerging body of research concerning human health event effects on the animal protein trade which relates to the willingness to move products between countries in the face of disease risk. In 2020, COVID-19 became the most substantial and widespread pandemic in a century, causing high infection and death rates, affecting industry supply and demand, and creating the need for critical safety regulations.</w:t>
      </w:r>
      <w:r w:rsidRPr="00702DDD">
        <w:rPr>
          <w:rFonts w:ascii="Times New Roman" w:hAnsi="Times New Roman" w:cs="Times New Roman"/>
          <w:vertAlign w:val="superscript"/>
        </w:rPr>
        <w:t xml:space="preserve"> </w:t>
      </w:r>
      <w:r w:rsidRPr="00702DDD">
        <w:rPr>
          <w:rFonts w:ascii="Times New Roman" w:hAnsi="Times New Roman" w:cs="Times New Roman"/>
        </w:rPr>
        <w:t xml:space="preserve">Global COVID-19 cases reached an estimated 211.7 million cases and 4.4 million deaths by the last week of August 2021 </w:t>
      </w:r>
      <w:r w:rsidRPr="00702DDD">
        <w:rPr>
          <w:rFonts w:ascii="Times New Roman" w:hAnsi="Times New Roman" w:cs="Times New Roman"/>
        </w:rPr>
        <w:fldChar w:fldCharType="begin"/>
      </w:r>
      <w:r w:rsidR="00947934" w:rsidRPr="00702DDD">
        <w:rPr>
          <w:rFonts w:ascii="Times New Roman" w:hAnsi="Times New Roman" w:cs="Times New Roman"/>
        </w:rPr>
        <w:instrText xml:space="preserve"> ADDIN ZOTERO_ITEM CSL_CITATION {"citationID":"wQuB7mmY","properties":{"formattedCitation":"(WHO 2021a)","plainCitation":"(WHO 2021a)","noteIndex":0},"citationItems":[{"id":2593,"uris":["http://zotero.org/groups/2546976/items/6E2LAYXW"],"uri":["http://zotero.org/groups/2546976/items/6E2LAYXW"],"itemData":{"id":2593,"type":"webpage","abstract":"WHO’s primary role is to direct and coordinate international health within the United Nations’ system. WHO main areas of work include: health systems, promoting health through the life-course, noncommunicable diseases, communicable diseases, corporate services, preparedness, surveillance and response.","container-title":"WHO","note":"publisher: World Health Organization","title":"Disease Outbreaks","author":[{"literal":"World Health Organization"}],"accessed":{"date-parts":[["2021",2,25]]},"issued":{"date-parts":[["2021"]]}},"suppress-author":true,"prefix":"WHO"}],"schema":"https://github.com/citation-style-language/schema/raw/master/csl-citation.json"} </w:instrText>
      </w:r>
      <w:r w:rsidRPr="00702DDD">
        <w:rPr>
          <w:rFonts w:ascii="Times New Roman" w:hAnsi="Times New Roman" w:cs="Times New Roman"/>
        </w:rPr>
        <w:fldChar w:fldCharType="separate"/>
      </w:r>
      <w:r w:rsidR="00947934" w:rsidRPr="00702DDD">
        <w:rPr>
          <w:rFonts w:ascii="Times New Roman" w:hAnsi="Times New Roman" w:cs="Times New Roman"/>
          <w:noProof/>
        </w:rPr>
        <w:t>(WHO 2021a)</w:t>
      </w:r>
      <w:r w:rsidRPr="00702DDD">
        <w:rPr>
          <w:rFonts w:ascii="Times New Roman" w:hAnsi="Times New Roman" w:cs="Times New Roman"/>
        </w:rPr>
        <w:fldChar w:fldCharType="end"/>
      </w:r>
      <w:r w:rsidRPr="00702DDD">
        <w:rPr>
          <w:rFonts w:ascii="Times New Roman" w:hAnsi="Times New Roman" w:cs="Times New Roman"/>
        </w:rPr>
        <w:t xml:space="preserve">. Similar human health events have occurred in the past twenty years, such as the 2009 H1N1 (“Swine Flu”) pandemic which had an estimated 575,000 fatalities </w:t>
      </w:r>
      <w:r w:rsidRPr="00702DDD">
        <w:rPr>
          <w:rFonts w:ascii="Times New Roman" w:hAnsi="Times New Roman" w:cs="Times New Roman"/>
        </w:rPr>
        <w:fldChar w:fldCharType="begin"/>
      </w:r>
      <w:r w:rsidR="00C016E8" w:rsidRPr="00702DDD">
        <w:rPr>
          <w:rFonts w:ascii="Times New Roman" w:hAnsi="Times New Roman" w:cs="Times New Roman"/>
        </w:rPr>
        <w:instrText xml:space="preserve"> ADDIN ZOTERO_ITEM CSL_CITATION {"citationID":"M8l5aag8","properties":{"formattedCitation":"(CNN, 2021)","plainCitation":"(CNN, 2021)","noteIndex":0},"citationItems":[{"id":2480,"uris":["http://zotero.org/groups/2546976/items/LU47FH8F"],"uri":["http://zotero.org/groups/2546976/items/LU47FH8F"],"itemData":{"id":2480,"type":"webpage","container-title":"Cable News Network","title":"H1N1 United States Fast Facts - CNN","URL":"https://www.cnn.com/2013/08/23/health/h1n1-u-s-fast-facts/index.html","author":[{"literal":"CNN"}],"accessed":{"date-parts":[["2020",12,9]]},"issued":{"date-parts":[["2021",6,6]]}}}],"schema":"https://github.com/citation-style-language/schema/raw/master/csl-citation.json"} </w:instrText>
      </w:r>
      <w:r w:rsidRPr="00702DDD">
        <w:rPr>
          <w:rFonts w:ascii="Times New Roman" w:hAnsi="Times New Roman" w:cs="Times New Roman"/>
        </w:rPr>
        <w:fldChar w:fldCharType="separate"/>
      </w:r>
      <w:r w:rsidR="00C016E8" w:rsidRPr="00702DDD">
        <w:rPr>
          <w:rFonts w:ascii="Times New Roman" w:hAnsi="Times New Roman" w:cs="Times New Roman"/>
          <w:noProof/>
        </w:rPr>
        <w:t>(CNN, 2021)</w:t>
      </w:r>
      <w:r w:rsidRPr="00702DDD">
        <w:rPr>
          <w:rFonts w:ascii="Times New Roman" w:hAnsi="Times New Roman" w:cs="Times New Roman"/>
        </w:rPr>
        <w:fldChar w:fldCharType="end"/>
      </w:r>
      <w:r w:rsidRPr="00702DDD">
        <w:rPr>
          <w:rFonts w:ascii="Times New Roman" w:hAnsi="Times New Roman" w:cs="Times New Roman"/>
        </w:rPr>
        <w:t xml:space="preserve">. However, with the emergence of COVID-19, there is an amplified need to understand the implications of human health events of varying magnitude on trade and markets to better prepare for future emerging diseases. </w:t>
      </w:r>
    </w:p>
    <w:p w14:paraId="737D65CD" w14:textId="5EFF9271" w:rsidR="00FD022F" w:rsidRPr="00702DDD" w:rsidRDefault="00FD022F" w:rsidP="00FD022F">
      <w:pPr>
        <w:spacing w:line="480" w:lineRule="auto"/>
        <w:ind w:firstLine="720"/>
        <w:rPr>
          <w:rFonts w:ascii="Times New Roman" w:hAnsi="Times New Roman" w:cs="Times New Roman"/>
        </w:rPr>
      </w:pPr>
      <w:r w:rsidRPr="00702DDD">
        <w:rPr>
          <w:rFonts w:ascii="Times New Roman" w:hAnsi="Times New Roman" w:cs="Times New Roman"/>
        </w:rPr>
        <w:t xml:space="preserve">Global meat trade is a crucial segment of the agricultural industry. Increased globalization, zoonotic diseases affecting specific regions, and diversity in protein demand have created expansive and competitive global meat commerce. The value of total world protein exports in 2019 were approximately $134 billion, led by the United States, Brazil, and Australia   </w:t>
      </w:r>
      <w:r w:rsidRPr="00702DDD">
        <w:rPr>
          <w:rFonts w:ascii="Times New Roman" w:hAnsi="Times New Roman" w:cs="Times New Roman"/>
        </w:rPr>
        <w:fldChar w:fldCharType="begin"/>
      </w:r>
      <w:r w:rsidR="00C016E8" w:rsidRPr="00702DDD">
        <w:rPr>
          <w:rFonts w:ascii="Times New Roman" w:hAnsi="Times New Roman" w:cs="Times New Roman"/>
        </w:rPr>
        <w:instrText xml:space="preserve"> ADDIN ZOTERO_ITEM CSL_CITATION {"citationID":"e3vtMBTF","properties":{"formattedCitation":"(United Nations, 2021)","plainCitation":"(United Nations, 2021)","noteIndex":0},"citationItems":[{"id":2605,"uris":["http://zotero.org/groups/2546976/items/YDQ4373P"],"uri":["http://zotero.org/groups/2546976/items/YDQ4373P"],"itemData":{"id":2605,"type":"report","publisher":"United Nations","title":"UN Comtrade Database","URL":"http://comtrade.un.org/data/","author":[{"literal":"United Nations"}],"issued":{"date-parts":[["2021"]]}}}],"schema":"https://github.com/citation-style-language/schema/raw/master/csl-citation.json"} </w:instrText>
      </w:r>
      <w:r w:rsidRPr="00702DDD">
        <w:rPr>
          <w:rFonts w:ascii="Times New Roman" w:hAnsi="Times New Roman" w:cs="Times New Roman"/>
        </w:rPr>
        <w:fldChar w:fldCharType="separate"/>
      </w:r>
      <w:r w:rsidR="00C016E8" w:rsidRPr="00702DDD">
        <w:rPr>
          <w:rFonts w:ascii="Times New Roman" w:hAnsi="Times New Roman" w:cs="Times New Roman"/>
          <w:noProof/>
        </w:rPr>
        <w:t>(United Nations, 2021)</w:t>
      </w:r>
      <w:r w:rsidRPr="00702DDD">
        <w:rPr>
          <w:rFonts w:ascii="Times New Roman" w:hAnsi="Times New Roman" w:cs="Times New Roman"/>
        </w:rPr>
        <w:fldChar w:fldCharType="end"/>
      </w:r>
      <w:r w:rsidRPr="00702DDD">
        <w:rPr>
          <w:rFonts w:ascii="Times New Roman" w:hAnsi="Times New Roman" w:cs="Times New Roman"/>
        </w:rPr>
        <w:t xml:space="preserve">. Beef, pork, and poultry represented the majority of protein traded with a combined $111 billion value </w:t>
      </w:r>
      <w:r w:rsidRPr="00702DDD">
        <w:rPr>
          <w:rFonts w:ascii="Times New Roman" w:hAnsi="Times New Roman" w:cs="Times New Roman"/>
        </w:rPr>
        <w:fldChar w:fldCharType="begin"/>
      </w:r>
      <w:r w:rsidR="00C016E8" w:rsidRPr="00702DDD">
        <w:rPr>
          <w:rFonts w:ascii="Times New Roman" w:hAnsi="Times New Roman" w:cs="Times New Roman"/>
        </w:rPr>
        <w:instrText xml:space="preserve"> ADDIN ZOTERO_ITEM CSL_CITATION {"citationID":"yiuoQhzu","properties":{"formattedCitation":"(United Nations, 2021)","plainCitation":"(United Nations, 2021)","noteIndex":0},"citationItems":[{"id":2605,"uris":["http://zotero.org/groups/2546976/items/YDQ4373P"],"uri":["http://zotero.org/groups/2546976/items/YDQ4373P"],"itemData":{"id":2605,"type":"report","publisher":"United Nations","title":"UN Comtrade Database","URL":"http://comtrade.un.org/data/","author":[{"literal":"United Nations"}],"issued":{"date-parts":[["2021"]]}}}],"schema":"https://github.com/citation-style-language/schema/raw/master/csl-citation.json"} </w:instrText>
      </w:r>
      <w:r w:rsidRPr="00702DDD">
        <w:rPr>
          <w:rFonts w:ascii="Times New Roman" w:hAnsi="Times New Roman" w:cs="Times New Roman"/>
        </w:rPr>
        <w:fldChar w:fldCharType="separate"/>
      </w:r>
      <w:r w:rsidR="00C016E8" w:rsidRPr="00702DDD">
        <w:rPr>
          <w:rFonts w:ascii="Times New Roman" w:hAnsi="Times New Roman" w:cs="Times New Roman"/>
          <w:noProof/>
        </w:rPr>
        <w:t>(United Nations, 2021)</w:t>
      </w:r>
      <w:r w:rsidRPr="00702DDD">
        <w:rPr>
          <w:rFonts w:ascii="Times New Roman" w:hAnsi="Times New Roman" w:cs="Times New Roman"/>
        </w:rPr>
        <w:fldChar w:fldCharType="end"/>
      </w:r>
      <w:r w:rsidRPr="00702DDD">
        <w:rPr>
          <w:rFonts w:ascii="Times New Roman" w:hAnsi="Times New Roman" w:cs="Times New Roman"/>
        </w:rPr>
        <w:t xml:space="preserve">. This trade is expected to increase over the </w:t>
      </w:r>
      <w:r w:rsidRPr="00702DDD">
        <w:rPr>
          <w:rFonts w:ascii="Times New Roman" w:hAnsi="Times New Roman" w:cs="Times New Roman"/>
        </w:rPr>
        <w:lastRenderedPageBreak/>
        <w:t xml:space="preserve">next decade, potentially incurring substantial effects when considering trade disruptions </w:t>
      </w:r>
      <w:r w:rsidRPr="00702DDD">
        <w:rPr>
          <w:rFonts w:ascii="Times New Roman" w:hAnsi="Times New Roman" w:cs="Times New Roman"/>
        </w:rPr>
        <w:fldChar w:fldCharType="begin"/>
      </w:r>
      <w:r w:rsidR="00C016E8" w:rsidRPr="00702DDD">
        <w:rPr>
          <w:rFonts w:ascii="Times New Roman" w:hAnsi="Times New Roman" w:cs="Times New Roman"/>
        </w:rPr>
        <w:instrText xml:space="preserve"> ADDIN ZOTERO_ITEM CSL_CITATION {"citationID":"qFu25VyN","properties":{"formattedCitation":"(Ahmed et al., 2018)","plainCitation":"(Ahmed et al., 2018)","noteIndex":0},"citationItems":[{"id":2597,"uris":["http://zotero.org/groups/2546976/items/MJVUQQTV"],"uri":["http://zotero.org/groups/2546976/items/MJVUQQTV"],"itemData":{"id":2597,"type":"report","title":"How the global supply landscape for global meat consumption will evolve | McKinsey","URL":"https://www.mckinsey.com/industries/agriculture/our-insights/how-the-global-supply-landscape-for-meat-protein-will-evolve#","author":[{"family":"Ahmed","given":"Justin"},{"family":"Lorch","given":"Jeffrey"},{"family":"Ong","given":"Liane"},{"family":"Wolfgram","given":"Jay"}],"accessed":{"date-parts":[["2021",2,26]]},"issued":{"date-parts":[["2018",10,17]]}}}],"schema":"https://github.com/citation-style-language/schema/raw/master/csl-citation.json"} </w:instrText>
      </w:r>
      <w:r w:rsidRPr="00702DDD">
        <w:rPr>
          <w:rFonts w:ascii="Times New Roman" w:hAnsi="Times New Roman" w:cs="Times New Roman"/>
        </w:rPr>
        <w:fldChar w:fldCharType="separate"/>
      </w:r>
      <w:r w:rsidR="00C016E8" w:rsidRPr="00702DDD">
        <w:rPr>
          <w:rFonts w:ascii="Times New Roman" w:hAnsi="Times New Roman" w:cs="Times New Roman"/>
          <w:noProof/>
        </w:rPr>
        <w:t>(Ahmed et al., 2018)</w:t>
      </w:r>
      <w:r w:rsidRPr="00702DDD">
        <w:rPr>
          <w:rFonts w:ascii="Times New Roman" w:hAnsi="Times New Roman" w:cs="Times New Roman"/>
        </w:rPr>
        <w:fldChar w:fldCharType="end"/>
      </w:r>
      <w:r w:rsidRPr="00702DDD">
        <w:rPr>
          <w:rFonts w:ascii="Times New Roman" w:hAnsi="Times New Roman" w:cs="Times New Roman"/>
        </w:rPr>
        <w:t>. Human health events may relate to changes in willingness to accept products that may spread a disease, whether in truth or perception. While trade is an integral part of food acquisition worldwide, countries may be willing to accept the risks and uncertainties of international trade, which may be too high during a global pandemic.</w:t>
      </w:r>
      <w:r w:rsidRPr="00702DDD">
        <w:rPr>
          <w:rFonts w:ascii="Times New Roman" w:hAnsi="Times New Roman" w:cs="Times New Roman"/>
          <w:b/>
        </w:rPr>
        <w:t xml:space="preserve"> </w:t>
      </w:r>
      <w:r w:rsidRPr="00702DDD">
        <w:rPr>
          <w:rFonts w:ascii="Times New Roman" w:hAnsi="Times New Roman" w:cs="Times New Roman"/>
        </w:rPr>
        <w:t xml:space="preserve">While COVID is the most recent, the rise and increase in global health events and their effects on protein markets can be understood. To estimate these effects, this study uses UN </w:t>
      </w:r>
      <w:proofErr w:type="spellStart"/>
      <w:r w:rsidRPr="00702DDD">
        <w:rPr>
          <w:rFonts w:ascii="Times New Roman" w:hAnsi="Times New Roman" w:cs="Times New Roman"/>
        </w:rPr>
        <w:t>Comtrade</w:t>
      </w:r>
      <w:proofErr w:type="spellEnd"/>
      <w:r w:rsidRPr="00702DDD">
        <w:rPr>
          <w:rFonts w:ascii="Times New Roman" w:hAnsi="Times New Roman" w:cs="Times New Roman"/>
        </w:rPr>
        <w:t xml:space="preserve"> data </w:t>
      </w:r>
      <w:r w:rsidRPr="00702DDD">
        <w:rPr>
          <w:rFonts w:ascii="Times New Roman" w:hAnsi="Times New Roman" w:cs="Times New Roman"/>
        </w:rPr>
        <w:fldChar w:fldCharType="begin"/>
      </w:r>
      <w:r w:rsidR="00C016E8" w:rsidRPr="00702DDD">
        <w:rPr>
          <w:rFonts w:ascii="Times New Roman" w:hAnsi="Times New Roman" w:cs="Times New Roman"/>
        </w:rPr>
        <w:instrText xml:space="preserve"> ADDIN ZOTERO_ITEM CSL_CITATION {"citationID":"a3xLcvGI","properties":{"formattedCitation":"(United Nations, 2021)","plainCitation":"(United Nations, 2021)","noteIndex":0},"citationItems":[{"id":2605,"uris":["http://zotero.org/groups/2546976/items/YDQ4373P"],"uri":["http://zotero.org/groups/2546976/items/YDQ4373P"],"itemData":{"id":2605,"type":"report","publisher":"United Nations","title":"UN Comtrade Database","URL":"http://comtrade.un.org/data/","author":[{"literal":"United Nations"}],"issued":{"date-parts":[["2021"]]}}}],"schema":"https://github.com/citation-style-language/schema/raw/master/csl-citation.json"} </w:instrText>
      </w:r>
      <w:r w:rsidRPr="00702DDD">
        <w:rPr>
          <w:rFonts w:ascii="Times New Roman" w:hAnsi="Times New Roman" w:cs="Times New Roman"/>
        </w:rPr>
        <w:fldChar w:fldCharType="separate"/>
      </w:r>
      <w:r w:rsidR="00C016E8" w:rsidRPr="00702DDD">
        <w:rPr>
          <w:rFonts w:ascii="Times New Roman" w:hAnsi="Times New Roman" w:cs="Times New Roman"/>
          <w:noProof/>
        </w:rPr>
        <w:t>(United Nations, 2021)</w:t>
      </w:r>
      <w:r w:rsidRPr="00702DDD">
        <w:rPr>
          <w:rFonts w:ascii="Times New Roman" w:hAnsi="Times New Roman" w:cs="Times New Roman"/>
        </w:rPr>
        <w:fldChar w:fldCharType="end"/>
      </w:r>
      <w:r w:rsidRPr="00702DDD">
        <w:rPr>
          <w:rFonts w:ascii="Times New Roman" w:hAnsi="Times New Roman" w:cs="Times New Roman"/>
        </w:rPr>
        <w:t>, a publicly available international trade repository, coupled with Google Trend search engine and news data on recent (2000-2021) major human health events with global effects—COVID-19, Ebola, Middle Eastern Respiratory Syndrome (MERS-</w:t>
      </w:r>
      <w:proofErr w:type="spellStart"/>
      <w:r w:rsidRPr="00702DDD">
        <w:rPr>
          <w:rFonts w:ascii="Times New Roman" w:hAnsi="Times New Roman" w:cs="Times New Roman"/>
        </w:rPr>
        <w:t>Cov</w:t>
      </w:r>
      <w:proofErr w:type="spellEnd"/>
      <w:r w:rsidRPr="00702DDD">
        <w:rPr>
          <w:rFonts w:ascii="Times New Roman" w:hAnsi="Times New Roman" w:cs="Times New Roman"/>
        </w:rPr>
        <w:t xml:space="preserve">), and Zika—to analyze human disease disruptions on the value of global protein trade. The study hypothesis is that there will be decreased trade value estimates during pandemic periods compared to non-pandemic periods across protein and type of product. The results will help animal protein and allied industries better understand the economic implications of a potential human health event on trade so that they can prepare business continuity plans for future emerging disease events.  </w:t>
      </w:r>
    </w:p>
    <w:p w14:paraId="2CB75B5D" w14:textId="77777777" w:rsidR="00FD022F" w:rsidRPr="00702DDD" w:rsidRDefault="00FD022F" w:rsidP="000654A5">
      <w:pPr>
        <w:pStyle w:val="Heading2"/>
      </w:pPr>
      <w:bookmarkStart w:id="6" w:name="_Toc98444511"/>
      <w:bookmarkStart w:id="7" w:name="_Toc98692971"/>
      <w:r w:rsidRPr="00702DDD">
        <w:t>1.2 Literature Review</w:t>
      </w:r>
      <w:bookmarkEnd w:id="6"/>
      <w:bookmarkEnd w:id="7"/>
    </w:p>
    <w:p w14:paraId="1138DC39" w14:textId="7E677DAD" w:rsidR="00FD022F" w:rsidRPr="00A41FF8" w:rsidRDefault="00FD022F" w:rsidP="00A41FF8">
      <w:pPr>
        <w:pStyle w:val="Heading3"/>
      </w:pPr>
      <w:bookmarkStart w:id="8" w:name="_Toc98444512"/>
      <w:bookmarkStart w:id="9" w:name="_Toc98692972"/>
      <w:r w:rsidRPr="00A41FF8">
        <w:t>1.2.1 Animal Diseases</w:t>
      </w:r>
      <w:bookmarkEnd w:id="8"/>
      <w:bookmarkEnd w:id="9"/>
    </w:p>
    <w:p w14:paraId="4D653D97" w14:textId="5E6E8C74" w:rsidR="00FD022F" w:rsidRPr="00702DDD" w:rsidRDefault="00FD022F" w:rsidP="00FD022F">
      <w:pPr>
        <w:spacing w:line="480" w:lineRule="auto"/>
        <w:rPr>
          <w:rFonts w:ascii="Times New Roman" w:eastAsia="Times" w:hAnsi="Times New Roman" w:cs="Times New Roman"/>
          <w:color w:val="000000"/>
        </w:rPr>
      </w:pPr>
      <w:r w:rsidRPr="00702DDD">
        <w:rPr>
          <w:rFonts w:ascii="Times New Roman" w:eastAsia="Times" w:hAnsi="Times New Roman" w:cs="Times New Roman"/>
          <w:color w:val="000000"/>
        </w:rPr>
        <w:t xml:space="preserve">There are studies in the literature analyzing the effects of animal disease outbreaks and their effects on domestic and international meat trade </w:t>
      </w:r>
      <w:r w:rsidRPr="00702DDD">
        <w:rPr>
          <w:rFonts w:ascii="Times New Roman" w:eastAsia="Times" w:hAnsi="Times New Roman" w:cs="Times New Roman"/>
          <w:color w:val="000000"/>
        </w:rPr>
        <w:fldChar w:fldCharType="begin"/>
      </w:r>
      <w:r w:rsidR="00C016E8" w:rsidRPr="00702DDD">
        <w:rPr>
          <w:rFonts w:ascii="Times New Roman" w:eastAsia="Times" w:hAnsi="Times New Roman" w:cs="Times New Roman"/>
          <w:color w:val="000000"/>
        </w:rPr>
        <w:instrText xml:space="preserve"> ADDIN ZOTERO_ITEM CSL_CITATION {"citationID":"mCRg6vxw","properties":{"formattedCitation":"(Henson &amp; Mazzocchi, 2002; Peterson &amp; Chen, 2005; Thompson, 2018)","plainCitation":"(Henson &amp; Mazzocchi, 2002; Peterson &amp; Chen, 2005; Thompson, 2018)","noteIndex":0},"citationItems":[{"id":2774,"uris":["http://zotero.org/groups/2546976/items/7UBTAXN5"],"uri":["http://zotero.org/groups/2546976/items/7UBTAXN5"],"itemData":{"id":2774,"type":"article-journal","abstract":"From December 2014 to June 2015, U.S. poultry was affected by highly pathogenic avian influenza that led to destruction of 48 million birds and losses in international trade. During the event, 45 countries placed trade restrictions on U.S. poultry exports, varying from regionalized to national poultry restrictions. Using a gravity model of trade, the effects on quantity traded is estimated for poultry exports at the aggregated and disaggregated commodity level to understand product flows during an event. Results indicate U.S. poultry exports benefit from countries willing to apply limited trade restrictions, and the trade impact varies across disaggregated commodities.","container-title":"Journal of Agricultural and Applied Economics","DOI":"10.1017/aae.2017.29","ISSN":"1074-0708, 2056-7405","issue":"2","language":"en","page":"270-289","source":"Cambridge Core","title":"Effects of Regionalized Trade Restrictions on Quantity Exported During a Highly Pathogenic Avian Influenza Event","volume":"50","author":[{"family":"Thompson","given":"Jada M."}],"issued":{"date-parts":[["2018",5]]}}},{"id":2744,"uris":["http://zotero.org/groups/2546976/items/M73YM59J"],"uri":["http://zotero.org/groups/2546976/items/M73YM59J"],"itemData":{"id":2744,"type":"article-journal","container-title":"American Journal of Agricultural Economics","DOI":"10/cjqjtq","issue":"2","page":"370–386","source":"Google Scholar","title":"Impact of Bovine Spongiform Encephalopathy on agribusiness in the United Kingdom: Results of an event study of equity prices","title-short":"Impact of Bovine Spongiform Encephalopathy on agribusiness in the United Kingdom","volume":"84","author":[{"family":"Henson","given":"Spencer"},{"family":"Mazzocchi","given":"Mario"}],"issued":{"date-parts":[["2002"]]}}},{"id":2738,"uris":["http://zotero.org/groups/2546976/items/5ZLQZSKF"],"uri":["http://zotero.org/groups/2546976/items/5ZLQZSKF"],"itemData":{"id":2738,"type":"article-journal","container-title":"Agribusiness","DOI":"10/c3hjcz","ISSN":"0742-4477, 1520-6297","issue":"3","language":"en","page":"313-327","source":"CrossRef","title":"The Impact of BSE on Japanese Retail Meat Demand","volume":"21","author":[{"family":"Peterson","given":"Hikaru Hanawa"},{"family":"Chen","given":"Yun-Ju (Kelly)"}],"issued":{"date-parts":[["2005"]]}}}],"schema":"https://github.com/citation-style-language/schema/raw/master/csl-citation.json"} </w:instrText>
      </w:r>
      <w:r w:rsidRPr="00702DDD">
        <w:rPr>
          <w:rFonts w:ascii="Times New Roman" w:eastAsia="Times" w:hAnsi="Times New Roman" w:cs="Times New Roman"/>
          <w:color w:val="000000"/>
        </w:rPr>
        <w:fldChar w:fldCharType="separate"/>
      </w:r>
      <w:r w:rsidR="00C016E8" w:rsidRPr="00702DDD">
        <w:rPr>
          <w:rFonts w:ascii="Times New Roman" w:eastAsia="Times" w:hAnsi="Times New Roman" w:cs="Times New Roman"/>
          <w:noProof/>
          <w:color w:val="000000"/>
        </w:rPr>
        <w:t>(Henson &amp; Mazzocchi, 2002; Peterson &amp; Chen, 2005; Thompson, 2018)</w:t>
      </w:r>
      <w:r w:rsidRPr="00702DDD">
        <w:rPr>
          <w:rFonts w:ascii="Times New Roman" w:eastAsia="Times" w:hAnsi="Times New Roman" w:cs="Times New Roman"/>
          <w:color w:val="000000"/>
        </w:rPr>
        <w:fldChar w:fldCharType="end"/>
      </w:r>
      <w:r w:rsidRPr="00702DDD">
        <w:rPr>
          <w:rFonts w:ascii="Times New Roman" w:eastAsia="Times" w:hAnsi="Times New Roman" w:cs="Times New Roman"/>
          <w:color w:val="000000"/>
        </w:rPr>
        <w:t xml:space="preserve">. While many emerging animal diseases are </w:t>
      </w:r>
      <w:r w:rsidRPr="00702DDD">
        <w:rPr>
          <w:rFonts w:ascii="Times New Roman" w:eastAsia="Times" w:hAnsi="Times New Roman" w:cs="Times New Roman"/>
          <w:i/>
          <w:color w:val="000000"/>
        </w:rPr>
        <w:t>non-zoonotic</w:t>
      </w:r>
      <w:r w:rsidRPr="00702DDD">
        <w:rPr>
          <w:rFonts w:ascii="Times New Roman" w:eastAsia="Times" w:hAnsi="Times New Roman" w:cs="Times New Roman"/>
          <w:color w:val="000000"/>
        </w:rPr>
        <w:t xml:space="preserve">—without threat to human infection—and only spread through livestock herds, the effects to livestock populations, prices, and production remain substantial. These diseases may occur in a single species (e.g., bovine, swine, or poultry), industry (such as African Swine Fever or Bovine Viral </w:t>
      </w:r>
      <w:r w:rsidRPr="00702DDD">
        <w:rPr>
          <w:rFonts w:ascii="Times New Roman" w:eastAsia="Times" w:hAnsi="Times New Roman" w:cs="Times New Roman"/>
          <w:color w:val="000000"/>
        </w:rPr>
        <w:lastRenderedPageBreak/>
        <w:t xml:space="preserve">Diarrhea), or affect multiple species simultaneously (e.g., Leptospirosis). Foreign trade partners may suspend trade until the country is disease-free using the World Organization for Animal Health (OIE) standards, which have lasting effects on exporters dependent on those transactions. A U.S. outbreak of highly pathogenic avian influenza (HPAI) from 2014 to 2015 decimated 48 million American birds and caused 45 foreign partners to levy import restrictions </w:t>
      </w:r>
      <w:r w:rsidRPr="00702DDD">
        <w:rPr>
          <w:rFonts w:ascii="Times New Roman" w:eastAsia="Times" w:hAnsi="Times New Roman" w:cs="Times New Roman"/>
          <w:color w:val="000000"/>
        </w:rPr>
        <w:fldChar w:fldCharType="begin"/>
      </w:r>
      <w:r w:rsidR="00C016E8" w:rsidRPr="00702DDD">
        <w:rPr>
          <w:rFonts w:ascii="Times New Roman" w:eastAsia="Times" w:hAnsi="Times New Roman" w:cs="Times New Roman"/>
          <w:color w:val="000000"/>
        </w:rPr>
        <w:instrText xml:space="preserve"> ADDIN ZOTERO_ITEM CSL_CITATION {"citationID":"cEshiNTo","properties":{"formattedCitation":"(Thompson et al., 2020)","plainCitation":"(Thompson et al., 2020)","noteIndex":0},"citationItems":[{"id":2780,"uris":["http://zotero.org/groups/2546976/items/Y7JSG9N2"],"uri":["http://zotero.org/groups/2546976/items/Y7JSG9N2"],"itemData":{"id":2780,"type":"article-journal","abstract":"Animal disease events can lead to international trade restrictions which can vary in duration, products included, and geographical extent. Accounting for multilateral resistance between trading partners, a general gravity model of trade is estimated with a Hausman-Taylor and a Hausman-Taylor seemingly unrelated estimator to evaluate the trade quantity impact by commodity resulting from highly pathogenic poultry disease events in 24 exporting markets. Commodity specific results show that quantity traded and products demanded during a disease event differ by commodities. Understanding these impacts can better prepare exporters for potential changes in trade quantity given a disease event.","container-title":"Agricultural and Resource Economics Review","DOI":"10/ggcmdn","ISSN":"1068-2805, 2372-2614","issue":"3","language":"en","note":"publisher: Cambridge University Press","page":"517-537","source":"Cambridge University Press","title":"International Trade Implications of Highly Pathogenic Poultry Disease Events","volume":"49","author":[{"family":"Thompson","given":"Jada M."},{"family":"Pendell","given":"Dustin L."},{"family":"Hagerman","given":"Amy D."},{"family":"Johnson","given":"Kamina K."}],"issued":{"date-parts":[["2020",12]]}}}],"schema":"https://github.com/citation-style-language/schema/raw/master/csl-citation.json"} </w:instrText>
      </w:r>
      <w:r w:rsidRPr="00702DDD">
        <w:rPr>
          <w:rFonts w:ascii="Times New Roman" w:eastAsia="Times" w:hAnsi="Times New Roman" w:cs="Times New Roman"/>
          <w:color w:val="000000"/>
        </w:rPr>
        <w:fldChar w:fldCharType="separate"/>
      </w:r>
      <w:r w:rsidR="00C016E8" w:rsidRPr="00702DDD">
        <w:rPr>
          <w:rFonts w:ascii="Times New Roman" w:eastAsia="Times" w:hAnsi="Times New Roman" w:cs="Times New Roman"/>
          <w:noProof/>
          <w:color w:val="000000"/>
        </w:rPr>
        <w:t>(Thompson et al., 2020)</w:t>
      </w:r>
      <w:r w:rsidRPr="00702DDD">
        <w:rPr>
          <w:rFonts w:ascii="Times New Roman" w:eastAsia="Times" w:hAnsi="Times New Roman" w:cs="Times New Roman"/>
          <w:color w:val="000000"/>
        </w:rPr>
        <w:fldChar w:fldCharType="end"/>
      </w:r>
      <w:r w:rsidRPr="00702DDD">
        <w:rPr>
          <w:rFonts w:ascii="Times New Roman" w:eastAsia="Times" w:hAnsi="Times New Roman" w:cs="Times New Roman"/>
          <w:color w:val="000000"/>
        </w:rPr>
        <w:t xml:space="preserve">. Foot-and-Mouth Disease (FMD), a virus infecting cloven-hoofed livestock (e.g., bovine and swine), caused similar effects to Brazil’s meat market in 2005. Costa et al. </w:t>
      </w:r>
      <w:r w:rsidRPr="00702DDD">
        <w:rPr>
          <w:rFonts w:ascii="Times New Roman" w:eastAsia="Times" w:hAnsi="Times New Roman" w:cs="Times New Roman"/>
          <w:color w:val="000000"/>
        </w:rPr>
        <w:fldChar w:fldCharType="begin"/>
      </w:r>
      <w:r w:rsidR="00C016E8" w:rsidRPr="00702DDD">
        <w:rPr>
          <w:rFonts w:ascii="Times New Roman" w:eastAsia="Times" w:hAnsi="Times New Roman" w:cs="Times New Roman"/>
          <w:color w:val="000000"/>
        </w:rPr>
        <w:instrText xml:space="preserve"> ADDIN ZOTERO_ITEM CSL_CITATION {"citationID":"nMOo25Wu","properties":{"formattedCitation":"(2015)","plainCitation":"(2015)","noteIndex":0},"citationItems":[{"id":2748,"uris":["http://zotero.org/groups/2546976/items/GJY2JXF7"],"uri":["http://zotero.org/groups/2546976/items/GJY2JXF7"],"itemData":{"id":2748,"type":"article-journal","container-title":"Journal of Food Distribution Research","issue":"3","page":"1–19","source":"Google Scholar","title":"The Impacts of Foot and Mouth Disease Outbreaks on the Brazilian Meat Market","volume":"46","author":[{"family":"Costa","given":"Rafael"},{"family":"Bessler","given":"David"},{"family":"Rosson","given":"C. Parr"}],"issued":{"date-parts":[["2015"]]}},"suppress-author":true}],"schema":"https://github.com/citation-style-language/schema/raw/master/csl-citation.json"} </w:instrText>
      </w:r>
      <w:r w:rsidRPr="00702DDD">
        <w:rPr>
          <w:rFonts w:ascii="Times New Roman" w:eastAsia="Times" w:hAnsi="Times New Roman" w:cs="Times New Roman"/>
          <w:color w:val="000000"/>
        </w:rPr>
        <w:fldChar w:fldCharType="separate"/>
      </w:r>
      <w:r w:rsidRPr="00702DDD">
        <w:rPr>
          <w:rFonts w:ascii="Times New Roman" w:eastAsia="Times" w:hAnsi="Times New Roman" w:cs="Times New Roman"/>
          <w:noProof/>
          <w:color w:val="000000"/>
        </w:rPr>
        <w:t>(2015)</w:t>
      </w:r>
      <w:r w:rsidRPr="00702DDD">
        <w:rPr>
          <w:rFonts w:ascii="Times New Roman" w:eastAsia="Times" w:hAnsi="Times New Roman" w:cs="Times New Roman"/>
          <w:color w:val="000000"/>
        </w:rPr>
        <w:fldChar w:fldCharType="end"/>
      </w:r>
      <w:r w:rsidRPr="00702DDD">
        <w:rPr>
          <w:rFonts w:ascii="Times New Roman" w:eastAsia="Times" w:hAnsi="Times New Roman" w:cs="Times New Roman"/>
          <w:color w:val="000000"/>
        </w:rPr>
        <w:t xml:space="preserve"> determined Brazilian meat protein import bans by Russia in response to the FMD outbreak caused increased Brazilian domestic supply and depressed prices on meat products. The study concluded Brazil’s export beef prices did not fully recover until a year after the ban’s removal, with chicken and pork</w:t>
      </w:r>
      <w:r w:rsidRPr="00702DDD">
        <w:rPr>
          <w:rFonts w:ascii="Times New Roman" w:eastAsia="Times" w:hAnsi="Times New Roman" w:cs="Times New Roman"/>
        </w:rPr>
        <w:t xml:space="preserve"> </w:t>
      </w:r>
      <w:r w:rsidRPr="00702DDD">
        <w:rPr>
          <w:rFonts w:ascii="Times New Roman" w:eastAsia="Times" w:hAnsi="Times New Roman" w:cs="Times New Roman"/>
          <w:color w:val="000000"/>
        </w:rPr>
        <w:t xml:space="preserve">export prices not recovering as of 2015. </w:t>
      </w:r>
    </w:p>
    <w:p w14:paraId="3FF89D40" w14:textId="32B6A9F5" w:rsidR="00FD022F" w:rsidRPr="00702DDD" w:rsidRDefault="00FD022F" w:rsidP="00FD022F">
      <w:pPr>
        <w:spacing w:line="480" w:lineRule="auto"/>
        <w:rPr>
          <w:rFonts w:ascii="Times New Roman" w:eastAsia="Times" w:hAnsi="Times New Roman" w:cs="Times New Roman"/>
          <w:color w:val="000000"/>
        </w:rPr>
      </w:pPr>
      <w:r w:rsidRPr="00702DDD">
        <w:rPr>
          <w:rFonts w:ascii="Times New Roman" w:eastAsia="Times" w:hAnsi="Times New Roman" w:cs="Times New Roman"/>
          <w:color w:val="000000"/>
        </w:rPr>
        <w:tab/>
        <w:t xml:space="preserve">Animal disease implications are also compounded when the disease is zoonotic and transboundary. In 1996, the U.K. Government reported a link between the degenerative cattle disease Bovine Spongiform Encephalopathy (BSE) and a new variant of the related human equivalent Creutzfeldt-Jacob disease </w:t>
      </w:r>
      <w:r w:rsidRPr="00702DDD">
        <w:rPr>
          <w:rFonts w:ascii="Times New Roman" w:eastAsia="Times" w:hAnsi="Times New Roman" w:cs="Times New Roman"/>
          <w:color w:val="000000"/>
        </w:rPr>
        <w:fldChar w:fldCharType="begin"/>
      </w:r>
      <w:r w:rsidR="00C016E8" w:rsidRPr="00702DDD">
        <w:rPr>
          <w:rFonts w:ascii="Times New Roman" w:eastAsia="Times" w:hAnsi="Times New Roman" w:cs="Times New Roman"/>
          <w:color w:val="000000"/>
        </w:rPr>
        <w:instrText xml:space="preserve"> ADDIN ZOTERO_ITEM CSL_CITATION {"citationID":"0U3xAUmI","properties":{"formattedCitation":"(Henson &amp; Mazzocchi, 2002)","plainCitation":"(Henson &amp; Mazzocchi, 2002)","noteIndex":0},"citationItems":[{"id":2744,"uris":["http://zotero.org/groups/2546976/items/M73YM59J"],"uri":["http://zotero.org/groups/2546976/items/M73YM59J"],"itemData":{"id":2744,"type":"article-journal","container-title":"American Journal of Agricultural Economics","DOI":"10/cjqjtq","issue":"2","page":"370–386","source":"Google Scholar","title":"Impact of Bovine Spongiform Encephalopathy on agribusiness in the United Kingdom: Results of an event study of equity prices","title-short":"Impact of Bovine Spongiform Encephalopathy on agribusiness in the United Kingdom","volume":"84","author":[{"family":"Henson","given":"Spencer"},{"family":"Mazzocchi","given":"Mario"}],"issued":{"date-parts":[["2002"]]}}}],"schema":"https://github.com/citation-style-language/schema/raw/master/csl-citation.json"} </w:instrText>
      </w:r>
      <w:r w:rsidRPr="00702DDD">
        <w:rPr>
          <w:rFonts w:ascii="Times New Roman" w:eastAsia="Times" w:hAnsi="Times New Roman" w:cs="Times New Roman"/>
          <w:color w:val="000000"/>
        </w:rPr>
        <w:fldChar w:fldCharType="separate"/>
      </w:r>
      <w:r w:rsidR="00C016E8" w:rsidRPr="00702DDD">
        <w:rPr>
          <w:rFonts w:ascii="Times New Roman" w:eastAsia="Times" w:hAnsi="Times New Roman" w:cs="Times New Roman"/>
          <w:noProof/>
          <w:color w:val="000000"/>
        </w:rPr>
        <w:t>(Henson &amp; Mazzocchi, 2002)</w:t>
      </w:r>
      <w:r w:rsidRPr="00702DDD">
        <w:rPr>
          <w:rFonts w:ascii="Times New Roman" w:eastAsia="Times" w:hAnsi="Times New Roman" w:cs="Times New Roman"/>
          <w:color w:val="000000"/>
        </w:rPr>
        <w:fldChar w:fldCharType="end"/>
      </w:r>
      <w:r w:rsidRPr="00702DDD">
        <w:rPr>
          <w:rFonts w:ascii="Times New Roman" w:eastAsia="Times" w:hAnsi="Times New Roman" w:cs="Times New Roman"/>
          <w:color w:val="000000"/>
        </w:rPr>
        <w:t xml:space="preserve">. The announcement affected national beef, dairy, animal feed, and pet food processor demand and alarmed other countries of potential transmission. Even perception of transmission </w:t>
      </w:r>
      <w:r w:rsidRPr="00702DDD">
        <w:rPr>
          <w:rFonts w:ascii="Times New Roman" w:eastAsia="Times" w:hAnsi="Times New Roman" w:cs="Times New Roman"/>
        </w:rPr>
        <w:t>is impactful</w:t>
      </w:r>
      <w:r w:rsidRPr="00702DDD">
        <w:rPr>
          <w:rFonts w:ascii="Times New Roman" w:eastAsia="Times" w:hAnsi="Times New Roman" w:cs="Times New Roman"/>
          <w:color w:val="000000"/>
        </w:rPr>
        <w:t xml:space="preserve">. The same year American TV-personality Oprah Winfrey broadcast the news with promises to stop eating burgers; cattle future prices immediately dropped </w:t>
      </w:r>
      <w:r w:rsidRPr="00702DDD">
        <w:rPr>
          <w:rFonts w:ascii="Times New Roman" w:eastAsia="Times" w:hAnsi="Times New Roman" w:cs="Times New Roman"/>
          <w:color w:val="000000"/>
        </w:rPr>
        <w:fldChar w:fldCharType="begin"/>
      </w:r>
      <w:r w:rsidR="00C016E8" w:rsidRPr="00702DDD">
        <w:rPr>
          <w:rFonts w:ascii="Times New Roman" w:eastAsia="Times" w:hAnsi="Times New Roman" w:cs="Times New Roman"/>
          <w:color w:val="000000"/>
        </w:rPr>
        <w:instrText xml:space="preserve"> ADDIN ZOTERO_ITEM CSL_CITATION {"citationID":"FkG8rE0c","properties":{"formattedCitation":"(Schlenker &amp; Villas-Boas, 2009)","plainCitation":"(Schlenker &amp; Villas-Boas, 2009)","noteIndex":0},"citationItems":[{"id":2736,"uris":["http://zotero.org/groups/2546976/items/3G6BVJ56"],"uri":["http://zotero.org/groups/2546976/items/3G6BVJ56"],"itemData":{"id":2736,"type":"article-journal","container-title":"American Journal of Agricultural Economics","DOI":"10/dmbqpk","issue":"4","page":"1140–1152","source":"Google Scholar","title":"Consumer and Market Responses to Mad Cow Disease","volume":"91","author":[{"family":"Schlenker","given":"Wolfram"},{"family":"Villas-Boas","given":"Sofia B."}],"issued":{"date-parts":[["2009"]]}}}],"schema":"https://github.com/citation-style-language/schema/raw/master/csl-citation.json"} </w:instrText>
      </w:r>
      <w:r w:rsidRPr="00702DDD">
        <w:rPr>
          <w:rFonts w:ascii="Times New Roman" w:eastAsia="Times" w:hAnsi="Times New Roman" w:cs="Times New Roman"/>
          <w:color w:val="000000"/>
        </w:rPr>
        <w:fldChar w:fldCharType="separate"/>
      </w:r>
      <w:r w:rsidR="00C016E8" w:rsidRPr="00702DDD">
        <w:rPr>
          <w:rFonts w:ascii="Times New Roman" w:eastAsia="Times" w:hAnsi="Times New Roman" w:cs="Times New Roman"/>
          <w:noProof/>
          <w:color w:val="000000"/>
        </w:rPr>
        <w:t>(Schlenker &amp; Villas-Boas, 2009)</w:t>
      </w:r>
      <w:r w:rsidRPr="00702DDD">
        <w:rPr>
          <w:rFonts w:ascii="Times New Roman" w:eastAsia="Times" w:hAnsi="Times New Roman" w:cs="Times New Roman"/>
          <w:color w:val="000000"/>
        </w:rPr>
        <w:fldChar w:fldCharType="end"/>
      </w:r>
      <w:r w:rsidRPr="00702DDD">
        <w:rPr>
          <w:rFonts w:ascii="Times New Roman" w:eastAsia="Times" w:hAnsi="Times New Roman" w:cs="Times New Roman"/>
          <w:color w:val="000000"/>
        </w:rPr>
        <w:t xml:space="preserve">. A 2001 confirmed BSE case in Japan generated similar beef industry impacts, with a reduction in </w:t>
      </w:r>
      <w:r w:rsidRPr="00702DDD">
        <w:rPr>
          <w:rFonts w:ascii="Times New Roman" w:eastAsia="Times" w:hAnsi="Times New Roman" w:cs="Times New Roman"/>
          <w:i/>
          <w:color w:val="000000"/>
        </w:rPr>
        <w:t xml:space="preserve">wagyu </w:t>
      </w:r>
      <w:r w:rsidRPr="00702DDD">
        <w:rPr>
          <w:rFonts w:ascii="Times New Roman" w:eastAsia="Times" w:hAnsi="Times New Roman" w:cs="Times New Roman"/>
          <w:color w:val="000000"/>
        </w:rPr>
        <w:t xml:space="preserve">and dairy domestic beef production as well as imported beef from the U.S. and Australia </w:t>
      </w:r>
      <w:r w:rsidRPr="00702DDD">
        <w:rPr>
          <w:rFonts w:ascii="Times New Roman" w:eastAsia="Times" w:hAnsi="Times New Roman" w:cs="Times New Roman"/>
          <w:color w:val="000000"/>
        </w:rPr>
        <w:fldChar w:fldCharType="begin"/>
      </w:r>
      <w:r w:rsidR="00C016E8" w:rsidRPr="00702DDD">
        <w:rPr>
          <w:rFonts w:ascii="Times New Roman" w:eastAsia="Times" w:hAnsi="Times New Roman" w:cs="Times New Roman"/>
          <w:color w:val="000000"/>
        </w:rPr>
        <w:instrText xml:space="preserve"> ADDIN ZOTERO_ITEM CSL_CITATION {"citationID":"6F6nGuKu","properties":{"formattedCitation":"(Peterson &amp; Chen, 2005)","plainCitation":"(Peterson &amp; Chen, 2005)","noteIndex":0},"citationItems":[{"id":2738,"uris":["http://zotero.org/groups/2546976/items/5ZLQZSKF"],"uri":["http://zotero.org/groups/2546976/items/5ZLQZSKF"],"itemData":{"id":2738,"type":"article-journal","container-title":"Agribusiness","DOI":"10/c3hjcz","ISSN":"0742-4477, 1520-6297","issue":"3","language":"en","page":"313-327","source":"CrossRef","title":"The Impact of BSE on Japanese Retail Meat Demand","volume":"21","author":[{"family":"Peterson","given":"Hikaru Hanawa"},{"family":"Chen","given":"Yun-Ju (Kelly)"}],"issued":{"date-parts":[["2005"]]}}}],"schema":"https://github.com/citation-style-language/schema/raw/master/csl-citation.json"} </w:instrText>
      </w:r>
      <w:r w:rsidRPr="00702DDD">
        <w:rPr>
          <w:rFonts w:ascii="Times New Roman" w:eastAsia="Times" w:hAnsi="Times New Roman" w:cs="Times New Roman"/>
          <w:color w:val="000000"/>
        </w:rPr>
        <w:fldChar w:fldCharType="separate"/>
      </w:r>
      <w:r w:rsidR="00C016E8" w:rsidRPr="00702DDD">
        <w:rPr>
          <w:rFonts w:ascii="Times New Roman" w:eastAsia="Times" w:hAnsi="Times New Roman" w:cs="Times New Roman"/>
          <w:noProof/>
          <w:color w:val="000000"/>
        </w:rPr>
        <w:t>(Peterson &amp; Chen, 2005)</w:t>
      </w:r>
      <w:r w:rsidRPr="00702DDD">
        <w:rPr>
          <w:rFonts w:ascii="Times New Roman" w:eastAsia="Times" w:hAnsi="Times New Roman" w:cs="Times New Roman"/>
          <w:color w:val="000000"/>
        </w:rPr>
        <w:fldChar w:fldCharType="end"/>
      </w:r>
      <w:r w:rsidRPr="00702DDD">
        <w:rPr>
          <w:rFonts w:ascii="Times New Roman" w:eastAsia="Times" w:hAnsi="Times New Roman" w:cs="Times New Roman"/>
          <w:color w:val="000000"/>
        </w:rPr>
        <w:t xml:space="preserve">. When the U.S. reported the first single BSE-confirmed case in 2003, 53 countries retroactively banned American cattle and beef exports </w:t>
      </w:r>
      <w:r w:rsidRPr="00702DDD">
        <w:rPr>
          <w:rFonts w:ascii="Times New Roman" w:eastAsia="Times" w:hAnsi="Times New Roman" w:cs="Times New Roman"/>
          <w:color w:val="000000"/>
        </w:rPr>
        <w:fldChar w:fldCharType="begin"/>
      </w:r>
      <w:r w:rsidR="00C016E8" w:rsidRPr="00702DDD">
        <w:rPr>
          <w:rFonts w:ascii="Times New Roman" w:eastAsia="Times" w:hAnsi="Times New Roman" w:cs="Times New Roman"/>
          <w:color w:val="000000"/>
        </w:rPr>
        <w:instrText xml:space="preserve"> ADDIN ZOTERO_ITEM CSL_CITATION {"citationID":"YYb82aBN","properties":{"formattedCitation":"(Pendell et al., 2010)","plainCitation":"(Pendell et al., 2010)","noteIndex":0},"citationItems":[{"id":2702,"uris":["http://zotero.org/groups/2546976/items/9E5VEA55"],"uri":["http://zotero.org/groups/2546976/items/9E5VEA55"],"itemData":{"id":2702,"type":"article-journal","abstract":"We examine the impacts of adopting animal identification and tracing systems on the U.S. meat and livestock industry. Using a multimarket equilibrium displacement model, we find that a modest increase in domestic demand for beef would offset the costs of an animal identification system. Similarly, an increase in beef export demand equivalent to Japan’s beef export market share prior to the 2003 U.S. discovery of bovine spongiform encephalopathy would offset animal identification system costs.","container-title":"American Journal of Agricultural Economics","DOI":"10/fwjvtm","ISSN":"0002-9092, 1467-8276","issue":"4","journalAbbreviation":"Am. J. Agr. Econ.","language":"en","page":"927-940","source":"ajae.oxfordjournals.org","title":"Animal Identification and Tracing in the United States","volume":"92","author":[{"family":"Pendell","given":"Dustin L."},{"family":"Brester","given":"Gary W."},{"family":"Schroeder","given":"Ted C."},{"family":"Dhuyvetter","given":"Kevin C."},{"family":"Tonsor","given":"Glynn T."}],"issued":{"date-parts":[["2010",7,1]]}}}],"schema":"https://github.com/citation-style-language/schema/raw/master/csl-citation.json"} </w:instrText>
      </w:r>
      <w:r w:rsidRPr="00702DDD">
        <w:rPr>
          <w:rFonts w:ascii="Times New Roman" w:eastAsia="Times" w:hAnsi="Times New Roman" w:cs="Times New Roman"/>
          <w:color w:val="000000"/>
        </w:rPr>
        <w:fldChar w:fldCharType="separate"/>
      </w:r>
      <w:r w:rsidR="00C016E8" w:rsidRPr="00702DDD">
        <w:rPr>
          <w:rFonts w:ascii="Times New Roman" w:eastAsia="Times" w:hAnsi="Times New Roman" w:cs="Times New Roman"/>
          <w:noProof/>
          <w:color w:val="000000"/>
        </w:rPr>
        <w:t>(Pendell et al., 2010)</w:t>
      </w:r>
      <w:r w:rsidRPr="00702DDD">
        <w:rPr>
          <w:rFonts w:ascii="Times New Roman" w:eastAsia="Times" w:hAnsi="Times New Roman" w:cs="Times New Roman"/>
          <w:color w:val="000000"/>
        </w:rPr>
        <w:fldChar w:fldCharType="end"/>
      </w:r>
      <w:r w:rsidRPr="00702DDD">
        <w:rPr>
          <w:rFonts w:ascii="Times New Roman" w:eastAsia="Times" w:hAnsi="Times New Roman" w:cs="Times New Roman"/>
          <w:color w:val="000000"/>
        </w:rPr>
        <w:t xml:space="preserve">. The estimated loss </w:t>
      </w:r>
      <w:r w:rsidRPr="00702DDD">
        <w:rPr>
          <w:rFonts w:ascii="Times New Roman" w:eastAsia="Times" w:hAnsi="Times New Roman" w:cs="Times New Roman"/>
          <w:color w:val="000000"/>
        </w:rPr>
        <w:lastRenderedPageBreak/>
        <w:t xml:space="preserve">from BSE in the US was over $3 billion. BSE’s severity effects identify the risk averse policies countries adopt to preserve herd quality and consumer food safety. </w:t>
      </w:r>
    </w:p>
    <w:p w14:paraId="3FB58075" w14:textId="31EF2AC0" w:rsidR="00FD022F" w:rsidRPr="00702DDD" w:rsidRDefault="00FD022F" w:rsidP="00A41FF8">
      <w:pPr>
        <w:pStyle w:val="Heading3"/>
      </w:pPr>
      <w:bookmarkStart w:id="10" w:name="_Toc98444513"/>
      <w:bookmarkStart w:id="11" w:name="_Toc98692973"/>
      <w:r w:rsidRPr="00702DDD">
        <w:t>1.2.2 Human Health Diseases</w:t>
      </w:r>
      <w:bookmarkEnd w:id="10"/>
      <w:bookmarkEnd w:id="11"/>
    </w:p>
    <w:p w14:paraId="310DEB09" w14:textId="5E29775C" w:rsidR="00FD022F" w:rsidRPr="00702DDD" w:rsidRDefault="00FD022F" w:rsidP="00FD022F">
      <w:pPr>
        <w:spacing w:line="480" w:lineRule="auto"/>
        <w:rPr>
          <w:rFonts w:ascii="Times New Roman" w:eastAsia="Times" w:hAnsi="Times New Roman" w:cs="Times New Roman"/>
          <w:color w:val="000000"/>
        </w:rPr>
      </w:pPr>
      <w:r w:rsidRPr="00702DDD">
        <w:rPr>
          <w:rFonts w:ascii="Times New Roman" w:eastAsia="Times" w:hAnsi="Times New Roman" w:cs="Times New Roman"/>
          <w:color w:val="000000"/>
        </w:rPr>
        <w:t xml:space="preserve">As widespread and impactful as animal health events are, major communicable human health events can also cause changes in risk perception and quick response to reduce global spread. Human health events are considered </w:t>
      </w:r>
      <w:r w:rsidRPr="00702DDD">
        <w:rPr>
          <w:rFonts w:ascii="Times New Roman" w:eastAsia="Times" w:hAnsi="Times New Roman" w:cs="Times New Roman"/>
          <w:i/>
          <w:color w:val="000000"/>
        </w:rPr>
        <w:t>pandemics</w:t>
      </w:r>
      <w:r w:rsidRPr="00702DDD">
        <w:rPr>
          <w:rFonts w:ascii="Times New Roman" w:eastAsia="Times" w:hAnsi="Times New Roman" w:cs="Times New Roman"/>
          <w:color w:val="000000"/>
        </w:rPr>
        <w:t xml:space="preserve"> when spread over the globe and defined by high human morbidity and mortality rates over large geographical areas </w:t>
      </w:r>
      <w:r w:rsidRPr="00702DDD">
        <w:rPr>
          <w:rFonts w:ascii="Times New Roman" w:eastAsia="Times" w:hAnsi="Times New Roman" w:cs="Times New Roman"/>
          <w:color w:val="000000"/>
        </w:rPr>
        <w:fldChar w:fldCharType="begin"/>
      </w:r>
      <w:r w:rsidR="00C016E8" w:rsidRPr="00702DDD">
        <w:rPr>
          <w:rFonts w:ascii="Times New Roman" w:eastAsia="Times" w:hAnsi="Times New Roman" w:cs="Times New Roman"/>
          <w:color w:val="000000"/>
        </w:rPr>
        <w:instrText xml:space="preserve"> ADDIN ZOTERO_ITEM CSL_CITATION {"citationID":"7sQThtEa","properties":{"formattedCitation":"(Madhav et al., 2017)","plainCitation":"(Madhav et al., 2017)","noteIndex":0},"citationItems":[{"id":2810,"uris":["http://zotero.org/groups/2546976/items/IINSCRRH"],"uri":["http://zotero.org/groups/2546976/items/IINSCRRH"],"itemData":{"id":2810,"type":"chapter","abstract":"Pandemics are large-scale outbreaks of infectious disease that can greatly increase morbidity and mortality over a wide geographic area and cause significant economic, social, and political disruption. Evidence suggests that the likelihood of pandemics has increased over the past century because of increased global travel and integration, urbanization, changes in land use, and greater exploitation of the natural environment (Jones and others 2008; Morse 1995). These trends likely will continue and will intensify. Significant policy attention has focused on the need to identify and limit emerging outbreaks that might lead to pandemics and to expand and sustain investment to build preparedness and health capacity (Smolinsky, Hamburg, and Lederberg 2003). The international community has made progress toward preparing for and mitigating the impacts of pandemics. The 2003 severe acute respiratory syndrome (SARS) pandemic and growing concerns about the threat posed by avian influenza led many countries to devise pandemic plans (U.S. Department of Health and Human Services 2005). Delayed reporting of early SARS cases also led the World Health Assembly to update the International Health Regulations (IHR) to compel all World Health Organization member states to meet specific standards for detecting, reporting on, and responding to outbreaks (WHO 2005). The framework put into place by the updated IHR contributed to a more coordinated global response during the 2009 influenza pandemic (Katz 2009). International donors also have begun to invest in improving preparedness through refined standards and funding for building health capacity (Wolicki and others 2016). Despite these improvements, significant gaps and challenges exist in global pandemic preparedness. Progress toward meeting the IHR has been uneven, and many countries have been unable to meet basic requirements for compliance (Fischer and Katz 2013; WHO 2014). Multiple outbreaks, notably the 2014 West Africa Ebola epidemic, have exposed gaps related to the timely detection of disease, availability of basic care, tracing of contacts, quarantine and isolation procedures, and preparedness outside the health sector, including global coordination and response mobilization (Moon and others 2015; Pathmanathan and others 2014). These gaps are especially evident in resource-limited settings and have posed challenges during relatively localized epidemics, with dire implications for what may happen during a full-fledged global pandemic. For the purposes of this chapter, an epidemic is defined as “the occurrence in a community or region of cases of an illness . . . clearly in excess of normal expectancy” (Porta 2014). A pandemic is defined as “an epidemic occurring over a very wide area, crossing international boundaries, and usually affecting a large number of people” (Porta 2014). Pandemics are, therefore, identified by their geographic scale rather than the severity of illness. For example, in contrast to annual seasonal influenza epidemics, pandemic influenza is defined as “when a new influenza virus emerges and spreads around the world, and most people do not have immunity” (WHO 2010). This chapter does not consider endemic diseases—those that are constantly present in particular localities or regions. Endemic diseases are far more common than pandemics and can have significant negative health and economic impacts, especially in low- and middle-income countries (LMICs) with weak health systems. Additionally, given the lack of historical data and extreme uncertainty regarding bioterrorism, this chapter does not specifically consider bioterrorism-related events, although bioterrorism could hypothetically lead to a pandemic. This chapter covers the following findings concerning the risks, impacts, and mitigation of pandemics as well as knowledge gaps:","call-number":"NBK525302","container-title":"Disease Control Priorities: Improving Health and Reducing Poverty","edition":"3rd","event-place":"Washington (DC)","ISBN":"978-1-4648-0527-1","language":"eng","note":"PMID: 30212163","publisher":"The International Bank for Reconstruction and Development / The World Bank","publisher-place":"Washington (DC)","source":"PubMed","title":"Pandemics: Risks, Impacts, and Mitigation","title-short":"Pandemics","URL":"http://www.ncbi.nlm.nih.gov/books/NBK525302/","author":[{"family":"Madhav","given":"Nita"},{"family":"Oppenheim","given":"Ben"},{"family":"Gallivan","given":"Mark"},{"family":"Mulembakani","given":"Prime"},{"family":"Rubin","given":"Edward"},{"family":"Wolfe","given":"Nathan"}],"editor":[{"family":"Jamison","given":"Dean T."},{"family":"Gelband","given":"Hellen"},{"family":"Horton","given":"Susan"},{"family":"Jha","given":"Prabhat"},{"family":"Laxminarayan","given":"Ramanan"},{"family":"Mock","given":"Charles N."},{"family":"Nugent","given":"Rachel"}],"accessed":{"date-parts":[["2021",3,21]]},"issued":{"date-parts":[["2017"]]}}}],"schema":"https://github.com/citation-style-language/schema/raw/master/csl-citation.json"} </w:instrText>
      </w:r>
      <w:r w:rsidRPr="00702DDD">
        <w:rPr>
          <w:rFonts w:ascii="Times New Roman" w:eastAsia="Times" w:hAnsi="Times New Roman" w:cs="Times New Roman"/>
          <w:color w:val="000000"/>
        </w:rPr>
        <w:fldChar w:fldCharType="separate"/>
      </w:r>
      <w:r w:rsidR="00C016E8" w:rsidRPr="00702DDD">
        <w:rPr>
          <w:rFonts w:ascii="Times New Roman" w:eastAsia="Times" w:hAnsi="Times New Roman" w:cs="Times New Roman"/>
          <w:noProof/>
          <w:color w:val="000000"/>
        </w:rPr>
        <w:t>(Madhav et al., 2017)</w:t>
      </w:r>
      <w:r w:rsidRPr="00702DDD">
        <w:rPr>
          <w:rFonts w:ascii="Times New Roman" w:eastAsia="Times" w:hAnsi="Times New Roman" w:cs="Times New Roman"/>
          <w:color w:val="000000"/>
        </w:rPr>
        <w:fldChar w:fldCharType="end"/>
      </w:r>
      <w:r w:rsidRPr="00702DDD">
        <w:rPr>
          <w:rFonts w:ascii="Times New Roman" w:eastAsia="Times" w:hAnsi="Times New Roman" w:cs="Times New Roman"/>
          <w:color w:val="000000"/>
        </w:rPr>
        <w:t xml:space="preserve">. This study will not include </w:t>
      </w:r>
      <w:r w:rsidRPr="00702DDD">
        <w:rPr>
          <w:rFonts w:ascii="Times New Roman" w:eastAsia="Times" w:hAnsi="Times New Roman" w:cs="Times New Roman"/>
          <w:i/>
          <w:color w:val="000000"/>
        </w:rPr>
        <w:t>endemic</w:t>
      </w:r>
      <w:r w:rsidRPr="00702DDD">
        <w:rPr>
          <w:rFonts w:ascii="Times New Roman" w:eastAsia="Times" w:hAnsi="Times New Roman" w:cs="Times New Roman"/>
          <w:color w:val="000000"/>
        </w:rPr>
        <w:t xml:space="preserve"> diseases—those already present, common, and re-occurring in the area—as these are essentially contained and no longer affecting world trade. Most emerging diseases with the potential for widespread contagion have and are expected to originate from domestic or wild animals, aligning the ideals of health safety with livestock international trade </w:t>
      </w:r>
      <w:r w:rsidRPr="00702DDD">
        <w:rPr>
          <w:rFonts w:ascii="Times New Roman" w:eastAsia="Times" w:hAnsi="Times New Roman" w:cs="Times New Roman"/>
          <w:color w:val="000000"/>
        </w:rPr>
        <w:fldChar w:fldCharType="begin"/>
      </w:r>
      <w:r w:rsidR="00C016E8" w:rsidRPr="00702DDD">
        <w:rPr>
          <w:rFonts w:ascii="Times New Roman" w:eastAsia="Times" w:hAnsi="Times New Roman" w:cs="Times New Roman"/>
          <w:color w:val="000000"/>
        </w:rPr>
        <w:instrText xml:space="preserve"> ADDIN ZOTERO_ITEM CSL_CITATION {"citationID":"cn3qHQcc","properties":{"formattedCitation":"(Madhav et al., 2017)","plainCitation":"(Madhav et al., 2017)","noteIndex":0},"citationItems":[{"id":2810,"uris":["http://zotero.org/groups/2546976/items/IINSCRRH"],"uri":["http://zotero.org/groups/2546976/items/IINSCRRH"],"itemData":{"id":2810,"type":"chapter","abstract":"Pandemics are large-scale outbreaks of infectious disease that can greatly increase morbidity and mortality over a wide geographic area and cause significant economic, social, and political disruption. Evidence suggests that the likelihood of pandemics has increased over the past century because of increased global travel and integration, urbanization, changes in land use, and greater exploitation of the natural environment (Jones and others 2008; Morse 1995). These trends likely will continue and will intensify. Significant policy attention has focused on the need to identify and limit emerging outbreaks that might lead to pandemics and to expand and sustain investment to build preparedness and health capacity (Smolinsky, Hamburg, and Lederberg 2003). The international community has made progress toward preparing for and mitigating the impacts of pandemics. The 2003 severe acute respiratory syndrome (SARS) pandemic and growing concerns about the threat posed by avian influenza led many countries to devise pandemic plans (U.S. Department of Health and Human Services 2005). Delayed reporting of early SARS cases also led the World Health Assembly to update the International Health Regulations (IHR) to compel all World Health Organization member states to meet specific standards for detecting, reporting on, and responding to outbreaks (WHO 2005). The framework put into place by the updated IHR contributed to a more coordinated global response during the 2009 influenza pandemic (Katz 2009). International donors also have begun to invest in improving preparedness through refined standards and funding for building health capacity (Wolicki and others 2016). Despite these improvements, significant gaps and challenges exist in global pandemic preparedness. Progress toward meeting the IHR has been uneven, and many countries have been unable to meet basic requirements for compliance (Fischer and Katz 2013; WHO 2014). Multiple outbreaks, notably the 2014 West Africa Ebola epidemic, have exposed gaps related to the timely detection of disease, availability of basic care, tracing of contacts, quarantine and isolation procedures, and preparedness outside the health sector, including global coordination and response mobilization (Moon and others 2015; Pathmanathan and others 2014). These gaps are especially evident in resource-limited settings and have posed challenges during relatively localized epidemics, with dire implications for what may happen during a full-fledged global pandemic. For the purposes of this chapter, an epidemic is defined as “the occurrence in a community or region of cases of an illness . . . clearly in excess of normal expectancy” (Porta 2014). A pandemic is defined as “an epidemic occurring over a very wide area, crossing international boundaries, and usually affecting a large number of people” (Porta 2014). Pandemics are, therefore, identified by their geographic scale rather than the severity of illness. For example, in contrast to annual seasonal influenza epidemics, pandemic influenza is defined as “when a new influenza virus emerges and spreads around the world, and most people do not have immunity” (WHO 2010). This chapter does not consider endemic diseases—those that are constantly present in particular localities or regions. Endemic diseases are far more common than pandemics and can have significant negative health and economic impacts, especially in low- and middle-income countries (LMICs) with weak health systems. Additionally, given the lack of historical data and extreme uncertainty regarding bioterrorism, this chapter does not specifically consider bioterrorism-related events, although bioterrorism could hypothetically lead to a pandemic. This chapter covers the following findings concerning the risks, impacts, and mitigation of pandemics as well as knowledge gaps:","call-number":"NBK525302","container-title":"Disease Control Priorities: Improving Health and Reducing Poverty","edition":"3rd","event-place":"Washington (DC)","ISBN":"978-1-4648-0527-1","language":"eng","note":"PMID: 30212163","publisher":"The International Bank for Reconstruction and Development / The World Bank","publisher-place":"Washington (DC)","source":"PubMed","title":"Pandemics: Risks, Impacts, and Mitigation","title-short":"Pandemics","URL":"http://www.ncbi.nlm.nih.gov/books/NBK525302/","author":[{"family":"Madhav","given":"Nita"},{"family":"Oppenheim","given":"Ben"},{"family":"Gallivan","given":"Mark"},{"family":"Mulembakani","given":"Prime"},{"family":"Rubin","given":"Edward"},{"family":"Wolfe","given":"Nathan"}],"editor":[{"family":"Jamison","given":"Dean T."},{"family":"Gelband","given":"Hellen"},{"family":"Horton","given":"Susan"},{"family":"Jha","given":"Prabhat"},{"family":"Laxminarayan","given":"Ramanan"},{"family":"Mock","given":"Charles N."},{"family":"Nugent","given":"Rachel"}],"accessed":{"date-parts":[["2021",3,21]]},"issued":{"date-parts":[["2017"]]}}}],"schema":"https://github.com/citation-style-language/schema/raw/master/csl-citation.json"} </w:instrText>
      </w:r>
      <w:r w:rsidRPr="00702DDD">
        <w:rPr>
          <w:rFonts w:ascii="Times New Roman" w:eastAsia="Times" w:hAnsi="Times New Roman" w:cs="Times New Roman"/>
          <w:color w:val="000000"/>
        </w:rPr>
        <w:fldChar w:fldCharType="separate"/>
      </w:r>
      <w:r w:rsidR="00C016E8" w:rsidRPr="00702DDD">
        <w:rPr>
          <w:rFonts w:ascii="Times New Roman" w:eastAsia="Times" w:hAnsi="Times New Roman" w:cs="Times New Roman"/>
          <w:noProof/>
          <w:color w:val="000000"/>
        </w:rPr>
        <w:t>(Madhav et al., 2017)</w:t>
      </w:r>
      <w:r w:rsidRPr="00702DDD">
        <w:rPr>
          <w:rFonts w:ascii="Times New Roman" w:eastAsia="Times" w:hAnsi="Times New Roman" w:cs="Times New Roman"/>
          <w:color w:val="000000"/>
        </w:rPr>
        <w:fldChar w:fldCharType="end"/>
      </w:r>
      <w:r w:rsidRPr="00702DDD">
        <w:rPr>
          <w:rFonts w:ascii="Times New Roman" w:eastAsia="Times" w:hAnsi="Times New Roman" w:cs="Times New Roman"/>
          <w:color w:val="000000"/>
        </w:rPr>
        <w:t xml:space="preserve">. The current SARS-CoV2 (COVID-19) pandemic, occurring three years after the Madhav et al. </w:t>
      </w:r>
      <w:r w:rsidRPr="00702DDD">
        <w:rPr>
          <w:rFonts w:ascii="Times New Roman" w:eastAsia="Times" w:hAnsi="Times New Roman" w:cs="Times New Roman"/>
          <w:color w:val="000000"/>
        </w:rPr>
        <w:fldChar w:fldCharType="begin"/>
      </w:r>
      <w:r w:rsidR="00C016E8" w:rsidRPr="00702DDD">
        <w:rPr>
          <w:rFonts w:ascii="Times New Roman" w:eastAsia="Times" w:hAnsi="Times New Roman" w:cs="Times New Roman"/>
          <w:color w:val="000000"/>
        </w:rPr>
        <w:instrText xml:space="preserve"> ADDIN ZOTERO_ITEM CSL_CITATION {"citationID":"xPVLdt8z","properties":{"formattedCitation":"(2017)","plainCitation":"(2017)","noteIndex":0},"citationItems":[{"id":2810,"uris":["http://zotero.org/groups/2546976/items/IINSCRRH"],"uri":["http://zotero.org/groups/2546976/items/IINSCRRH"],"itemData":{"id":2810,"type":"chapter","abstract":"Pandemics are large-scale outbreaks of infectious disease that can greatly increase morbidity and mortality over a wide geographic area and cause significant economic, social, and political disruption. Evidence suggests that the likelihood of pandemics has increased over the past century because of increased global travel and integration, urbanization, changes in land use, and greater exploitation of the natural environment (Jones and others 2008; Morse 1995). These trends likely will continue and will intensify. Significant policy attention has focused on the need to identify and limit emerging outbreaks that might lead to pandemics and to expand and sustain investment to build preparedness and health capacity (Smolinsky, Hamburg, and Lederberg 2003). The international community has made progress toward preparing for and mitigating the impacts of pandemics. The 2003 severe acute respiratory syndrome (SARS) pandemic and growing concerns about the threat posed by avian influenza led many countries to devise pandemic plans (U.S. Department of Health and Human Services 2005). Delayed reporting of early SARS cases also led the World Health Assembly to update the International Health Regulations (IHR) to compel all World Health Organization member states to meet specific standards for detecting, reporting on, and responding to outbreaks (WHO 2005). The framework put into place by the updated IHR contributed to a more coordinated global response during the 2009 influenza pandemic (Katz 2009). International donors also have begun to invest in improving preparedness through refined standards and funding for building health capacity (Wolicki and others 2016). Despite these improvements, significant gaps and challenges exist in global pandemic preparedness. Progress toward meeting the IHR has been uneven, and many countries have been unable to meet basic requirements for compliance (Fischer and Katz 2013; WHO 2014). Multiple outbreaks, notably the 2014 West Africa Ebola epidemic, have exposed gaps related to the timely detection of disease, availability of basic care, tracing of contacts, quarantine and isolation procedures, and preparedness outside the health sector, including global coordination and response mobilization (Moon and others 2015; Pathmanathan and others 2014). These gaps are especially evident in resource-limited settings and have posed challenges during relatively localized epidemics, with dire implications for what may happen during a full-fledged global pandemic. For the purposes of this chapter, an epidemic is defined as “the occurrence in a community or region of cases of an illness . . . clearly in excess of normal expectancy” (Porta 2014). A pandemic is defined as “an epidemic occurring over a very wide area, crossing international boundaries, and usually affecting a large number of people” (Porta 2014). Pandemics are, therefore, identified by their geographic scale rather than the severity of illness. For example, in contrast to annual seasonal influenza epidemics, pandemic influenza is defined as “when a new influenza virus emerges and spreads around the world, and most people do not have immunity” (WHO 2010). This chapter does not consider endemic diseases—those that are constantly present in particular localities or regions. Endemic diseases are far more common than pandemics and can have significant negative health and economic impacts, especially in low- and middle-income countries (LMICs) with weak health systems. Additionally, given the lack of historical data and extreme uncertainty regarding bioterrorism, this chapter does not specifically consider bioterrorism-related events, although bioterrorism could hypothetically lead to a pandemic. This chapter covers the following findings concerning the risks, impacts, and mitigation of pandemics as well as knowledge gaps:","call-number":"NBK525302","container-title":"Disease Control Priorities: Improving Health and Reducing Poverty","edition":"3rd","event-place":"Washington (DC)","ISBN":"978-1-4648-0527-1","language":"eng","note":"PMID: 30212163","publisher":"The International Bank for Reconstruction and Development / The World Bank","publisher-place":"Washington (DC)","source":"PubMed","title":"Pandemics: Risks, Impacts, and Mitigation","title-short":"Pandemics","URL":"http://www.ncbi.nlm.nih.gov/books/NBK525302/","author":[{"family":"Madhav","given":"Nita"},{"family":"Oppenheim","given":"Ben"},{"family":"Gallivan","given":"Mark"},{"family":"Mulembakani","given":"Prime"},{"family":"Rubin","given":"Edward"},{"family":"Wolfe","given":"Nathan"}],"editor":[{"family":"Jamison","given":"Dean T."},{"family":"Gelband","given":"Hellen"},{"family":"Horton","given":"Susan"},{"family":"Jha","given":"Prabhat"},{"family":"Laxminarayan","given":"Ramanan"},{"family":"Mock","given":"Charles N."},{"family":"Nugent","given":"Rachel"}],"accessed":{"date-parts":[["2021",3,21]]},"issued":{"date-parts":[["2017"]]}},"suppress-author":true}],"schema":"https://github.com/citation-style-language/schema/raw/master/csl-citation.json"} </w:instrText>
      </w:r>
      <w:r w:rsidRPr="00702DDD">
        <w:rPr>
          <w:rFonts w:ascii="Times New Roman" w:eastAsia="Times" w:hAnsi="Times New Roman" w:cs="Times New Roman"/>
          <w:color w:val="000000"/>
        </w:rPr>
        <w:fldChar w:fldCharType="separate"/>
      </w:r>
      <w:r w:rsidRPr="00702DDD">
        <w:rPr>
          <w:rFonts w:ascii="Times New Roman" w:eastAsia="Times" w:hAnsi="Times New Roman" w:cs="Times New Roman"/>
          <w:noProof/>
          <w:color w:val="000000"/>
        </w:rPr>
        <w:t>(2017)</w:t>
      </w:r>
      <w:r w:rsidRPr="00702DDD">
        <w:rPr>
          <w:rFonts w:ascii="Times New Roman" w:eastAsia="Times" w:hAnsi="Times New Roman" w:cs="Times New Roman"/>
          <w:color w:val="000000"/>
        </w:rPr>
        <w:fldChar w:fldCharType="end"/>
      </w:r>
      <w:r w:rsidRPr="00702DDD">
        <w:rPr>
          <w:rFonts w:ascii="Times New Roman" w:eastAsia="Times" w:hAnsi="Times New Roman" w:cs="Times New Roman"/>
          <w:color w:val="000000"/>
        </w:rPr>
        <w:t xml:space="preserve"> book was published, supports this hypothesis. The World Health Organization (WHO) states the COVID-19 virus likely originated in wild bats and transferred into a zoonotic disease through an intermediate domesticated animal </w:t>
      </w:r>
      <w:r w:rsidRPr="00702DDD">
        <w:rPr>
          <w:rFonts w:ascii="Times New Roman" w:eastAsia="Times" w:hAnsi="Times New Roman" w:cs="Times New Roman"/>
          <w:color w:val="000000"/>
        </w:rPr>
        <w:fldChar w:fldCharType="begin"/>
      </w:r>
      <w:r w:rsidR="00C016E8" w:rsidRPr="00702DDD">
        <w:rPr>
          <w:rFonts w:ascii="Times New Roman" w:eastAsia="Times" w:hAnsi="Times New Roman" w:cs="Times New Roman"/>
          <w:color w:val="000000"/>
        </w:rPr>
        <w:instrText xml:space="preserve"> ADDIN ZOTERO_ITEM CSL_CITATION {"citationID":"WJp0RoyO","properties":{"formattedCitation":"(2020)","plainCitation":"(2020)","noteIndex":0},"citationItems":[{"id":2809,"uris":["http://zotero.org/groups/2546976/items/4YJAGJZ5"],"uri":["http://zotero.org/groups/2546976/items/4YJAGJZ5"],"itemData":{"id":2809,"type":"webpage","language":"en","title":"WHO recommendations to reduce risk of transmission of emerging pathogens from animals to humans in live animal markets or animal product markets","URL":"https://www.who.int/publications-detail-redirect/10665332217","author":[{"literal":"World Health Organization"}],"accessed":{"date-parts":[["2021",3,22]]},"issued":{"date-parts":[["2020",3,26]]}},"suppress-author":true}],"schema":"https://github.com/citation-style-language/schema/raw/master/csl-citation.json"} </w:instrText>
      </w:r>
      <w:r w:rsidRPr="00702DDD">
        <w:rPr>
          <w:rFonts w:ascii="Times New Roman" w:eastAsia="Times" w:hAnsi="Times New Roman" w:cs="Times New Roman"/>
          <w:color w:val="000000"/>
        </w:rPr>
        <w:fldChar w:fldCharType="separate"/>
      </w:r>
      <w:r w:rsidRPr="00702DDD">
        <w:rPr>
          <w:rFonts w:ascii="Times New Roman" w:eastAsia="Times" w:hAnsi="Times New Roman" w:cs="Times New Roman"/>
          <w:noProof/>
          <w:color w:val="000000"/>
        </w:rPr>
        <w:t>(2020)</w:t>
      </w:r>
      <w:r w:rsidRPr="00702DDD">
        <w:rPr>
          <w:rFonts w:ascii="Times New Roman" w:eastAsia="Times" w:hAnsi="Times New Roman" w:cs="Times New Roman"/>
          <w:color w:val="000000"/>
        </w:rPr>
        <w:fldChar w:fldCharType="end"/>
      </w:r>
      <w:r w:rsidRPr="00702DDD">
        <w:rPr>
          <w:rFonts w:ascii="Times New Roman" w:eastAsia="Times" w:hAnsi="Times New Roman" w:cs="Times New Roman"/>
          <w:color w:val="000000"/>
        </w:rPr>
        <w:t>. Therefore, the threat to food safety will likely cause a similar reaction in international meat trade as those non-infectious and directly related to the herd population.</w:t>
      </w:r>
    </w:p>
    <w:p w14:paraId="7DFE8CA3" w14:textId="67BE3C09" w:rsidR="00FD022F" w:rsidRPr="00702DDD" w:rsidRDefault="00FD022F" w:rsidP="00FD022F">
      <w:pPr>
        <w:spacing w:line="480" w:lineRule="auto"/>
        <w:ind w:firstLine="720"/>
        <w:rPr>
          <w:rFonts w:ascii="Times New Roman" w:eastAsia="Times" w:hAnsi="Times New Roman" w:cs="Times New Roman"/>
          <w:color w:val="000000"/>
        </w:rPr>
      </w:pPr>
      <w:r w:rsidRPr="00702DDD">
        <w:rPr>
          <w:rFonts w:ascii="Times New Roman" w:eastAsia="Times" w:hAnsi="Times New Roman" w:cs="Times New Roman"/>
          <w:color w:val="000000"/>
        </w:rPr>
        <w:t xml:space="preserve">While several studies have analyzed animal disease effects on protein trade and mass human health events respectively, few have analyzed human health events’ impacts on international meat exports. Those that have focused predominantly on the meat industry and trade in relation to the current COVID-19 global pandemic due to its size and sprawling effects on near total societal sectors. Some of these studies focused on COVID-19’s supply disruption </w:t>
      </w:r>
      <w:r w:rsidRPr="00702DDD">
        <w:rPr>
          <w:rFonts w:ascii="Times New Roman" w:eastAsia="Times" w:hAnsi="Times New Roman" w:cs="Times New Roman"/>
          <w:color w:val="000000"/>
        </w:rPr>
        <w:fldChar w:fldCharType="begin"/>
      </w:r>
      <w:r w:rsidR="00C016E8" w:rsidRPr="00702DDD">
        <w:rPr>
          <w:rFonts w:ascii="Times New Roman" w:eastAsia="Times" w:hAnsi="Times New Roman" w:cs="Times New Roman"/>
          <w:color w:val="000000"/>
        </w:rPr>
        <w:instrText xml:space="preserve"> ADDIN ZOTERO_ITEM CSL_CITATION {"citationID":"k4DIWDbs","properties":{"formattedCitation":"(Maples et al., 2021; Weersink et al., 2021)","plainCitation":"(Maples et al., 2021; Weersink et al., 2021)","noteIndex":0},"citationItems":[{"id":2787,"uris":["http://zotero.org/groups/2546976/items/IG3C8UW2"],"uri":["http://zotero.org/groups/2546976/items/IG3C8UW2"],"itemData":{"id":2787,"type":"article-journal","abstract":"Agri-food supply chains in North America have become remarkably efficient, supplying an unprecedented variety of items at the lowest possible cost. However, the initial stages of the COVID-19 pandemic and the near-total temporary loss of the foodservice distribution channel, exposed a vulnerability that many found surprising. Instead of continued shortages, however, the agri-food sector has since moved back to near normal conditions with prices and production levels similar to those typically observed in years prior to the pandemic. Ironically, the specialization in most food supply chains designed for “just-in-time” delivery to specific customers with no reserve capacity, which led to the initial disruptions, may have also been responsible for its rapid rebound. A common theme in assessing the impacts across the six commodities examined is the growing importance of understanding the whole supply chain. Over the longer term, a continuation of the pandemic could push the supply chain toward greater consolidation of firms and diversification of products given the increasing option value of maintaining flexibility. Other structural changes will be felt through input markets, most notably labour, as the trend toward greater automation will continue to accelerate as a response to meeting concerns about a consistent supply of healthy and productive workers. The economic fall out from the pandemic may lead to greater concentration in the sector as some firms are not able to survive the downturn and changes in consumer food buying behaviour, including movement toward online shopping and enhanced demand for attributes associated with resiliency, such as local. On the other hand, online shopping may provide opportunities for small producers and processors to shorten supply chains and reach customers directly. In the long term, COVID-19 impacts on global commerce and developing country production are more uncertain and could influence poverty reduction. While COVID-19's impacts on North American agriculture should have minimal effect on the Sustainable Development Goals (SDGs) through food prices, the ongoing global trends in trade and agribusiness accelerated by the pandemic are relevant for achievement of the SDGs.","container-title":"Agricultural Systems","DOI":"https://doi.org/10.1016/j.agsy.2020.103039","ISSN":"0308-521X","journalAbbreviation":"Agricultural Systems","language":"en","source":"ScienceDirect","title":"COVID-19 and the agri-food system in the United States and Canada","URL":"http://www.sciencedirect.com/science/article/pii/S0308521X20309008","volume":"188","author":[{"family":"Weersink","given":"Alfons"},{"family":"Massow","given":"Mike","non-dropping-particle":"von"},{"family":"Bannon","given":"Nicholas"},{"family":"Ifft","given":"Jennifer"},{"family":"Maples","given":"Josh"},{"family":"McEwen","given":"Ken"},{"family":"McKendree","given":"Melissa"},{"family":"Nicholson","given":"Charles"},{"family":"Novakovic","given":"Andrew"},{"family":"Rangarajan","given":"Anusuya"},{"family":"Richards","given":"Tim"},{"family":"Rickard","given":"Brad"},{"family":"Rude","given":"James"},{"family":"Schipanski","given":"Meagan"},{"family":"Schnitkey","given":"Gary"},{"family":"Schulz","given":"Lee"},{"family":"Schuurman","given":"Daniel"},{"family":"Schwartzkopf-Genswein","given":"Karen"},{"family":"Stephenson","given":"Mark"},{"family":"Thompson","given":"Jada"},{"family":"Wood","given":"Katie"}],"accessed":{"date-parts":[["2021",1,6]]},"issued":{"date-parts":[["2021",3]]}}},{"id":2783,"uris":["http://zotero.org/groups/2546976/items/AQMDA4AY"],"uri":["http://zotero.org/groups/2546976/items/AQMDA4AY"],"itemData":{"id":2783,"type":"article-journal","abstract":"The COVID-19 pandemic created massive disruptions in meat supply chains including the US poultry industry. Detrimental impacts to chicken demand due to restaurant closures led to supply adjustments affecting broiler producers. The integrated structure of the broiler industry creates significant challenges in estimating grower losses. Farmers who raise broiler chickens do not own the birds and price drops are not directly felt in the same manner as in other commodities. This article examines the broiler industry and presents methodology to better understand the farm-level impacts of COVID-19. Further, this work is useful for policy response considerations for broiler growers.","container-title":"Applied Economic Perspectives and Policy","DOI":"10/ghdrd6","ISSN":"2040-5804","issue":"1","language":"en","note":"_eprint: https://onlinelibrary.wiley.com/doi/pdf/10.1002/aepp.13089","page":"315-328","source":"Wiley Online Library","title":"Estimating COVID-19 Impacts on the Broiler Industry","volume":"43","author":[{"family":"Maples","given":"Joshua G."},{"family":"Thompson","given":"Jada M."},{"family":"Anderson","given":"John D."},{"family":"Anderson","given":"David P."}],"issued":{"date-parts":[["2021"]]}}}],"schema":"https://github.com/citation-style-language/schema/raw/master/csl-citation.json"} </w:instrText>
      </w:r>
      <w:r w:rsidRPr="00702DDD">
        <w:rPr>
          <w:rFonts w:ascii="Times New Roman" w:eastAsia="Times" w:hAnsi="Times New Roman" w:cs="Times New Roman"/>
          <w:color w:val="000000"/>
        </w:rPr>
        <w:fldChar w:fldCharType="separate"/>
      </w:r>
      <w:r w:rsidR="00C016E8" w:rsidRPr="00702DDD">
        <w:rPr>
          <w:rFonts w:ascii="Times New Roman" w:eastAsia="Times" w:hAnsi="Times New Roman" w:cs="Times New Roman"/>
          <w:noProof/>
          <w:color w:val="000000"/>
        </w:rPr>
        <w:t>(Maples et al., 2021; Weersink et al., 2021)</w:t>
      </w:r>
      <w:r w:rsidRPr="00702DDD">
        <w:rPr>
          <w:rFonts w:ascii="Times New Roman" w:eastAsia="Times" w:hAnsi="Times New Roman" w:cs="Times New Roman"/>
          <w:color w:val="000000"/>
        </w:rPr>
        <w:fldChar w:fldCharType="end"/>
      </w:r>
      <w:r w:rsidRPr="00702DDD">
        <w:rPr>
          <w:rFonts w:ascii="Times New Roman" w:eastAsia="Times" w:hAnsi="Times New Roman" w:cs="Times New Roman"/>
          <w:color w:val="000000"/>
        </w:rPr>
        <w:t xml:space="preserve"> while others analyzed trade issues </w:t>
      </w:r>
      <w:r w:rsidRPr="00702DDD">
        <w:rPr>
          <w:rFonts w:ascii="Times New Roman" w:eastAsia="Times" w:hAnsi="Times New Roman" w:cs="Times New Roman"/>
          <w:color w:val="000000"/>
        </w:rPr>
        <w:fldChar w:fldCharType="begin"/>
      </w:r>
      <w:r w:rsidR="00C016E8" w:rsidRPr="00702DDD">
        <w:rPr>
          <w:rFonts w:ascii="Times New Roman" w:eastAsia="Times" w:hAnsi="Times New Roman" w:cs="Times New Roman"/>
          <w:color w:val="000000"/>
        </w:rPr>
        <w:instrText xml:space="preserve"> ADDIN ZOTERO_ITEM CSL_CITATION {"citationID":"7xZfxtFl","properties":{"formattedCitation":"(Mallory, 2021; Zhang, 2020)","plainCitation":"(Mallory, 2021; Zhang, 2020)","noteIndex":0},"citationItems":[{"id":3124,"uris":["http://zotero.org/groups/2546976/items/Q8NIWHIE"],"uri":["http://zotero.org/groups/2546976/items/Q8NIWHIE"],"itemData":{"id":3124,"type":"article-journal","DOI":"10/gktgbb","source":"onlinelibrary.wiley.com","title":"The Case for Healthy U.S.‐China Agricultural Trade Relations despite Deglobalization Pressures","URL":"https://onlinelibrary.wiley.com/doi/10.1002/aepp.13115","author":[{"family":"Zhang","given":"Wendog"}],"accessed":{"date-parts":[["2021",6,24]]},"issued":{"date-parts":[["2020",10]]}}},{"id":3127,"uris":["http://zotero.org/groups/2546976/items/L2V69DVV"],"uri":["http://zotero.org/groups/2546976/items/L2V69DVV"],"itemData":{"id":3127,"type":"article-journal","abstract":"The COVID-19 pandemic has altered life in innumerable ways in many countries across the globe. In this article I review what the virus did to patterns of US and Brazilian exports of major commodities during the first surge of the virus during April and May 2020, and also speculate on what may happen during the beginning of North American winter in late 2020. The analysis highlights how grains versus meats have been vulnerable to trade disruptions due to the coronavirus pandemic. US exports of beef and pork were particularly impacted by a wave of processing facility shutdowns in the wake of COVID-19 outbreaks among workers. Poultry exports saw declines from their highs but remain strong, even though poultry-processing facilities have also faced issues with outbreaks and shutdowns. Trends in 2020 grain and oilseed exports have not been affected by the pandemic.","container-title":"Applied Economic Perspectives and Policy","DOI":"10/gj9p6b","ISSN":"2040-5804","issue":"1","language":"en","note":"_eprint: https://onlinelibrary.wiley.com/doi/pdf/10.1002/aepp.13113","page":"292-303","source":"Wiley Online Library","title":"Impact of COVID-19 on Medium-Term Export Prospects for Soybeans, Corn, Beef, Pork, and Poultry","volume":"43","author":[{"family":"Mallory","given":"Mindy L."}],"issued":{"date-parts":[["2021"]]}}}],"schema":"https://github.com/citation-style-language/schema/raw/master/csl-citation.json"} </w:instrText>
      </w:r>
      <w:r w:rsidRPr="00702DDD">
        <w:rPr>
          <w:rFonts w:ascii="Times New Roman" w:eastAsia="Times" w:hAnsi="Times New Roman" w:cs="Times New Roman"/>
          <w:color w:val="000000"/>
        </w:rPr>
        <w:fldChar w:fldCharType="separate"/>
      </w:r>
      <w:r w:rsidR="00C016E8" w:rsidRPr="00702DDD">
        <w:rPr>
          <w:rFonts w:ascii="Times New Roman" w:eastAsia="Times" w:hAnsi="Times New Roman" w:cs="Times New Roman"/>
          <w:noProof/>
          <w:color w:val="000000"/>
        </w:rPr>
        <w:t xml:space="preserve">(Mallory, 2021; </w:t>
      </w:r>
      <w:r w:rsidR="00C016E8" w:rsidRPr="00702DDD">
        <w:rPr>
          <w:rFonts w:ascii="Times New Roman" w:eastAsia="Times" w:hAnsi="Times New Roman" w:cs="Times New Roman"/>
          <w:noProof/>
          <w:color w:val="000000"/>
        </w:rPr>
        <w:lastRenderedPageBreak/>
        <w:t>Zhang, 2020)</w:t>
      </w:r>
      <w:r w:rsidRPr="00702DDD">
        <w:rPr>
          <w:rFonts w:ascii="Times New Roman" w:eastAsia="Times" w:hAnsi="Times New Roman" w:cs="Times New Roman"/>
          <w:color w:val="000000"/>
        </w:rPr>
        <w:fldChar w:fldCharType="end"/>
      </w:r>
      <w:r w:rsidRPr="00702DDD">
        <w:rPr>
          <w:rFonts w:ascii="Times New Roman" w:eastAsia="Times" w:hAnsi="Times New Roman" w:cs="Times New Roman"/>
          <w:color w:val="000000"/>
        </w:rPr>
        <w:t xml:space="preserve">. This study seeks to expand this existing knowledge to other global human health events potentially trade disruptive. </w:t>
      </w:r>
    </w:p>
    <w:p w14:paraId="29663749" w14:textId="61C1B3B6" w:rsidR="00FD022F" w:rsidRPr="00702DDD" w:rsidRDefault="00FD022F" w:rsidP="00FD022F">
      <w:pPr>
        <w:spacing w:line="480" w:lineRule="auto"/>
        <w:ind w:firstLine="720"/>
        <w:rPr>
          <w:rFonts w:ascii="Times New Roman" w:hAnsi="Times New Roman" w:cs="Times New Roman"/>
        </w:rPr>
      </w:pPr>
      <w:r w:rsidRPr="00702DDD">
        <w:rPr>
          <w:rFonts w:ascii="Times New Roman" w:eastAsia="Times" w:hAnsi="Times New Roman" w:cs="Times New Roman"/>
          <w:color w:val="000000"/>
        </w:rPr>
        <w:t xml:space="preserve">Hayes et al. </w:t>
      </w:r>
      <w:r w:rsidRPr="00702DDD">
        <w:rPr>
          <w:rFonts w:ascii="Times New Roman" w:eastAsia="Times" w:hAnsi="Times New Roman" w:cs="Times New Roman"/>
          <w:color w:val="000000"/>
        </w:rPr>
        <w:fldChar w:fldCharType="begin"/>
      </w:r>
      <w:r w:rsidR="00C016E8" w:rsidRPr="00702DDD">
        <w:rPr>
          <w:rFonts w:ascii="Times New Roman" w:eastAsia="Times" w:hAnsi="Times New Roman" w:cs="Times New Roman"/>
          <w:color w:val="000000"/>
        </w:rPr>
        <w:instrText xml:space="preserve"> ADDIN ZOTERO_ITEM CSL_CITATION {"citationID":"fIEGGHwy","properties":{"formattedCitation":"(2021)","plainCitation":"(2021)","noteIndex":0},"citationItems":[{"id":2663,"uris":["http://zotero.org/groups/2546976/items/WPBP3XC8"],"uri":["http://zotero.org/groups/2546976/items/WPBP3XC8"],"itemData":{"id":2663,"type":"article-journal","abstract":"The novel coronavirus SARS‐CoV2 (COVID‐19) severely disrupted the U.S. food supply chain. In its initial aftermath, and as we contemplate a potential reignition, the food supply chain industries, researchers, and policy makers search for evidence, causes, and consequences. This article uses publicly available data on the pork and egg industries and a survey of the turkey industry as a first step to document the impact of COVID‐19. Researchers can learn from the experiences in industries where disruptions evolve differently in the face of simultaneous supply‐ and demand‐side shocks and that stem from differences in structures of the supply chains. This early evidence is used to motivate future research needs and highlight opportunities for industry investments in resiliency strategies.","container-title":"Agribusiness","DOI":"10/gjgqd4","ISSN":"0742-4477, 1520-6297","issue":"1","journalAbbreviation":"Agribusiness","language":"en","page":"122-141","source":"DOI.org (Crossref)","title":"A descriptive analysis of the COVID‐19 impacts on U.S. pork, turkey, and egg markets","volume":"37","author":[{"family":"Hayes","given":"Dermot J."},{"family":"Schulz","given":"Lee L."},{"family":"Hart","given":"Chad E."},{"family":"Jacobs","given":"Keri L."}],"issued":{"date-parts":[["2021",1]]}},"suppress-author":true}],"schema":"https://github.com/citation-style-language/schema/raw/master/csl-citation.json"} </w:instrText>
      </w:r>
      <w:r w:rsidRPr="00702DDD">
        <w:rPr>
          <w:rFonts w:ascii="Times New Roman" w:eastAsia="Times" w:hAnsi="Times New Roman" w:cs="Times New Roman"/>
          <w:color w:val="000000"/>
        </w:rPr>
        <w:fldChar w:fldCharType="separate"/>
      </w:r>
      <w:r w:rsidRPr="00702DDD">
        <w:rPr>
          <w:rFonts w:ascii="Times New Roman" w:eastAsia="Times" w:hAnsi="Times New Roman" w:cs="Times New Roman"/>
          <w:noProof/>
          <w:color w:val="000000"/>
        </w:rPr>
        <w:t>(2021)</w:t>
      </w:r>
      <w:r w:rsidRPr="00702DDD">
        <w:rPr>
          <w:rFonts w:ascii="Times New Roman" w:eastAsia="Times" w:hAnsi="Times New Roman" w:cs="Times New Roman"/>
          <w:color w:val="000000"/>
        </w:rPr>
        <w:fldChar w:fldCharType="end"/>
      </w:r>
      <w:r w:rsidRPr="00702DDD">
        <w:rPr>
          <w:rFonts w:ascii="Times New Roman" w:eastAsia="Times" w:hAnsi="Times New Roman" w:cs="Times New Roman"/>
          <w:color w:val="000000"/>
        </w:rPr>
        <w:t xml:space="preserve"> analyzed the COVID-19 outbreak’s effects on the U.S. pork, turkey, and egg markets and determined both supply and demand were highly impacted in each agribusiness industry. While prices associated with restaurant and school consumption (e.g. turkey and breaker eggs) dropped, products associated with at-home use price surged (e.g. pork and shell eggs) </w:t>
      </w:r>
      <w:r w:rsidRPr="00702DDD">
        <w:rPr>
          <w:rFonts w:ascii="Times New Roman" w:eastAsia="Times" w:hAnsi="Times New Roman" w:cs="Times New Roman"/>
          <w:color w:val="000000"/>
        </w:rPr>
        <w:fldChar w:fldCharType="begin"/>
      </w:r>
      <w:r w:rsidR="00C016E8" w:rsidRPr="00702DDD">
        <w:rPr>
          <w:rFonts w:ascii="Times New Roman" w:eastAsia="Times" w:hAnsi="Times New Roman" w:cs="Times New Roman"/>
          <w:color w:val="000000"/>
        </w:rPr>
        <w:instrText xml:space="preserve"> ADDIN ZOTERO_ITEM CSL_CITATION {"citationID":"PArmOvuR","properties":{"formattedCitation":"(Hayes et al., 2021)","plainCitation":"(Hayes et al., 2021)","noteIndex":0},"citationItems":[{"id":2663,"uris":["http://zotero.org/groups/2546976/items/WPBP3XC8"],"uri":["http://zotero.org/groups/2546976/items/WPBP3XC8"],"itemData":{"id":2663,"type":"article-journal","abstract":"The novel coronavirus SARS‐CoV2 (COVID‐19) severely disrupted the U.S. food supply chain. In its initial aftermath, and as we contemplate a potential reignition, the food supply chain industries, researchers, and policy makers search for evidence, causes, and consequences. This article uses publicly available data on the pork and egg industries and a survey of the turkey industry as a first step to document the impact of COVID‐19. Researchers can learn from the experiences in industries where disruptions evolve differently in the face of simultaneous supply‐ and demand‐side shocks and that stem from differences in structures of the supply chains. This early evidence is used to motivate future research needs and highlight opportunities for industry investments in resiliency strategies.","container-title":"Agribusiness","DOI":"10/gjgqd4","ISSN":"0742-4477, 1520-6297","issue":"1","journalAbbreviation":"Agribusiness","language":"en","page":"122-141","source":"DOI.org (Crossref)","title":"A descriptive analysis of the COVID‐19 impacts on U.S. pork, turkey, and egg markets","volume":"37","author":[{"family":"Hayes","given":"Dermot J."},{"family":"Schulz","given":"Lee L."},{"family":"Hart","given":"Chad E."},{"family":"Jacobs","given":"Keri L."}],"issued":{"date-parts":[["2021",1]]}}}],"schema":"https://github.com/citation-style-language/schema/raw/master/csl-citation.json"} </w:instrText>
      </w:r>
      <w:r w:rsidRPr="00702DDD">
        <w:rPr>
          <w:rFonts w:ascii="Times New Roman" w:eastAsia="Times" w:hAnsi="Times New Roman" w:cs="Times New Roman"/>
          <w:color w:val="000000"/>
        </w:rPr>
        <w:fldChar w:fldCharType="separate"/>
      </w:r>
      <w:r w:rsidR="00C016E8" w:rsidRPr="00702DDD">
        <w:rPr>
          <w:rFonts w:ascii="Times New Roman" w:eastAsia="Times" w:hAnsi="Times New Roman" w:cs="Times New Roman"/>
          <w:noProof/>
          <w:color w:val="000000"/>
        </w:rPr>
        <w:t>(Hayes et al., 2021)</w:t>
      </w:r>
      <w:r w:rsidRPr="00702DDD">
        <w:rPr>
          <w:rFonts w:ascii="Times New Roman" w:eastAsia="Times" w:hAnsi="Times New Roman" w:cs="Times New Roman"/>
          <w:color w:val="000000"/>
        </w:rPr>
        <w:fldChar w:fldCharType="end"/>
      </w:r>
      <w:r w:rsidRPr="00702DDD">
        <w:rPr>
          <w:rFonts w:ascii="Times New Roman" w:eastAsia="Times" w:hAnsi="Times New Roman" w:cs="Times New Roman"/>
          <w:color w:val="000000"/>
        </w:rPr>
        <w:t>. Processing, often undercut by labor, storage, and transportation issues, only compounded these effects. The current study focuses on the domestic meat industry, but such an impact will likely reflect in trade exports as well. McEwan et al</w:t>
      </w:r>
      <w:r w:rsidR="00B0113E" w:rsidRPr="00702DDD">
        <w:rPr>
          <w:rFonts w:ascii="Times New Roman" w:eastAsia="Times" w:hAnsi="Times New Roman" w:cs="Times New Roman"/>
          <w:color w:val="000000"/>
        </w:rPr>
        <w:t>.</w:t>
      </w:r>
      <w:r w:rsidRPr="00702DDD">
        <w:rPr>
          <w:rFonts w:ascii="Times New Roman" w:eastAsia="Times" w:hAnsi="Times New Roman" w:cs="Times New Roman"/>
          <w:color w:val="000000"/>
        </w:rPr>
        <w:t xml:space="preserve"> </w:t>
      </w:r>
      <w:r w:rsidRPr="00702DDD">
        <w:rPr>
          <w:rFonts w:ascii="Times New Roman" w:eastAsia="Times" w:hAnsi="Times New Roman" w:cs="Times New Roman"/>
          <w:color w:val="000000"/>
        </w:rPr>
        <w:fldChar w:fldCharType="begin"/>
      </w:r>
      <w:r w:rsidR="00C016E8" w:rsidRPr="00702DDD">
        <w:rPr>
          <w:rFonts w:ascii="Times New Roman" w:eastAsia="Times" w:hAnsi="Times New Roman" w:cs="Times New Roman"/>
          <w:color w:val="000000"/>
        </w:rPr>
        <w:instrText xml:space="preserve"> ADDIN ZOTERO_ITEM CSL_CITATION {"citationID":"T2ylleEl","properties":{"formattedCitation":"(2020)","plainCitation":"(2020)","noteIndex":0},"citationItems":[{"id":2664,"uris":["http://zotero.org/groups/2546976/items/9J6M3V9G"],"uri":["http://zotero.org/groups/2546976/items/9J6M3V9G"],"itemData":{"id":2664,"type":"article-journal","abstract":"Canada and the United States have strong economic ties and form part of an integrated North American pork industry. Canada’s pork industry is export-oriented, and the United States represents a key market for both live pigs and pork. Pork value chain stakeholders include input suppliers, pig producers, transportation companies, slaughter plants, wholesalers, and retailers. There are three overriding areas of concern for the Canadian pork industry with respect to potential impacts of the current pandemic (COVID-19). The first is Canada/US trade and the ability to continue exporting Canadian live pigs and pork to the United States. The second is labor and the impact of potential absenteeism on all sectors of the pork value chain. The third is global trade, because Canada’s pork industry relies heavily on exporting pork to markets around the world.","container-title":"Canadian Journal of Agricultural Economics/Revue canadienne d'agroeconomie","DOI":"10/gjgqd5","ISSN":"0008-3976, 1744-7976","issue":"2","journalAbbreviation":"Canadian Journal of Agricultural Economics/Revue canadienne d'agroeconomie","language":"en","page":"201-206","source":"DOI.org (Crossref)","title":"Potential implications of COVID‐19 on the Canadian pork industry","volume":"68","author":[{"family":"McEwan","given":"Ken"},{"family":"Marchand","given":"Lynn"},{"family":"Shang","given":"Max"},{"family":"Bucknell","given":"Delia"}],"issued":{"date-parts":[["2020",6]]}},"suppress-author":true}],"schema":"https://github.com/citation-style-language/schema/raw/master/csl-citation.json"} </w:instrText>
      </w:r>
      <w:r w:rsidRPr="00702DDD">
        <w:rPr>
          <w:rFonts w:ascii="Times New Roman" w:eastAsia="Times" w:hAnsi="Times New Roman" w:cs="Times New Roman"/>
          <w:color w:val="000000"/>
        </w:rPr>
        <w:fldChar w:fldCharType="separate"/>
      </w:r>
      <w:r w:rsidRPr="00702DDD">
        <w:rPr>
          <w:rFonts w:ascii="Times New Roman" w:eastAsia="Times" w:hAnsi="Times New Roman" w:cs="Times New Roman"/>
          <w:noProof/>
          <w:color w:val="000000"/>
        </w:rPr>
        <w:t>(2020)</w:t>
      </w:r>
      <w:r w:rsidRPr="00702DDD">
        <w:rPr>
          <w:rFonts w:ascii="Times New Roman" w:eastAsia="Times" w:hAnsi="Times New Roman" w:cs="Times New Roman"/>
          <w:color w:val="000000"/>
        </w:rPr>
        <w:fldChar w:fldCharType="end"/>
      </w:r>
      <w:r w:rsidRPr="00702DDD">
        <w:rPr>
          <w:rFonts w:ascii="Times New Roman" w:eastAsia="Times" w:hAnsi="Times New Roman" w:cs="Times New Roman"/>
          <w:color w:val="000000"/>
        </w:rPr>
        <w:t xml:space="preserve"> notes this in a similar analysis of the Canadian pork trade’s relationship with the COVID-19 pandemic. Volatile post-initial outbreak demand made hog prices surge, but were expected to fall after stabilization and demand issues were solved </w:t>
      </w:r>
      <w:r w:rsidRPr="00702DDD">
        <w:rPr>
          <w:rFonts w:ascii="Times New Roman" w:eastAsia="Times" w:hAnsi="Times New Roman" w:cs="Times New Roman"/>
          <w:color w:val="000000"/>
        </w:rPr>
        <w:fldChar w:fldCharType="begin"/>
      </w:r>
      <w:r w:rsidR="00C016E8" w:rsidRPr="00702DDD">
        <w:rPr>
          <w:rFonts w:ascii="Times New Roman" w:eastAsia="Times" w:hAnsi="Times New Roman" w:cs="Times New Roman"/>
          <w:color w:val="000000"/>
        </w:rPr>
        <w:instrText xml:space="preserve"> ADDIN ZOTERO_ITEM CSL_CITATION {"citationID":"bLElzxTE","properties":{"formattedCitation":"(McEwan et al., 2020)","plainCitation":"(McEwan et al., 2020)","noteIndex":0},"citationItems":[{"id":2664,"uris":["http://zotero.org/groups/2546976/items/9J6M3V9G"],"uri":["http://zotero.org/groups/2546976/items/9J6M3V9G"],"itemData":{"id":2664,"type":"article-journal","abstract":"Canada and the United States have strong economic ties and form part of an integrated North American pork industry. Canada’s pork industry is export-oriented, and the United States represents a key market for both live pigs and pork. Pork value chain stakeholders include input suppliers, pig producers, transportation companies, slaughter plants, wholesalers, and retailers. There are three overriding areas of concern for the Canadian pork industry with respect to potential impacts of the current pandemic (COVID-19). The first is Canada/US trade and the ability to continue exporting Canadian live pigs and pork to the United States. The second is labor and the impact of potential absenteeism on all sectors of the pork value chain. The third is global trade, because Canada’s pork industry relies heavily on exporting pork to markets around the world.","container-title":"Canadian Journal of Agricultural Economics/Revue canadienne d'agroeconomie","DOI":"10/gjgqd5","ISSN":"0008-3976, 1744-7976","issue":"2","journalAbbreviation":"Canadian Journal of Agricultural Economics/Revue canadienne d'agroeconomie","language":"en","page":"201-206","source":"DOI.org (Crossref)","title":"Potential implications of COVID‐19 on the Canadian pork industry","volume":"68","author":[{"family":"McEwan","given":"Ken"},{"family":"Marchand","given":"Lynn"},{"family":"Shang","given":"Max"},{"family":"Bucknell","given":"Delia"}],"issued":{"date-parts":[["2020",6]]}}}],"schema":"https://github.com/citation-style-language/schema/raw/master/csl-citation.json"} </w:instrText>
      </w:r>
      <w:r w:rsidRPr="00702DDD">
        <w:rPr>
          <w:rFonts w:ascii="Times New Roman" w:eastAsia="Times" w:hAnsi="Times New Roman" w:cs="Times New Roman"/>
          <w:color w:val="000000"/>
        </w:rPr>
        <w:fldChar w:fldCharType="separate"/>
      </w:r>
      <w:r w:rsidR="00C016E8" w:rsidRPr="00702DDD">
        <w:rPr>
          <w:rFonts w:ascii="Times New Roman" w:eastAsia="Times" w:hAnsi="Times New Roman" w:cs="Times New Roman"/>
          <w:noProof/>
          <w:color w:val="000000"/>
        </w:rPr>
        <w:t>(McEwan et al., 2020)</w:t>
      </w:r>
      <w:r w:rsidRPr="00702DDD">
        <w:rPr>
          <w:rFonts w:ascii="Times New Roman" w:eastAsia="Times" w:hAnsi="Times New Roman" w:cs="Times New Roman"/>
          <w:color w:val="000000"/>
        </w:rPr>
        <w:fldChar w:fldCharType="end"/>
      </w:r>
      <w:r w:rsidRPr="00702DDD">
        <w:rPr>
          <w:rFonts w:ascii="Times New Roman" w:eastAsia="Times" w:hAnsi="Times New Roman" w:cs="Times New Roman"/>
          <w:color w:val="000000"/>
        </w:rPr>
        <w:t xml:space="preserve">. The Canadian hog industry heavily relies on exports, and COVID-19’s impacts on the market (especially in foreign border policies addressing transmission prevention) were expected to be sizable. This study will attempt to analyze these impacts and compare other major health events’ impacts. </w:t>
      </w:r>
    </w:p>
    <w:p w14:paraId="5163BEEA" w14:textId="77777777" w:rsidR="00FD022F" w:rsidRPr="00702DDD" w:rsidRDefault="00FD022F" w:rsidP="000654A5">
      <w:pPr>
        <w:pStyle w:val="Heading2"/>
      </w:pPr>
      <w:bookmarkStart w:id="12" w:name="_Toc98444514"/>
      <w:bookmarkStart w:id="13" w:name="_Toc98692974"/>
      <w:r w:rsidRPr="00702DDD">
        <w:t>1.3 Methodology</w:t>
      </w:r>
      <w:bookmarkEnd w:id="12"/>
      <w:bookmarkEnd w:id="13"/>
    </w:p>
    <w:p w14:paraId="7A9FF736" w14:textId="729AA2BD" w:rsidR="00FD022F" w:rsidRPr="00702DDD" w:rsidRDefault="00FD022F" w:rsidP="00A41FF8">
      <w:pPr>
        <w:pStyle w:val="Heading3"/>
      </w:pPr>
      <w:bookmarkStart w:id="14" w:name="_Toc98444515"/>
      <w:bookmarkStart w:id="15" w:name="_Toc98692975"/>
      <w:r w:rsidRPr="00702DDD">
        <w:t>1.3.1 Conceptual Framework</w:t>
      </w:r>
      <w:bookmarkEnd w:id="14"/>
      <w:bookmarkEnd w:id="15"/>
    </w:p>
    <w:p w14:paraId="65DBDB82" w14:textId="13E7DD26" w:rsidR="00FD022F" w:rsidRPr="00702DDD" w:rsidRDefault="00FD022F" w:rsidP="00FD022F">
      <w:pPr>
        <w:spacing w:line="480" w:lineRule="auto"/>
        <w:rPr>
          <w:rFonts w:ascii="Times New Roman" w:hAnsi="Times New Roman" w:cs="Times New Roman"/>
        </w:rPr>
      </w:pPr>
      <w:r w:rsidRPr="00702DDD">
        <w:rPr>
          <w:rFonts w:ascii="Times New Roman" w:hAnsi="Times New Roman" w:cs="Times New Roman"/>
        </w:rPr>
        <w:t xml:space="preserve">International trade extends from basic economic principles with the utility maximization concept. Utility is incurred by consumers interacting in the market as benefit from the product consumed </w:t>
      </w:r>
      <w:r w:rsidRPr="00702DDD">
        <w:rPr>
          <w:rFonts w:ascii="Times New Roman" w:hAnsi="Times New Roman" w:cs="Times New Roman"/>
        </w:rPr>
        <w:fldChar w:fldCharType="begin"/>
      </w:r>
      <w:r w:rsidR="00C016E8" w:rsidRPr="00702DDD">
        <w:rPr>
          <w:rFonts w:ascii="Times New Roman" w:hAnsi="Times New Roman" w:cs="Times New Roman"/>
        </w:rPr>
        <w:instrText xml:space="preserve"> ADDIN ZOTERO_ITEM CSL_CITATION {"citationID":"N2leVZRv","properties":{"formattedCitation":"(Greenlaw &amp; Shapiro, 2017)","plainCitation":"(Greenlaw &amp; Shapiro, 2017)","noteIndex":0},"citationItems":[{"id":"hmtlqVn6/Gur3WGO3","uris":["http://zotero.org/users/6830551/items/LUR7BGI3"],"uri":["http://zotero.org/users/6830551/items/LUR7BGI3"],"itemData":{"id":229,"type":"book","event-place":"Houston, Texas","publisher":"OpenStax","publisher-place":"Houston, Texas","title":"Principles of Microeconomics 2e","URL":"https://openstax.org/books/principles-microeconomics-2e/pages/1-introduction","author":[{"family":"Greenlaw","given":"Steven A."},{"family":"Shapiro","given":"David"}],"accessed":{"date-parts":[["2021",4,11]]},"issued":{"date-parts":[["2017",9,15]]}}}],"schema":"https://github.com/citation-style-language/schema/raw/master/csl-citation.json"} </w:instrText>
      </w:r>
      <w:r w:rsidRPr="00702DDD">
        <w:rPr>
          <w:rFonts w:ascii="Times New Roman" w:hAnsi="Times New Roman" w:cs="Times New Roman"/>
        </w:rPr>
        <w:fldChar w:fldCharType="separate"/>
      </w:r>
      <w:r w:rsidR="00C016E8" w:rsidRPr="00702DDD">
        <w:rPr>
          <w:rFonts w:ascii="Times New Roman" w:hAnsi="Times New Roman" w:cs="Times New Roman"/>
          <w:noProof/>
        </w:rPr>
        <w:t>(Greenlaw &amp; Shapiro, 2017)</w:t>
      </w:r>
      <w:r w:rsidRPr="00702DDD">
        <w:rPr>
          <w:rFonts w:ascii="Times New Roman" w:hAnsi="Times New Roman" w:cs="Times New Roman"/>
        </w:rPr>
        <w:fldChar w:fldCharType="end"/>
      </w:r>
      <w:r w:rsidRPr="00702DDD">
        <w:rPr>
          <w:rFonts w:ascii="Times New Roman" w:hAnsi="Times New Roman" w:cs="Times New Roman"/>
        </w:rPr>
        <w:t xml:space="preserve">. Consumers have limited resources and must allocate their consumption to those goods that provide the most benefit. Countries participating in trade incorporate this concept into decisions on whether to generate goods domestically or import them, potentially at a lower price. These lower prices may arise from comparative advantage. In </w:t>
      </w:r>
      <w:r w:rsidRPr="00702DDD">
        <w:rPr>
          <w:rFonts w:ascii="Times New Roman" w:hAnsi="Times New Roman" w:cs="Times New Roman"/>
        </w:rPr>
        <w:lastRenderedPageBreak/>
        <w:t xml:space="preserve">comparative advantage, countries trade goods they are able to produce at a lower opportunity cost while receiving goods they are not relatively better at producing than their trading partners (thus, the exporting country has the comparative advantage in the traded good to the imported country) </w:t>
      </w:r>
      <w:r w:rsidRPr="00702DDD">
        <w:rPr>
          <w:rFonts w:ascii="Times New Roman" w:hAnsi="Times New Roman" w:cs="Times New Roman"/>
        </w:rPr>
        <w:fldChar w:fldCharType="begin"/>
      </w:r>
      <w:r w:rsidR="00C016E8" w:rsidRPr="00702DDD">
        <w:rPr>
          <w:rFonts w:ascii="Times New Roman" w:hAnsi="Times New Roman" w:cs="Times New Roman"/>
        </w:rPr>
        <w:instrText xml:space="preserve"> ADDIN ZOTERO_ITEM CSL_CITATION {"citationID":"ZDZvZ7WT","properties":{"formattedCitation":"(Greenlaw &amp; Shapiro, 2017)","plainCitation":"(Greenlaw &amp; Shapiro, 2017)","noteIndex":0},"citationItems":[{"id":"hmtlqVn6/Gur3WGO3","uris":["http://zotero.org/users/6830551/items/LUR7BGI3"],"uri":["http://zotero.org/users/6830551/items/LUR7BGI3"],"itemData":{"id":229,"type":"book","event-place":"Houston, Texas","publisher":"OpenStax","publisher-place":"Houston, Texas","title":"Principles of Microeconomics 2e","URL":"https://openstax.org/books/principles-microeconomics-2e/pages/1-introduction","author":[{"family":"Greenlaw","given":"Steven A."},{"family":"Shapiro","given":"David"}],"accessed":{"date-parts":[["2021",4,11]]},"issued":{"date-parts":[["2017",9,15]]}}}],"schema":"https://github.com/citation-style-language/schema/raw/master/csl-citation.json"} </w:instrText>
      </w:r>
      <w:r w:rsidRPr="00702DDD">
        <w:rPr>
          <w:rFonts w:ascii="Times New Roman" w:hAnsi="Times New Roman" w:cs="Times New Roman"/>
        </w:rPr>
        <w:fldChar w:fldCharType="separate"/>
      </w:r>
      <w:r w:rsidR="00C016E8" w:rsidRPr="00702DDD">
        <w:rPr>
          <w:rFonts w:ascii="Times New Roman" w:hAnsi="Times New Roman" w:cs="Times New Roman"/>
          <w:noProof/>
        </w:rPr>
        <w:t>(Greenlaw &amp; Shapiro, 2017)</w:t>
      </w:r>
      <w:r w:rsidRPr="00702DDD">
        <w:rPr>
          <w:rFonts w:ascii="Times New Roman" w:hAnsi="Times New Roman" w:cs="Times New Roman"/>
        </w:rPr>
        <w:fldChar w:fldCharType="end"/>
      </w:r>
      <w:r w:rsidRPr="00702DDD">
        <w:rPr>
          <w:rFonts w:ascii="Times New Roman" w:hAnsi="Times New Roman" w:cs="Times New Roman"/>
        </w:rPr>
        <w:t xml:space="preserve">. In this scenario, both countries benefit from the trade and therefore have incentive to participate. Trade does not occur, however, if a country is in a state of autarky. Autarky occurs when a country chooses not to participate in trade and incorporate a self-reliant economy </w:t>
      </w:r>
      <w:r w:rsidRPr="00702DDD">
        <w:rPr>
          <w:rFonts w:ascii="Times New Roman" w:hAnsi="Times New Roman" w:cs="Times New Roman"/>
        </w:rPr>
        <w:fldChar w:fldCharType="begin"/>
      </w:r>
      <w:r w:rsidR="00C016E8" w:rsidRPr="00702DDD">
        <w:rPr>
          <w:rFonts w:ascii="Times New Roman" w:hAnsi="Times New Roman" w:cs="Times New Roman"/>
        </w:rPr>
        <w:instrText xml:space="preserve"> ADDIN ZOTERO_ITEM CSL_CITATION {"citationID":"XfjkOnxg","properties":{"formattedCitation":"(Krugman &amp; Wells, 2012)","plainCitation":"(Krugman &amp; Wells, 2012)","noteIndex":0},"citationItems":[{"id":"hmtlqVn6/eQsVGqAd","uris":["http://zotero.org/users/6830551/items/KMSUBHBY"],"uri":["http://zotero.org/users/6830551/items/KMSUBHBY"],"itemData":{"id":234,"type":"book","edition":"Third","publisher":"Worth Publishers","title":"Economics and Microeconomics","URL":"https://www.uni-giessen.de/fbz/fb02/fb/professuren/vwl/goetz/lehre/downloadsordner/mikrooekonomie-i/foliensaetze/chapter-8","author":[{"family":"Krugman","given":"Paul"},{"family":"Wells","given":"Robin"}],"issued":{"date-parts":[["2012"]]}}}],"schema":"https://github.com/citation-style-language/schema/raw/master/csl-citation.json"} </w:instrText>
      </w:r>
      <w:r w:rsidRPr="00702DDD">
        <w:rPr>
          <w:rFonts w:ascii="Times New Roman" w:hAnsi="Times New Roman" w:cs="Times New Roman"/>
        </w:rPr>
        <w:fldChar w:fldCharType="separate"/>
      </w:r>
      <w:r w:rsidR="00C016E8" w:rsidRPr="00702DDD">
        <w:rPr>
          <w:rFonts w:ascii="Times New Roman" w:hAnsi="Times New Roman" w:cs="Times New Roman"/>
          <w:noProof/>
        </w:rPr>
        <w:t>(Krugman &amp; Wells, 2012)</w:t>
      </w:r>
      <w:r w:rsidRPr="00702DDD">
        <w:rPr>
          <w:rFonts w:ascii="Times New Roman" w:hAnsi="Times New Roman" w:cs="Times New Roman"/>
        </w:rPr>
        <w:fldChar w:fldCharType="end"/>
      </w:r>
      <w:r w:rsidRPr="00702DDD">
        <w:rPr>
          <w:rFonts w:ascii="Times New Roman" w:hAnsi="Times New Roman" w:cs="Times New Roman"/>
        </w:rPr>
        <w:t xml:space="preserve">. This may occur for various reasons, including national security and political motives. </w:t>
      </w:r>
    </w:p>
    <w:p w14:paraId="3E810509" w14:textId="4E93E782" w:rsidR="00FD022F" w:rsidRPr="00702DDD" w:rsidRDefault="00FD022F" w:rsidP="00FD022F">
      <w:pPr>
        <w:spacing w:line="480" w:lineRule="auto"/>
        <w:ind w:firstLine="720"/>
        <w:rPr>
          <w:rFonts w:ascii="Times New Roman" w:hAnsi="Times New Roman" w:cs="Times New Roman"/>
        </w:rPr>
      </w:pPr>
      <w:r w:rsidRPr="00702DDD">
        <w:rPr>
          <w:rFonts w:ascii="Times New Roman" w:hAnsi="Times New Roman" w:cs="Times New Roman"/>
        </w:rPr>
        <w:t xml:space="preserve">In addition to relative comparative production efficiencies, international trade is also dependent on trust related to outcomes of the transactions as well as acknowledging potential trade disruptions. These trade disruptions may not be captured fully by price and may include supply chain issues, geopolitical impacts, and risk perceptions.  Risk exists on the importer and exporter side of international trade, whether in political, financial, or unforeseen risk </w:t>
      </w:r>
      <w:r w:rsidRPr="00702DDD">
        <w:rPr>
          <w:rFonts w:ascii="Times New Roman" w:hAnsi="Times New Roman" w:cs="Times New Roman"/>
        </w:rPr>
        <w:fldChar w:fldCharType="begin"/>
      </w:r>
      <w:r w:rsidR="00C016E8" w:rsidRPr="00702DDD">
        <w:rPr>
          <w:rFonts w:ascii="Times New Roman" w:hAnsi="Times New Roman" w:cs="Times New Roman"/>
        </w:rPr>
        <w:instrText xml:space="preserve"> ADDIN ZOTERO_ITEM CSL_CITATION {"citationID":"kzZMqagF","properties":{"formattedCitation":"(Bhogal &amp; Trivedi, 2008)","plainCitation":"(Bhogal &amp; Trivedi, 2008)","noteIndex":0},"citationItems":[{"id":"hmtlqVn6/rhon6Dwa","uris":["http://zotero.org/users/6830551/items/VREN5GBK"],"uri":["http://zotero.org/users/6830551/items/VREN5GBK"],"itemData":{"id":235,"type":"book","collection-title":"Finance and Capital Markets","event-place":"London","publisher":"Palgrave Macmillan","publisher-place":"London","title":"International Trade and Inherent Risks","URL":"https://link.springer.com/chapter/10.1057/9780230594326_1","author":[{"family":"Bhogal","given":"Tarsem Singh"},{"family":"Trivedi","given":"Arun Kumar"}],"issued":{"date-parts":[["2008"]]}}}],"schema":"https://github.com/citation-style-language/schema/raw/master/csl-citation.json"} </w:instrText>
      </w:r>
      <w:r w:rsidRPr="00702DDD">
        <w:rPr>
          <w:rFonts w:ascii="Times New Roman" w:hAnsi="Times New Roman" w:cs="Times New Roman"/>
        </w:rPr>
        <w:fldChar w:fldCharType="separate"/>
      </w:r>
      <w:r w:rsidR="00C016E8" w:rsidRPr="00702DDD">
        <w:rPr>
          <w:rFonts w:ascii="Times New Roman" w:hAnsi="Times New Roman" w:cs="Times New Roman"/>
          <w:noProof/>
        </w:rPr>
        <w:t>(Bhogal &amp; Trivedi, 2008)</w:t>
      </w:r>
      <w:r w:rsidRPr="00702DDD">
        <w:rPr>
          <w:rFonts w:ascii="Times New Roman" w:hAnsi="Times New Roman" w:cs="Times New Roman"/>
        </w:rPr>
        <w:fldChar w:fldCharType="end"/>
      </w:r>
      <w:r w:rsidRPr="00702DDD">
        <w:rPr>
          <w:rFonts w:ascii="Times New Roman" w:hAnsi="Times New Roman" w:cs="Times New Roman"/>
        </w:rPr>
        <w:t xml:space="preserve">. This risk is especially present in agricultural products when considering disease spread possibilities. Threats exist at both the importer and exporter level, with countries considered to be disease-free due to biosecurity practices and standards affecting international trade levels </w:t>
      </w:r>
      <w:r w:rsidRPr="00702DDD">
        <w:rPr>
          <w:rFonts w:ascii="Times New Roman" w:hAnsi="Times New Roman" w:cs="Times New Roman"/>
        </w:rPr>
        <w:fldChar w:fldCharType="begin"/>
      </w:r>
      <w:r w:rsidR="00C016E8" w:rsidRPr="00702DDD">
        <w:rPr>
          <w:rFonts w:ascii="Times New Roman" w:hAnsi="Times New Roman" w:cs="Times New Roman"/>
        </w:rPr>
        <w:instrText xml:space="preserve"> ADDIN ZOTERO_ITEM CSL_CITATION {"citationID":"yXUdyjQV","properties":{"formattedCitation":"(Shanafelt &amp; Perrings, 2017)","plainCitation":"(Shanafelt &amp; Perrings, 2017)","noteIndex":0},"citationItems":[{"id":"hmtlqVn6/mhzkKqnT","uris":["http://zotero.org/users/6830551/items/Q2CUFIP5"],"uri":["http://zotero.org/users/6830551/items/Q2CUFIP5"],"itemData":{"id":237,"type":"article-journal","abstract":"The growth in world trade has generated significant benefits to humankind, but it has also generated costs. Among these is an increase in the dispersal of pests and pathogens across the globe. International trade has been implicated in outbreaks of several re-occurring livestock diseases. This paper is focused on the risk of foot and mouth disease (FMD) associated with the international trade in live animals. A model was used to estimate FMD risk as a function of the international trade in live animals, controlling for the biosecurity measures undertaken by importing and exporting countries, and for the presence of endemic FMD reservoirs. It was found that the indirect risks associated with exports may be as great as the direct risks associated with imports. For countries where livestock production occurs in disease-free zones (with or without vaccination), the trade risks vary with both species and trading partner. These findings may assist the targeting of disease risk mitigation activities.","container-title":"Revue Scientifique et Technique de l'OIE","DOI":"10.20506/rst.36.3.2719","ISSN":"0253-1933","issue":"3","journalAbbreviation":"Rev. Sci. Tech. OIE","language":"en","page":"839-865","source":"DOI.org (Crossref)","title":"Foot and mouth disease: the risks of the international trade in live animals: -EN- -FR- Fièvre aphteuse : les risques liés aux échanges internationaux d’animaux vivants -ES- Fiebre aftosa y riesgos del comercio internacional de animales vivos","title-short":"Foot and mouth disease","volume":"36","author":[{"family":"Shanafelt","given":"D.W."},{"family":"Perrings","given":"C.A."}],"issued":{"date-parts":[["2017",12,1]]}}}],"schema":"https://github.com/citation-style-language/schema/raw/master/csl-citation.json"} </w:instrText>
      </w:r>
      <w:r w:rsidRPr="00702DDD">
        <w:rPr>
          <w:rFonts w:ascii="Times New Roman" w:hAnsi="Times New Roman" w:cs="Times New Roman"/>
        </w:rPr>
        <w:fldChar w:fldCharType="separate"/>
      </w:r>
      <w:r w:rsidR="00C016E8" w:rsidRPr="00702DDD">
        <w:rPr>
          <w:rFonts w:ascii="Times New Roman" w:hAnsi="Times New Roman" w:cs="Times New Roman"/>
          <w:noProof/>
        </w:rPr>
        <w:t>(Shanafelt &amp; Perrings, 2017)</w:t>
      </w:r>
      <w:r w:rsidRPr="00702DDD">
        <w:rPr>
          <w:rFonts w:ascii="Times New Roman" w:hAnsi="Times New Roman" w:cs="Times New Roman"/>
        </w:rPr>
        <w:fldChar w:fldCharType="end"/>
      </w:r>
      <w:r w:rsidRPr="00702DDD">
        <w:rPr>
          <w:rFonts w:ascii="Times New Roman" w:hAnsi="Times New Roman" w:cs="Times New Roman"/>
        </w:rPr>
        <w:t>. This concept includes the threat and perception of spread as well as the event. To conceptualize the incorporation of perceived trade disruptions (including risk) in trade, a formal definition of trade can be described by Equation 1:</w:t>
      </w:r>
    </w:p>
    <w:p w14:paraId="76AAF8F1" w14:textId="77777777" w:rsidR="00FD022F" w:rsidRPr="00702DDD" w:rsidRDefault="00D07965" w:rsidP="00FD022F">
      <w:pPr>
        <w:spacing w:line="480" w:lineRule="auto"/>
        <w:jc w:val="right"/>
        <w:rPr>
          <w:rFonts w:ascii="Times New Roman" w:hAnsi="Times New Roman" w:cs="Times New Roman"/>
        </w:rPr>
      </w:pPr>
      <m:oMath>
        <m:sSubSup>
          <m:sSubSupPr>
            <m:ctrlPr>
              <w:rPr>
                <w:rFonts w:ascii="Cambria Math" w:eastAsia="Cambria Math" w:hAnsi="Cambria Math" w:cs="Times New Roman"/>
              </w:rPr>
            </m:ctrlPr>
          </m:sSubSupPr>
          <m:e>
            <m:r>
              <w:rPr>
                <w:rFonts w:ascii="Cambria Math" w:eastAsia="Cambria Math" w:hAnsi="Cambria Math" w:cs="Times New Roman"/>
              </w:rPr>
              <m:t>U</m:t>
            </m:r>
          </m:e>
          <m:sub>
            <m:r>
              <w:rPr>
                <w:rFonts w:ascii="Cambria Math" w:eastAsia="Cambria Math" w:hAnsi="Cambria Math" w:cs="Times New Roman"/>
              </w:rPr>
              <m:t>t</m:t>
            </m:r>
          </m:sub>
          <m:sup>
            <m:r>
              <w:rPr>
                <w:rFonts w:ascii="Cambria Math" w:eastAsia="Cambria Math" w:hAnsi="Cambria Math" w:cs="Times New Roman"/>
              </w:rPr>
              <m:t>R</m:t>
            </m:r>
          </m:sup>
        </m:sSubSup>
        <m:d>
          <m:dPr>
            <m:ctrlPr>
              <w:rPr>
                <w:rFonts w:ascii="Cambria Math" w:eastAsia="Cambria Math" w:hAnsi="Cambria Math" w:cs="Times New Roman"/>
              </w:rPr>
            </m:ctrlPr>
          </m:dPr>
          <m:e>
            <m:r>
              <w:rPr>
                <w:rFonts w:ascii="Cambria Math" w:eastAsia="Cambria Math" w:hAnsi="Cambria Math" w:cs="Times New Roman"/>
              </w:rPr>
              <m:t xml:space="preserve">P, </m:t>
            </m:r>
            <m:sSub>
              <m:sSubPr>
                <m:ctrlPr>
                  <w:rPr>
                    <w:rFonts w:ascii="Cambria Math" w:eastAsia="Cambria Math" w:hAnsi="Cambria Math" w:cs="Times New Roman"/>
                  </w:rPr>
                </m:ctrlPr>
              </m:sSubPr>
              <m:e>
                <m:r>
                  <w:rPr>
                    <w:rFonts w:ascii="Cambria Math" w:eastAsia="Cambria Math" w:hAnsi="Cambria Math" w:cs="Times New Roman"/>
                  </w:rPr>
                  <m:t>X</m:t>
                </m:r>
              </m:e>
              <m:sub>
                <m:r>
                  <w:rPr>
                    <w:rFonts w:ascii="Cambria Math" w:eastAsia="Cambria Math" w:hAnsi="Cambria Math" w:cs="Times New Roman"/>
                  </w:rPr>
                  <m:t>i</m:t>
                </m:r>
              </m:sub>
            </m:sSub>
            <m:r>
              <w:rPr>
                <w:rFonts w:ascii="Cambria Math" w:eastAsia="Cambria Math" w:hAnsi="Cambria Math" w:cs="Times New Roman"/>
              </w:rPr>
              <m:t>,</m:t>
            </m:r>
            <m:sSub>
              <m:sSubPr>
                <m:ctrlPr>
                  <w:rPr>
                    <w:rFonts w:ascii="Cambria Math" w:eastAsia="Cambria Math" w:hAnsi="Cambria Math" w:cs="Times New Roman"/>
                  </w:rPr>
                </m:ctrlPr>
              </m:sSubPr>
              <m:e>
                <m:r>
                  <w:rPr>
                    <w:rFonts w:ascii="Cambria Math" w:eastAsia="Cambria Math" w:hAnsi="Cambria Math" w:cs="Times New Roman"/>
                  </w:rPr>
                  <m:t>Z</m:t>
                </m:r>
              </m:e>
              <m:sub>
                <m:r>
                  <w:rPr>
                    <w:rFonts w:ascii="Cambria Math" w:eastAsia="Cambria Math" w:hAnsi="Cambria Math" w:cs="Times New Roman"/>
                  </w:rPr>
                  <m:t>j</m:t>
                </m:r>
              </m:sub>
            </m:sSub>
            <m:r>
              <w:rPr>
                <w:rFonts w:ascii="Cambria Math" w:eastAsia="Cambria Math" w:hAnsi="Cambria Math" w:cs="Times New Roman"/>
              </w:rPr>
              <m:t>,d</m:t>
            </m:r>
          </m:e>
        </m:d>
        <m:r>
          <w:rPr>
            <w:rFonts w:ascii="Cambria Math" w:eastAsia="Cambria Math" w:hAnsi="Cambria Math" w:cs="Times New Roman"/>
          </w:rPr>
          <m:t>&gt;</m:t>
        </m:r>
        <m:sSubSup>
          <m:sSubSupPr>
            <m:ctrlPr>
              <w:rPr>
                <w:rFonts w:ascii="Cambria Math" w:eastAsia="Cambria Math" w:hAnsi="Cambria Math" w:cs="Times New Roman"/>
              </w:rPr>
            </m:ctrlPr>
          </m:sSubSupPr>
          <m:e>
            <m:r>
              <w:rPr>
                <w:rFonts w:ascii="Cambria Math" w:eastAsia="Cambria Math" w:hAnsi="Cambria Math" w:cs="Times New Roman"/>
              </w:rPr>
              <m:t>U</m:t>
            </m:r>
          </m:e>
          <m:sub>
            <m:r>
              <w:rPr>
                <w:rFonts w:ascii="Cambria Math" w:eastAsia="Cambria Math" w:hAnsi="Cambria Math" w:cs="Times New Roman"/>
              </w:rPr>
              <m:t>t</m:t>
            </m:r>
          </m:sub>
          <m:sup>
            <m:r>
              <w:rPr>
                <w:rFonts w:ascii="Cambria Math" w:eastAsia="Cambria Math" w:hAnsi="Cambria Math" w:cs="Times New Roman"/>
              </w:rPr>
              <m:t>A</m:t>
            </m:r>
          </m:sup>
        </m:sSubSup>
        <m:d>
          <m:dPr>
            <m:ctrlPr>
              <w:rPr>
                <w:rFonts w:ascii="Cambria Math" w:eastAsia="Cambria Math" w:hAnsi="Cambria Math" w:cs="Times New Roman"/>
              </w:rPr>
            </m:ctrlPr>
          </m:dPr>
          <m:e>
            <m:r>
              <w:rPr>
                <w:rFonts w:ascii="Cambria Math" w:eastAsia="Cambria Math" w:hAnsi="Cambria Math" w:cs="Times New Roman"/>
              </w:rPr>
              <m:t xml:space="preserve">P, </m:t>
            </m:r>
            <m:sSub>
              <m:sSubPr>
                <m:ctrlPr>
                  <w:rPr>
                    <w:rFonts w:ascii="Cambria Math" w:eastAsia="Cambria Math" w:hAnsi="Cambria Math" w:cs="Times New Roman"/>
                  </w:rPr>
                </m:ctrlPr>
              </m:sSubPr>
              <m:e>
                <m:r>
                  <w:rPr>
                    <w:rFonts w:ascii="Cambria Math" w:eastAsia="Cambria Math" w:hAnsi="Cambria Math" w:cs="Times New Roman"/>
                  </w:rPr>
                  <m:t>X</m:t>
                </m:r>
              </m:e>
              <m:sub>
                <m:r>
                  <w:rPr>
                    <w:rFonts w:ascii="Cambria Math" w:eastAsia="Cambria Math" w:hAnsi="Cambria Math" w:cs="Times New Roman"/>
                  </w:rPr>
                  <m:t>i</m:t>
                </m:r>
              </m:sub>
            </m:sSub>
            <m:r>
              <w:rPr>
                <w:rFonts w:ascii="Cambria Math" w:eastAsia="Cambria Math" w:hAnsi="Cambria Math" w:cs="Times New Roman"/>
              </w:rPr>
              <m:t>,</m:t>
            </m:r>
            <m:sSub>
              <m:sSubPr>
                <m:ctrlPr>
                  <w:rPr>
                    <w:rFonts w:ascii="Cambria Math" w:eastAsia="Cambria Math" w:hAnsi="Cambria Math" w:cs="Times New Roman"/>
                  </w:rPr>
                </m:ctrlPr>
              </m:sSubPr>
              <m:e>
                <m:r>
                  <w:rPr>
                    <w:rFonts w:ascii="Cambria Math" w:eastAsia="Cambria Math" w:hAnsi="Cambria Math" w:cs="Times New Roman"/>
                  </w:rPr>
                  <m:t>Z</m:t>
                </m:r>
              </m:e>
              <m:sub>
                <m:r>
                  <w:rPr>
                    <w:rFonts w:ascii="Cambria Math" w:eastAsia="Cambria Math" w:hAnsi="Cambria Math" w:cs="Times New Roman"/>
                  </w:rPr>
                  <m:t>j</m:t>
                </m:r>
              </m:sub>
            </m:sSub>
            <m:r>
              <w:rPr>
                <w:rFonts w:ascii="Cambria Math" w:eastAsia="Cambria Math" w:hAnsi="Cambria Math" w:cs="Times New Roman"/>
              </w:rPr>
              <m:t>,d</m:t>
            </m:r>
          </m:e>
        </m:d>
      </m:oMath>
      <w:r w:rsidR="00FD022F" w:rsidRPr="00702DDD">
        <w:rPr>
          <w:rFonts w:ascii="Times New Roman" w:hAnsi="Times New Roman" w:cs="Times New Roman"/>
        </w:rPr>
        <w:t xml:space="preserve"> </w:t>
      </w:r>
      <w:r w:rsidR="00FD022F" w:rsidRPr="00702DDD">
        <w:rPr>
          <w:rFonts w:ascii="Times New Roman" w:hAnsi="Times New Roman" w:cs="Times New Roman"/>
        </w:rPr>
        <w:tab/>
      </w:r>
      <w:r w:rsidR="00FD022F" w:rsidRPr="00702DDD">
        <w:rPr>
          <w:rFonts w:ascii="Times New Roman" w:hAnsi="Times New Roman" w:cs="Times New Roman"/>
        </w:rPr>
        <w:tab/>
      </w:r>
      <w:r w:rsidR="00FD022F" w:rsidRPr="00702DDD">
        <w:rPr>
          <w:rFonts w:ascii="Times New Roman" w:hAnsi="Times New Roman" w:cs="Times New Roman"/>
        </w:rPr>
        <w:tab/>
      </w:r>
      <w:r w:rsidR="00FD022F" w:rsidRPr="00702DDD">
        <w:rPr>
          <w:rFonts w:ascii="Times New Roman" w:hAnsi="Times New Roman" w:cs="Times New Roman"/>
        </w:rPr>
        <w:tab/>
      </w:r>
      <w:r w:rsidR="00FD022F" w:rsidRPr="00702DDD">
        <w:rPr>
          <w:rFonts w:ascii="Times New Roman" w:hAnsi="Times New Roman" w:cs="Times New Roman"/>
        </w:rPr>
        <w:tab/>
        <w:t>(1)</w:t>
      </w:r>
    </w:p>
    <w:p w14:paraId="181D2B1E" w14:textId="77777777" w:rsidR="00FD022F" w:rsidRPr="00702DDD" w:rsidRDefault="00FD022F" w:rsidP="00FD022F">
      <w:pPr>
        <w:spacing w:line="480" w:lineRule="auto"/>
        <w:rPr>
          <w:rFonts w:ascii="Times New Roman" w:hAnsi="Times New Roman" w:cs="Times New Roman"/>
        </w:rPr>
      </w:pPr>
      <w:r w:rsidRPr="00702DDD">
        <w:rPr>
          <w:rFonts w:ascii="Times New Roman" w:hAnsi="Times New Roman" w:cs="Times New Roman"/>
        </w:rPr>
        <w:t>where trade will only occur when the utility of trade (</w:t>
      </w:r>
      <w:r w:rsidRPr="00702DDD">
        <w:rPr>
          <w:rFonts w:ascii="Times New Roman" w:hAnsi="Times New Roman" w:cs="Times New Roman"/>
          <w:i/>
        </w:rPr>
        <w:t>R</w:t>
      </w:r>
      <w:r w:rsidRPr="00702DDD">
        <w:rPr>
          <w:rFonts w:ascii="Times New Roman" w:hAnsi="Times New Roman" w:cs="Times New Roman"/>
        </w:rPr>
        <w:t xml:space="preserve">) in time </w:t>
      </w:r>
      <w:r w:rsidRPr="00702DDD">
        <w:rPr>
          <w:rFonts w:ascii="Times New Roman" w:hAnsi="Times New Roman" w:cs="Times New Roman"/>
          <w:i/>
        </w:rPr>
        <w:t>t</w:t>
      </w:r>
      <w:r w:rsidRPr="00702DDD">
        <w:rPr>
          <w:rFonts w:ascii="Times New Roman" w:hAnsi="Times New Roman" w:cs="Times New Roman"/>
        </w:rPr>
        <w:t>, dependent on price (P), importer characteristics (</w:t>
      </w:r>
      <w:r w:rsidRPr="00702DDD">
        <w:rPr>
          <w:rFonts w:ascii="Times New Roman" w:hAnsi="Times New Roman" w:cs="Times New Roman"/>
          <w:i/>
        </w:rPr>
        <w:t>Xi</w:t>
      </w:r>
      <w:r w:rsidRPr="00702DDD">
        <w:rPr>
          <w:rFonts w:ascii="Times New Roman" w:hAnsi="Times New Roman" w:cs="Times New Roman"/>
        </w:rPr>
        <w:t>), exporter characteristic (</w:t>
      </w:r>
      <w:proofErr w:type="spellStart"/>
      <w:r w:rsidRPr="00702DDD">
        <w:rPr>
          <w:rFonts w:ascii="Times New Roman" w:hAnsi="Times New Roman" w:cs="Times New Roman"/>
        </w:rPr>
        <w:t>Z</w:t>
      </w:r>
      <w:r w:rsidRPr="00702DDD">
        <w:rPr>
          <w:rFonts w:ascii="Times New Roman" w:hAnsi="Times New Roman" w:cs="Times New Roman"/>
          <w:i/>
        </w:rPr>
        <w:t>j</w:t>
      </w:r>
      <w:proofErr w:type="spellEnd"/>
      <w:r w:rsidRPr="00702DDD">
        <w:rPr>
          <w:rFonts w:ascii="Times New Roman" w:hAnsi="Times New Roman" w:cs="Times New Roman"/>
        </w:rPr>
        <w:t>), and any market disruptions (</w:t>
      </w:r>
      <m:oMath>
        <m:r>
          <w:rPr>
            <w:rFonts w:ascii="Cambria Math" w:hAnsi="Cambria Math" w:cs="Times New Roman"/>
          </w:rPr>
          <m:t>d</m:t>
        </m:r>
      </m:oMath>
      <w:r w:rsidRPr="00702DDD">
        <w:rPr>
          <w:rFonts w:ascii="Times New Roman" w:hAnsi="Times New Roman" w:cs="Times New Roman"/>
        </w:rPr>
        <w:t>) are greater than the utility derived from autarky (</w:t>
      </w:r>
      <w:r w:rsidRPr="00702DDD">
        <w:rPr>
          <w:rFonts w:ascii="Times New Roman" w:hAnsi="Times New Roman" w:cs="Times New Roman"/>
          <w:i/>
        </w:rPr>
        <w:t>A)</w:t>
      </w:r>
      <w:r w:rsidRPr="00702DDD">
        <w:rPr>
          <w:rFonts w:ascii="Times New Roman" w:hAnsi="Times New Roman" w:cs="Times New Roman"/>
        </w:rPr>
        <w:t xml:space="preserve">. In this analysis, the disruptions captured would </w:t>
      </w:r>
      <w:r w:rsidRPr="00702DDD">
        <w:rPr>
          <w:rFonts w:ascii="Times New Roman" w:hAnsi="Times New Roman" w:cs="Times New Roman"/>
        </w:rPr>
        <w:lastRenderedPageBreak/>
        <w:t>be associated with potential disease spread during a global pandemic and their supply chain impacts.</w:t>
      </w:r>
    </w:p>
    <w:p w14:paraId="320BD13A" w14:textId="492975B4" w:rsidR="00FD022F" w:rsidRPr="00702DDD" w:rsidRDefault="00FD022F" w:rsidP="00A41FF8">
      <w:pPr>
        <w:pStyle w:val="Heading3"/>
      </w:pPr>
      <w:bookmarkStart w:id="16" w:name="_Toc98444516"/>
      <w:bookmarkStart w:id="17" w:name="_Toc98692976"/>
      <w:r w:rsidRPr="00702DDD">
        <w:t>1.3.2 Modelling Framework</w:t>
      </w:r>
      <w:bookmarkEnd w:id="16"/>
      <w:bookmarkEnd w:id="17"/>
    </w:p>
    <w:p w14:paraId="0A6661CF" w14:textId="77777777" w:rsidR="00FD022F" w:rsidRPr="00702DDD" w:rsidRDefault="00FD022F" w:rsidP="00FD022F">
      <w:pPr>
        <w:spacing w:line="480" w:lineRule="auto"/>
        <w:rPr>
          <w:rFonts w:ascii="Times New Roman" w:hAnsi="Times New Roman" w:cs="Times New Roman"/>
        </w:rPr>
      </w:pPr>
      <w:r w:rsidRPr="00702DDD">
        <w:rPr>
          <w:rFonts w:ascii="Times New Roman" w:hAnsi="Times New Roman" w:cs="Times New Roman"/>
        </w:rPr>
        <w:t>To determine the effect of a human health event on the value exported, a multiple regression on the naturally logged value of trade will be modelled using Equation 2:</w:t>
      </w:r>
    </w:p>
    <w:p w14:paraId="14C2FD78" w14:textId="77777777" w:rsidR="00FD022F" w:rsidRPr="00702DDD" w:rsidRDefault="00D07965" w:rsidP="00FD022F">
      <w:pPr>
        <w:spacing w:line="480" w:lineRule="auto"/>
        <w:jc w:val="right"/>
        <w:rPr>
          <w:rFonts w:ascii="Times New Roman" w:hAnsi="Times New Roman" w:cs="Times New Roman"/>
        </w:rPr>
      </w:pPr>
      <m:oMath>
        <m:sSubSup>
          <m:sSubSupPr>
            <m:ctrlPr>
              <w:rPr>
                <w:rFonts w:ascii="Cambria Math" w:eastAsia="Cambria Math" w:hAnsi="Cambria Math" w:cs="Times New Roman"/>
              </w:rPr>
            </m:ctrlPr>
          </m:sSubSupPr>
          <m:e>
            <m:r>
              <w:rPr>
                <w:rFonts w:ascii="Cambria Math" w:hAnsi="Cambria Math" w:cs="Times New Roman"/>
              </w:rPr>
              <m:t>ln</m:t>
            </m:r>
            <m:r>
              <w:rPr>
                <w:rFonts w:ascii="Cambria Math" w:eastAsia="Cambria Math" w:hAnsi="Cambria Math" w:cs="Times New Roman"/>
              </w:rPr>
              <m:t>Trade</m:t>
            </m:r>
          </m:e>
          <m:sub>
            <m:r>
              <w:rPr>
                <w:rFonts w:ascii="Cambria Math" w:eastAsia="Cambria Math" w:hAnsi="Cambria Math" w:cs="Times New Roman"/>
              </w:rPr>
              <m:t>i,t</m:t>
            </m:r>
          </m:sub>
          <m:sup>
            <m:r>
              <w:rPr>
                <w:rFonts w:ascii="Cambria Math" w:eastAsia="Cambria Math" w:hAnsi="Cambria Math" w:cs="Times New Roman"/>
              </w:rPr>
              <m:t>k</m:t>
            </m:r>
          </m:sup>
        </m:sSubSup>
        <m:r>
          <w:rPr>
            <w:rFonts w:ascii="Cambria Math" w:eastAsia="Cambria Math" w:hAnsi="Cambria Math" w:cs="Times New Roman"/>
          </w:rPr>
          <m:t>=</m:t>
        </m:r>
        <m:sSub>
          <m:sSubPr>
            <m:ctrlPr>
              <w:rPr>
                <w:rFonts w:ascii="Cambria Math" w:eastAsia="Cambria Math" w:hAnsi="Cambria Math" w:cs="Times New Roman"/>
              </w:rPr>
            </m:ctrlPr>
          </m:sSubPr>
          <m:e>
            <m:r>
              <w:rPr>
                <w:rFonts w:ascii="Cambria Math" w:eastAsia="Cambria Math" w:hAnsi="Cambria Math" w:cs="Times New Roman"/>
              </w:rPr>
              <m:t>β</m:t>
            </m:r>
          </m:e>
          <m:sub>
            <m:r>
              <w:rPr>
                <w:rFonts w:ascii="Cambria Math" w:eastAsia="Cambria Math" w:hAnsi="Cambria Math" w:cs="Times New Roman"/>
              </w:rPr>
              <m:t>1</m:t>
            </m:r>
          </m:sub>
        </m:sSub>
        <m:r>
          <w:rPr>
            <w:rFonts w:ascii="Cambria Math" w:eastAsia="Cambria Math" w:hAnsi="Cambria Math" w:cs="Times New Roman"/>
          </w:rPr>
          <m:t>+</m:t>
        </m:r>
        <m:sSub>
          <m:sSubPr>
            <m:ctrlPr>
              <w:rPr>
                <w:rFonts w:ascii="Cambria Math" w:eastAsia="Cambria Math" w:hAnsi="Cambria Math" w:cs="Times New Roman"/>
              </w:rPr>
            </m:ctrlPr>
          </m:sSubPr>
          <m:e>
            <m:r>
              <w:rPr>
                <w:rFonts w:ascii="Cambria Math" w:eastAsia="Cambria Math" w:hAnsi="Cambria Math" w:cs="Times New Roman"/>
              </w:rPr>
              <m:t>β</m:t>
            </m:r>
          </m:e>
          <m:sub>
            <m:r>
              <w:rPr>
                <w:rFonts w:ascii="Cambria Math" w:eastAsia="Cambria Math" w:hAnsi="Cambria Math" w:cs="Times New Roman"/>
              </w:rPr>
              <m:t>n|n≠1</m:t>
            </m:r>
          </m:sub>
        </m:sSub>
        <m:d>
          <m:dPr>
            <m:ctrlPr>
              <w:rPr>
                <w:rFonts w:ascii="Cambria Math" w:eastAsia="Cambria Math" w:hAnsi="Cambria Math" w:cs="Times New Roman"/>
              </w:rPr>
            </m:ctrlPr>
          </m:dPr>
          <m:e>
            <m:sSub>
              <m:sSubPr>
                <m:ctrlPr>
                  <w:rPr>
                    <w:rFonts w:ascii="Cambria Math" w:eastAsia="Cambria Math" w:hAnsi="Cambria Math" w:cs="Times New Roman"/>
                  </w:rPr>
                </m:ctrlPr>
              </m:sSubPr>
              <m:e>
                <m:r>
                  <w:rPr>
                    <w:rFonts w:ascii="Cambria Math" w:eastAsia="Cambria Math" w:hAnsi="Cambria Math" w:cs="Times New Roman"/>
                  </w:rPr>
                  <m:t>Disease</m:t>
                </m:r>
              </m:e>
              <m:sub>
                <m:r>
                  <w:rPr>
                    <w:rFonts w:ascii="Cambria Math" w:eastAsia="Cambria Math" w:hAnsi="Cambria Math" w:cs="Times New Roman"/>
                  </w:rPr>
                  <m:t>i,t</m:t>
                </m:r>
              </m:sub>
            </m:sSub>
            <m:r>
              <w:rPr>
                <w:rFonts w:ascii="Cambria Math" w:eastAsia="Cambria Math" w:hAnsi="Cambria Math" w:cs="Times New Roman"/>
              </w:rPr>
              <m:t>×</m:t>
            </m:r>
            <m:sSub>
              <m:sSubPr>
                <m:ctrlPr>
                  <w:rPr>
                    <w:rFonts w:ascii="Cambria Math" w:eastAsia="Cambria Math" w:hAnsi="Cambria Math" w:cs="Times New Roman"/>
                  </w:rPr>
                </m:ctrlPr>
              </m:sSubPr>
              <m:e>
                <m:r>
                  <w:rPr>
                    <w:rFonts w:ascii="Cambria Math" w:eastAsia="Cambria Math" w:hAnsi="Cambria Math" w:cs="Times New Roman"/>
                  </w:rPr>
                  <m:t>Type</m:t>
                </m:r>
              </m:e>
              <m:sub>
                <m:r>
                  <w:rPr>
                    <w:rFonts w:ascii="Cambria Math" w:eastAsia="Cambria Math" w:hAnsi="Cambria Math" w:cs="Times New Roman"/>
                  </w:rPr>
                  <m:t>i,t</m:t>
                </m:r>
              </m:sub>
            </m:sSub>
          </m:e>
        </m:d>
        <m:r>
          <w:rPr>
            <w:rFonts w:ascii="Cambria Math" w:eastAsia="Cambria Math" w:hAnsi="Cambria Math" w:cs="Times New Roman"/>
          </w:rPr>
          <m:t>+λln</m:t>
        </m:r>
        <m:sSub>
          <m:sSubPr>
            <m:ctrlPr>
              <w:rPr>
                <w:rFonts w:ascii="Cambria Math" w:eastAsia="Cambria Math" w:hAnsi="Cambria Math" w:cs="Times New Roman"/>
              </w:rPr>
            </m:ctrlPr>
          </m:sSubPr>
          <m:e>
            <m:r>
              <w:rPr>
                <w:rFonts w:ascii="Cambria Math" w:eastAsia="Cambria Math" w:hAnsi="Cambria Math" w:cs="Times New Roman"/>
              </w:rPr>
              <m:t>Share</m:t>
            </m:r>
          </m:e>
          <m:sub>
            <m:r>
              <w:rPr>
                <w:rFonts w:ascii="Cambria Math" w:eastAsia="Cambria Math" w:hAnsi="Cambria Math" w:cs="Times New Roman"/>
              </w:rPr>
              <m:t>k,i,t-1</m:t>
            </m:r>
          </m:sub>
        </m:sSub>
        <m:r>
          <w:rPr>
            <w:rFonts w:ascii="Cambria Math" w:eastAsia="Cambria Math" w:hAnsi="Cambria Math" w:cs="Times New Roman"/>
          </w:rPr>
          <m:t>+θ</m:t>
        </m:r>
        <m:sSub>
          <m:sSubPr>
            <m:ctrlPr>
              <w:rPr>
                <w:rFonts w:ascii="Cambria Math" w:eastAsia="Cambria Math" w:hAnsi="Cambria Math" w:cs="Times New Roman"/>
              </w:rPr>
            </m:ctrlPr>
          </m:sSubPr>
          <m:e>
            <m:r>
              <w:rPr>
                <w:rFonts w:ascii="Cambria Math" w:eastAsia="Cambria Math" w:hAnsi="Cambria Math" w:cs="Times New Roman"/>
              </w:rPr>
              <m:t>Reporter</m:t>
            </m:r>
          </m:e>
          <m:sub>
            <m:r>
              <w:rPr>
                <w:rFonts w:ascii="Cambria Math" w:eastAsia="Cambria Math" w:hAnsi="Cambria Math" w:cs="Times New Roman"/>
              </w:rPr>
              <m:t>i,t</m:t>
            </m:r>
          </m:sub>
        </m:sSub>
        <m:r>
          <w:rPr>
            <w:rFonts w:ascii="Cambria Math" w:eastAsia="Cambria Math" w:hAnsi="Cambria Math" w:cs="Times New Roman"/>
          </w:rPr>
          <m:t>+δ</m:t>
        </m:r>
        <m:sSub>
          <m:sSubPr>
            <m:ctrlPr>
              <w:rPr>
                <w:rFonts w:ascii="Cambria Math" w:eastAsia="Cambria Math" w:hAnsi="Cambria Math" w:cs="Times New Roman"/>
              </w:rPr>
            </m:ctrlPr>
          </m:sSubPr>
          <m:e>
            <m:r>
              <w:rPr>
                <w:rFonts w:ascii="Cambria Math" w:eastAsia="Cambria Math" w:hAnsi="Cambria Math" w:cs="Times New Roman"/>
              </w:rPr>
              <m:t>Type</m:t>
            </m:r>
          </m:e>
          <m:sub>
            <m:r>
              <w:rPr>
                <w:rFonts w:ascii="Cambria Math" w:eastAsia="Cambria Math" w:hAnsi="Cambria Math" w:cs="Times New Roman"/>
              </w:rPr>
              <m:t>i,t</m:t>
            </m:r>
          </m:sub>
        </m:sSub>
        <m:r>
          <w:rPr>
            <w:rFonts w:ascii="Cambria Math" w:eastAsia="Cambria Math" w:hAnsi="Cambria Math" w:cs="Times New Roman"/>
          </w:rPr>
          <m:t>+ ψMonth</m:t>
        </m:r>
        <m:sSub>
          <m:sSubPr>
            <m:ctrlPr>
              <w:rPr>
                <w:rFonts w:ascii="Cambria Math" w:eastAsia="Cambria Math" w:hAnsi="Cambria Math" w:cs="Times New Roman"/>
              </w:rPr>
            </m:ctrlPr>
          </m:sSubPr>
          <m:e>
            <m:r>
              <w:rPr>
                <w:rFonts w:ascii="Cambria Math" w:eastAsia="Cambria Math" w:hAnsi="Cambria Math" w:cs="Times New Roman"/>
              </w:rPr>
              <m:t>s</m:t>
            </m:r>
          </m:e>
          <m:sub>
            <m:r>
              <w:rPr>
                <w:rFonts w:ascii="Cambria Math" w:eastAsia="Cambria Math" w:hAnsi="Cambria Math" w:cs="Times New Roman"/>
              </w:rPr>
              <m:t>t</m:t>
            </m:r>
          </m:sub>
        </m:sSub>
        <m:r>
          <w:rPr>
            <w:rFonts w:ascii="Cambria Math" w:eastAsia="Cambria Math" w:hAnsi="Cambria Math" w:cs="Times New Roman"/>
          </w:rPr>
          <m:t>+γYea</m:t>
        </m:r>
        <m:sSub>
          <m:sSubPr>
            <m:ctrlPr>
              <w:rPr>
                <w:rFonts w:ascii="Cambria Math" w:eastAsia="Cambria Math" w:hAnsi="Cambria Math" w:cs="Times New Roman"/>
              </w:rPr>
            </m:ctrlPr>
          </m:sSubPr>
          <m:e>
            <m:r>
              <w:rPr>
                <w:rFonts w:ascii="Cambria Math" w:eastAsia="Cambria Math" w:hAnsi="Cambria Math" w:cs="Times New Roman"/>
              </w:rPr>
              <m:t>r</m:t>
            </m:r>
          </m:e>
          <m:sub>
            <m:r>
              <w:rPr>
                <w:rFonts w:ascii="Cambria Math" w:eastAsia="Cambria Math" w:hAnsi="Cambria Math" w:cs="Times New Roman"/>
              </w:rPr>
              <m:t>t</m:t>
            </m:r>
          </m:sub>
        </m:sSub>
        <m:r>
          <w:rPr>
            <w:rFonts w:ascii="Cambria Math" w:eastAsia="Cambria Math" w:hAnsi="Cambria Math" w:cs="Times New Roman"/>
          </w:rPr>
          <m:t>+</m:t>
        </m:r>
        <m:sSub>
          <m:sSubPr>
            <m:ctrlPr>
              <w:rPr>
                <w:rFonts w:ascii="Cambria Math" w:eastAsia="Cambria Math" w:hAnsi="Cambria Math" w:cs="Times New Roman"/>
              </w:rPr>
            </m:ctrlPr>
          </m:sSubPr>
          <m:e>
            <m:r>
              <w:rPr>
                <w:rFonts w:ascii="Cambria Math" w:eastAsia="Cambria Math" w:hAnsi="Cambria Math" w:cs="Times New Roman"/>
              </w:rPr>
              <m:t>ε</m:t>
            </m:r>
          </m:e>
          <m:sub>
            <m:r>
              <w:rPr>
                <w:rFonts w:ascii="Cambria Math" w:eastAsia="Cambria Math" w:hAnsi="Cambria Math" w:cs="Times New Roman"/>
              </w:rPr>
              <m:t>i,t</m:t>
            </m:r>
          </m:sub>
        </m:sSub>
      </m:oMath>
      <w:r w:rsidR="00FD022F" w:rsidRPr="00702DDD">
        <w:rPr>
          <w:rFonts w:ascii="Times New Roman" w:hAnsi="Times New Roman" w:cs="Times New Roman"/>
        </w:rPr>
        <w:tab/>
      </w:r>
      <w:r w:rsidR="00FD022F" w:rsidRPr="00702DDD">
        <w:rPr>
          <w:rFonts w:ascii="Times New Roman" w:hAnsi="Times New Roman" w:cs="Times New Roman"/>
        </w:rPr>
        <w:tab/>
      </w:r>
      <w:r w:rsidR="00FD022F" w:rsidRPr="00702DDD">
        <w:rPr>
          <w:rFonts w:ascii="Times New Roman" w:hAnsi="Times New Roman" w:cs="Times New Roman"/>
        </w:rPr>
        <w:tab/>
      </w:r>
      <w:r w:rsidR="00FD022F" w:rsidRPr="00702DDD">
        <w:rPr>
          <w:rFonts w:ascii="Times New Roman" w:hAnsi="Times New Roman" w:cs="Times New Roman"/>
        </w:rPr>
        <w:tab/>
      </w:r>
      <w:r w:rsidR="00FD022F" w:rsidRPr="00702DDD">
        <w:rPr>
          <w:rFonts w:ascii="Times New Roman" w:hAnsi="Times New Roman" w:cs="Times New Roman"/>
        </w:rPr>
        <w:tab/>
        <w:t xml:space="preserve"> (2)</w:t>
      </w:r>
    </w:p>
    <w:p w14:paraId="1782B213" w14:textId="51F23ED5" w:rsidR="00FD022F" w:rsidRPr="00702DDD" w:rsidRDefault="00FD022F" w:rsidP="00FD022F">
      <w:pPr>
        <w:spacing w:line="480" w:lineRule="auto"/>
        <w:rPr>
          <w:rFonts w:ascii="Times New Roman" w:hAnsi="Times New Roman" w:cs="Times New Roman"/>
        </w:rPr>
      </w:pPr>
      <w:r w:rsidRPr="00702DDD">
        <w:rPr>
          <w:rFonts w:ascii="Times New Roman" w:hAnsi="Times New Roman" w:cs="Times New Roman"/>
        </w:rPr>
        <w:t xml:space="preserve">Where the transformed value of trade exported from exporter </w:t>
      </w:r>
      <w:proofErr w:type="spellStart"/>
      <w:r w:rsidRPr="00702DDD">
        <w:rPr>
          <w:rFonts w:ascii="Times New Roman" w:hAnsi="Times New Roman" w:cs="Times New Roman"/>
          <w:i/>
        </w:rPr>
        <w:t>i</w:t>
      </w:r>
      <w:proofErr w:type="spellEnd"/>
      <w:r w:rsidRPr="00702DDD">
        <w:rPr>
          <w:rFonts w:ascii="Times New Roman" w:hAnsi="Times New Roman" w:cs="Times New Roman"/>
        </w:rPr>
        <w:t xml:space="preserve"> in time </w:t>
      </w:r>
      <w:r w:rsidRPr="00702DDD">
        <w:rPr>
          <w:rFonts w:ascii="Times New Roman" w:hAnsi="Times New Roman" w:cs="Times New Roman"/>
          <w:i/>
        </w:rPr>
        <w:t>t</w:t>
      </w:r>
      <w:r w:rsidRPr="00702DDD">
        <w:rPr>
          <w:rFonts w:ascii="Times New Roman" w:hAnsi="Times New Roman" w:cs="Times New Roman"/>
        </w:rPr>
        <w:t xml:space="preserve"> for commodity </w:t>
      </w:r>
      <w:r w:rsidRPr="00702DDD">
        <w:rPr>
          <w:rFonts w:ascii="Times New Roman" w:hAnsi="Times New Roman" w:cs="Times New Roman"/>
          <w:i/>
        </w:rPr>
        <w:t>k</w:t>
      </w:r>
      <w:r w:rsidRPr="00702DDD">
        <w:rPr>
          <w:rFonts w:ascii="Times New Roman" w:hAnsi="Times New Roman" w:cs="Times New Roman"/>
        </w:rPr>
        <w:t xml:space="preserve"> is a function of the individual human health events (</w:t>
      </w:r>
      <w:r w:rsidRPr="00702DDD">
        <w:rPr>
          <w:rFonts w:ascii="Times New Roman" w:hAnsi="Times New Roman" w:cs="Times New Roman"/>
          <w:i/>
        </w:rPr>
        <w:t>Disease</w:t>
      </w:r>
      <w:r w:rsidRPr="00702DDD">
        <w:rPr>
          <w:rFonts w:ascii="Times New Roman" w:hAnsi="Times New Roman" w:cs="Times New Roman"/>
        </w:rPr>
        <w:t>) and meat product state (</w:t>
      </w:r>
      <w:r w:rsidRPr="00702DDD">
        <w:rPr>
          <w:rFonts w:ascii="Times New Roman" w:hAnsi="Times New Roman" w:cs="Times New Roman"/>
          <w:i/>
        </w:rPr>
        <w:t>Type</w:t>
      </w:r>
      <w:r w:rsidRPr="00702DDD">
        <w:rPr>
          <w:rFonts w:ascii="Times New Roman" w:hAnsi="Times New Roman" w:cs="Times New Roman"/>
        </w:rPr>
        <w:t xml:space="preserve">), the natural logarithm of exporters’ share of the total commodity trade of protein </w:t>
      </w:r>
      <w:r w:rsidRPr="00702DDD">
        <w:rPr>
          <w:rFonts w:ascii="Times New Roman" w:hAnsi="Times New Roman" w:cs="Times New Roman"/>
          <w:i/>
          <w:iCs/>
        </w:rPr>
        <w:t>k</w:t>
      </w:r>
      <w:r w:rsidRPr="00702DDD">
        <w:rPr>
          <w:rFonts w:ascii="Times New Roman" w:hAnsi="Times New Roman" w:cs="Times New Roman"/>
        </w:rPr>
        <w:t xml:space="preserve"> (</w:t>
      </w:r>
      <w:r w:rsidRPr="00702DDD">
        <w:rPr>
          <w:rFonts w:ascii="Times New Roman" w:hAnsi="Times New Roman" w:cs="Times New Roman"/>
          <w:i/>
        </w:rPr>
        <w:t>Share</w:t>
      </w:r>
      <w:r w:rsidRPr="00702DDD">
        <w:rPr>
          <w:rFonts w:ascii="Times New Roman" w:hAnsi="Times New Roman" w:cs="Times New Roman"/>
        </w:rPr>
        <w:t xml:space="preserve">) in year </w:t>
      </w:r>
      <w:r w:rsidRPr="00702DDD">
        <w:rPr>
          <w:rFonts w:ascii="Times New Roman" w:hAnsi="Times New Roman" w:cs="Times New Roman"/>
          <w:i/>
        </w:rPr>
        <w:t>t-1</w:t>
      </w:r>
      <w:r w:rsidRPr="00702DDD">
        <w:rPr>
          <w:rFonts w:ascii="Times New Roman" w:hAnsi="Times New Roman" w:cs="Times New Roman"/>
        </w:rPr>
        <w:t>, the meat exporting nation (</w:t>
      </w:r>
      <w:r w:rsidRPr="00702DDD">
        <w:rPr>
          <w:rFonts w:ascii="Times New Roman" w:hAnsi="Times New Roman" w:cs="Times New Roman"/>
          <w:i/>
        </w:rPr>
        <w:t>Reporter</w:t>
      </w:r>
      <w:r w:rsidRPr="00702DDD">
        <w:rPr>
          <w:rFonts w:ascii="Times New Roman" w:hAnsi="Times New Roman" w:cs="Times New Roman"/>
        </w:rPr>
        <w:t>),</w:t>
      </w:r>
      <w:r w:rsidRPr="00702DDD">
        <w:rPr>
          <w:rFonts w:ascii="Times New Roman" w:hAnsi="Times New Roman" w:cs="Times New Roman"/>
          <w:i/>
        </w:rPr>
        <w:t xml:space="preserve"> </w:t>
      </w:r>
      <w:r w:rsidRPr="00702DDD">
        <w:rPr>
          <w:rFonts w:ascii="Times New Roman" w:hAnsi="Times New Roman" w:cs="Times New Roman"/>
        </w:rPr>
        <w:t xml:space="preserve">and time fixed effects for month and year of trade. </w:t>
      </w:r>
      <m:oMath>
        <m:sSub>
          <m:sSubPr>
            <m:ctrlPr>
              <w:rPr>
                <w:rFonts w:ascii="Cambria Math" w:eastAsia="Cambria Math" w:hAnsi="Cambria Math" w:cs="Times New Roman"/>
              </w:rPr>
            </m:ctrlPr>
          </m:sSubPr>
          <m:e>
            <m:r>
              <w:rPr>
                <w:rFonts w:ascii="Cambria Math" w:hAnsi="Cambria Math" w:cs="Times New Roman"/>
              </w:rPr>
              <m:t>ε</m:t>
            </m:r>
          </m:e>
          <m:sub>
            <m:r>
              <w:rPr>
                <w:rFonts w:ascii="Cambria Math" w:eastAsia="Cambria Math" w:hAnsi="Cambria Math" w:cs="Times New Roman"/>
              </w:rPr>
              <m:t>i,t</m:t>
            </m:r>
          </m:sub>
        </m:sSub>
      </m:oMath>
      <w:r w:rsidRPr="00702DDD">
        <w:rPr>
          <w:rFonts w:ascii="Times New Roman" w:hAnsi="Times New Roman" w:cs="Times New Roman"/>
        </w:rPr>
        <w:t xml:space="preserve"> represents the error term, </w:t>
      </w:r>
      <m:oMath>
        <m:r>
          <w:rPr>
            <w:rFonts w:ascii="Cambria Math" w:eastAsia="Cambria Math" w:hAnsi="Cambria Math" w:cs="Times New Roman"/>
          </w:rPr>
          <m:t xml:space="preserve">β ,λ,θ,γ,ψ, </m:t>
        </m:r>
      </m:oMath>
      <w:r w:rsidRPr="00702DDD">
        <w:rPr>
          <w:rFonts w:ascii="Times New Roman" w:hAnsi="Times New Roman" w:cs="Times New Roman"/>
        </w:rPr>
        <w:t xml:space="preserve">and </w:t>
      </w:r>
      <m:oMath>
        <m:r>
          <w:rPr>
            <w:rFonts w:ascii="Cambria Math" w:hAnsi="Cambria Math" w:cs="Times New Roman"/>
          </w:rPr>
          <m:t>δ</m:t>
        </m:r>
      </m:oMath>
      <w:r w:rsidRPr="00702DDD">
        <w:rPr>
          <w:rFonts w:ascii="Times New Roman" w:hAnsi="Times New Roman" w:cs="Times New Roman"/>
        </w:rPr>
        <w:t xml:space="preserve"> represent estimated coefficients. </w:t>
      </w:r>
      <w:r w:rsidRPr="00702DDD">
        <w:rPr>
          <w:rFonts w:ascii="Times New Roman" w:hAnsi="Times New Roman" w:cs="Times New Roman"/>
          <w:i/>
          <w:iCs/>
        </w:rPr>
        <w:t>Share</w:t>
      </w:r>
      <w:r w:rsidRPr="00702DDD">
        <w:rPr>
          <w:rFonts w:ascii="Times New Roman" w:hAnsi="Times New Roman" w:cs="Times New Roman"/>
        </w:rPr>
        <w:t xml:space="preserve"> represents the market power of the exporting </w:t>
      </w:r>
      <w:r w:rsidRPr="00702DDD">
        <w:rPr>
          <w:rFonts w:ascii="Times New Roman" w:hAnsi="Times New Roman" w:cs="Times New Roman"/>
          <w:i/>
          <w:iCs/>
        </w:rPr>
        <w:t>Reporter</w:t>
      </w:r>
      <w:r w:rsidRPr="00702DDD">
        <w:rPr>
          <w:rFonts w:ascii="Times New Roman" w:hAnsi="Times New Roman" w:cs="Times New Roman"/>
        </w:rPr>
        <w:t xml:space="preserve"> for a given protein </w:t>
      </w:r>
      <w:r w:rsidRPr="00702DDD">
        <w:rPr>
          <w:rFonts w:ascii="Times New Roman" w:hAnsi="Times New Roman" w:cs="Times New Roman"/>
          <w:i/>
          <w:iCs/>
        </w:rPr>
        <w:t xml:space="preserve">k </w:t>
      </w:r>
      <w:r w:rsidR="00CF1967">
        <w:rPr>
          <w:rFonts w:ascii="Times New Roman" w:hAnsi="Times New Roman" w:cs="Times New Roman"/>
        </w:rPr>
        <w:t>which may impact the volume and value of products traded in a given period.</w:t>
      </w:r>
      <w:r w:rsidRPr="00702DDD">
        <w:rPr>
          <w:rFonts w:ascii="Times New Roman" w:hAnsi="Times New Roman" w:cs="Times New Roman"/>
        </w:rPr>
        <w:t xml:space="preserve"> </w:t>
      </w:r>
      <w:r w:rsidR="00CF1967">
        <w:rPr>
          <w:rFonts w:ascii="Times New Roman" w:hAnsi="Times New Roman" w:cs="Times New Roman"/>
          <w:i/>
          <w:iCs/>
        </w:rPr>
        <w:t xml:space="preserve">Share </w:t>
      </w:r>
      <w:r w:rsidRPr="00702DDD">
        <w:rPr>
          <w:rFonts w:ascii="Times New Roman" w:hAnsi="Times New Roman" w:cs="Times New Roman"/>
        </w:rPr>
        <w:t>is lagged in the model to prevent endogeneity</w:t>
      </w:r>
      <w:r w:rsidR="00CF1967">
        <w:rPr>
          <w:rFonts w:ascii="Times New Roman" w:hAnsi="Times New Roman" w:cs="Times New Roman"/>
        </w:rPr>
        <w:t xml:space="preserve"> in the same time period</w:t>
      </w:r>
      <w:r w:rsidRPr="00702DDD">
        <w:rPr>
          <w:rFonts w:ascii="Times New Roman" w:hAnsi="Times New Roman" w:cs="Times New Roman"/>
        </w:rPr>
        <w:t xml:space="preserve">. The </w:t>
      </w:r>
      <w:r w:rsidRPr="00702DDD">
        <w:rPr>
          <w:rFonts w:ascii="Times New Roman" w:hAnsi="Times New Roman" w:cs="Times New Roman"/>
          <w:i/>
        </w:rPr>
        <w:t xml:space="preserve">Type </w:t>
      </w:r>
      <w:r w:rsidRPr="00702DDD">
        <w:rPr>
          <w:rFonts w:ascii="Times New Roman" w:hAnsi="Times New Roman" w:cs="Times New Roman"/>
        </w:rPr>
        <w:t>variable characterizes the commodity’s export state (</w:t>
      </w:r>
      <w:r w:rsidRPr="00702DDD">
        <w:rPr>
          <w:rFonts w:ascii="Times New Roman" w:hAnsi="Times New Roman" w:cs="Times New Roman"/>
          <w:i/>
        </w:rPr>
        <w:t>Fresh</w:t>
      </w:r>
      <w:r w:rsidRPr="00702DDD">
        <w:rPr>
          <w:rFonts w:ascii="Times New Roman" w:hAnsi="Times New Roman" w:cs="Times New Roman"/>
        </w:rPr>
        <w:t xml:space="preserve">, </w:t>
      </w:r>
      <w:r w:rsidRPr="00702DDD">
        <w:rPr>
          <w:rFonts w:ascii="Times New Roman" w:hAnsi="Times New Roman" w:cs="Times New Roman"/>
          <w:i/>
        </w:rPr>
        <w:t>Frozen</w:t>
      </w:r>
      <w:r w:rsidRPr="00702DDD">
        <w:rPr>
          <w:rFonts w:ascii="Times New Roman" w:hAnsi="Times New Roman" w:cs="Times New Roman"/>
        </w:rPr>
        <w:t xml:space="preserve">, </w:t>
      </w:r>
      <w:r w:rsidRPr="00702DDD">
        <w:rPr>
          <w:rFonts w:ascii="Times New Roman" w:hAnsi="Times New Roman" w:cs="Times New Roman"/>
          <w:i/>
        </w:rPr>
        <w:t>Other</w:t>
      </w:r>
      <w:r w:rsidRPr="00702DDD">
        <w:rPr>
          <w:rStyle w:val="FootnoteReference"/>
          <w:rFonts w:ascii="Times New Roman" w:eastAsiaTheme="majorEastAsia" w:hAnsi="Times New Roman" w:cs="Times New Roman"/>
        </w:rPr>
        <w:footnoteReference w:id="1"/>
      </w:r>
      <w:r w:rsidRPr="00702DDD">
        <w:rPr>
          <w:rFonts w:ascii="Times New Roman" w:hAnsi="Times New Roman" w:cs="Times New Roman"/>
        </w:rPr>
        <w:t xml:space="preserve">). The disease and time variables are binary and equal one if true and zero, otherwise. The regression will be estimated for each </w:t>
      </w:r>
      <w:r w:rsidRPr="00702DDD">
        <w:rPr>
          <w:rFonts w:ascii="Times New Roman" w:hAnsi="Times New Roman" w:cs="Times New Roman"/>
          <w:i/>
        </w:rPr>
        <w:t>k</w:t>
      </w:r>
      <w:r w:rsidRPr="00702DDD">
        <w:rPr>
          <w:rFonts w:ascii="Times New Roman" w:hAnsi="Times New Roman" w:cs="Times New Roman"/>
        </w:rPr>
        <w:t xml:space="preserve"> protein– </w:t>
      </w:r>
      <w:r w:rsidRPr="00702DDD">
        <w:rPr>
          <w:rFonts w:ascii="Times New Roman" w:hAnsi="Times New Roman" w:cs="Times New Roman"/>
          <w:i/>
        </w:rPr>
        <w:t>Beef,</w:t>
      </w:r>
      <w:r w:rsidRPr="00702DDD">
        <w:rPr>
          <w:rFonts w:ascii="Times New Roman" w:hAnsi="Times New Roman" w:cs="Times New Roman"/>
        </w:rPr>
        <w:t xml:space="preserve"> </w:t>
      </w:r>
      <w:r w:rsidRPr="00702DDD">
        <w:rPr>
          <w:rFonts w:ascii="Times New Roman" w:hAnsi="Times New Roman" w:cs="Times New Roman"/>
          <w:i/>
        </w:rPr>
        <w:t>Poultry</w:t>
      </w:r>
      <w:r w:rsidRPr="00702DDD">
        <w:rPr>
          <w:rFonts w:ascii="Times New Roman" w:hAnsi="Times New Roman" w:cs="Times New Roman"/>
        </w:rPr>
        <w:t xml:space="preserve">, </w:t>
      </w:r>
      <w:r w:rsidRPr="00702DDD">
        <w:rPr>
          <w:rFonts w:ascii="Times New Roman" w:hAnsi="Times New Roman" w:cs="Times New Roman"/>
          <w:i/>
        </w:rPr>
        <w:t>Swine</w:t>
      </w:r>
      <w:r w:rsidRPr="00702DDD">
        <w:rPr>
          <w:rFonts w:ascii="Times New Roman" w:hAnsi="Times New Roman" w:cs="Times New Roman"/>
        </w:rPr>
        <w:t xml:space="preserve">, </w:t>
      </w:r>
      <w:r w:rsidRPr="00702DDD">
        <w:rPr>
          <w:rFonts w:ascii="Times New Roman" w:hAnsi="Times New Roman" w:cs="Times New Roman"/>
          <w:i/>
        </w:rPr>
        <w:t>Other</w:t>
      </w:r>
      <w:r w:rsidRPr="00702DDD">
        <w:rPr>
          <w:rStyle w:val="FootnoteReference"/>
          <w:rFonts w:ascii="Times New Roman" w:eastAsiaTheme="majorEastAsia" w:hAnsi="Times New Roman" w:cs="Times New Roman"/>
        </w:rPr>
        <w:footnoteReference w:id="2"/>
      </w:r>
      <w:r w:rsidRPr="00702DDD">
        <w:rPr>
          <w:rFonts w:ascii="Times New Roman" w:hAnsi="Times New Roman" w:cs="Times New Roman"/>
        </w:rPr>
        <w:t xml:space="preserve">. These models will generate the estimate of each human health event’s respective impact on global meat product export sales. The models will be estimated with robust standard errors to account and correct for any heterogeneity issues that may be present. </w:t>
      </w:r>
    </w:p>
    <w:p w14:paraId="0BF62F57" w14:textId="2BB6DE2E" w:rsidR="00FD022F" w:rsidRPr="00702DDD" w:rsidRDefault="00FD022F" w:rsidP="00FD022F">
      <w:pPr>
        <w:spacing w:line="480" w:lineRule="auto"/>
        <w:rPr>
          <w:rFonts w:ascii="Times New Roman" w:hAnsi="Times New Roman" w:cs="Times New Roman"/>
        </w:rPr>
      </w:pPr>
      <w:r w:rsidRPr="00702DDD">
        <w:rPr>
          <w:rFonts w:ascii="Times New Roman" w:hAnsi="Times New Roman" w:cs="Times New Roman"/>
        </w:rPr>
        <w:lastRenderedPageBreak/>
        <w:tab/>
        <w:t xml:space="preserve">The data used in the study is time series panel data and will be estimated using Stata software </w:t>
      </w:r>
      <w:r w:rsidRPr="00702DDD">
        <w:rPr>
          <w:rFonts w:ascii="Times New Roman" w:hAnsi="Times New Roman" w:cs="Times New Roman"/>
        </w:rPr>
        <w:fldChar w:fldCharType="begin"/>
      </w:r>
      <w:r w:rsidR="00C016E8" w:rsidRPr="00702DDD">
        <w:rPr>
          <w:rFonts w:ascii="Times New Roman" w:hAnsi="Times New Roman" w:cs="Times New Roman"/>
        </w:rPr>
        <w:instrText xml:space="preserve"> ADDIN ZOTERO_ITEM CSL_CITATION {"citationID":"eyZBXTam","properties":{"formattedCitation":"(StataCorp, 2019)","plainCitation":"(StataCorp, 2019)","noteIndex":0},"citationItems":[{"id":3321,"uris":["http://zotero.org/groups/2546976/items/DLPAP5B4"],"uri":["http://zotero.org/groups/2546976/items/DLPAP5B4"],"itemData":{"id":3321,"type":"book","event-place":"College Station, TX","publisher":"StataCrop LLC","publisher-place":"College Station, TX","title":"Stata Statistical Software","version":"16","author":[{"literal":"StataCorp"}],"issued":{"date-parts":[["2019"]]}}}],"schema":"https://github.com/citation-style-language/schema/raw/master/csl-citation.json"} </w:instrText>
      </w:r>
      <w:r w:rsidRPr="00702DDD">
        <w:rPr>
          <w:rFonts w:ascii="Times New Roman" w:hAnsi="Times New Roman" w:cs="Times New Roman"/>
        </w:rPr>
        <w:fldChar w:fldCharType="separate"/>
      </w:r>
      <w:r w:rsidR="00C016E8" w:rsidRPr="00702DDD">
        <w:rPr>
          <w:rFonts w:ascii="Times New Roman" w:hAnsi="Times New Roman" w:cs="Times New Roman"/>
          <w:noProof/>
        </w:rPr>
        <w:t>(StataCorp, 2019)</w:t>
      </w:r>
      <w:r w:rsidRPr="00702DDD">
        <w:rPr>
          <w:rFonts w:ascii="Times New Roman" w:hAnsi="Times New Roman" w:cs="Times New Roman"/>
        </w:rPr>
        <w:fldChar w:fldCharType="end"/>
      </w:r>
      <w:r w:rsidRPr="00702DDD">
        <w:rPr>
          <w:rFonts w:ascii="Times New Roman" w:hAnsi="Times New Roman" w:cs="Times New Roman"/>
        </w:rPr>
        <w:t xml:space="preserve"> time series panel regression estimator. This time series estimator accounts for serial correlation as well as effects over time. In comparison, standard pooled data in regression analysis (Ordinary Least Squares regression) would not account for these effects, requiring panel data analysis </w:t>
      </w:r>
      <w:r w:rsidRPr="00702DDD">
        <w:rPr>
          <w:rFonts w:ascii="Times New Roman" w:hAnsi="Times New Roman" w:cs="Times New Roman"/>
        </w:rPr>
        <w:fldChar w:fldCharType="begin"/>
      </w:r>
      <w:r w:rsidR="00C016E8" w:rsidRPr="00702DDD">
        <w:rPr>
          <w:rFonts w:ascii="Times New Roman" w:hAnsi="Times New Roman" w:cs="Times New Roman"/>
        </w:rPr>
        <w:instrText xml:space="preserve"> ADDIN ZOTERO_ITEM CSL_CITATION {"citationID":"UtPduBiS","properties":{"formattedCitation":"(Allison, 1994)","plainCitation":"(Allison, 1994)","noteIndex":0},"citationItems":[{"id":3320,"uris":["http://zotero.org/groups/2546976/items/8EAYGCFN"],"uri":["http://zotero.org/groups/2546976/items/8EAYGCFN"],"itemData":{"id":3320,"type":"article-journal","abstract":"Although event history analysis provides a highly developed body of methods for studying the causes of events, there is little consensus on the best ways for studying the consequences of events. This article develops some methods for using multiwave panel data to estimate the effects of either naturally occurring events or planned interventions. It does this by synthesizing the literature on interrupted time series with econometric treatments of pooled time-series, cross-section data. The emphasis is on fixed-effects models and estimators because of their capacity to control for all stable differences across individuals, whether or not those differences are correlated with measured variables. In contrast to earlier treatments of the problem, the models allow for timevarying covariates and for events that can occur at different time periods for different individuals. For continuous dependent variables, the basic estimators are easily obtained with standard OLS regression programs. For dichotomous outcomes, logit models can be estimated by the method of conditional likelihood.","container-title":"Sociological Methods &amp; Research","DOI":"10/b9tpr3","ISSN":"0049-1241","issue":"2","journalAbbreviation":"Sociological Methods &amp; Research","note":"publisher: SAGE Publications Inc","page":"174-199","source":"SAGE Journals","title":"Using Panel Data to Estimate the Effects of Events","volume":"23","author":[{"family":"Allison","given":"Paul D."}],"issued":{"date-parts":[["1994",11,1]]}}}],"schema":"https://github.com/citation-style-language/schema/raw/master/csl-citation.json"} </w:instrText>
      </w:r>
      <w:r w:rsidRPr="00702DDD">
        <w:rPr>
          <w:rFonts w:ascii="Times New Roman" w:hAnsi="Times New Roman" w:cs="Times New Roman"/>
        </w:rPr>
        <w:fldChar w:fldCharType="separate"/>
      </w:r>
      <w:r w:rsidR="00C016E8" w:rsidRPr="00702DDD">
        <w:rPr>
          <w:rFonts w:ascii="Times New Roman" w:hAnsi="Times New Roman" w:cs="Times New Roman"/>
          <w:noProof/>
        </w:rPr>
        <w:t>(Allison, 1994)</w:t>
      </w:r>
      <w:r w:rsidRPr="00702DDD">
        <w:rPr>
          <w:rFonts w:ascii="Times New Roman" w:hAnsi="Times New Roman" w:cs="Times New Roman"/>
        </w:rPr>
        <w:fldChar w:fldCharType="end"/>
      </w:r>
      <w:r w:rsidRPr="00702DDD">
        <w:rPr>
          <w:rFonts w:ascii="Times New Roman" w:hAnsi="Times New Roman" w:cs="Times New Roman"/>
        </w:rPr>
        <w:t xml:space="preserve">. </w:t>
      </w:r>
    </w:p>
    <w:p w14:paraId="7E82C510" w14:textId="77777777" w:rsidR="00FD022F" w:rsidRPr="00702DDD" w:rsidRDefault="00FD022F" w:rsidP="000654A5">
      <w:pPr>
        <w:pStyle w:val="Heading2"/>
      </w:pPr>
      <w:bookmarkStart w:id="18" w:name="_Toc98444517"/>
      <w:bookmarkStart w:id="19" w:name="_Toc98692977"/>
      <w:r w:rsidRPr="00702DDD">
        <w:t>1.4 Data</w:t>
      </w:r>
      <w:bookmarkEnd w:id="18"/>
      <w:bookmarkEnd w:id="19"/>
    </w:p>
    <w:p w14:paraId="79CEFA4F" w14:textId="2F43C188" w:rsidR="00FD022F" w:rsidRPr="00702DDD" w:rsidRDefault="00FD022F" w:rsidP="00FD022F">
      <w:pPr>
        <w:spacing w:line="480" w:lineRule="auto"/>
        <w:rPr>
          <w:rFonts w:ascii="Times New Roman" w:hAnsi="Times New Roman" w:cs="Times New Roman"/>
        </w:rPr>
      </w:pPr>
      <w:r w:rsidRPr="00702DDD">
        <w:rPr>
          <w:rFonts w:ascii="Times New Roman" w:hAnsi="Times New Roman" w:cs="Times New Roman"/>
        </w:rPr>
        <w:t xml:space="preserve">Monthly value of trade was collected from the UN </w:t>
      </w:r>
      <w:proofErr w:type="spellStart"/>
      <w:r w:rsidRPr="00702DDD">
        <w:rPr>
          <w:rFonts w:ascii="Times New Roman" w:hAnsi="Times New Roman" w:cs="Times New Roman"/>
        </w:rPr>
        <w:t>Comtrade</w:t>
      </w:r>
      <w:proofErr w:type="spellEnd"/>
      <w:r w:rsidRPr="00702DDD">
        <w:rPr>
          <w:rFonts w:ascii="Times New Roman" w:hAnsi="Times New Roman" w:cs="Times New Roman"/>
        </w:rPr>
        <w:t xml:space="preserve"> database from 2010 to 2020 and used to build a time series panel dataset to estimate a multiple regression model analyzing the effect on various modern human health events on global meat exports. The data include monthly countries’ export values (in US dollars) of six-digit United Nations Harmonized System (HS) commodity codes </w:t>
      </w:r>
      <w:r w:rsidRPr="00702DDD">
        <w:rPr>
          <w:rFonts w:ascii="Times New Roman" w:hAnsi="Times New Roman" w:cs="Times New Roman"/>
        </w:rPr>
        <w:fldChar w:fldCharType="begin"/>
      </w:r>
      <w:r w:rsidR="00C016E8" w:rsidRPr="00702DDD">
        <w:rPr>
          <w:rFonts w:ascii="Times New Roman" w:hAnsi="Times New Roman" w:cs="Times New Roman"/>
        </w:rPr>
        <w:instrText xml:space="preserve"> ADDIN ZOTERO_ITEM CSL_CITATION {"citationID":"UovsvCxn","properties":{"formattedCitation":"(United Nations, 2017)","plainCitation":"(United Nations, 2017)","noteIndex":0},"citationItems":[{"id":2921,"uris":["http://zotero.org/groups/2546976/items/68NEJA25"],"uri":["http://zotero.org/groups/2546976/items/68NEJA25"],"itemData":{"id":2921,"type":"webpage","container-title":"United Nations International Trade Statistics Knowledgebase","title":"Harmonized Commodity Description and Coding Systems (HS)","URL":"https://unstats.un.org/unsd/tradekb/Knowledgebase/Harmonized-Commodity-Description-and-Coding-Systems-HS","author":[{"literal":"United Nations"}],"accessed":{"date-parts":[["2021",4,25]]},"issued":{"date-parts":[["2017"]]}}}],"schema":"https://github.com/citation-style-language/schema/raw/master/csl-citation.json"} </w:instrText>
      </w:r>
      <w:r w:rsidRPr="00702DDD">
        <w:rPr>
          <w:rFonts w:ascii="Times New Roman" w:hAnsi="Times New Roman" w:cs="Times New Roman"/>
        </w:rPr>
        <w:fldChar w:fldCharType="separate"/>
      </w:r>
      <w:r w:rsidR="00C016E8" w:rsidRPr="00702DDD">
        <w:rPr>
          <w:rFonts w:ascii="Times New Roman" w:hAnsi="Times New Roman" w:cs="Times New Roman"/>
          <w:noProof/>
        </w:rPr>
        <w:t>(United Nations, 2017)</w:t>
      </w:r>
      <w:r w:rsidRPr="00702DDD">
        <w:rPr>
          <w:rFonts w:ascii="Times New Roman" w:hAnsi="Times New Roman" w:cs="Times New Roman"/>
        </w:rPr>
        <w:fldChar w:fldCharType="end"/>
      </w:r>
      <w:r w:rsidRPr="00702DDD">
        <w:rPr>
          <w:rFonts w:ascii="Times New Roman" w:hAnsi="Times New Roman" w:cs="Times New Roman"/>
        </w:rPr>
        <w:t>. The included commodities cover various products of fresh or chilled beef, frozen beef, swine, sheep and goats, and poultry meat. In total forty-nine codes are analyzed, detailed in Table 1.1. The six digit is used to provide the most granular data, while remaining consistent across trading partners.</w:t>
      </w:r>
    </w:p>
    <w:p w14:paraId="1465A083" w14:textId="77777777" w:rsidR="00FD022F" w:rsidRPr="00702DDD" w:rsidRDefault="00FD022F" w:rsidP="00FD022F">
      <w:pPr>
        <w:spacing w:line="480" w:lineRule="auto"/>
        <w:ind w:firstLine="720"/>
        <w:rPr>
          <w:rFonts w:ascii="Times New Roman" w:hAnsi="Times New Roman" w:cs="Times New Roman"/>
        </w:rPr>
      </w:pPr>
      <w:r w:rsidRPr="00702DDD">
        <w:rPr>
          <w:rFonts w:ascii="Times New Roman" w:hAnsi="Times New Roman" w:cs="Times New Roman"/>
        </w:rPr>
        <w:t xml:space="preserve">While there are many countries that export given excess supply or high international demand, this analysis focuses on consistent meat exporting countries. To limit this study to countries that consistently export meat products, the exporters were limited to those that accounted for more than 1% of global protein trade at the two-digit HS level from 2000-2020 (all products at the general meat level). There are 23 exporters included in the analysis based on the trading criteria set. The data period for the analysis covers 2010 to 2020 dependent on available trade data. Table 1.2 displays the selected exporters and their meat protein export shares from 2000-2019. </w:t>
      </w:r>
    </w:p>
    <w:p w14:paraId="19CB8627" w14:textId="77777777" w:rsidR="00FD022F" w:rsidRPr="00702DDD" w:rsidRDefault="00FD022F" w:rsidP="00FD022F">
      <w:pPr>
        <w:spacing w:line="480" w:lineRule="auto"/>
        <w:ind w:firstLine="720"/>
        <w:rPr>
          <w:rFonts w:ascii="Times New Roman" w:hAnsi="Times New Roman" w:cs="Times New Roman"/>
        </w:rPr>
      </w:pPr>
      <w:r w:rsidRPr="00702DDD">
        <w:rPr>
          <w:rFonts w:ascii="Times New Roman" w:hAnsi="Times New Roman" w:cs="Times New Roman"/>
        </w:rPr>
        <w:lastRenderedPageBreak/>
        <w:t>The criteria for the diseases studied were related to their geographical spread, WHO classification, and timeframe. Non-endemic diseases were selected based on criteria which included the event covering multiple months with cases on at least two continents (Table 1.3). These were considered global pandemics and occurred in the study period. The selected human events are the Ebola, MERS-</w:t>
      </w:r>
      <w:proofErr w:type="spellStart"/>
      <w:r w:rsidRPr="00702DDD">
        <w:rPr>
          <w:rFonts w:ascii="Times New Roman" w:hAnsi="Times New Roman" w:cs="Times New Roman"/>
        </w:rPr>
        <w:t>Cov</w:t>
      </w:r>
      <w:proofErr w:type="spellEnd"/>
      <w:r w:rsidRPr="00702DDD">
        <w:rPr>
          <w:rFonts w:ascii="Times New Roman" w:hAnsi="Times New Roman" w:cs="Times New Roman"/>
        </w:rPr>
        <w:t xml:space="preserve">, Zika, and COVID-19 pandemics. A summary of the analyzed pandemics’ infection rates and continents affected are listed in Table 1.3. As the infection rates temporal effects on the analysis are not known, these are provided for context. While the H1N1 event was an important global disease, data from the pandemic period are not available for the selected exporters. Expanded data would solve this omission and improve future studies. The official dates for these diseases can span years depending on disease and control measures. Rather than use the blanket event dates as reported by WHO or Center for Disease Control (CDC), the dates these diseases may have impacted trade were recorded based on a measure of the global importance of the disease. The human health event periods were estimated using Google Trend data to account for news and searches for the disease name. Google Trend data indexes the importance of a search or news item over a specified time. This allows a refinement of the recorded affected months where the disease had its highest relevance in the general population globally. Using WHO and CDC dates as general guidelines to set date parameters, diseases were recorded as a binary variable if the Google Trend index was higher than 40, which indicates the global importance of the disease in that period (Equation 2). </w:t>
      </w:r>
    </w:p>
    <w:p w14:paraId="2FE6415D" w14:textId="77777777" w:rsidR="00FD022F" w:rsidRPr="00702DDD" w:rsidRDefault="00FD022F" w:rsidP="00FD022F">
      <w:pPr>
        <w:spacing w:line="480" w:lineRule="auto"/>
        <w:ind w:left="450"/>
        <w:jc w:val="right"/>
        <w:rPr>
          <w:rFonts w:ascii="Times New Roman" w:hAnsi="Times New Roman" w:cs="Times New Roman"/>
        </w:rPr>
      </w:pPr>
      <m:oMath>
        <m:r>
          <w:rPr>
            <w:rFonts w:ascii="Cambria Math" w:eastAsia="Cambria Math" w:hAnsi="Cambria Math" w:cs="Times New Roman"/>
          </w:rPr>
          <m:t>Diseas</m:t>
        </m:r>
        <m:sSub>
          <m:sSubPr>
            <m:ctrlPr>
              <w:rPr>
                <w:rFonts w:ascii="Cambria Math" w:eastAsia="Cambria Math" w:hAnsi="Cambria Math" w:cs="Times New Roman"/>
              </w:rPr>
            </m:ctrlPr>
          </m:sSubPr>
          <m:e>
            <m:r>
              <w:rPr>
                <w:rFonts w:ascii="Cambria Math" w:eastAsia="Cambria Math" w:hAnsi="Cambria Math" w:cs="Times New Roman"/>
              </w:rPr>
              <m:t>e</m:t>
            </m:r>
          </m:e>
          <m:sub>
            <m:r>
              <w:rPr>
                <w:rFonts w:ascii="Cambria Math" w:eastAsia="Cambria Math" w:hAnsi="Cambria Math" w:cs="Times New Roman"/>
              </w:rPr>
              <m:t>j,t</m:t>
            </m:r>
          </m:sub>
        </m:sSub>
        <m:r>
          <w:rPr>
            <w:rFonts w:ascii="Cambria Math" w:eastAsia="Cambria Math" w:hAnsi="Cambria Math" w:cs="Times New Roman"/>
          </w:rPr>
          <m:t>=</m:t>
        </m:r>
        <m:d>
          <m:dPr>
            <m:begChr m:val="{"/>
            <m:endChr m:val=""/>
            <m:ctrlPr>
              <w:rPr>
                <w:rFonts w:ascii="Cambria Math" w:hAnsi="Cambria Math" w:cs="Times New Roman"/>
                <w:i/>
              </w:rPr>
            </m:ctrlPr>
          </m:dPr>
          <m:e>
            <m:eqArr>
              <m:eqArrPr>
                <m:ctrlPr>
                  <w:rPr>
                    <w:rFonts w:ascii="Cambria Math" w:hAnsi="Cambria Math" w:cs="Times New Roman"/>
                    <w:i/>
                  </w:rPr>
                </m:ctrlPr>
              </m:eqArrPr>
              <m:e>
                <m:r>
                  <w:rPr>
                    <w:rFonts w:ascii="Cambria Math" w:eastAsia="Cambria Math" w:hAnsi="Cambria Math" w:cs="Times New Roman"/>
                  </w:rPr>
                  <m:t>1 if GTren</m:t>
                </m:r>
                <m:sSub>
                  <m:sSubPr>
                    <m:ctrlPr>
                      <w:rPr>
                        <w:rFonts w:ascii="Cambria Math" w:eastAsia="Cambria Math" w:hAnsi="Cambria Math" w:cs="Times New Roman"/>
                      </w:rPr>
                    </m:ctrlPr>
                  </m:sSubPr>
                  <m:e>
                    <m:r>
                      <w:rPr>
                        <w:rFonts w:ascii="Cambria Math" w:eastAsia="Cambria Math" w:hAnsi="Cambria Math" w:cs="Times New Roman"/>
                      </w:rPr>
                      <m:t>d</m:t>
                    </m:r>
                  </m:e>
                  <m:sub>
                    <m:r>
                      <w:rPr>
                        <w:rFonts w:ascii="Cambria Math" w:eastAsia="Cambria Math" w:hAnsi="Cambria Math" w:cs="Times New Roman"/>
                      </w:rPr>
                      <m:t>t</m:t>
                    </m:r>
                  </m:sub>
                </m:sSub>
                <m:r>
                  <w:rPr>
                    <w:rFonts w:ascii="Cambria Math" w:eastAsia="Cambria Math" w:hAnsi="Cambria Math" w:cs="Times New Roman"/>
                  </w:rPr>
                  <m:t>&gt;40</m:t>
                </m:r>
              </m:e>
              <m:e>
                <m:r>
                  <w:rPr>
                    <w:rFonts w:ascii="Cambria Math" w:eastAsia="Cambria Math" w:hAnsi="Cambria Math" w:cs="Times New Roman"/>
                  </w:rPr>
                  <m:t>0 otherwise</m:t>
                </m:r>
              </m:e>
            </m:eqArr>
          </m:e>
        </m:d>
        <m:r>
          <w:rPr>
            <w:rFonts w:ascii="Cambria Math" w:eastAsia="Cambria Math" w:hAnsi="Cambria Math" w:cs="Times New Roman"/>
          </w:rPr>
          <m:t xml:space="preserve"> </m:t>
        </m:r>
      </m:oMath>
      <w:r w:rsidRPr="00702DDD">
        <w:rPr>
          <w:rFonts w:ascii="Times New Roman" w:hAnsi="Times New Roman" w:cs="Times New Roman"/>
        </w:rPr>
        <w:t xml:space="preserve">  </w:t>
      </w:r>
      <w:r w:rsidRPr="00702DDD">
        <w:rPr>
          <w:rFonts w:ascii="Times New Roman" w:hAnsi="Times New Roman" w:cs="Times New Roman"/>
        </w:rPr>
        <w:tab/>
      </w:r>
      <w:r w:rsidRPr="00702DDD">
        <w:rPr>
          <w:rFonts w:ascii="Times New Roman" w:hAnsi="Times New Roman" w:cs="Times New Roman"/>
        </w:rPr>
        <w:tab/>
      </w:r>
      <w:r w:rsidRPr="00702DDD">
        <w:rPr>
          <w:rFonts w:ascii="Times New Roman" w:hAnsi="Times New Roman" w:cs="Times New Roman"/>
        </w:rPr>
        <w:tab/>
      </w:r>
      <w:r w:rsidRPr="00702DDD">
        <w:rPr>
          <w:rFonts w:ascii="Times New Roman" w:hAnsi="Times New Roman" w:cs="Times New Roman"/>
        </w:rPr>
        <w:tab/>
        <w:t>(2)</w:t>
      </w:r>
    </w:p>
    <w:p w14:paraId="2F66534B" w14:textId="35C86FB7" w:rsidR="00FD022F" w:rsidRPr="00702DDD" w:rsidRDefault="00FD022F" w:rsidP="00FD022F">
      <w:pPr>
        <w:spacing w:line="480" w:lineRule="auto"/>
        <w:rPr>
          <w:rFonts w:ascii="Times New Roman" w:hAnsi="Times New Roman" w:cs="Times New Roman"/>
        </w:rPr>
      </w:pPr>
      <w:r w:rsidRPr="00702DDD">
        <w:rPr>
          <w:rFonts w:ascii="Times New Roman" w:hAnsi="Times New Roman" w:cs="Times New Roman"/>
        </w:rPr>
        <w:t xml:space="preserve">To maintain contiguous disease periods where appropriate, an exception to this rule was created where a low index rate occurring between months that meet the criteria was recorded as a one. In other words, index rates below 40 but between event-level months were considered a low </w:t>
      </w:r>
      <w:r w:rsidRPr="00702DDD">
        <w:rPr>
          <w:rFonts w:ascii="Times New Roman" w:hAnsi="Times New Roman" w:cs="Times New Roman"/>
        </w:rPr>
        <w:lastRenderedPageBreak/>
        <w:t>segment of a disease event and therefore recorded as a disease period. For example, the index for MERS-</w:t>
      </w:r>
      <w:proofErr w:type="spellStart"/>
      <w:r w:rsidRPr="00702DDD">
        <w:rPr>
          <w:rFonts w:ascii="Times New Roman" w:hAnsi="Times New Roman" w:cs="Times New Roman"/>
        </w:rPr>
        <w:t>Cov</w:t>
      </w:r>
      <w:proofErr w:type="spellEnd"/>
      <w:r w:rsidRPr="00702DDD">
        <w:rPr>
          <w:rFonts w:ascii="Times New Roman" w:hAnsi="Times New Roman" w:cs="Times New Roman"/>
        </w:rPr>
        <w:t xml:space="preserve"> was 65 in July 2013, 29 in August, 19 in September, and 42 in October. All months were recorded as a MERS-</w:t>
      </w:r>
      <w:proofErr w:type="spellStart"/>
      <w:r w:rsidRPr="00702DDD">
        <w:rPr>
          <w:rFonts w:ascii="Times New Roman" w:hAnsi="Times New Roman" w:cs="Times New Roman"/>
        </w:rPr>
        <w:t>Cov</w:t>
      </w:r>
      <w:proofErr w:type="spellEnd"/>
      <w:r w:rsidRPr="00702DDD">
        <w:rPr>
          <w:rFonts w:ascii="Times New Roman" w:hAnsi="Times New Roman" w:cs="Times New Roman"/>
        </w:rPr>
        <w:t xml:space="preserve"> disease period in the data (and part of the same event). A timeline of the data and disease is presented in Figure 1.</w:t>
      </w:r>
      <w:r w:rsidR="00C72EA1">
        <w:rPr>
          <w:rFonts w:ascii="Times New Roman" w:hAnsi="Times New Roman" w:cs="Times New Roman"/>
        </w:rPr>
        <w:t>1</w:t>
      </w:r>
      <w:r w:rsidRPr="00702DDD">
        <w:rPr>
          <w:rFonts w:ascii="Times New Roman" w:hAnsi="Times New Roman" w:cs="Times New Roman"/>
        </w:rPr>
        <w:t xml:space="preserve">. </w:t>
      </w:r>
    </w:p>
    <w:p w14:paraId="03963B2B" w14:textId="77777777" w:rsidR="00FD022F" w:rsidRPr="00702DDD" w:rsidRDefault="00FD022F" w:rsidP="00FD022F">
      <w:pPr>
        <w:spacing w:line="480" w:lineRule="auto"/>
        <w:rPr>
          <w:rFonts w:ascii="Times New Roman" w:hAnsi="Times New Roman" w:cs="Times New Roman"/>
        </w:rPr>
      </w:pPr>
      <w:r w:rsidRPr="00702DDD">
        <w:rPr>
          <w:rFonts w:ascii="Times New Roman" w:hAnsi="Times New Roman" w:cs="Times New Roman"/>
        </w:rPr>
        <w:tab/>
        <w:t xml:space="preserve">To account for heterogeneity between meat proteins, individual binary variables were created for the four overarching protein commodity categories. These allow for trade impacts to be protein specific. To account for an exporter’s contribution to the global market in a specified period, indicators for exporters share of the market is calculated for each commodity annually at the 4-digit HS level (e.g., </w:t>
      </w:r>
      <w:r w:rsidRPr="00702DDD">
        <w:rPr>
          <w:rFonts w:ascii="Times New Roman" w:hAnsi="Times New Roman" w:cs="Times New Roman"/>
          <w:i/>
        </w:rPr>
        <w:t>Share 201</w:t>
      </w:r>
      <w:r w:rsidRPr="00702DDD">
        <w:rPr>
          <w:rFonts w:ascii="Times New Roman" w:hAnsi="Times New Roman" w:cs="Times New Roman"/>
        </w:rPr>
        <w:t>). This can be expressed in Equation 3 as:</w:t>
      </w:r>
    </w:p>
    <w:p w14:paraId="356888B5" w14:textId="77777777" w:rsidR="00FD022F" w:rsidRPr="00702DDD" w:rsidRDefault="00D07965" w:rsidP="00FD022F">
      <w:pPr>
        <w:spacing w:line="480" w:lineRule="auto"/>
        <w:ind w:left="450"/>
        <w:jc w:val="right"/>
        <w:rPr>
          <w:rFonts w:ascii="Times New Roman" w:hAnsi="Times New Roman" w:cs="Times New Roman"/>
        </w:rPr>
      </w:pPr>
      <m:oMath>
        <m:sSub>
          <m:sSubPr>
            <m:ctrlPr>
              <w:rPr>
                <w:rFonts w:ascii="Cambria Math" w:eastAsia="Cambria Math" w:hAnsi="Cambria Math" w:cs="Times New Roman"/>
              </w:rPr>
            </m:ctrlPr>
          </m:sSubPr>
          <m:e>
            <m:r>
              <w:rPr>
                <w:rFonts w:ascii="Cambria Math" w:hAnsi="Cambria Math" w:cs="Times New Roman"/>
              </w:rPr>
              <m:t>ln</m:t>
            </m:r>
            <m:r>
              <w:rPr>
                <w:rFonts w:ascii="Cambria Math" w:eastAsia="Cambria Math" w:hAnsi="Cambria Math" w:cs="Times New Roman"/>
              </w:rPr>
              <m:t>ShareP</m:t>
            </m:r>
          </m:e>
          <m:sub>
            <m:r>
              <w:rPr>
                <w:rFonts w:ascii="Cambria Math" w:eastAsia="Cambria Math" w:hAnsi="Cambria Math" w:cs="Times New Roman"/>
              </w:rPr>
              <m:t>i,year</m:t>
            </m:r>
          </m:sub>
        </m:sSub>
        <m:r>
          <w:rPr>
            <w:rFonts w:ascii="Cambria Math" w:eastAsia="Cambria Math" w:hAnsi="Cambria Math" w:cs="Times New Roman"/>
          </w:rPr>
          <m:t>=ln(</m:t>
        </m:r>
        <m:f>
          <m:fPr>
            <m:ctrlPr>
              <w:rPr>
                <w:rFonts w:ascii="Cambria Math" w:eastAsia="Cambria Math" w:hAnsi="Cambria Math" w:cs="Times New Roman"/>
              </w:rPr>
            </m:ctrlPr>
          </m:fPr>
          <m:num>
            <m:sSubSup>
              <m:sSubSupPr>
                <m:ctrlPr>
                  <w:rPr>
                    <w:rFonts w:ascii="Cambria Math" w:eastAsia="Cambria Math" w:hAnsi="Cambria Math" w:cs="Times New Roman"/>
                  </w:rPr>
                </m:ctrlPr>
              </m:sSubSupPr>
              <m:e>
                <m:r>
                  <w:rPr>
                    <w:rFonts w:ascii="Cambria Math" w:eastAsia="Cambria Math" w:hAnsi="Cambria Math" w:cs="Times New Roman"/>
                  </w:rPr>
                  <m:t>Trade</m:t>
                </m:r>
              </m:e>
              <m:sub>
                <m:r>
                  <w:rPr>
                    <w:rFonts w:ascii="Cambria Math" w:eastAsia="Cambria Math" w:hAnsi="Cambria Math" w:cs="Times New Roman"/>
                  </w:rPr>
                  <m:t>i,year</m:t>
                </m:r>
              </m:sub>
              <m:sup>
                <m:r>
                  <w:rPr>
                    <w:rFonts w:ascii="Cambria Math" w:eastAsia="Cambria Math" w:hAnsi="Cambria Math" w:cs="Times New Roman"/>
                  </w:rPr>
                  <m:t>P</m:t>
                </m:r>
              </m:sup>
            </m:sSubSup>
          </m:num>
          <m:den>
            <m:nary>
              <m:naryPr>
                <m:chr m:val="∑"/>
                <m:ctrlPr>
                  <w:rPr>
                    <w:rFonts w:ascii="Cambria Math" w:eastAsia="Cambria Math" w:hAnsi="Cambria Math" w:cs="Times New Roman"/>
                  </w:rPr>
                </m:ctrlPr>
              </m:naryPr>
              <m:sub>
                <m:r>
                  <w:rPr>
                    <w:rFonts w:ascii="Cambria Math" w:eastAsia="Cambria Math" w:hAnsi="Cambria Math" w:cs="Times New Roman"/>
                  </w:rPr>
                  <m:t>i</m:t>
                </m:r>
              </m:sub>
              <m:sup>
                <m:r>
                  <w:rPr>
                    <w:rFonts w:ascii="Cambria Math" w:eastAsia="Cambria Math" w:hAnsi="Cambria Math" w:cs="Times New Roman"/>
                  </w:rPr>
                  <m:t>n</m:t>
                </m:r>
              </m:sup>
              <m:e>
                <m:sSubSup>
                  <m:sSubSupPr>
                    <m:ctrlPr>
                      <w:rPr>
                        <w:rFonts w:ascii="Cambria Math" w:eastAsia="Cambria Math" w:hAnsi="Cambria Math" w:cs="Times New Roman"/>
                      </w:rPr>
                    </m:ctrlPr>
                  </m:sSubSupPr>
                  <m:e>
                    <m:r>
                      <w:rPr>
                        <w:rFonts w:ascii="Cambria Math" w:eastAsia="Cambria Math" w:hAnsi="Cambria Math" w:cs="Times New Roman"/>
                      </w:rPr>
                      <m:t>Trade</m:t>
                    </m:r>
                  </m:e>
                  <m:sub>
                    <m:r>
                      <w:rPr>
                        <w:rFonts w:ascii="Cambria Math" w:eastAsia="Cambria Math" w:hAnsi="Cambria Math" w:cs="Times New Roman"/>
                      </w:rPr>
                      <m:t>i,year</m:t>
                    </m:r>
                  </m:sub>
                  <m:sup>
                    <m:r>
                      <w:rPr>
                        <w:rFonts w:ascii="Cambria Math" w:eastAsia="Cambria Math" w:hAnsi="Cambria Math" w:cs="Times New Roman"/>
                      </w:rPr>
                      <m:t>P</m:t>
                    </m:r>
                  </m:sup>
                </m:sSubSup>
              </m:e>
            </m:nary>
          </m:den>
        </m:f>
        <m:r>
          <w:rPr>
            <w:rFonts w:ascii="Cambria Math" w:eastAsia="Cambria Math" w:hAnsi="Cambria Math" w:cs="Times New Roman"/>
          </w:rPr>
          <m:t>)</m:t>
        </m:r>
      </m:oMath>
      <w:r w:rsidR="00FD022F" w:rsidRPr="00702DDD">
        <w:rPr>
          <w:rFonts w:ascii="Times New Roman" w:hAnsi="Times New Roman" w:cs="Times New Roman"/>
        </w:rPr>
        <w:t xml:space="preserve">  </w:t>
      </w:r>
      <w:r w:rsidR="00FD022F" w:rsidRPr="00702DDD">
        <w:rPr>
          <w:rFonts w:ascii="Times New Roman" w:hAnsi="Times New Roman" w:cs="Times New Roman"/>
        </w:rPr>
        <w:tab/>
      </w:r>
      <w:r w:rsidR="00FD022F" w:rsidRPr="00702DDD">
        <w:rPr>
          <w:rFonts w:ascii="Times New Roman" w:hAnsi="Times New Roman" w:cs="Times New Roman"/>
        </w:rPr>
        <w:tab/>
      </w:r>
      <w:r w:rsidR="00FD022F" w:rsidRPr="00702DDD">
        <w:rPr>
          <w:rFonts w:ascii="Times New Roman" w:hAnsi="Times New Roman" w:cs="Times New Roman"/>
        </w:rPr>
        <w:tab/>
      </w:r>
      <w:r w:rsidR="00FD022F" w:rsidRPr="00702DDD">
        <w:rPr>
          <w:rFonts w:ascii="Times New Roman" w:hAnsi="Times New Roman" w:cs="Times New Roman"/>
        </w:rPr>
        <w:tab/>
        <w:t>(3)</w:t>
      </w:r>
    </w:p>
    <w:p w14:paraId="0651686A" w14:textId="77777777" w:rsidR="00FD022F" w:rsidRPr="00702DDD" w:rsidRDefault="00FD022F" w:rsidP="00FD022F">
      <w:pPr>
        <w:spacing w:line="480" w:lineRule="auto"/>
        <w:rPr>
          <w:rFonts w:ascii="Times New Roman" w:hAnsi="Times New Roman" w:cs="Times New Roman"/>
        </w:rPr>
      </w:pPr>
      <w:bookmarkStart w:id="20" w:name="_heading=h.gjdgxs" w:colFirst="0" w:colLast="0"/>
      <w:bookmarkEnd w:id="20"/>
      <w:r w:rsidRPr="00702DDD">
        <w:rPr>
          <w:rFonts w:ascii="Times New Roman" w:hAnsi="Times New Roman" w:cs="Times New Roman"/>
        </w:rPr>
        <w:t xml:space="preserve">where </w:t>
      </w:r>
      <w:r w:rsidRPr="00702DDD">
        <w:rPr>
          <w:rFonts w:ascii="Times New Roman" w:hAnsi="Times New Roman" w:cs="Times New Roman"/>
          <w:i/>
        </w:rPr>
        <w:t>P</w:t>
      </w:r>
      <w:r w:rsidRPr="00702DDD">
        <w:rPr>
          <w:rFonts w:ascii="Times New Roman" w:hAnsi="Times New Roman" w:cs="Times New Roman"/>
        </w:rPr>
        <w:t xml:space="preserve"> represents the 4-digit commodity codes (i.e., 0201 for beef products, 0202 and 0203 for swine products, 0204 for other meat products, and 0207 for poultry products) and other variables as previously defined. These shares represent the exporters importance in that protein market and may capture some effects related to trade persistence based on habit formation that may influence trade restriction decisions. Variables accounting for general seasonal effects and time (month and year) are included in the model.</w:t>
      </w:r>
    </w:p>
    <w:p w14:paraId="7C1F6A1E" w14:textId="77777777" w:rsidR="00FD022F" w:rsidRPr="00702DDD" w:rsidRDefault="00FD022F" w:rsidP="000654A5">
      <w:pPr>
        <w:pStyle w:val="Heading2"/>
      </w:pPr>
      <w:bookmarkStart w:id="21" w:name="_Toc98444518"/>
      <w:bookmarkStart w:id="22" w:name="_Toc98692978"/>
      <w:r w:rsidRPr="00702DDD">
        <w:t>1.5 Results</w:t>
      </w:r>
      <w:bookmarkEnd w:id="21"/>
      <w:bookmarkEnd w:id="22"/>
    </w:p>
    <w:p w14:paraId="5C370944" w14:textId="365B4ECA" w:rsidR="00FD022F" w:rsidRPr="00702DDD" w:rsidRDefault="00FD022F" w:rsidP="00FD022F">
      <w:pPr>
        <w:spacing w:line="480" w:lineRule="auto"/>
        <w:rPr>
          <w:rFonts w:ascii="Times New Roman" w:hAnsi="Times New Roman" w:cs="Times New Roman"/>
        </w:rPr>
      </w:pPr>
      <w:r w:rsidRPr="00702DDD">
        <w:rPr>
          <w:rFonts w:ascii="Times New Roman" w:hAnsi="Times New Roman" w:cs="Times New Roman"/>
        </w:rPr>
        <w:t>Results for all four models are presented in Table 1.</w:t>
      </w:r>
      <w:r w:rsidR="00C72EA1">
        <w:rPr>
          <w:rFonts w:ascii="Times New Roman" w:hAnsi="Times New Roman" w:cs="Times New Roman"/>
        </w:rPr>
        <w:t>4</w:t>
      </w:r>
      <w:r w:rsidRPr="00702DDD">
        <w:rPr>
          <w:rFonts w:ascii="Times New Roman" w:hAnsi="Times New Roman" w:cs="Times New Roman"/>
        </w:rPr>
        <w:t xml:space="preserve">. The four-commodity model estimates cover </w:t>
      </w:r>
      <w:r w:rsidRPr="00702DDD">
        <w:rPr>
          <w:rFonts w:ascii="Times New Roman" w:hAnsi="Times New Roman" w:cs="Times New Roman"/>
          <w:i/>
        </w:rPr>
        <w:t>Disease</w:t>
      </w:r>
      <w:r w:rsidRPr="00702DDD">
        <w:rPr>
          <w:rFonts w:ascii="Times New Roman" w:hAnsi="Times New Roman" w:cs="Times New Roman"/>
        </w:rPr>
        <w:t xml:space="preserve"> and </w:t>
      </w:r>
      <w:r w:rsidRPr="00702DDD">
        <w:rPr>
          <w:rFonts w:ascii="Times New Roman" w:hAnsi="Times New Roman" w:cs="Times New Roman"/>
          <w:i/>
        </w:rPr>
        <w:t>Type, Reporter</w:t>
      </w:r>
      <w:r w:rsidRPr="00702DDD">
        <w:rPr>
          <w:rFonts w:ascii="Times New Roman" w:hAnsi="Times New Roman" w:cs="Times New Roman"/>
        </w:rPr>
        <w:t xml:space="preserve">, </w:t>
      </w:r>
      <w:r w:rsidRPr="00702DDD">
        <w:rPr>
          <w:rFonts w:ascii="Times New Roman" w:hAnsi="Times New Roman" w:cs="Times New Roman"/>
          <w:i/>
        </w:rPr>
        <w:t>Share</w:t>
      </w:r>
      <w:r w:rsidRPr="00702DDD">
        <w:rPr>
          <w:rFonts w:ascii="Times New Roman" w:hAnsi="Times New Roman" w:cs="Times New Roman"/>
        </w:rPr>
        <w:t xml:space="preserve">, </w:t>
      </w:r>
      <w:r w:rsidRPr="00702DDD">
        <w:rPr>
          <w:rFonts w:ascii="Times New Roman" w:hAnsi="Times New Roman" w:cs="Times New Roman"/>
          <w:i/>
        </w:rPr>
        <w:t>Type, Months</w:t>
      </w:r>
      <w:r w:rsidRPr="00702DDD">
        <w:rPr>
          <w:rFonts w:ascii="Times New Roman" w:hAnsi="Times New Roman" w:cs="Times New Roman"/>
        </w:rPr>
        <w:t xml:space="preserve">, and </w:t>
      </w:r>
      <w:r w:rsidRPr="00702DDD">
        <w:rPr>
          <w:rFonts w:ascii="Times New Roman" w:hAnsi="Times New Roman" w:cs="Times New Roman"/>
          <w:i/>
        </w:rPr>
        <w:t>Year</w:t>
      </w:r>
      <w:r w:rsidRPr="00702DDD">
        <w:rPr>
          <w:rFonts w:ascii="Times New Roman" w:hAnsi="Times New Roman" w:cs="Times New Roman"/>
        </w:rPr>
        <w:t>. The coefficients are included with respective standard deviation and significance. As this is an overall global trade analysis, substitutionary</w:t>
      </w:r>
      <w:r w:rsidRPr="00702DDD" w:rsidDel="0094683D">
        <w:rPr>
          <w:rFonts w:ascii="Times New Roman" w:hAnsi="Times New Roman" w:cs="Times New Roman"/>
        </w:rPr>
        <w:t xml:space="preserve"> </w:t>
      </w:r>
      <w:r w:rsidRPr="00702DDD">
        <w:rPr>
          <w:rFonts w:ascii="Times New Roman" w:hAnsi="Times New Roman" w:cs="Times New Roman"/>
        </w:rPr>
        <w:t xml:space="preserve">effects are present as some exporters’ reduction in trade is compensated by </w:t>
      </w:r>
      <w:r w:rsidRPr="00702DDD">
        <w:rPr>
          <w:rFonts w:ascii="Times New Roman" w:hAnsi="Times New Roman" w:cs="Times New Roman"/>
        </w:rPr>
        <w:lastRenderedPageBreak/>
        <w:t xml:space="preserve">others’ increased trade. These regression estimates analyzed the overall effect of global trade (whether increasing, decreasing, or not statically significantly different).  </w:t>
      </w:r>
    </w:p>
    <w:p w14:paraId="466B6605" w14:textId="77777777" w:rsidR="00FD022F" w:rsidRPr="00702DDD" w:rsidRDefault="00FD022F" w:rsidP="00A41FF8">
      <w:pPr>
        <w:pStyle w:val="Heading3"/>
      </w:pPr>
      <w:bookmarkStart w:id="23" w:name="_Toc98444519"/>
      <w:bookmarkStart w:id="24" w:name="_Toc98692979"/>
      <w:r w:rsidRPr="00702DDD">
        <w:t>1.5.1 Human Health Event Impact Estimates</w:t>
      </w:r>
      <w:bookmarkEnd w:id="23"/>
      <w:bookmarkEnd w:id="24"/>
    </w:p>
    <w:p w14:paraId="2135B25F" w14:textId="74741C8D" w:rsidR="00FD022F" w:rsidRPr="00702DDD" w:rsidRDefault="00FD022F" w:rsidP="00FD022F">
      <w:pPr>
        <w:spacing w:line="480" w:lineRule="auto"/>
        <w:rPr>
          <w:rFonts w:ascii="Times New Roman" w:hAnsi="Times New Roman" w:cs="Times New Roman"/>
        </w:rPr>
      </w:pPr>
      <w:r w:rsidRPr="00702DDD">
        <w:rPr>
          <w:rFonts w:ascii="Times New Roman" w:hAnsi="Times New Roman" w:cs="Times New Roman"/>
        </w:rPr>
        <w:t xml:space="preserve">As the COVID-19 pandemic emerged at an unprecedented level, commodity protein trade was impacted distinctly compared to other disease outbreaks driven by their infection rate in comparison to the other analyzed events as well as disruption on supply chains unparalleled in recent history. Every commodity product and type (excluding </w:t>
      </w:r>
      <w:r w:rsidRPr="00702DDD">
        <w:rPr>
          <w:rFonts w:ascii="Times New Roman" w:hAnsi="Times New Roman" w:cs="Times New Roman"/>
          <w:i/>
        </w:rPr>
        <w:t>Frozen Beef</w:t>
      </w:r>
      <w:r w:rsidRPr="00702DDD">
        <w:rPr>
          <w:rFonts w:ascii="Times New Roman" w:hAnsi="Times New Roman" w:cs="Times New Roman"/>
        </w:rPr>
        <w:t xml:space="preserve">, </w:t>
      </w:r>
      <w:r w:rsidRPr="00702DDD">
        <w:rPr>
          <w:rFonts w:ascii="Times New Roman" w:hAnsi="Times New Roman" w:cs="Times New Roman"/>
          <w:i/>
        </w:rPr>
        <w:t>Fresh Swine</w:t>
      </w:r>
      <w:r w:rsidRPr="00702DDD">
        <w:rPr>
          <w:rFonts w:ascii="Times New Roman" w:hAnsi="Times New Roman" w:cs="Times New Roman"/>
        </w:rPr>
        <w:t xml:space="preserve">, and some </w:t>
      </w:r>
      <w:r w:rsidRPr="00702DDD">
        <w:rPr>
          <w:rFonts w:ascii="Times New Roman" w:hAnsi="Times New Roman" w:cs="Times New Roman"/>
          <w:i/>
        </w:rPr>
        <w:t xml:space="preserve">Other </w:t>
      </w:r>
      <w:r w:rsidRPr="00702DDD">
        <w:rPr>
          <w:rFonts w:ascii="Times New Roman" w:hAnsi="Times New Roman" w:cs="Times New Roman"/>
        </w:rPr>
        <w:t xml:space="preserve">products) displayed a significant estimated change in trade percentage during the COVID-19 period compared to non-disease event trade. Most of these impacts were reductions in trade as expected (i.e., a 28.82% decrease in </w:t>
      </w:r>
      <w:r w:rsidRPr="00702DDD">
        <w:rPr>
          <w:rFonts w:ascii="Times New Roman" w:hAnsi="Times New Roman" w:cs="Times New Roman"/>
          <w:i/>
        </w:rPr>
        <w:t xml:space="preserve">Fresh Beef, </w:t>
      </w:r>
      <w:r w:rsidRPr="00702DDD">
        <w:rPr>
          <w:rFonts w:ascii="Times New Roman" w:hAnsi="Times New Roman" w:cs="Times New Roman"/>
        </w:rPr>
        <w:t xml:space="preserve">26.66% decrease in </w:t>
      </w:r>
      <w:r w:rsidRPr="00702DDD">
        <w:rPr>
          <w:rFonts w:ascii="Times New Roman" w:hAnsi="Times New Roman" w:cs="Times New Roman"/>
          <w:i/>
        </w:rPr>
        <w:t xml:space="preserve">Fresh Poultry, </w:t>
      </w:r>
      <w:r w:rsidRPr="00702DDD">
        <w:rPr>
          <w:rFonts w:ascii="Times New Roman" w:hAnsi="Times New Roman" w:cs="Times New Roman"/>
        </w:rPr>
        <w:t xml:space="preserve">38.12% decrease in </w:t>
      </w:r>
      <w:r w:rsidRPr="00702DDD">
        <w:rPr>
          <w:rFonts w:ascii="Times New Roman" w:hAnsi="Times New Roman" w:cs="Times New Roman"/>
          <w:i/>
        </w:rPr>
        <w:t>Frozen Poultry</w:t>
      </w:r>
      <w:r w:rsidRPr="00702DDD">
        <w:rPr>
          <w:rFonts w:ascii="Times New Roman" w:hAnsi="Times New Roman" w:cs="Times New Roman"/>
        </w:rPr>
        <w:t>, and 14.79% decrease in</w:t>
      </w:r>
      <w:r w:rsidRPr="00702DDD">
        <w:rPr>
          <w:rFonts w:ascii="Times New Roman" w:hAnsi="Times New Roman" w:cs="Times New Roman"/>
          <w:i/>
        </w:rPr>
        <w:t xml:space="preserve"> Frozen Other</w:t>
      </w:r>
      <w:r w:rsidRPr="00702DDD">
        <w:rPr>
          <w:rFonts w:ascii="Times New Roman" w:hAnsi="Times New Roman" w:cs="Times New Roman"/>
        </w:rPr>
        <w:t>) while</w:t>
      </w:r>
      <w:r w:rsidRPr="00702DDD">
        <w:rPr>
          <w:rFonts w:ascii="Times New Roman" w:hAnsi="Times New Roman" w:cs="Times New Roman"/>
          <w:i/>
        </w:rPr>
        <w:t xml:space="preserve"> Frozen Swine</w:t>
      </w:r>
      <w:r w:rsidRPr="00702DDD">
        <w:rPr>
          <w:rFonts w:ascii="Times New Roman" w:hAnsi="Times New Roman" w:cs="Times New Roman"/>
        </w:rPr>
        <w:t xml:space="preserve"> trade alone increased trade during the period (by an estimated 44.77%). Frozen products feature longer shelf lives and perceived safer long distance trade abilities than fresh products, and therefore may explain the increase in this particular good during the pandemic. The exporting countries that increased trade may not have been affected or perceived as affected by the respective importers, and therefore may have been thought of as safer to import, thus increasing trade. Additionally, the current African Swine Fever disease event in several importing countries can relate to increased demand despite COVID-19. It may also reflect the changing global price for the products, such that an exporter able to move product would have done so at a premium price. These factors can be further analyzed in a more granular bilateral trade analysis, but it is beyond the scope of the current analysis. </w:t>
      </w:r>
    </w:p>
    <w:p w14:paraId="2408B736" w14:textId="77777777" w:rsidR="00FD022F" w:rsidRPr="00702DDD" w:rsidRDefault="00FD022F" w:rsidP="00FD022F">
      <w:pPr>
        <w:spacing w:line="480" w:lineRule="auto"/>
        <w:ind w:firstLine="720"/>
        <w:rPr>
          <w:rFonts w:ascii="Times New Roman" w:hAnsi="Times New Roman" w:cs="Times New Roman"/>
          <w:highlight w:val="yellow"/>
        </w:rPr>
      </w:pPr>
      <w:r w:rsidRPr="00702DDD">
        <w:rPr>
          <w:rFonts w:ascii="Times New Roman" w:hAnsi="Times New Roman" w:cs="Times New Roman"/>
        </w:rPr>
        <w:t xml:space="preserve">The Zika virus pandemic identified statistical differences in </w:t>
      </w:r>
      <w:r w:rsidRPr="00702DDD">
        <w:rPr>
          <w:rFonts w:ascii="Times New Roman" w:hAnsi="Times New Roman" w:cs="Times New Roman"/>
          <w:i/>
        </w:rPr>
        <w:t>Fresh</w:t>
      </w:r>
      <w:r w:rsidRPr="00702DDD">
        <w:rPr>
          <w:rFonts w:ascii="Times New Roman" w:hAnsi="Times New Roman" w:cs="Times New Roman"/>
        </w:rPr>
        <w:t xml:space="preserve"> </w:t>
      </w:r>
      <w:r w:rsidRPr="00702DDD">
        <w:rPr>
          <w:rFonts w:ascii="Times New Roman" w:hAnsi="Times New Roman" w:cs="Times New Roman"/>
          <w:i/>
        </w:rPr>
        <w:t>Beef</w:t>
      </w:r>
      <w:r w:rsidRPr="00702DDD">
        <w:rPr>
          <w:rFonts w:ascii="Times New Roman" w:hAnsi="Times New Roman" w:cs="Times New Roman"/>
        </w:rPr>
        <w:t xml:space="preserve">, </w:t>
      </w:r>
      <w:r w:rsidRPr="00702DDD">
        <w:rPr>
          <w:rFonts w:ascii="Times New Roman" w:hAnsi="Times New Roman" w:cs="Times New Roman"/>
          <w:i/>
        </w:rPr>
        <w:t xml:space="preserve">Fresh Poultry, </w:t>
      </w:r>
      <w:r w:rsidRPr="00702DDD">
        <w:rPr>
          <w:rFonts w:ascii="Times New Roman" w:hAnsi="Times New Roman" w:cs="Times New Roman"/>
        </w:rPr>
        <w:t xml:space="preserve">and </w:t>
      </w:r>
      <w:r w:rsidRPr="00702DDD">
        <w:rPr>
          <w:rFonts w:ascii="Times New Roman" w:hAnsi="Times New Roman" w:cs="Times New Roman"/>
          <w:i/>
        </w:rPr>
        <w:t xml:space="preserve">Frozen Other </w:t>
      </w:r>
      <w:r w:rsidRPr="00702DDD">
        <w:rPr>
          <w:rFonts w:ascii="Times New Roman" w:hAnsi="Times New Roman" w:cs="Times New Roman"/>
        </w:rPr>
        <w:t xml:space="preserve">products from non-disease trade. The significant estimated Zika effects were </w:t>
      </w:r>
      <w:r w:rsidRPr="00702DDD">
        <w:rPr>
          <w:rFonts w:ascii="Times New Roman" w:hAnsi="Times New Roman" w:cs="Times New Roman"/>
        </w:rPr>
        <w:lastRenderedPageBreak/>
        <w:t>all decreased trade, with</w:t>
      </w:r>
      <w:r w:rsidRPr="00702DDD">
        <w:rPr>
          <w:rFonts w:ascii="Times New Roman" w:hAnsi="Times New Roman" w:cs="Times New Roman"/>
          <w:i/>
        </w:rPr>
        <w:t xml:space="preserve"> Fresh Beef</w:t>
      </w:r>
      <w:r w:rsidRPr="00702DDD">
        <w:rPr>
          <w:rFonts w:ascii="Times New Roman" w:hAnsi="Times New Roman" w:cs="Times New Roman"/>
        </w:rPr>
        <w:t xml:space="preserve"> decreasing by 5.82%, </w:t>
      </w:r>
      <w:r w:rsidRPr="00702DDD">
        <w:rPr>
          <w:rFonts w:ascii="Times New Roman" w:hAnsi="Times New Roman" w:cs="Times New Roman"/>
          <w:i/>
        </w:rPr>
        <w:t xml:space="preserve">Fresh Poultry </w:t>
      </w:r>
      <w:r w:rsidRPr="00702DDD">
        <w:rPr>
          <w:rFonts w:ascii="Times New Roman" w:hAnsi="Times New Roman" w:cs="Times New Roman"/>
        </w:rPr>
        <w:t xml:space="preserve">12.19%, and </w:t>
      </w:r>
      <w:r w:rsidRPr="00702DDD">
        <w:rPr>
          <w:rFonts w:ascii="Times New Roman" w:hAnsi="Times New Roman" w:cs="Times New Roman"/>
          <w:i/>
        </w:rPr>
        <w:t xml:space="preserve">Frozen Other </w:t>
      </w:r>
      <w:r w:rsidRPr="00702DDD">
        <w:rPr>
          <w:rFonts w:ascii="Times New Roman" w:hAnsi="Times New Roman" w:cs="Times New Roman"/>
        </w:rPr>
        <w:t xml:space="preserve">20.55% comparatively. These trade disruptions are more specific than COVID-19’s impacts, with the disease outbreak affecting Brazil and the US, two large bovine, sheep, and goat exporters (Waggoner and Pinsky 2016; United Nations 2021). The outbreak may have disrupted supply chain as in the COVID-19 pandemic or it may have affected trade market perceptions as the products came from perceivably “infected” origins. The heterogeneity across the products show that Zika didn’t have the same impact across proteins. </w:t>
      </w:r>
    </w:p>
    <w:p w14:paraId="7D695E24" w14:textId="77777777" w:rsidR="00FD022F" w:rsidRPr="00702DDD" w:rsidRDefault="00FD022F" w:rsidP="00FD022F">
      <w:pPr>
        <w:spacing w:line="480" w:lineRule="auto"/>
        <w:rPr>
          <w:rFonts w:ascii="Times New Roman" w:hAnsi="Times New Roman" w:cs="Times New Roman"/>
        </w:rPr>
      </w:pPr>
      <w:r w:rsidRPr="00702DDD">
        <w:rPr>
          <w:rFonts w:ascii="Times New Roman" w:hAnsi="Times New Roman" w:cs="Times New Roman"/>
        </w:rPr>
        <w:tab/>
        <w:t>Both the MERS-</w:t>
      </w:r>
      <w:proofErr w:type="spellStart"/>
      <w:r w:rsidRPr="00702DDD">
        <w:rPr>
          <w:rFonts w:ascii="Times New Roman" w:hAnsi="Times New Roman" w:cs="Times New Roman"/>
        </w:rPr>
        <w:t>Cov</w:t>
      </w:r>
      <w:proofErr w:type="spellEnd"/>
      <w:r w:rsidRPr="00702DDD">
        <w:rPr>
          <w:rFonts w:ascii="Times New Roman" w:hAnsi="Times New Roman" w:cs="Times New Roman"/>
        </w:rPr>
        <w:t xml:space="preserve"> and Ebola outbreaks had minimal impact on trade values compared to the other events. The Ebola pandemic’s</w:t>
      </w:r>
      <w:r w:rsidRPr="00702DDD">
        <w:rPr>
          <w:rFonts w:ascii="Times New Roman" w:hAnsi="Times New Roman" w:cs="Times New Roman"/>
          <w:i/>
        </w:rPr>
        <w:t xml:space="preserve"> Frozen Poultry</w:t>
      </w:r>
      <w:r w:rsidRPr="00702DDD">
        <w:rPr>
          <w:rFonts w:ascii="Times New Roman" w:hAnsi="Times New Roman" w:cs="Times New Roman"/>
        </w:rPr>
        <w:t xml:space="preserve"> and </w:t>
      </w:r>
      <w:r w:rsidRPr="00702DDD">
        <w:rPr>
          <w:rFonts w:ascii="Times New Roman" w:hAnsi="Times New Roman" w:cs="Times New Roman"/>
          <w:i/>
        </w:rPr>
        <w:t>Frozen Other</w:t>
      </w:r>
      <w:r w:rsidRPr="00702DDD">
        <w:rPr>
          <w:rFonts w:ascii="Times New Roman" w:hAnsi="Times New Roman" w:cs="Times New Roman"/>
        </w:rPr>
        <w:t xml:space="preserve"> products were impacted, with significantly increased trade compared to non-disease trade (13.88% and 23.37%, respectively) while MERS-</w:t>
      </w:r>
      <w:proofErr w:type="spellStart"/>
      <w:r w:rsidRPr="00702DDD">
        <w:rPr>
          <w:rFonts w:ascii="Times New Roman" w:hAnsi="Times New Roman" w:cs="Times New Roman"/>
        </w:rPr>
        <w:t>Cov</w:t>
      </w:r>
      <w:proofErr w:type="spellEnd"/>
      <w:r w:rsidRPr="00702DDD">
        <w:rPr>
          <w:rFonts w:ascii="Times New Roman" w:hAnsi="Times New Roman" w:cs="Times New Roman"/>
        </w:rPr>
        <w:t xml:space="preserve"> showed no significant differences in disease to non-disease trade periods. Both of these pandemic results are contrary to the </w:t>
      </w:r>
      <w:r w:rsidRPr="00702DDD">
        <w:rPr>
          <w:rFonts w:ascii="Times New Roman" w:hAnsi="Times New Roman" w:cs="Times New Roman"/>
          <w:i/>
        </w:rPr>
        <w:t>a priori</w:t>
      </w:r>
      <w:r w:rsidRPr="00702DDD">
        <w:rPr>
          <w:rFonts w:ascii="Times New Roman" w:hAnsi="Times New Roman" w:cs="Times New Roman"/>
        </w:rPr>
        <w:t xml:space="preserve"> expectations that trade values would decrease across all proteins, and therefore we must reject the overall analysis hypothesis, but conclude that there were diseases where it held. These events may have had the least impact on notable meat exporting countries, and therefore potentially affected the value of trade by adjusting for quantity of trade losses to those impacted with compensating higher value quantities trading.   </w:t>
      </w:r>
    </w:p>
    <w:p w14:paraId="4E4D8EE0" w14:textId="2BA687E8" w:rsidR="00FD022F" w:rsidRPr="00702DDD" w:rsidRDefault="00FD022F" w:rsidP="00A41FF8">
      <w:pPr>
        <w:pStyle w:val="Heading3"/>
      </w:pPr>
      <w:bookmarkStart w:id="25" w:name="_Toc98444520"/>
      <w:bookmarkStart w:id="26" w:name="_Toc98692980"/>
      <w:r w:rsidRPr="00702DDD">
        <w:t>1.5.2 Various Factor Impact Estimates</w:t>
      </w:r>
      <w:bookmarkEnd w:id="25"/>
      <w:bookmarkEnd w:id="26"/>
    </w:p>
    <w:p w14:paraId="106F14B3" w14:textId="77777777" w:rsidR="00FD022F" w:rsidRPr="00702DDD" w:rsidRDefault="00FD022F" w:rsidP="00FD022F">
      <w:pPr>
        <w:spacing w:line="480" w:lineRule="auto"/>
        <w:rPr>
          <w:rFonts w:ascii="Times New Roman" w:hAnsi="Times New Roman" w:cs="Times New Roman"/>
        </w:rPr>
      </w:pPr>
      <w:r w:rsidRPr="00702DDD">
        <w:rPr>
          <w:rFonts w:ascii="Times New Roman" w:hAnsi="Times New Roman" w:cs="Times New Roman"/>
        </w:rPr>
        <w:t xml:space="preserve">While there were significant effects indicating human health events do have a relationship with animal protein trade, there were also factors contributing to trade values that varied across the panel. </w:t>
      </w:r>
      <w:r w:rsidRPr="00702DDD">
        <w:rPr>
          <w:rFonts w:ascii="Times New Roman" w:hAnsi="Times New Roman" w:cs="Times New Roman"/>
          <w:i/>
        </w:rPr>
        <w:t xml:space="preserve">Poultry </w:t>
      </w:r>
      <w:r w:rsidRPr="00702DDD">
        <w:rPr>
          <w:rFonts w:ascii="Times New Roman" w:hAnsi="Times New Roman" w:cs="Times New Roman"/>
        </w:rPr>
        <w:t xml:space="preserve">trade showed the most heterogeneity between </w:t>
      </w:r>
      <w:r w:rsidRPr="00702DDD">
        <w:rPr>
          <w:rFonts w:ascii="Times New Roman" w:hAnsi="Times New Roman" w:cs="Times New Roman"/>
          <w:i/>
        </w:rPr>
        <w:t>Reporters</w:t>
      </w:r>
      <w:r w:rsidRPr="00702DDD">
        <w:rPr>
          <w:rFonts w:ascii="Times New Roman" w:hAnsi="Times New Roman" w:cs="Times New Roman"/>
        </w:rPr>
        <w:t xml:space="preserve">. All significant reporters (the vast majority of those analyzed) showed a lower level of trade values in comparison to the baseline Argentina, </w:t>
      </w:r>
      <w:r w:rsidRPr="00702DDD">
        <w:rPr>
          <w:rFonts w:ascii="Times New Roman" w:hAnsi="Times New Roman" w:cs="Times New Roman"/>
          <w:i/>
        </w:rPr>
        <w:t>ceteris paribus</w:t>
      </w:r>
      <w:r w:rsidRPr="00702DDD">
        <w:rPr>
          <w:rFonts w:ascii="Times New Roman" w:hAnsi="Times New Roman" w:cs="Times New Roman"/>
        </w:rPr>
        <w:t xml:space="preserve">. For example, Brazil’s poultry trade value decreased 99.32%. </w:t>
      </w:r>
      <w:r w:rsidRPr="00702DDD">
        <w:rPr>
          <w:rFonts w:ascii="Times New Roman" w:hAnsi="Times New Roman" w:cs="Times New Roman"/>
        </w:rPr>
        <w:lastRenderedPageBreak/>
        <w:t xml:space="preserve">This may indicate </w:t>
      </w:r>
      <w:r w:rsidRPr="00702DDD">
        <w:rPr>
          <w:rFonts w:ascii="Times New Roman" w:hAnsi="Times New Roman" w:cs="Times New Roman"/>
          <w:i/>
        </w:rPr>
        <w:t xml:space="preserve">Poultry </w:t>
      </w:r>
      <w:r w:rsidRPr="00702DDD">
        <w:rPr>
          <w:rFonts w:ascii="Times New Roman" w:hAnsi="Times New Roman" w:cs="Times New Roman"/>
        </w:rPr>
        <w:t xml:space="preserve">is more variable across reporters in trade values. </w:t>
      </w:r>
      <w:r w:rsidRPr="00702DDD">
        <w:rPr>
          <w:rFonts w:ascii="Times New Roman" w:hAnsi="Times New Roman" w:cs="Times New Roman"/>
          <w:i/>
        </w:rPr>
        <w:t xml:space="preserve">Swine </w:t>
      </w:r>
      <w:r w:rsidRPr="00702DDD">
        <w:rPr>
          <w:rFonts w:ascii="Times New Roman" w:hAnsi="Times New Roman" w:cs="Times New Roman"/>
        </w:rPr>
        <w:t xml:space="preserve">and </w:t>
      </w:r>
      <w:r w:rsidRPr="00702DDD">
        <w:rPr>
          <w:rFonts w:ascii="Times New Roman" w:hAnsi="Times New Roman" w:cs="Times New Roman"/>
          <w:i/>
        </w:rPr>
        <w:t xml:space="preserve">Other </w:t>
      </w:r>
      <w:r w:rsidRPr="00702DDD">
        <w:rPr>
          <w:rFonts w:ascii="Times New Roman" w:hAnsi="Times New Roman" w:cs="Times New Roman"/>
        </w:rPr>
        <w:t xml:space="preserve">traded products presented less significant differences from Argentina across </w:t>
      </w:r>
      <w:r w:rsidRPr="00702DDD">
        <w:rPr>
          <w:rFonts w:ascii="Times New Roman" w:hAnsi="Times New Roman" w:cs="Times New Roman"/>
          <w:i/>
        </w:rPr>
        <w:t>Reporters</w:t>
      </w:r>
      <w:r w:rsidRPr="00702DDD">
        <w:rPr>
          <w:rFonts w:ascii="Times New Roman" w:hAnsi="Times New Roman" w:cs="Times New Roman"/>
        </w:rPr>
        <w:t xml:space="preserve">, with </w:t>
      </w:r>
      <w:r w:rsidRPr="00702DDD">
        <w:rPr>
          <w:rFonts w:ascii="Times New Roman" w:hAnsi="Times New Roman" w:cs="Times New Roman"/>
          <w:i/>
        </w:rPr>
        <w:t xml:space="preserve">Other </w:t>
      </w:r>
      <w:r w:rsidRPr="00702DDD">
        <w:rPr>
          <w:rFonts w:ascii="Times New Roman" w:hAnsi="Times New Roman" w:cs="Times New Roman"/>
        </w:rPr>
        <w:t xml:space="preserve">products displaying estimated increased trade in Australia and New Zealand comparatively. </w:t>
      </w:r>
      <w:r w:rsidRPr="00702DDD">
        <w:rPr>
          <w:rFonts w:ascii="Times New Roman" w:hAnsi="Times New Roman" w:cs="Times New Roman"/>
          <w:i/>
        </w:rPr>
        <w:t xml:space="preserve">Beef </w:t>
      </w:r>
      <w:r w:rsidRPr="00702DDD">
        <w:rPr>
          <w:rFonts w:ascii="Times New Roman" w:hAnsi="Times New Roman" w:cs="Times New Roman"/>
        </w:rPr>
        <w:t xml:space="preserve">was the only commodity with no significantly different impacts across top meat exporters in non-health event trade. These results identify a concentration in the </w:t>
      </w:r>
      <w:r w:rsidRPr="00702DDD">
        <w:rPr>
          <w:rFonts w:ascii="Times New Roman" w:hAnsi="Times New Roman" w:cs="Times New Roman"/>
          <w:i/>
          <w:iCs/>
        </w:rPr>
        <w:t>Poultry</w:t>
      </w:r>
      <w:r w:rsidRPr="00702DDD">
        <w:rPr>
          <w:rFonts w:ascii="Times New Roman" w:hAnsi="Times New Roman" w:cs="Times New Roman"/>
        </w:rPr>
        <w:t xml:space="preserve"> market amongst certain countries, while </w:t>
      </w:r>
      <w:r w:rsidRPr="00702DDD">
        <w:rPr>
          <w:rFonts w:ascii="Times New Roman" w:hAnsi="Times New Roman" w:cs="Times New Roman"/>
          <w:i/>
          <w:iCs/>
        </w:rPr>
        <w:t>Beef</w:t>
      </w:r>
      <w:r w:rsidRPr="00702DDD">
        <w:rPr>
          <w:rFonts w:ascii="Times New Roman" w:hAnsi="Times New Roman" w:cs="Times New Roman"/>
        </w:rPr>
        <w:t xml:space="preserve"> is more equal in trade across exporters. </w:t>
      </w:r>
    </w:p>
    <w:p w14:paraId="1079CB08" w14:textId="77777777" w:rsidR="00FD022F" w:rsidRPr="00702DDD" w:rsidRDefault="00FD022F" w:rsidP="00FD022F">
      <w:pPr>
        <w:spacing w:line="480" w:lineRule="auto"/>
        <w:rPr>
          <w:rFonts w:ascii="Times New Roman" w:hAnsi="Times New Roman" w:cs="Times New Roman"/>
        </w:rPr>
      </w:pPr>
      <w:r w:rsidRPr="00702DDD">
        <w:rPr>
          <w:rFonts w:ascii="Times New Roman" w:hAnsi="Times New Roman" w:cs="Times New Roman"/>
        </w:rPr>
        <w:tab/>
        <w:t xml:space="preserve">The exporter trade </w:t>
      </w:r>
      <w:r w:rsidRPr="00702DDD">
        <w:rPr>
          <w:rFonts w:ascii="Times New Roman" w:hAnsi="Times New Roman" w:cs="Times New Roman"/>
          <w:i/>
        </w:rPr>
        <w:t>Share</w:t>
      </w:r>
      <w:r w:rsidRPr="00702DDD">
        <w:rPr>
          <w:rFonts w:ascii="Times New Roman" w:hAnsi="Times New Roman" w:cs="Times New Roman"/>
        </w:rPr>
        <w:t xml:space="preserve"> variable is significant in the product assigned per meat category (i.e., 0201 and 0202 for </w:t>
      </w:r>
      <w:r w:rsidRPr="00702DDD">
        <w:rPr>
          <w:rFonts w:ascii="Times New Roman" w:hAnsi="Times New Roman" w:cs="Times New Roman"/>
          <w:i/>
        </w:rPr>
        <w:t xml:space="preserve">Beef </w:t>
      </w:r>
      <w:r w:rsidRPr="00702DDD">
        <w:rPr>
          <w:rFonts w:ascii="Times New Roman" w:hAnsi="Times New Roman" w:cs="Times New Roman"/>
        </w:rPr>
        <w:t xml:space="preserve">products, 0203 for </w:t>
      </w:r>
      <w:r w:rsidRPr="00702DDD">
        <w:rPr>
          <w:rFonts w:ascii="Times New Roman" w:hAnsi="Times New Roman" w:cs="Times New Roman"/>
          <w:i/>
        </w:rPr>
        <w:t xml:space="preserve">Swine </w:t>
      </w:r>
      <w:r w:rsidRPr="00702DDD">
        <w:rPr>
          <w:rFonts w:ascii="Times New Roman" w:hAnsi="Times New Roman" w:cs="Times New Roman"/>
        </w:rPr>
        <w:t xml:space="preserve">products, 0204 for </w:t>
      </w:r>
      <w:r w:rsidRPr="00702DDD">
        <w:rPr>
          <w:rFonts w:ascii="Times New Roman" w:hAnsi="Times New Roman" w:cs="Times New Roman"/>
          <w:i/>
        </w:rPr>
        <w:t xml:space="preserve">Other </w:t>
      </w:r>
      <w:r w:rsidRPr="00702DDD">
        <w:rPr>
          <w:rFonts w:ascii="Times New Roman" w:hAnsi="Times New Roman" w:cs="Times New Roman"/>
        </w:rPr>
        <w:t xml:space="preserve">products, and 0207 for </w:t>
      </w:r>
      <w:r w:rsidRPr="00702DDD">
        <w:rPr>
          <w:rFonts w:ascii="Times New Roman" w:hAnsi="Times New Roman" w:cs="Times New Roman"/>
          <w:i/>
        </w:rPr>
        <w:t xml:space="preserve">Poultry </w:t>
      </w:r>
      <w:r w:rsidRPr="00702DDD">
        <w:rPr>
          <w:rFonts w:ascii="Times New Roman" w:hAnsi="Times New Roman" w:cs="Times New Roman"/>
        </w:rPr>
        <w:t xml:space="preserve">products). Each product’s estimated global market share was impacted by additional shares of respective global trade, with </w:t>
      </w:r>
      <w:r w:rsidRPr="00702DDD">
        <w:rPr>
          <w:rFonts w:ascii="Times New Roman" w:hAnsi="Times New Roman" w:cs="Times New Roman"/>
          <w:i/>
        </w:rPr>
        <w:t xml:space="preserve">Swine </w:t>
      </w:r>
      <w:r w:rsidRPr="00702DDD">
        <w:rPr>
          <w:rFonts w:ascii="Times New Roman" w:hAnsi="Times New Roman" w:cs="Times New Roman"/>
        </w:rPr>
        <w:t xml:space="preserve">and </w:t>
      </w:r>
      <w:r w:rsidRPr="00702DDD">
        <w:rPr>
          <w:rFonts w:ascii="Times New Roman" w:hAnsi="Times New Roman" w:cs="Times New Roman"/>
          <w:i/>
        </w:rPr>
        <w:t xml:space="preserve">Other </w:t>
      </w:r>
      <w:r w:rsidRPr="00702DDD">
        <w:rPr>
          <w:rFonts w:ascii="Times New Roman" w:hAnsi="Times New Roman" w:cs="Times New Roman"/>
        </w:rPr>
        <w:t xml:space="preserve">products affecting other product shares as well. </w:t>
      </w:r>
      <w:r w:rsidRPr="00702DDD">
        <w:rPr>
          <w:rFonts w:ascii="Times New Roman" w:hAnsi="Times New Roman" w:cs="Times New Roman"/>
          <w:i/>
        </w:rPr>
        <w:t xml:space="preserve">Poultry </w:t>
      </w:r>
      <w:r w:rsidRPr="00702DDD">
        <w:rPr>
          <w:rFonts w:ascii="Times New Roman" w:hAnsi="Times New Roman" w:cs="Times New Roman"/>
        </w:rPr>
        <w:t xml:space="preserve">products had the largest estimated impact of the four commodities, with an 109% increase in </w:t>
      </w:r>
      <w:r w:rsidRPr="00702DDD">
        <w:rPr>
          <w:rFonts w:ascii="Times New Roman" w:hAnsi="Times New Roman" w:cs="Times New Roman"/>
          <w:i/>
        </w:rPr>
        <w:t xml:space="preserve">Poultry </w:t>
      </w:r>
      <w:r w:rsidRPr="00702DDD">
        <w:rPr>
          <w:rFonts w:ascii="Times New Roman" w:hAnsi="Times New Roman" w:cs="Times New Roman"/>
        </w:rPr>
        <w:t xml:space="preserve">trade per additional </w:t>
      </w:r>
      <w:r w:rsidRPr="00702DDD">
        <w:rPr>
          <w:rFonts w:ascii="Times New Roman" w:hAnsi="Times New Roman" w:cs="Times New Roman"/>
          <w:i/>
        </w:rPr>
        <w:t xml:space="preserve">Poultry </w:t>
      </w:r>
      <w:r w:rsidRPr="00702DDD">
        <w:rPr>
          <w:rFonts w:ascii="Times New Roman" w:hAnsi="Times New Roman" w:cs="Times New Roman"/>
        </w:rPr>
        <w:t xml:space="preserve">global share. This may be reflective of how little these shares change between exporters or the value of their market. </w:t>
      </w:r>
      <w:r w:rsidRPr="00702DDD">
        <w:rPr>
          <w:rFonts w:ascii="Times New Roman" w:hAnsi="Times New Roman" w:cs="Times New Roman"/>
          <w:i/>
        </w:rPr>
        <w:t xml:space="preserve">Beef </w:t>
      </w:r>
      <w:r w:rsidRPr="00702DDD">
        <w:rPr>
          <w:rFonts w:ascii="Times New Roman" w:hAnsi="Times New Roman" w:cs="Times New Roman"/>
        </w:rPr>
        <w:t xml:space="preserve">trade showed an estimated increase of 65% per additional </w:t>
      </w:r>
      <w:r w:rsidRPr="00702DDD">
        <w:rPr>
          <w:rFonts w:ascii="Times New Roman" w:hAnsi="Times New Roman" w:cs="Times New Roman"/>
          <w:i/>
        </w:rPr>
        <w:t xml:space="preserve">Beef </w:t>
      </w:r>
      <w:r w:rsidRPr="00702DDD">
        <w:rPr>
          <w:rFonts w:ascii="Times New Roman" w:hAnsi="Times New Roman" w:cs="Times New Roman"/>
        </w:rPr>
        <w:t xml:space="preserve">global share. While countries don’t often change shares of the global market, this does speak to the value of trade related to a share of the global export market. Additionally, there were some cross market effects such as the relationship between </w:t>
      </w:r>
      <w:r w:rsidRPr="00702DDD">
        <w:rPr>
          <w:rFonts w:ascii="Times New Roman" w:hAnsi="Times New Roman" w:cs="Times New Roman"/>
          <w:i/>
        </w:rPr>
        <w:t xml:space="preserve">Swine </w:t>
      </w:r>
      <w:r w:rsidRPr="00702DDD">
        <w:rPr>
          <w:rFonts w:ascii="Times New Roman" w:hAnsi="Times New Roman" w:cs="Times New Roman"/>
        </w:rPr>
        <w:t xml:space="preserve">and </w:t>
      </w:r>
      <w:r w:rsidRPr="00702DDD">
        <w:rPr>
          <w:rFonts w:ascii="Times New Roman" w:hAnsi="Times New Roman" w:cs="Times New Roman"/>
          <w:i/>
        </w:rPr>
        <w:t>Other.</w:t>
      </w:r>
      <w:r w:rsidRPr="00702DDD">
        <w:rPr>
          <w:rFonts w:ascii="Times New Roman" w:hAnsi="Times New Roman" w:cs="Times New Roman"/>
        </w:rPr>
        <w:t xml:space="preserve"> While </w:t>
      </w:r>
      <w:r w:rsidRPr="00702DDD">
        <w:rPr>
          <w:rFonts w:ascii="Times New Roman" w:hAnsi="Times New Roman" w:cs="Times New Roman"/>
          <w:i/>
        </w:rPr>
        <w:t xml:space="preserve">Swine </w:t>
      </w:r>
      <w:r w:rsidRPr="00702DDD">
        <w:rPr>
          <w:rFonts w:ascii="Times New Roman" w:hAnsi="Times New Roman" w:cs="Times New Roman"/>
        </w:rPr>
        <w:t xml:space="preserve">trade was estimated to increase by 67% with an additional share of the </w:t>
      </w:r>
      <w:r w:rsidRPr="00702DDD">
        <w:rPr>
          <w:rFonts w:ascii="Times New Roman" w:hAnsi="Times New Roman" w:cs="Times New Roman"/>
          <w:i/>
        </w:rPr>
        <w:t xml:space="preserve">Swine </w:t>
      </w:r>
      <w:r w:rsidRPr="00702DDD">
        <w:rPr>
          <w:rFonts w:ascii="Times New Roman" w:hAnsi="Times New Roman" w:cs="Times New Roman"/>
        </w:rPr>
        <w:t xml:space="preserve">market, it was expected to decrease by 7% with an additional share of the </w:t>
      </w:r>
      <w:r w:rsidRPr="00702DDD">
        <w:rPr>
          <w:rFonts w:ascii="Times New Roman" w:hAnsi="Times New Roman" w:cs="Times New Roman"/>
          <w:i/>
        </w:rPr>
        <w:t xml:space="preserve">Other </w:t>
      </w:r>
      <w:r w:rsidRPr="00702DDD">
        <w:rPr>
          <w:rFonts w:ascii="Times New Roman" w:hAnsi="Times New Roman" w:cs="Times New Roman"/>
        </w:rPr>
        <w:t xml:space="preserve">share. This may indicate that </w:t>
      </w:r>
      <w:r w:rsidRPr="00702DDD">
        <w:rPr>
          <w:rFonts w:ascii="Times New Roman" w:hAnsi="Times New Roman" w:cs="Times New Roman"/>
          <w:i/>
        </w:rPr>
        <w:t>Other</w:t>
      </w:r>
      <w:r w:rsidRPr="00702DDD">
        <w:rPr>
          <w:rFonts w:ascii="Times New Roman" w:hAnsi="Times New Roman" w:cs="Times New Roman"/>
        </w:rPr>
        <w:t xml:space="preserve"> (sheep and goats) are substitutes for </w:t>
      </w:r>
      <w:r w:rsidRPr="00702DDD">
        <w:rPr>
          <w:rFonts w:ascii="Times New Roman" w:hAnsi="Times New Roman" w:cs="Times New Roman"/>
          <w:i/>
        </w:rPr>
        <w:t xml:space="preserve">Swine </w:t>
      </w:r>
      <w:r w:rsidRPr="00702DDD">
        <w:rPr>
          <w:rFonts w:ascii="Times New Roman" w:hAnsi="Times New Roman" w:cs="Times New Roman"/>
        </w:rPr>
        <w:t xml:space="preserve">in production so that as a country intensifies swine or sheep production, they reduce their production and trade of the substitute. Inversely, </w:t>
      </w:r>
      <w:r w:rsidRPr="00702DDD">
        <w:rPr>
          <w:rFonts w:ascii="Times New Roman" w:hAnsi="Times New Roman" w:cs="Times New Roman"/>
          <w:i/>
        </w:rPr>
        <w:t xml:space="preserve">Other </w:t>
      </w:r>
      <w:r w:rsidRPr="00702DDD">
        <w:rPr>
          <w:rFonts w:ascii="Times New Roman" w:hAnsi="Times New Roman" w:cs="Times New Roman"/>
        </w:rPr>
        <w:t xml:space="preserve">trade value was positively affected (31%) by </w:t>
      </w:r>
      <w:r w:rsidRPr="00702DDD">
        <w:rPr>
          <w:rFonts w:ascii="Times New Roman" w:hAnsi="Times New Roman" w:cs="Times New Roman"/>
          <w:i/>
        </w:rPr>
        <w:t xml:space="preserve">Poultry </w:t>
      </w:r>
      <w:r w:rsidRPr="00702DDD">
        <w:rPr>
          <w:rFonts w:ascii="Times New Roman" w:hAnsi="Times New Roman" w:cs="Times New Roman"/>
        </w:rPr>
        <w:t xml:space="preserve">trade shares in the exporting country. The cross-market </w:t>
      </w:r>
      <w:r w:rsidRPr="00702DDD">
        <w:rPr>
          <w:rFonts w:ascii="Times New Roman" w:hAnsi="Times New Roman" w:cs="Times New Roman"/>
        </w:rPr>
        <w:lastRenderedPageBreak/>
        <w:t>effects are explained by between-country variation in the panel data, showing the substitution and complementarity in production and trade between the animal protein products.</w:t>
      </w:r>
    </w:p>
    <w:p w14:paraId="2B6EA7A2" w14:textId="77777777" w:rsidR="00FD022F" w:rsidRPr="00702DDD" w:rsidRDefault="00FD022F" w:rsidP="00FD022F">
      <w:pPr>
        <w:spacing w:line="480" w:lineRule="auto"/>
        <w:ind w:firstLine="720"/>
        <w:rPr>
          <w:rFonts w:ascii="Times New Roman" w:hAnsi="Times New Roman" w:cs="Times New Roman"/>
        </w:rPr>
      </w:pPr>
      <w:r w:rsidRPr="00702DDD">
        <w:rPr>
          <w:rFonts w:ascii="Times New Roman" w:hAnsi="Times New Roman" w:cs="Times New Roman"/>
        </w:rPr>
        <w:t xml:space="preserve">The type of product (i.e., </w:t>
      </w:r>
      <w:r w:rsidRPr="00702DDD">
        <w:rPr>
          <w:rFonts w:ascii="Times New Roman" w:hAnsi="Times New Roman" w:cs="Times New Roman"/>
          <w:i/>
        </w:rPr>
        <w:t>Fresh</w:t>
      </w:r>
      <w:r w:rsidRPr="00702DDD">
        <w:rPr>
          <w:rFonts w:ascii="Times New Roman" w:hAnsi="Times New Roman" w:cs="Times New Roman"/>
        </w:rPr>
        <w:t>/</w:t>
      </w:r>
      <w:r w:rsidRPr="00702DDD">
        <w:rPr>
          <w:rFonts w:ascii="Times New Roman" w:hAnsi="Times New Roman" w:cs="Times New Roman"/>
          <w:i/>
        </w:rPr>
        <w:t>Frozen</w:t>
      </w:r>
      <w:r w:rsidRPr="00702DDD">
        <w:rPr>
          <w:rFonts w:ascii="Times New Roman" w:hAnsi="Times New Roman" w:cs="Times New Roman"/>
        </w:rPr>
        <w:t>/</w:t>
      </w:r>
      <w:r w:rsidRPr="00702DDD">
        <w:rPr>
          <w:rFonts w:ascii="Times New Roman" w:hAnsi="Times New Roman" w:cs="Times New Roman"/>
          <w:i/>
        </w:rPr>
        <w:t>Other</w:t>
      </w:r>
      <w:r w:rsidRPr="00702DDD">
        <w:rPr>
          <w:rFonts w:ascii="Times New Roman" w:hAnsi="Times New Roman" w:cs="Times New Roman"/>
        </w:rPr>
        <w:t xml:space="preserve">) is significant in all but the </w:t>
      </w:r>
      <w:r w:rsidRPr="00702DDD">
        <w:rPr>
          <w:rFonts w:ascii="Times New Roman" w:hAnsi="Times New Roman" w:cs="Times New Roman"/>
          <w:i/>
        </w:rPr>
        <w:t xml:space="preserve">Swine </w:t>
      </w:r>
      <w:r w:rsidRPr="00702DDD">
        <w:rPr>
          <w:rFonts w:ascii="Times New Roman" w:hAnsi="Times New Roman" w:cs="Times New Roman"/>
        </w:rPr>
        <w:t xml:space="preserve">model. Most notably, </w:t>
      </w:r>
      <w:r w:rsidRPr="00702DDD">
        <w:rPr>
          <w:rFonts w:ascii="Times New Roman" w:hAnsi="Times New Roman" w:cs="Times New Roman"/>
          <w:i/>
        </w:rPr>
        <w:t>Frozen Poultry</w:t>
      </w:r>
      <w:r w:rsidRPr="00702DDD">
        <w:rPr>
          <w:rFonts w:ascii="Times New Roman" w:hAnsi="Times New Roman" w:cs="Times New Roman"/>
        </w:rPr>
        <w:t xml:space="preserve"> trade was estimated to be 820.73% higher trade value than the </w:t>
      </w:r>
      <w:r w:rsidRPr="00702DDD">
        <w:rPr>
          <w:rFonts w:ascii="Times New Roman" w:hAnsi="Times New Roman" w:cs="Times New Roman"/>
          <w:i/>
        </w:rPr>
        <w:t xml:space="preserve">Fresh Poultry </w:t>
      </w:r>
      <w:r w:rsidRPr="00702DDD">
        <w:rPr>
          <w:rFonts w:ascii="Times New Roman" w:hAnsi="Times New Roman" w:cs="Times New Roman"/>
        </w:rPr>
        <w:t xml:space="preserve">baseline. Frozen perishable products have longer shelf lives than fresh alternatives, making trade more affordable and accessible, especially considering the transportation distance between the larger poultry exporters (e.g., USA and Brazil) and the larger markets for poultry (e.g., China and Japan). However, some products in the model showed a deference to </w:t>
      </w:r>
      <w:r w:rsidRPr="00702DDD">
        <w:rPr>
          <w:rFonts w:ascii="Times New Roman" w:hAnsi="Times New Roman" w:cs="Times New Roman"/>
          <w:i/>
        </w:rPr>
        <w:t xml:space="preserve">Fresh </w:t>
      </w:r>
      <w:r w:rsidRPr="00702DDD">
        <w:rPr>
          <w:rFonts w:ascii="Times New Roman" w:hAnsi="Times New Roman" w:cs="Times New Roman"/>
        </w:rPr>
        <w:t xml:space="preserve">goods. For example, </w:t>
      </w:r>
      <w:r w:rsidRPr="00702DDD">
        <w:rPr>
          <w:rFonts w:ascii="Times New Roman" w:hAnsi="Times New Roman" w:cs="Times New Roman"/>
          <w:i/>
        </w:rPr>
        <w:t>Frozen Beef</w:t>
      </w:r>
      <w:r w:rsidRPr="00702DDD">
        <w:rPr>
          <w:rFonts w:ascii="Times New Roman" w:hAnsi="Times New Roman" w:cs="Times New Roman"/>
        </w:rPr>
        <w:t xml:space="preserve"> trade was estimated to be 80.99% lower valued than </w:t>
      </w:r>
      <w:r w:rsidRPr="00702DDD">
        <w:rPr>
          <w:rFonts w:ascii="Times New Roman" w:hAnsi="Times New Roman" w:cs="Times New Roman"/>
          <w:i/>
        </w:rPr>
        <w:t>Fresh Beef</w:t>
      </w:r>
      <w:r w:rsidRPr="00702DDD">
        <w:rPr>
          <w:rFonts w:ascii="Times New Roman" w:hAnsi="Times New Roman" w:cs="Times New Roman"/>
        </w:rPr>
        <w:t xml:space="preserve"> in the model. These results may also reflect country proximity (as closer countries may prefer to trade </w:t>
      </w:r>
      <w:r w:rsidRPr="00702DDD">
        <w:rPr>
          <w:rFonts w:ascii="Times New Roman" w:hAnsi="Times New Roman" w:cs="Times New Roman"/>
          <w:i/>
        </w:rPr>
        <w:t>Fresh Beef</w:t>
      </w:r>
      <w:r w:rsidRPr="00702DDD">
        <w:rPr>
          <w:rFonts w:ascii="Times New Roman" w:hAnsi="Times New Roman" w:cs="Times New Roman"/>
        </w:rPr>
        <w:t>) or importer demand preferences. In addition to proximity there are also preferential trade agreements such as within the European Union which would allow for more flows of fresh products.</w:t>
      </w:r>
    </w:p>
    <w:p w14:paraId="4F21AE65" w14:textId="77777777" w:rsidR="00FD022F" w:rsidRPr="00702DDD" w:rsidRDefault="00FD022F" w:rsidP="00FD022F">
      <w:pPr>
        <w:spacing w:line="480" w:lineRule="auto"/>
        <w:rPr>
          <w:rFonts w:ascii="Times New Roman" w:hAnsi="Times New Roman" w:cs="Times New Roman"/>
        </w:rPr>
      </w:pPr>
      <w:r w:rsidRPr="00702DDD">
        <w:rPr>
          <w:rFonts w:ascii="Times New Roman" w:hAnsi="Times New Roman" w:cs="Times New Roman"/>
        </w:rPr>
        <w:tab/>
        <w:t xml:space="preserve">The </w:t>
      </w:r>
      <w:r w:rsidRPr="00702DDD">
        <w:rPr>
          <w:rFonts w:ascii="Times New Roman" w:hAnsi="Times New Roman" w:cs="Times New Roman"/>
          <w:i/>
        </w:rPr>
        <w:t xml:space="preserve">Monthly </w:t>
      </w:r>
      <w:r w:rsidRPr="00702DDD">
        <w:rPr>
          <w:rFonts w:ascii="Times New Roman" w:hAnsi="Times New Roman" w:cs="Times New Roman"/>
        </w:rPr>
        <w:t xml:space="preserve">variables were significant across all four models showing seasonal effects in protein trade. Both the </w:t>
      </w:r>
      <w:r w:rsidRPr="00702DDD">
        <w:rPr>
          <w:rFonts w:ascii="Times New Roman" w:hAnsi="Times New Roman" w:cs="Times New Roman"/>
          <w:i/>
        </w:rPr>
        <w:t xml:space="preserve">Poultry </w:t>
      </w:r>
      <w:r w:rsidRPr="00702DDD">
        <w:rPr>
          <w:rFonts w:ascii="Times New Roman" w:hAnsi="Times New Roman" w:cs="Times New Roman"/>
        </w:rPr>
        <w:t xml:space="preserve">and </w:t>
      </w:r>
      <w:r w:rsidRPr="00702DDD">
        <w:rPr>
          <w:rFonts w:ascii="Times New Roman" w:hAnsi="Times New Roman" w:cs="Times New Roman"/>
          <w:i/>
        </w:rPr>
        <w:t xml:space="preserve">Other </w:t>
      </w:r>
      <w:r w:rsidRPr="00702DDD">
        <w:rPr>
          <w:rFonts w:ascii="Times New Roman" w:hAnsi="Times New Roman" w:cs="Times New Roman"/>
        </w:rPr>
        <w:t xml:space="preserve">estimations show significantly higher trade flows in every month compared to January trade and varies across months, suggesting a seasonal trade demand. </w:t>
      </w:r>
    </w:p>
    <w:p w14:paraId="5A2C298A" w14:textId="77777777" w:rsidR="00FD022F" w:rsidRPr="00702DDD" w:rsidRDefault="00FD022F" w:rsidP="000654A5">
      <w:pPr>
        <w:spacing w:line="480" w:lineRule="auto"/>
        <w:ind w:firstLine="720"/>
        <w:rPr>
          <w:rFonts w:ascii="Times New Roman" w:hAnsi="Times New Roman" w:cs="Times New Roman"/>
        </w:rPr>
      </w:pPr>
      <w:r w:rsidRPr="00702DDD">
        <w:rPr>
          <w:rFonts w:ascii="Times New Roman" w:hAnsi="Times New Roman" w:cs="Times New Roman"/>
        </w:rPr>
        <w:t xml:space="preserve">Trade in </w:t>
      </w:r>
      <w:r w:rsidRPr="00702DDD">
        <w:rPr>
          <w:rFonts w:ascii="Times New Roman" w:hAnsi="Times New Roman" w:cs="Times New Roman"/>
          <w:i/>
        </w:rPr>
        <w:t xml:space="preserve">Beef </w:t>
      </w:r>
      <w:r w:rsidRPr="00702DDD">
        <w:rPr>
          <w:rFonts w:ascii="Times New Roman" w:hAnsi="Times New Roman" w:cs="Times New Roman"/>
        </w:rPr>
        <w:t xml:space="preserve">and </w:t>
      </w:r>
      <w:r w:rsidRPr="00702DDD">
        <w:rPr>
          <w:rFonts w:ascii="Times New Roman" w:hAnsi="Times New Roman" w:cs="Times New Roman"/>
          <w:i/>
        </w:rPr>
        <w:t xml:space="preserve">Swine </w:t>
      </w:r>
      <w:r w:rsidRPr="00702DDD">
        <w:rPr>
          <w:rFonts w:ascii="Times New Roman" w:hAnsi="Times New Roman" w:cs="Times New Roman"/>
        </w:rPr>
        <w:t xml:space="preserve">products had an estimated increase in trade from January in all months excluding February, with Swine also having significant increases in all but March and December. These products present more seasonality behavior than </w:t>
      </w:r>
      <w:r w:rsidRPr="00702DDD">
        <w:rPr>
          <w:rFonts w:ascii="Times New Roman" w:hAnsi="Times New Roman" w:cs="Times New Roman"/>
          <w:i/>
        </w:rPr>
        <w:t xml:space="preserve">Poultry </w:t>
      </w:r>
      <w:r w:rsidRPr="00702DDD">
        <w:rPr>
          <w:rFonts w:ascii="Times New Roman" w:hAnsi="Times New Roman" w:cs="Times New Roman"/>
        </w:rPr>
        <w:t xml:space="preserve">and </w:t>
      </w:r>
      <w:r w:rsidRPr="00702DDD">
        <w:rPr>
          <w:rFonts w:ascii="Times New Roman" w:hAnsi="Times New Roman" w:cs="Times New Roman"/>
          <w:i/>
        </w:rPr>
        <w:t>Other</w:t>
      </w:r>
      <w:r w:rsidRPr="00702DDD">
        <w:rPr>
          <w:rFonts w:ascii="Times New Roman" w:hAnsi="Times New Roman" w:cs="Times New Roman"/>
        </w:rPr>
        <w:t xml:space="preserve">, identifying decreased demand in the winter months. The </w:t>
      </w:r>
      <w:r w:rsidRPr="00702DDD">
        <w:rPr>
          <w:rFonts w:ascii="Times New Roman" w:hAnsi="Times New Roman" w:cs="Times New Roman"/>
          <w:i/>
        </w:rPr>
        <w:t xml:space="preserve">Year </w:t>
      </w:r>
      <w:r w:rsidRPr="00702DDD">
        <w:rPr>
          <w:rFonts w:ascii="Times New Roman" w:hAnsi="Times New Roman" w:cs="Times New Roman"/>
        </w:rPr>
        <w:t xml:space="preserve">trend variable is significant in the </w:t>
      </w:r>
      <w:r w:rsidRPr="00702DDD">
        <w:rPr>
          <w:rFonts w:ascii="Times New Roman" w:hAnsi="Times New Roman" w:cs="Times New Roman"/>
          <w:i/>
        </w:rPr>
        <w:t xml:space="preserve">Beef </w:t>
      </w:r>
      <w:r w:rsidRPr="00702DDD">
        <w:rPr>
          <w:rFonts w:ascii="Times New Roman" w:hAnsi="Times New Roman" w:cs="Times New Roman"/>
        </w:rPr>
        <w:t xml:space="preserve">and </w:t>
      </w:r>
      <w:r w:rsidRPr="00702DDD">
        <w:rPr>
          <w:rFonts w:ascii="Times New Roman" w:hAnsi="Times New Roman" w:cs="Times New Roman"/>
          <w:i/>
        </w:rPr>
        <w:t xml:space="preserve">Other </w:t>
      </w:r>
      <w:r w:rsidRPr="00702DDD">
        <w:rPr>
          <w:rFonts w:ascii="Times New Roman" w:hAnsi="Times New Roman" w:cs="Times New Roman"/>
        </w:rPr>
        <w:t>products but not</w:t>
      </w:r>
      <w:r w:rsidRPr="00702DDD">
        <w:rPr>
          <w:rFonts w:ascii="Times New Roman" w:hAnsi="Times New Roman" w:cs="Times New Roman"/>
          <w:i/>
        </w:rPr>
        <w:t xml:space="preserve"> </w:t>
      </w:r>
      <w:r w:rsidRPr="00702DDD">
        <w:rPr>
          <w:rFonts w:ascii="Times New Roman" w:hAnsi="Times New Roman" w:cs="Times New Roman"/>
        </w:rPr>
        <w:t xml:space="preserve">the </w:t>
      </w:r>
      <w:r w:rsidRPr="00702DDD">
        <w:rPr>
          <w:rFonts w:ascii="Times New Roman" w:hAnsi="Times New Roman" w:cs="Times New Roman"/>
          <w:i/>
        </w:rPr>
        <w:t xml:space="preserve">Swine </w:t>
      </w:r>
      <w:r w:rsidRPr="00702DDD">
        <w:rPr>
          <w:rFonts w:ascii="Times New Roman" w:hAnsi="Times New Roman" w:cs="Times New Roman"/>
        </w:rPr>
        <w:t xml:space="preserve">and </w:t>
      </w:r>
      <w:r w:rsidRPr="00702DDD">
        <w:rPr>
          <w:rFonts w:ascii="Times New Roman" w:hAnsi="Times New Roman" w:cs="Times New Roman"/>
          <w:i/>
        </w:rPr>
        <w:t>Poultry</w:t>
      </w:r>
      <w:r w:rsidRPr="00702DDD">
        <w:rPr>
          <w:rFonts w:ascii="Times New Roman" w:hAnsi="Times New Roman" w:cs="Times New Roman"/>
        </w:rPr>
        <w:t xml:space="preserve"> models. This suggests </w:t>
      </w:r>
      <w:r w:rsidRPr="00702DDD">
        <w:rPr>
          <w:rFonts w:ascii="Times New Roman" w:hAnsi="Times New Roman" w:cs="Times New Roman"/>
          <w:i/>
        </w:rPr>
        <w:t xml:space="preserve">Beef </w:t>
      </w:r>
      <w:r w:rsidRPr="00702DDD">
        <w:rPr>
          <w:rFonts w:ascii="Times New Roman" w:hAnsi="Times New Roman" w:cs="Times New Roman"/>
        </w:rPr>
        <w:t xml:space="preserve">and </w:t>
      </w:r>
      <w:r w:rsidRPr="00702DDD">
        <w:rPr>
          <w:rFonts w:ascii="Times New Roman" w:hAnsi="Times New Roman" w:cs="Times New Roman"/>
          <w:i/>
        </w:rPr>
        <w:t xml:space="preserve">Other </w:t>
      </w:r>
      <w:r w:rsidRPr="00702DDD">
        <w:rPr>
          <w:rFonts w:ascii="Times New Roman" w:hAnsi="Times New Roman" w:cs="Times New Roman"/>
        </w:rPr>
        <w:t xml:space="preserve">may be annually increasing steadily while </w:t>
      </w:r>
      <w:r w:rsidRPr="00702DDD">
        <w:rPr>
          <w:rFonts w:ascii="Times New Roman" w:hAnsi="Times New Roman" w:cs="Times New Roman"/>
          <w:i/>
        </w:rPr>
        <w:t xml:space="preserve">Swine </w:t>
      </w:r>
      <w:r w:rsidRPr="00702DDD">
        <w:rPr>
          <w:rFonts w:ascii="Times New Roman" w:hAnsi="Times New Roman" w:cs="Times New Roman"/>
        </w:rPr>
        <w:t xml:space="preserve">and </w:t>
      </w:r>
      <w:r w:rsidRPr="00702DDD">
        <w:rPr>
          <w:rFonts w:ascii="Times New Roman" w:hAnsi="Times New Roman" w:cs="Times New Roman"/>
          <w:i/>
        </w:rPr>
        <w:t xml:space="preserve">Poultry </w:t>
      </w:r>
      <w:r w:rsidRPr="00702DDD">
        <w:rPr>
          <w:rFonts w:ascii="Times New Roman" w:hAnsi="Times New Roman" w:cs="Times New Roman"/>
        </w:rPr>
        <w:t xml:space="preserve">remain relatively stagnant. </w:t>
      </w:r>
    </w:p>
    <w:p w14:paraId="6B426C98" w14:textId="77777777" w:rsidR="00FD022F" w:rsidRPr="00702DDD" w:rsidRDefault="00FD022F" w:rsidP="000654A5">
      <w:pPr>
        <w:pStyle w:val="Heading2"/>
      </w:pPr>
      <w:bookmarkStart w:id="27" w:name="_Toc98444521"/>
      <w:bookmarkStart w:id="28" w:name="_Toc98692981"/>
      <w:r w:rsidRPr="00702DDD">
        <w:lastRenderedPageBreak/>
        <w:t>1.6 Conclusion</w:t>
      </w:r>
      <w:bookmarkEnd w:id="27"/>
      <w:bookmarkEnd w:id="28"/>
    </w:p>
    <w:p w14:paraId="6E4CFEC6" w14:textId="1CCA666F" w:rsidR="00FD022F" w:rsidRPr="00702DDD" w:rsidRDefault="00FD022F" w:rsidP="00FD022F">
      <w:pPr>
        <w:spacing w:line="480" w:lineRule="auto"/>
        <w:rPr>
          <w:rFonts w:ascii="Times New Roman" w:hAnsi="Times New Roman" w:cs="Times New Roman"/>
        </w:rPr>
      </w:pPr>
      <w:r w:rsidRPr="00702DDD">
        <w:rPr>
          <w:rFonts w:ascii="Times New Roman" w:hAnsi="Times New Roman" w:cs="Times New Roman"/>
        </w:rPr>
        <w:t xml:space="preserve">Future pandemics and other large-scale human health events are inevitable. The technology and resources that have encouraged global trade growth have enabled quick disease transmission. Preparing for these events through safety precautions and traceability may help but will not fully eliminate </w:t>
      </w:r>
      <w:r w:rsidR="00AE7641">
        <w:rPr>
          <w:rFonts w:ascii="Times New Roman" w:hAnsi="Times New Roman" w:cs="Times New Roman"/>
        </w:rPr>
        <w:t>disease emergence and spread</w:t>
      </w:r>
      <w:r w:rsidRPr="00702DDD">
        <w:rPr>
          <w:rFonts w:ascii="Times New Roman" w:hAnsi="Times New Roman" w:cs="Times New Roman"/>
        </w:rPr>
        <w:t xml:space="preserve">. Therefore, analyses like the current study are </w:t>
      </w:r>
      <w:r w:rsidR="00AE7641">
        <w:rPr>
          <w:rFonts w:ascii="Times New Roman" w:hAnsi="Times New Roman" w:cs="Times New Roman"/>
        </w:rPr>
        <w:t>valuable</w:t>
      </w:r>
      <w:r w:rsidRPr="00702DDD">
        <w:rPr>
          <w:rFonts w:ascii="Times New Roman" w:hAnsi="Times New Roman" w:cs="Times New Roman"/>
        </w:rPr>
        <w:t xml:space="preserve"> </w:t>
      </w:r>
      <w:r w:rsidR="00AE7641">
        <w:rPr>
          <w:rFonts w:ascii="Times New Roman" w:hAnsi="Times New Roman" w:cs="Times New Roman"/>
        </w:rPr>
        <w:t>in</w:t>
      </w:r>
      <w:r w:rsidRPr="00702DDD">
        <w:rPr>
          <w:rFonts w:ascii="Times New Roman" w:hAnsi="Times New Roman" w:cs="Times New Roman"/>
        </w:rPr>
        <w:t xml:space="preserve"> understand</w:t>
      </w:r>
      <w:r w:rsidR="00AE7641">
        <w:rPr>
          <w:rFonts w:ascii="Times New Roman" w:hAnsi="Times New Roman" w:cs="Times New Roman"/>
        </w:rPr>
        <w:t>ing</w:t>
      </w:r>
      <w:r w:rsidRPr="00702DDD">
        <w:rPr>
          <w:rFonts w:ascii="Times New Roman" w:hAnsi="Times New Roman" w:cs="Times New Roman"/>
        </w:rPr>
        <w:t xml:space="preserve"> the impacts these events </w:t>
      </w:r>
      <w:r w:rsidR="00AE7641">
        <w:rPr>
          <w:rFonts w:ascii="Times New Roman" w:hAnsi="Times New Roman" w:cs="Times New Roman"/>
        </w:rPr>
        <w:t>may</w:t>
      </w:r>
      <w:r w:rsidRPr="00702DDD">
        <w:rPr>
          <w:rFonts w:ascii="Times New Roman" w:hAnsi="Times New Roman" w:cs="Times New Roman"/>
        </w:rPr>
        <w:t xml:space="preserve"> produce. However, as demonstrated by the results, these impacts may not be heterogeneous across large-scale human health events. </w:t>
      </w:r>
      <w:r w:rsidR="00945573" w:rsidRPr="00702DDD">
        <w:rPr>
          <w:rFonts w:ascii="Times New Roman" w:hAnsi="Times New Roman" w:cs="Times New Roman"/>
        </w:rPr>
        <w:t>The literature on agricultural impacts pandemics has focused on C</w:t>
      </w:r>
      <w:r w:rsidR="003B71CA" w:rsidRPr="00702DDD">
        <w:rPr>
          <w:rFonts w:ascii="Times New Roman" w:hAnsi="Times New Roman" w:cs="Times New Roman"/>
        </w:rPr>
        <w:t>OVID</w:t>
      </w:r>
      <w:r w:rsidR="00945573" w:rsidRPr="00702DDD">
        <w:rPr>
          <w:rFonts w:ascii="Times New Roman" w:hAnsi="Times New Roman" w:cs="Times New Roman"/>
        </w:rPr>
        <w:t>-19</w:t>
      </w:r>
      <w:r w:rsidR="00945573" w:rsidRPr="00702DDD">
        <w:rPr>
          <w:rFonts w:ascii="Times New Roman" w:eastAsia="Times" w:hAnsi="Times New Roman" w:cs="Times New Roman"/>
          <w:noProof/>
          <w:color w:val="000000"/>
        </w:rPr>
        <w:t xml:space="preserve"> </w:t>
      </w:r>
      <w:r w:rsidR="00945573" w:rsidRPr="00702DDD">
        <w:rPr>
          <w:rFonts w:ascii="Times New Roman" w:eastAsia="Times" w:hAnsi="Times New Roman" w:cs="Times New Roman"/>
          <w:color w:val="000000"/>
        </w:rPr>
        <w:fldChar w:fldCharType="begin"/>
      </w:r>
      <w:r w:rsidR="00945573" w:rsidRPr="00702DDD">
        <w:rPr>
          <w:rFonts w:ascii="Times New Roman" w:eastAsia="Times" w:hAnsi="Times New Roman" w:cs="Times New Roman"/>
          <w:color w:val="000000"/>
        </w:rPr>
        <w:instrText xml:space="preserve"> ADDIN ZOTERO_ITEM CSL_CITATION {"citationID":"Z2YMHt91","properties":{"formattedCitation":"(Hayes et al., 2021; Maples et al., 2021; Weersink et al., 2021)","plainCitation":"(Hayes et al., 2021; Maples et al., 2021; Weersink et al., 2021)","noteIndex":0},"citationItems":[{"id":2663,"uris":["http://zotero.org/groups/2546976/items/WPBP3XC8"],"uri":["http://zotero.org/groups/2546976/items/WPBP3XC8"],"itemData":{"id":2663,"type":"article-journal","abstract":"The novel coronavirus SARS‐CoV2 (COVID‐19) severely disrupted the U.S. food supply chain. In its initial aftermath, and as we contemplate a potential reignition, the food supply chain industries, researchers, and policy makers search for evidence, causes, and consequences. This article uses publicly available data on the pork and egg industries and a survey of the turkey industry as a first step to document the impact of COVID‐19. Researchers can learn from the experiences in industries where disruptions evolve differently in the face of simultaneous supply‐ and demand‐side shocks and that stem from differences in structures of the supply chains. This early evidence is used to motivate future research needs and highlight opportunities for industry investments in resiliency strategies.","container-title":"Agribusiness","DOI":"10/gjgqd4","ISSN":"0742-4477, 1520-6297","issue":"1","journalAbbreviation":"Agribusiness","language":"en","page":"122-141","source":"DOI.org (Crossref)","title":"A descriptive analysis of the COVID‐19 impacts on U.S. pork, turkey, and egg markets","volume":"37","author":[{"family":"Hayes","given":"Dermot J."},{"family":"Schulz","given":"Lee L."},{"family":"Hart","given":"Chad E."},{"family":"Jacobs","given":"Keri L."}],"issued":{"date-parts":[["2021",1]]}},"label":"page"},{"id":2783,"uris":["http://zotero.org/groups/2546976/items/AQMDA4AY"],"uri":["http://zotero.org/groups/2546976/items/AQMDA4AY"],"itemData":{"id":2783,"type":"article-journal","abstract":"The COVID-19 pandemic created massive disruptions in meat supply chains including the US poultry industry. Detrimental impacts to chicken demand due to restaurant closures led to supply adjustments affecting broiler producers. The integrated structure of the broiler industry creates significant challenges in estimating grower losses. Farmers who raise broiler chickens do not own the birds and price drops are not directly felt in the same manner as in other commodities. This article examines the broiler industry and presents methodology to better understand the farm-level impacts of COVID-19. Further, this work is useful for policy response considerations for broiler growers.","container-title":"Applied Economic Perspectives and Policy","DOI":"10/ghdrd6","ISSN":"2040-5804","issue":"1","language":"en","note":"_eprint: https://onlinelibrary.wiley.com/doi/pdf/10.1002/aepp.13089","page":"315-328","source":"Wiley Online Library","title":"Estimating COVID-19 Impacts on the Broiler Industry","volume":"43","author":[{"family":"Maples","given":"Joshua G."},{"family":"Thompson","given":"Jada M."},{"family":"Anderson","given":"John D."},{"family":"Anderson","given":"David P."}],"issued":{"date-parts":[["2021"]]}},"label":"page"},{"id":2787,"uris":["http://zotero.org/groups/2546976/items/IG3C8UW2"],"uri":["http://zotero.org/groups/2546976/items/IG3C8UW2"],"itemData":{"id":2787,"type":"article-journal","abstract":"Agri-food supply chains in North America have become remarkably efficient, supplying an unprecedented variety of items at the lowest possible cost. However, the initial stages of the COVID-19 pandemic and the near-total temporary loss of the foodservice distribution channel, exposed a vulnerability that many found surprising. Instead of continued shortages, however, the agri-food sector has since moved back to near normal conditions with prices and production levels similar to those typically observed in years prior to the pandemic. Ironically, the specialization in most food supply chains designed for “just-in-time” delivery to specific customers with no reserve capacity, which led to the initial disruptions, may have also been responsible for its rapid rebound. A common theme in assessing the impacts across the six commodities examined is the growing importance of understanding the whole supply chain. Over the longer term, a continuation of the pandemic could push the supply chain toward greater consolidation of firms and diversification of products given the increasing option value of maintaining flexibility. Other structural changes will be felt through input markets, most notably labour, as the trend toward greater automation will continue to accelerate as a response to meeting concerns about a consistent supply of healthy and productive workers. The economic fall out from the pandemic may lead to greater concentration in the sector as some firms are not able to survive the downturn and changes in consumer food buying behaviour, including movement toward online shopping and enhanced demand for attributes associated with resiliency, such as local. On the other hand, online shopping may provide opportunities for small producers and processors to shorten supply chains and reach customers directly. In the long term, COVID-19 impacts on global commerce and developing country production are more uncertain and could influence poverty reduction. While COVID-19's impacts on North American agriculture should have minimal effect on the Sustainable Development Goals (SDGs) through food prices, the ongoing global trends in trade and agribusiness accelerated by the pandemic are relevant for achievement of the SDGs.","container-title":"Agricultural Systems","DOI":"https://doi.org/10.1016/j.agsy.2020.103039","ISSN":"0308-521X","journalAbbreviation":"Agricultural Systems","language":"en","source":"ScienceDirect","title":"COVID-19 and the agri-food system in the United States and Canada","URL":"http://www.sciencedirect.com/science/article/pii/S0308521X20309008","volume":"188","author":[{"family":"Weersink","given":"Alfons"},{"family":"Massow","given":"Mike","non-dropping-particle":"von"},{"family":"Bannon","given":"Nicholas"},{"family":"Ifft","given":"Jennifer"},{"family":"Maples","given":"Josh"},{"family":"McEwen","given":"Ken"},{"family":"McKendree","given":"Melissa"},{"family":"Nicholson","given":"Charles"},{"family":"Novakovic","given":"Andrew"},{"family":"Rangarajan","given":"Anusuya"},{"family":"Richards","given":"Tim"},{"family":"Rickard","given":"Brad"},{"family":"Rude","given":"James"},{"family":"Schipanski","given":"Meagan"},{"family":"Schnitkey","given":"Gary"},{"family":"Schulz","given":"Lee"},{"family":"Schuurman","given":"Daniel"},{"family":"Schwartzkopf-Genswein","given":"Karen"},{"family":"Stephenson","given":"Mark"},{"family":"Thompson","given":"Jada"},{"family":"Wood","given":"Katie"}],"accessed":{"date-parts":[["2021",1,6]]},"issued":{"date-parts":[["2021",3]]}},"label":"page"}],"schema":"https://github.com/citation-style-language/schema/raw/master/csl-citation.json"} </w:instrText>
      </w:r>
      <w:r w:rsidR="00945573" w:rsidRPr="00702DDD">
        <w:rPr>
          <w:rFonts w:ascii="Times New Roman" w:eastAsia="Times" w:hAnsi="Times New Roman" w:cs="Times New Roman"/>
          <w:color w:val="000000"/>
        </w:rPr>
        <w:fldChar w:fldCharType="separate"/>
      </w:r>
      <w:r w:rsidR="00945573" w:rsidRPr="00702DDD">
        <w:rPr>
          <w:rFonts w:ascii="Times New Roman" w:eastAsia="Times" w:hAnsi="Times New Roman" w:cs="Times New Roman"/>
          <w:noProof/>
          <w:color w:val="000000"/>
        </w:rPr>
        <w:t>(Hayes et al., 2021; Maples et al., 2021; Weersink et al., 2021)</w:t>
      </w:r>
      <w:r w:rsidR="00945573" w:rsidRPr="00702DDD">
        <w:rPr>
          <w:rFonts w:ascii="Times New Roman" w:eastAsia="Times" w:hAnsi="Times New Roman" w:cs="Times New Roman"/>
          <w:color w:val="000000"/>
        </w:rPr>
        <w:fldChar w:fldCharType="end"/>
      </w:r>
      <w:r w:rsidR="00945573" w:rsidRPr="00702DDD">
        <w:rPr>
          <w:rFonts w:ascii="Times New Roman" w:hAnsi="Times New Roman" w:cs="Times New Roman"/>
        </w:rPr>
        <w:t>, but are consistent with the supply chain outcomes from th</w:t>
      </w:r>
      <w:r w:rsidR="00AE7641">
        <w:rPr>
          <w:rFonts w:ascii="Times New Roman" w:hAnsi="Times New Roman" w:cs="Times New Roman"/>
        </w:rPr>
        <w:t>is</w:t>
      </w:r>
      <w:r w:rsidR="00945573" w:rsidRPr="00702DDD">
        <w:rPr>
          <w:rFonts w:ascii="Times New Roman" w:hAnsi="Times New Roman" w:cs="Times New Roman"/>
        </w:rPr>
        <w:t xml:space="preserve"> study</w:t>
      </w:r>
      <w:r w:rsidR="00AE7641">
        <w:rPr>
          <w:rFonts w:ascii="Times New Roman" w:hAnsi="Times New Roman" w:cs="Times New Roman"/>
        </w:rPr>
        <w:t xml:space="preserve">. Overall, trade is impacted from pandemics, with some emphasis on larger scale events. </w:t>
      </w:r>
    </w:p>
    <w:p w14:paraId="54B66650" w14:textId="12789A33" w:rsidR="008D3C4E" w:rsidRPr="00AE7641" w:rsidRDefault="00FD022F" w:rsidP="00AE7641">
      <w:pPr>
        <w:spacing w:line="480" w:lineRule="auto"/>
        <w:ind w:firstLine="720"/>
        <w:rPr>
          <w:rFonts w:ascii="Times New Roman" w:hAnsi="Times New Roman" w:cs="Times New Roman"/>
        </w:rPr>
      </w:pPr>
      <w:r w:rsidRPr="00702DDD">
        <w:rPr>
          <w:rFonts w:ascii="Times New Roman" w:hAnsi="Times New Roman" w:cs="Times New Roman"/>
        </w:rPr>
        <w:t xml:space="preserve">While particular meat product trade was affected by the pandemics analyzed, the results are not unilaterally decreasing as hypothesized. In fact, some products show no significant difference from human health events and non-event trade, and one pandemic displayed no significant difference in trade whatsoever. This indicates that while pandemics may impact international meat trade, additional disease and trade factors should be analyzed. A protein trade impact analysis related to human health events aligns entirely with modern events and will continue to be applicable to the future. Understanding these effects is essential in keeping trade degenerative effects to a minimum, especially amongst substantial foreign </w:t>
      </w:r>
      <w:r w:rsidR="00905944">
        <w:rPr>
          <w:rFonts w:ascii="Times New Roman" w:hAnsi="Times New Roman" w:cs="Times New Roman"/>
        </w:rPr>
        <w:t>export markets</w:t>
      </w:r>
      <w:r w:rsidRPr="00702DDD">
        <w:rPr>
          <w:rFonts w:ascii="Times New Roman" w:hAnsi="Times New Roman" w:cs="Times New Roman"/>
        </w:rPr>
        <w:t xml:space="preserve">. </w:t>
      </w:r>
      <w:bookmarkStart w:id="29" w:name="_Toc420995896"/>
      <w:bookmarkStart w:id="30" w:name="_Toc422997483"/>
    </w:p>
    <w:p w14:paraId="6C5762BD" w14:textId="77777777" w:rsidR="008D3C4E" w:rsidRPr="00702DDD" w:rsidRDefault="008D3C4E" w:rsidP="00A41FF8">
      <w:pPr>
        <w:pStyle w:val="Heading1"/>
      </w:pPr>
    </w:p>
    <w:p w14:paraId="0089EE1C" w14:textId="077431E4" w:rsidR="00F16496" w:rsidRPr="00A41FF8" w:rsidRDefault="00853CA1" w:rsidP="00A41FF8">
      <w:pPr>
        <w:spacing w:after="160" w:line="259" w:lineRule="auto"/>
        <w:rPr>
          <w:rFonts w:ascii="Times New Roman" w:hAnsi="Times New Roman" w:cs="Times New Roman"/>
          <w:b/>
          <w:bCs/>
          <w:caps/>
          <w:color w:val="000000" w:themeColor="text1"/>
        </w:rPr>
      </w:pPr>
      <w:r w:rsidRPr="00702DDD">
        <w:rPr>
          <w:rFonts w:ascii="Times New Roman" w:hAnsi="Times New Roman" w:cs="Times New Roman"/>
        </w:rPr>
        <w:br w:type="page"/>
      </w:r>
    </w:p>
    <w:p w14:paraId="7F97B4F8" w14:textId="77777777" w:rsidR="00F16496" w:rsidRPr="00702DDD" w:rsidRDefault="00C016E8" w:rsidP="00A41FF8">
      <w:pPr>
        <w:pStyle w:val="Heading1"/>
      </w:pPr>
      <w:bookmarkStart w:id="31" w:name="_Toc98692982"/>
      <w:r w:rsidRPr="00702DDD">
        <w:lastRenderedPageBreak/>
        <w:t>Chapter 2: Factors Determining Affordability of Water Infrastructure Upgrades in Tennessee</w:t>
      </w:r>
      <w:bookmarkEnd w:id="31"/>
    </w:p>
    <w:p w14:paraId="35CC7650" w14:textId="7E39FCA7" w:rsidR="00BC427E" w:rsidRPr="00702DDD" w:rsidRDefault="008D3C4E" w:rsidP="00A41FF8">
      <w:pPr>
        <w:pStyle w:val="Heading1"/>
      </w:pPr>
      <w:r w:rsidRPr="00702DDD">
        <w:br w:type="page"/>
      </w:r>
      <w:bookmarkEnd w:id="29"/>
      <w:bookmarkEnd w:id="30"/>
    </w:p>
    <w:p w14:paraId="071C54A4" w14:textId="77777777" w:rsidR="00BC427E" w:rsidRPr="00A41FF8" w:rsidRDefault="00BC427E" w:rsidP="004560A0">
      <w:pPr>
        <w:spacing w:after="240" w:line="480" w:lineRule="auto"/>
        <w:jc w:val="center"/>
        <w:rPr>
          <w:rFonts w:ascii="Times New Roman" w:hAnsi="Times New Roman" w:cs="Times New Roman"/>
          <w:b/>
          <w:bCs/>
        </w:rPr>
      </w:pPr>
      <w:r w:rsidRPr="00A41FF8">
        <w:rPr>
          <w:rFonts w:ascii="Times New Roman" w:hAnsi="Times New Roman" w:cs="Times New Roman"/>
          <w:b/>
          <w:bCs/>
        </w:rPr>
        <w:lastRenderedPageBreak/>
        <w:t>ABSTRACT CHAPTER 2</w:t>
      </w:r>
    </w:p>
    <w:p w14:paraId="2FA227F4" w14:textId="361141B1" w:rsidR="00C016E8" w:rsidRPr="00702DDD" w:rsidRDefault="00C016E8" w:rsidP="00C016E8">
      <w:pPr>
        <w:spacing w:line="480" w:lineRule="auto"/>
        <w:rPr>
          <w:rFonts w:ascii="Times New Roman" w:hAnsi="Times New Roman" w:cs="Times New Roman"/>
        </w:rPr>
      </w:pPr>
      <w:r w:rsidRPr="00702DDD">
        <w:rPr>
          <w:rFonts w:ascii="Times New Roman" w:hAnsi="Times New Roman" w:cs="Times New Roman"/>
        </w:rPr>
        <w:t xml:space="preserve">Many communities in Tennessee face water infrastructure needs. By 2040, these needs are estimated near $15.6 billion. The Tennessee Department of Environment &amp; Conservation (TDEC) Clean Water State Revolving Fund (CWSRF) seeks to ease the burden of these costs on distressed communities through low-interest loans and subsidies. Traditionally, this assistance has been distributed by a single economic metric (e.g., median household income). This study seeks to determine water infrastructure affordability through Ability-to-Pay indices composed of several socioeconomic and financial factors. The ATP indices will more accurately determine community affordability and will be a method able to be replicated for future fund distribution. </w:t>
      </w:r>
    </w:p>
    <w:p w14:paraId="107CF599" w14:textId="77777777" w:rsidR="00BC427E" w:rsidRPr="00702DDD" w:rsidRDefault="00BC427E" w:rsidP="004560A0">
      <w:pPr>
        <w:spacing w:after="240" w:line="259" w:lineRule="auto"/>
        <w:rPr>
          <w:rFonts w:ascii="Times New Roman" w:hAnsi="Times New Roman" w:cs="Times New Roman"/>
        </w:rPr>
      </w:pPr>
      <w:r w:rsidRPr="00702DDD">
        <w:rPr>
          <w:rFonts w:ascii="Times New Roman" w:hAnsi="Times New Roman" w:cs="Times New Roman"/>
        </w:rPr>
        <w:br w:type="page"/>
      </w:r>
    </w:p>
    <w:p w14:paraId="77BB62BB" w14:textId="77777777" w:rsidR="00C016E8" w:rsidRPr="00702DDD" w:rsidRDefault="00C016E8" w:rsidP="000654A5">
      <w:pPr>
        <w:pStyle w:val="Heading2"/>
      </w:pPr>
      <w:bookmarkStart w:id="32" w:name="_Toc98444523"/>
      <w:bookmarkStart w:id="33" w:name="_Toc98692983"/>
      <w:r w:rsidRPr="00702DDD">
        <w:lastRenderedPageBreak/>
        <w:t>2.1 Introduction</w:t>
      </w:r>
      <w:bookmarkEnd w:id="32"/>
      <w:bookmarkEnd w:id="33"/>
    </w:p>
    <w:p w14:paraId="6AC7A0E2" w14:textId="1A100A87" w:rsidR="00C016E8" w:rsidRPr="00702DDD" w:rsidRDefault="00C016E8" w:rsidP="00C016E8">
      <w:pPr>
        <w:spacing w:line="480" w:lineRule="auto"/>
        <w:rPr>
          <w:rFonts w:ascii="Times New Roman" w:hAnsi="Times New Roman" w:cs="Times New Roman"/>
          <w:color w:val="000000"/>
        </w:rPr>
      </w:pPr>
      <w:r w:rsidRPr="00702DDD">
        <w:rPr>
          <w:rFonts w:ascii="Times New Roman" w:hAnsi="Times New Roman" w:cs="Times New Roman"/>
          <w:color w:val="000000"/>
        </w:rPr>
        <w:t xml:space="preserve">Water infrastructure upgrades to comply with federal and state regulations pose an economic burden directly on local governments and indirectly on communities. Regardless of a community’s overall wellbeing, these upgrades are often critical, expensive, and may cause environmental degradation and poor health outcomes if neglected. At the federal level, infrastructure improvements have been recognized as a national priority. The Biden administration has introduced several infrastructure plans to improve road, electric, and water infrastructure systems in need of repair </w:t>
      </w:r>
      <w:r w:rsidRPr="00702DDD">
        <w:rPr>
          <w:rFonts w:ascii="Times New Roman" w:hAnsi="Times New Roman" w:cs="Times New Roman"/>
          <w:color w:val="000000"/>
        </w:rPr>
        <w:fldChar w:fldCharType="begin"/>
      </w:r>
      <w:r w:rsidRPr="00702DDD">
        <w:rPr>
          <w:rFonts w:ascii="Times New Roman" w:hAnsi="Times New Roman" w:cs="Times New Roman"/>
          <w:color w:val="000000"/>
        </w:rPr>
        <w:instrText xml:space="preserve"> ADDIN ZOTERO_ITEM CSL_CITATION {"citationID":"PqJnvZs6","properties":{"formattedCitation":"(The White House, 2021)","plainCitation":"(The White House, 2021)","noteIndex":0},"citationItems":[{"id":3135,"uris":["http://zotero.org/groups/2546976/items/AMYJ8SKV"],"uri":["http://zotero.org/groups/2546976/items/AMYJ8SKV"],"itemData":{"id":3135,"type":"webpage","abstract":"While the American Rescue Plan is changing the course of the pandemic and delivering relief for working families, this is no time to build back to the way things were. This is the moment to reimagine and rebuild a new economy. The American Jobs Plan is an investment in America that will create millions of…","container-title":"The White House","language":"en-US","title":"FACT SHEET: The American Jobs Plan","title-short":"FACT SHEET","URL":"https://www.whitehouse.gov/briefing-room/statements-releases/2021/03/31/fact-sheet-the-american-jobs-plan/","author":[{"literal":"The White House"}],"accessed":{"date-parts":[["2021",7,13]]},"issued":{"date-parts":[["2021",3,31]]}}}],"schema":"https://github.com/citation-style-language/schema/raw/master/csl-citation.json"} </w:instrText>
      </w:r>
      <w:r w:rsidRPr="00702DDD">
        <w:rPr>
          <w:rFonts w:ascii="Times New Roman" w:hAnsi="Times New Roman" w:cs="Times New Roman"/>
          <w:color w:val="000000"/>
        </w:rPr>
        <w:fldChar w:fldCharType="separate"/>
      </w:r>
      <w:r w:rsidRPr="00702DDD">
        <w:rPr>
          <w:rFonts w:ascii="Times New Roman" w:hAnsi="Times New Roman" w:cs="Times New Roman"/>
        </w:rPr>
        <w:t>(The White House, 2021)</w:t>
      </w:r>
      <w:r w:rsidRPr="00702DDD">
        <w:rPr>
          <w:rFonts w:ascii="Times New Roman" w:hAnsi="Times New Roman" w:cs="Times New Roman"/>
          <w:color w:val="000000"/>
        </w:rPr>
        <w:fldChar w:fldCharType="end"/>
      </w:r>
      <w:r w:rsidRPr="00702DDD">
        <w:rPr>
          <w:rFonts w:ascii="Times New Roman" w:hAnsi="Times New Roman" w:cs="Times New Roman"/>
          <w:color w:val="000000"/>
        </w:rPr>
        <w:t>. While a sizable investment, these upgrades have been prioritized to improve communities while providing jobs.</w:t>
      </w:r>
    </w:p>
    <w:p w14:paraId="0773EF2C" w14:textId="131D5635" w:rsidR="00C016E8" w:rsidRPr="00702DDD" w:rsidRDefault="00C016E8" w:rsidP="00C016E8">
      <w:pPr>
        <w:spacing w:line="480" w:lineRule="auto"/>
        <w:ind w:firstLine="720"/>
        <w:rPr>
          <w:rFonts w:ascii="Times New Roman" w:hAnsi="Times New Roman" w:cs="Times New Roman"/>
          <w:color w:val="000000"/>
        </w:rPr>
      </w:pPr>
      <w:r w:rsidRPr="00702DDD">
        <w:rPr>
          <w:rFonts w:ascii="Times New Roman" w:hAnsi="Times New Roman" w:cs="Times New Roman"/>
          <w:color w:val="000000"/>
        </w:rPr>
        <w:t xml:space="preserve">Tennessee infrastructural needs are estimated to be $61.9 billion for the 2020-2025 period </w:t>
      </w:r>
      <w:r w:rsidRPr="00702DDD">
        <w:rPr>
          <w:rFonts w:ascii="Times New Roman" w:hAnsi="Times New Roman" w:cs="Times New Roman"/>
          <w:color w:val="000000"/>
        </w:rPr>
        <w:fldChar w:fldCharType="begin"/>
      </w:r>
      <w:r w:rsidRPr="00702DDD">
        <w:rPr>
          <w:rFonts w:ascii="Times New Roman" w:hAnsi="Times New Roman" w:cs="Times New Roman"/>
          <w:color w:val="000000"/>
        </w:rPr>
        <w:instrText xml:space="preserve"> ADDIN ZOTERO_ITEM CSL_CITATION {"citationID":"gRax1QFH","properties":{"formattedCitation":"(TACIR 2022)","plainCitation":"(TACIR 2022)","noteIndex":0},"citationItems":[{"id":3437,"uris":["http://zotero.org/groups/2546976/items/PRUBDZ97"],"uri":["http://zotero.org/groups/2546976/items/PRUBDZ97"],"itemData":{"id":3437,"type":"report","language":"en","page":"269","source":"Zotero","title":"Building Tennessee's Tomorrow: Anticipating the State’s Infrastructure Needs","URL":"https://www.tn.gov/content/dam/tn/tacir/infrastructure/2022infra2020-2025/2022_Infrastructure.pdf","author":[{"literal":"Tennessee Advisory Commission on Intergovernmental Relations"}],"issued":{"date-parts":[["2022",1]]}},"suppress-author":true,"prefix":"TACIR "}],"schema":"https://github.com/citation-style-language/schema/raw/master/csl-citation.json"} </w:instrText>
      </w:r>
      <w:r w:rsidRPr="00702DDD">
        <w:rPr>
          <w:rFonts w:ascii="Times New Roman" w:hAnsi="Times New Roman" w:cs="Times New Roman"/>
          <w:color w:val="000000"/>
        </w:rPr>
        <w:fldChar w:fldCharType="separate"/>
      </w:r>
      <w:r w:rsidRPr="00702DDD">
        <w:rPr>
          <w:rFonts w:ascii="Times New Roman" w:hAnsi="Times New Roman" w:cs="Times New Roman"/>
        </w:rPr>
        <w:t>(TACIR 2022)</w:t>
      </w:r>
      <w:r w:rsidRPr="00702DDD">
        <w:rPr>
          <w:rFonts w:ascii="Times New Roman" w:hAnsi="Times New Roman" w:cs="Times New Roman"/>
          <w:color w:val="000000"/>
        </w:rPr>
        <w:fldChar w:fldCharType="end"/>
      </w:r>
      <w:r w:rsidRPr="00702DDD">
        <w:rPr>
          <w:rFonts w:ascii="Times New Roman" w:hAnsi="Times New Roman" w:cs="Times New Roman"/>
          <w:color w:val="000000"/>
        </w:rPr>
        <w:t xml:space="preserve">. Up to $5 billion of these funds are needed for water and wastewater improvements. Unfortunately, an estimated $3.31 billion in funds are to be directed toward water infrastructure in this period </w:t>
      </w:r>
      <w:r w:rsidRPr="00702DDD">
        <w:rPr>
          <w:rFonts w:ascii="Times New Roman" w:hAnsi="Times New Roman" w:cs="Times New Roman"/>
          <w:color w:val="000000"/>
        </w:rPr>
        <w:fldChar w:fldCharType="begin"/>
      </w:r>
      <w:r w:rsidRPr="00702DDD">
        <w:rPr>
          <w:rFonts w:ascii="Times New Roman" w:hAnsi="Times New Roman" w:cs="Times New Roman"/>
          <w:color w:val="000000"/>
        </w:rPr>
        <w:instrText xml:space="preserve"> ADDIN ZOTERO_ITEM CSL_CITATION {"citationID":"2NB7HtEy","properties":{"formattedCitation":"(TACIR 2022)","plainCitation":"(TACIR 2022)","noteIndex":0},"citationItems":[{"id":3437,"uris":["http://zotero.org/groups/2546976/items/PRUBDZ97"],"uri":["http://zotero.org/groups/2546976/items/PRUBDZ97"],"itemData":{"id":3437,"type":"report","language":"en","page":"269","source":"Zotero","title":"Building Tennessee's Tomorrow: Anticipating the State’s Infrastructure Needs","URL":"https://www.tn.gov/content/dam/tn/tacir/infrastructure/2022infra2020-2025/2022_Infrastructure.pdf","author":[{"literal":"Tennessee Advisory Commission on Intergovernmental Relations"}],"issued":{"date-parts":[["2022",1]]}},"suppress-author":true,"prefix":"TACIR"}],"schema":"https://github.com/citation-style-language/schema/raw/master/csl-citation.json"} </w:instrText>
      </w:r>
      <w:r w:rsidRPr="00702DDD">
        <w:rPr>
          <w:rFonts w:ascii="Times New Roman" w:hAnsi="Times New Roman" w:cs="Times New Roman"/>
          <w:color w:val="000000"/>
        </w:rPr>
        <w:fldChar w:fldCharType="separate"/>
      </w:r>
      <w:r w:rsidRPr="00702DDD">
        <w:rPr>
          <w:rFonts w:ascii="Times New Roman" w:hAnsi="Times New Roman" w:cs="Times New Roman"/>
        </w:rPr>
        <w:t>(TACIR 2022)</w:t>
      </w:r>
      <w:r w:rsidRPr="00702DDD">
        <w:rPr>
          <w:rFonts w:ascii="Times New Roman" w:hAnsi="Times New Roman" w:cs="Times New Roman"/>
          <w:color w:val="000000"/>
        </w:rPr>
        <w:fldChar w:fldCharType="end"/>
      </w:r>
      <w:r w:rsidRPr="00702DDD">
        <w:rPr>
          <w:rFonts w:ascii="Times New Roman" w:hAnsi="Times New Roman" w:cs="Times New Roman"/>
          <w:color w:val="000000"/>
        </w:rPr>
        <w:t xml:space="preserve">. To help communities in economically distressed areas in need of water and wastewater upgrades, the Tennessee Department of Environment and Conservation (TDEC) distributes low-interest loans and subsidies through the Clean Water State Revolving Fund (CWSRF) to encourage infrastructure upgrades </w:t>
      </w:r>
      <w:r w:rsidRPr="00702DDD">
        <w:rPr>
          <w:rFonts w:ascii="Times New Roman" w:hAnsi="Times New Roman" w:cs="Times New Roman"/>
          <w:color w:val="000000"/>
        </w:rPr>
        <w:fldChar w:fldCharType="begin"/>
      </w:r>
      <w:r w:rsidRPr="00702DDD">
        <w:rPr>
          <w:rFonts w:ascii="Times New Roman" w:hAnsi="Times New Roman" w:cs="Times New Roman"/>
          <w:color w:val="000000"/>
        </w:rPr>
        <w:instrText xml:space="preserve"> ADDIN ZOTERO_ITEM CSL_CITATION {"citationID":"kDhWsOj1","properties":{"formattedCitation":"(TDEC 2021)","plainCitation":"(TDEC 2021)","noteIndex":0},"citationItems":[{"id":3394,"uris":["http://zotero.org/groups/2546976/items/CJQIGFRU"],"uri":["http://zotero.org/groups/2546976/items/CJQIGFRU"],"itemData":{"id":3394,"type":"webpage","title":"Clean Water State Revolving Fund","URL":"https://www.tn.gov/environment/program-areas/wr-water-resources/srfp/srf-home/clean-water-state-revolving-fund.html","author":[{"literal":"Tennessee Department of Environment &amp; Conservation"}],"accessed":{"date-parts":[["2022",1,14]]},"issued":{"date-parts":[["2021"]]}},"suppress-author":true,"prefix":"TDEC"}],"schema":"https://github.com/citation-style-language/schema/raw/master/csl-citation.json"} </w:instrText>
      </w:r>
      <w:r w:rsidRPr="00702DDD">
        <w:rPr>
          <w:rFonts w:ascii="Times New Roman" w:hAnsi="Times New Roman" w:cs="Times New Roman"/>
          <w:color w:val="000000"/>
        </w:rPr>
        <w:fldChar w:fldCharType="separate"/>
      </w:r>
      <w:r w:rsidRPr="00702DDD">
        <w:rPr>
          <w:rFonts w:ascii="Times New Roman" w:hAnsi="Times New Roman" w:cs="Times New Roman"/>
        </w:rPr>
        <w:t>(TDEC 2021)</w:t>
      </w:r>
      <w:r w:rsidRPr="00702DDD">
        <w:rPr>
          <w:rFonts w:ascii="Times New Roman" w:hAnsi="Times New Roman" w:cs="Times New Roman"/>
          <w:color w:val="000000"/>
        </w:rPr>
        <w:fldChar w:fldCharType="end"/>
      </w:r>
      <w:r w:rsidRPr="00702DDD">
        <w:rPr>
          <w:rFonts w:ascii="Times New Roman" w:hAnsi="Times New Roman" w:cs="Times New Roman"/>
          <w:color w:val="000000"/>
        </w:rPr>
        <w:t xml:space="preserve">. </w:t>
      </w:r>
    </w:p>
    <w:p w14:paraId="05AB2236" w14:textId="242EF6A9" w:rsidR="00C016E8" w:rsidRPr="00702DDD" w:rsidRDefault="00C016E8" w:rsidP="00C016E8">
      <w:pPr>
        <w:spacing w:line="480" w:lineRule="auto"/>
        <w:ind w:firstLine="720"/>
        <w:rPr>
          <w:rFonts w:ascii="Times New Roman" w:hAnsi="Times New Roman" w:cs="Times New Roman"/>
          <w:color w:val="000000"/>
        </w:rPr>
      </w:pPr>
      <w:r w:rsidRPr="00702DDD">
        <w:rPr>
          <w:rFonts w:ascii="Times New Roman" w:hAnsi="Times New Roman" w:cs="Times New Roman"/>
          <w:color w:val="000000"/>
        </w:rPr>
        <w:t xml:space="preserve">Because of limited funds and substantial community investment demand, decision makers must evaluate community financial situations to prioritize and determine where to allocate subsidized funds. A standard practice for this is to create an ability-to-pay index (ATPI) using median household income (MHI), a basic socioeconomic factor to estimate affordability </w:t>
      </w:r>
      <w:r w:rsidRPr="00702DDD">
        <w:rPr>
          <w:rFonts w:ascii="Times New Roman" w:hAnsi="Times New Roman" w:cs="Times New Roman"/>
          <w:color w:val="000000"/>
        </w:rPr>
        <w:fldChar w:fldCharType="begin"/>
      </w:r>
      <w:r w:rsidRPr="00702DDD">
        <w:rPr>
          <w:rFonts w:ascii="Times New Roman" w:hAnsi="Times New Roman" w:cs="Times New Roman"/>
          <w:color w:val="000000"/>
        </w:rPr>
        <w:instrText xml:space="preserve"> ADDIN ZOTERO_ITEM CSL_CITATION {"citationID":"RJIiGP9R","properties":{"formattedCitation":"(US EPA 2014)","plainCitation":"(US EPA 2014)","noteIndex":0},"citationItems":[{"id":3414,"uris":["http://zotero.org/groups/2546976/items/5TUYSXZN"],"uri":["http://zotero.org/groups/2546976/items/5TUYSXZN"],"itemData":{"id":3414,"type":"report","genre":"Report to Congress","title":"Utilization of Additional Subsidization Authority in the Clean Water and Drinking Water State Revolving Fund Program","author":[{"literal":"United States Environmental Protection Agency"}],"issued":{"date-parts":[["2014",4]]}},"suppress-author":true,"prefix":"US EPA"}],"schema":"https://github.com/citation-style-language/schema/raw/master/csl-citation.json"} </w:instrText>
      </w:r>
      <w:r w:rsidRPr="00702DDD">
        <w:rPr>
          <w:rFonts w:ascii="Times New Roman" w:hAnsi="Times New Roman" w:cs="Times New Roman"/>
          <w:color w:val="000000"/>
        </w:rPr>
        <w:fldChar w:fldCharType="separate"/>
      </w:r>
      <w:r w:rsidRPr="00702DDD">
        <w:rPr>
          <w:rFonts w:ascii="Times New Roman" w:hAnsi="Times New Roman" w:cs="Times New Roman"/>
        </w:rPr>
        <w:t>(US EPA 2014)</w:t>
      </w:r>
      <w:r w:rsidRPr="00702DDD">
        <w:rPr>
          <w:rFonts w:ascii="Times New Roman" w:hAnsi="Times New Roman" w:cs="Times New Roman"/>
          <w:color w:val="000000"/>
        </w:rPr>
        <w:fldChar w:fldCharType="end"/>
      </w:r>
      <w:r w:rsidRPr="00702DDD">
        <w:rPr>
          <w:rFonts w:ascii="Times New Roman" w:hAnsi="Times New Roman" w:cs="Times New Roman"/>
          <w:color w:val="000000"/>
        </w:rPr>
        <w:t xml:space="preserve">. An ATPI threshold is then established, with communities scoring at or below receiving aid for water infrastructure investments. However, the MHI ATPI does not fully capture trends in socio-economic conditions and community distress. Using publicly available </w:t>
      </w:r>
      <w:r w:rsidRPr="00702DDD">
        <w:rPr>
          <w:rFonts w:ascii="Times New Roman" w:hAnsi="Times New Roman" w:cs="Times New Roman"/>
          <w:color w:val="000000"/>
        </w:rPr>
        <w:lastRenderedPageBreak/>
        <w:t xml:space="preserve">community data, this study calculates and analyzes </w:t>
      </w:r>
      <w:sdt>
        <w:sdtPr>
          <w:rPr>
            <w:rFonts w:ascii="Times New Roman" w:hAnsi="Times New Roman" w:cs="Times New Roman"/>
          </w:rPr>
          <w:tag w:val="goog_rdk_3"/>
          <w:id w:val="58216069"/>
        </w:sdtPr>
        <w:sdtEndPr/>
        <w:sdtContent/>
      </w:sdt>
      <w:r w:rsidRPr="00702DDD">
        <w:rPr>
          <w:rFonts w:ascii="Times New Roman" w:hAnsi="Times New Roman" w:cs="Times New Roman"/>
          <w:color w:val="000000"/>
        </w:rPr>
        <w:t xml:space="preserve">two alternative ATPI calculations accounting for socioeconomic and financial variables to better estimate economic viability and community ability-to-pay (ATP) in determining individual community water infrastructure affordability at the county level. These alternative ATPIs (Simple Average and Negative Scaled Average methods) will be compared to the traditional MHI ATPI to evaluate the differences in community distress </w:t>
      </w:r>
      <w:r w:rsidRPr="00702DDD">
        <w:rPr>
          <w:rFonts w:ascii="Times New Roman" w:hAnsi="Times New Roman" w:cs="Times New Roman"/>
        </w:rPr>
        <w:t xml:space="preserve">as well as comparing the previously established distressed counties for accuracy. </w:t>
      </w:r>
      <w:r w:rsidRPr="00702DDD">
        <w:rPr>
          <w:rFonts w:ascii="Times New Roman" w:hAnsi="Times New Roman" w:cs="Times New Roman"/>
          <w:color w:val="000000"/>
        </w:rPr>
        <w:t>An Input-Output (I-O) model will then be used to quantify the economic impact of investing in</w:t>
      </w:r>
      <w:r w:rsidRPr="00702DDD">
        <w:rPr>
          <w:rFonts w:ascii="Times New Roman" w:hAnsi="Times New Roman" w:cs="Times New Roman"/>
        </w:rPr>
        <w:t xml:space="preserve"> water and wastewater systems</w:t>
      </w:r>
      <w:r w:rsidRPr="00702DDD">
        <w:rPr>
          <w:rFonts w:ascii="Times New Roman" w:hAnsi="Times New Roman" w:cs="Times New Roman"/>
          <w:color w:val="000000"/>
        </w:rPr>
        <w:t xml:space="preserve"> at the regional level based on the ATPI and compare the ATPI methods. </w:t>
      </w:r>
    </w:p>
    <w:p w14:paraId="114C2013" w14:textId="77777777" w:rsidR="00C016E8" w:rsidRPr="00702DDD" w:rsidRDefault="00C016E8" w:rsidP="00C016E8">
      <w:pPr>
        <w:spacing w:line="480" w:lineRule="auto"/>
        <w:ind w:firstLine="720"/>
        <w:rPr>
          <w:rFonts w:ascii="Times New Roman" w:hAnsi="Times New Roman" w:cs="Times New Roman"/>
          <w:color w:val="000000"/>
        </w:rPr>
      </w:pPr>
      <w:r w:rsidRPr="00702DDD">
        <w:rPr>
          <w:rFonts w:ascii="Times New Roman" w:hAnsi="Times New Roman" w:cs="Times New Roman"/>
          <w:color w:val="000000"/>
        </w:rPr>
        <w:t xml:space="preserve">This study’s objective is to compare the ATPI methods between each other and already determined distressed counties to determine which is the most appropriate and sustainable in identifying and prioritizing distressed communities regarding water infrastructure funds. The varying fund allocations per ATPI method will also be analyzed using the I-O analysis. The Negative Scaled Average method is expected to improve the MHI method by including more factors and continuing to identify distressed communities and capture the socio-economic trends among the three methods. These results will provide decision makers with alternative metrics for measuring community ATP to ensure an equitable distribution across low-income and disadvantaged communities while protecting public health, improving water quality, and meeting environmental standards benefitting Tennessee residents. </w:t>
      </w:r>
    </w:p>
    <w:p w14:paraId="3077440F" w14:textId="77777777" w:rsidR="00C016E8" w:rsidRPr="00702DDD" w:rsidRDefault="00C016E8" w:rsidP="000654A5">
      <w:pPr>
        <w:pStyle w:val="Heading2"/>
      </w:pPr>
      <w:bookmarkStart w:id="34" w:name="_Toc98444524"/>
      <w:bookmarkStart w:id="35" w:name="_Toc98692984"/>
      <w:r w:rsidRPr="00702DDD">
        <w:t>2.2 Literature Review</w:t>
      </w:r>
      <w:bookmarkEnd w:id="34"/>
      <w:bookmarkEnd w:id="35"/>
    </w:p>
    <w:p w14:paraId="6A7AAE0A" w14:textId="3E0DCBD9" w:rsidR="00C016E8" w:rsidRPr="00702DDD" w:rsidRDefault="00C016E8" w:rsidP="00A41FF8">
      <w:pPr>
        <w:pStyle w:val="Heading3"/>
      </w:pPr>
      <w:bookmarkStart w:id="36" w:name="_Toc98444525"/>
      <w:bookmarkStart w:id="37" w:name="_Toc98692985"/>
      <w:r w:rsidRPr="00702DDD">
        <w:t>2.2.1 Water Infrastructure</w:t>
      </w:r>
      <w:bookmarkEnd w:id="36"/>
      <w:bookmarkEnd w:id="37"/>
    </w:p>
    <w:p w14:paraId="7F73B77B" w14:textId="79D9E092" w:rsidR="00C016E8" w:rsidRPr="00702DDD" w:rsidRDefault="00C016E8" w:rsidP="00C016E8">
      <w:pPr>
        <w:spacing w:line="480" w:lineRule="auto"/>
        <w:rPr>
          <w:rFonts w:ascii="Times New Roman" w:hAnsi="Times New Roman" w:cs="Times New Roman"/>
          <w:highlight w:val="green"/>
        </w:rPr>
      </w:pPr>
      <w:r w:rsidRPr="00702DDD">
        <w:rPr>
          <w:rFonts w:ascii="Times New Roman" w:hAnsi="Times New Roman" w:cs="Times New Roman"/>
        </w:rPr>
        <w:t xml:space="preserve">Water infrastructure is foundational to American communities. An estimated 99% of the US population are provided piped water to their homes, a system reliant on shared community </w:t>
      </w:r>
      <w:r w:rsidRPr="00702DDD">
        <w:rPr>
          <w:rFonts w:ascii="Times New Roman" w:hAnsi="Times New Roman" w:cs="Times New Roman"/>
        </w:rPr>
        <w:lastRenderedPageBreak/>
        <w:t xml:space="preserve">infrastructure </w:t>
      </w:r>
      <w:r w:rsidRPr="00702DDD">
        <w:rPr>
          <w:rFonts w:ascii="Times New Roman" w:hAnsi="Times New Roman" w:cs="Times New Roman"/>
        </w:rPr>
        <w:fldChar w:fldCharType="begin"/>
      </w:r>
      <w:r w:rsidRPr="00702DDD">
        <w:rPr>
          <w:rFonts w:ascii="Times New Roman" w:hAnsi="Times New Roman" w:cs="Times New Roman"/>
        </w:rPr>
        <w:instrText xml:space="preserve"> ADDIN ZOTERO_ITEM CSL_CITATION {"citationID":"Gt82BOgv","properties":{"formattedCitation":"(VanDerslice, 2011)","plainCitation":"(VanDerslice, 2011)","noteIndex":0},"citationItems":[{"id":3427,"uris":["http://zotero.org/groups/2546976/items/3PJAZNHR"],"uri":["http://zotero.org/groups/2546976/items/3PJAZNHR"],"itemData":{"id":3427,"type":"article-journal","abstract":"Potable drinking water is essential to public health; however, few studies have investigated income or racial disparities in water infrastructure or drinking water quality.\n\nThere were many case reports documenting a lack of piped water or serious water quality problems in low income and minority communities, including tribal lands, Alaskan Native villages, colonias along the United States–Mexico border, and small communities in agricultural areas.\n\nOnly 3 studies compared the demographic characteristics of communities by the quality of their drinking water, and the results were mixed in these studies. Further assessments were hampered by difficulties linking specific water systems to the sociodemographic characteristics of communities, as well as little information about how well water systems operated and the effectiveness of governmental oversight.","container-title":"American Journal of Public Health","DOI":"10/c4ffmx","ISSN":"0090-0036","issue":"S1","journalAbbreviation":"Am J Public Health","note":"publisher: American Public Health Association","page":"S109-S114","source":"ajph.aphapublications.org (Atypon)","title":"Drinking Water Infrastructure and Environmental Disparities: Evidence and Methodological Considerations","title-short":"Drinking Water Infrastructure and Environmental Disparities","volume":"101","author":[{"family":"VanDerslice","given":"James"}],"issued":{"date-parts":[["2011",12,1]]}}}],"schema":"https://github.com/citation-style-language/schema/raw/master/csl-citation.json"} </w:instrText>
      </w:r>
      <w:r w:rsidRPr="00702DDD">
        <w:rPr>
          <w:rFonts w:ascii="Times New Roman" w:hAnsi="Times New Roman" w:cs="Times New Roman"/>
        </w:rPr>
        <w:fldChar w:fldCharType="separate"/>
      </w:r>
      <w:r w:rsidRPr="00702DDD">
        <w:rPr>
          <w:rFonts w:ascii="Times New Roman" w:hAnsi="Times New Roman" w:cs="Times New Roman"/>
        </w:rPr>
        <w:t>(VanDerslice, 2011)</w:t>
      </w:r>
      <w:r w:rsidRPr="00702DDD">
        <w:rPr>
          <w:rFonts w:ascii="Times New Roman" w:hAnsi="Times New Roman" w:cs="Times New Roman"/>
        </w:rPr>
        <w:fldChar w:fldCharType="end"/>
      </w:r>
      <w:r w:rsidRPr="00702DDD">
        <w:rPr>
          <w:rFonts w:ascii="Times New Roman" w:hAnsi="Times New Roman" w:cs="Times New Roman"/>
        </w:rPr>
        <w:t>. This infrastructure implementation and maintenance is regulated at the federal level by the Environmental Protection Agency (EPA) under the Clean Water Act while supplementing state-level funds with the CWSRF.</w:t>
      </w:r>
      <w:r w:rsidR="00853CA1" w:rsidRPr="00702DDD">
        <w:rPr>
          <w:rFonts w:ascii="Times New Roman" w:hAnsi="Times New Roman" w:cs="Times New Roman"/>
        </w:rPr>
        <w:t xml:space="preserve"> </w:t>
      </w:r>
      <w:r w:rsidRPr="00702DDD">
        <w:rPr>
          <w:rFonts w:ascii="Times New Roman" w:hAnsi="Times New Roman" w:cs="Times New Roman"/>
        </w:rPr>
        <w:t xml:space="preserve">Created in 1987, the CWSRF assists various qualifying water projects including water treatment systems construction and maintenance, stormwater, watershed, energy, and conservation </w:t>
      </w:r>
      <w:r w:rsidRPr="00702DDD">
        <w:rPr>
          <w:rFonts w:ascii="Times New Roman" w:hAnsi="Times New Roman" w:cs="Times New Roman"/>
        </w:rPr>
        <w:fldChar w:fldCharType="begin"/>
      </w:r>
      <w:r w:rsidRPr="00702DDD">
        <w:rPr>
          <w:rFonts w:ascii="Times New Roman" w:hAnsi="Times New Roman" w:cs="Times New Roman"/>
        </w:rPr>
        <w:instrText xml:space="preserve"> ADDIN ZOTERO_ITEM CSL_CITATION {"citationID":"jH6pjU1w","properties":{"formattedCitation":"(US EPA 2015)","plainCitation":"(US EPA 2015)","noteIndex":0},"citationItems":[{"id":3396,"uris":["http://zotero.org/groups/2546976/items/LWITTFVR"],"uri":["http://zotero.org/groups/2546976/items/LWITTFVR"],"itemData":{"id":3396,"type":"webpage","abstract":"The Clean Water State Revolving Fund provides financial assistance for a range of water infrastructure projects. Learn how it works, project eligibility, and types of financial assistance it can provide for water quality projects.","genre":"Overviews and Factsheets","language":"en","title":"Learn about the Clean Water State Revolving Fund (CWSRF)","URL":"https://www.epa.gov/cwsrf/learn-about-clean-water-state-revolving-fund-cwsrf","author":[{"literal":"United States Environmental Protection Agency"}],"accessed":{"date-parts":[["2022",1,14]]},"issued":{"date-parts":[["2015",4,16]]}},"suppress-author":true,"prefix":"US EPA"}],"schema":"https://github.com/citation-style-language/schema/raw/master/csl-citation.json"} </w:instrText>
      </w:r>
      <w:r w:rsidRPr="00702DDD">
        <w:rPr>
          <w:rFonts w:ascii="Times New Roman" w:hAnsi="Times New Roman" w:cs="Times New Roman"/>
        </w:rPr>
        <w:fldChar w:fldCharType="separate"/>
      </w:r>
      <w:r w:rsidRPr="00702DDD">
        <w:rPr>
          <w:rFonts w:ascii="Times New Roman" w:hAnsi="Times New Roman" w:cs="Times New Roman"/>
        </w:rPr>
        <w:t>(US EPA 2015)</w:t>
      </w:r>
      <w:r w:rsidRPr="00702DDD">
        <w:rPr>
          <w:rFonts w:ascii="Times New Roman" w:hAnsi="Times New Roman" w:cs="Times New Roman"/>
        </w:rPr>
        <w:fldChar w:fldCharType="end"/>
      </w:r>
      <w:r w:rsidRPr="00702DDD">
        <w:rPr>
          <w:rFonts w:ascii="Times New Roman" w:hAnsi="Times New Roman" w:cs="Times New Roman"/>
        </w:rPr>
        <w:t>. The program’s $145 billion dollar support (and counting) impacts thousands of American communities struggling with water infrastructure inadequacies. These funds are distributed by state agencies (e.g., TDEC in Tennessee) following EPA guidelines at their respective discretion. Without a standard practice in place,</w:t>
      </w:r>
      <w:sdt>
        <w:sdtPr>
          <w:rPr>
            <w:rFonts w:ascii="Times New Roman" w:hAnsi="Times New Roman" w:cs="Times New Roman"/>
          </w:rPr>
          <w:tag w:val="goog_rdk_7"/>
          <w:id w:val="56206446"/>
        </w:sdtPr>
        <w:sdtEndPr/>
        <w:sdtContent/>
      </w:sdt>
      <w:r w:rsidRPr="00702DDD">
        <w:rPr>
          <w:rFonts w:ascii="Times New Roman" w:hAnsi="Times New Roman" w:cs="Times New Roman"/>
        </w:rPr>
        <w:t xml:space="preserve"> many states default to ranking community affordability by MHI or other inconsistent factors </w:t>
      </w:r>
      <w:r w:rsidRPr="00702DDD">
        <w:rPr>
          <w:rFonts w:ascii="Times New Roman" w:hAnsi="Times New Roman" w:cs="Times New Roman"/>
        </w:rPr>
        <w:fldChar w:fldCharType="begin"/>
      </w:r>
      <w:r w:rsidRPr="00702DDD">
        <w:rPr>
          <w:rFonts w:ascii="Times New Roman" w:hAnsi="Times New Roman" w:cs="Times New Roman"/>
        </w:rPr>
        <w:instrText xml:space="preserve"> ADDIN ZOTERO_ITEM CSL_CITATION {"citationID":"fpgfobPR","properties":{"formattedCitation":"(US EPA 2014)","plainCitation":"(US EPA 2014)","noteIndex":0},"citationItems":[{"id":3414,"uris":["http://zotero.org/groups/2546976/items/5TUYSXZN"],"uri":["http://zotero.org/groups/2546976/items/5TUYSXZN"],"itemData":{"id":3414,"type":"report","genre":"Report to Congress","title":"Utilization of Additional Subsidization Authority in the Clean Water and Drinking Water State Revolving Fund Program","author":[{"literal":"United States Environmental Protection Agency"}],"issued":{"date-parts":[["2014",4]]}},"suppress-author":true,"prefix":"US EPA"}],"schema":"https://github.com/citation-style-language/schema/raw/master/csl-citation.json"} </w:instrText>
      </w:r>
      <w:r w:rsidRPr="00702DDD">
        <w:rPr>
          <w:rFonts w:ascii="Times New Roman" w:hAnsi="Times New Roman" w:cs="Times New Roman"/>
        </w:rPr>
        <w:fldChar w:fldCharType="separate"/>
      </w:r>
      <w:r w:rsidRPr="00702DDD">
        <w:rPr>
          <w:rFonts w:ascii="Times New Roman" w:hAnsi="Times New Roman" w:cs="Times New Roman"/>
        </w:rPr>
        <w:t>(US EPA 2014)</w:t>
      </w:r>
      <w:r w:rsidRPr="00702DDD">
        <w:rPr>
          <w:rFonts w:ascii="Times New Roman" w:hAnsi="Times New Roman" w:cs="Times New Roman"/>
        </w:rPr>
        <w:fldChar w:fldCharType="end"/>
      </w:r>
      <w:r w:rsidRPr="00702DDD">
        <w:rPr>
          <w:rFonts w:ascii="Times New Roman" w:hAnsi="Times New Roman" w:cs="Times New Roman"/>
        </w:rPr>
        <w:t xml:space="preserve">. Forming a reliable, standard, and replicable affordability indexing method would benefit community ranking at a regional level that indirectly benefits TDEC in allocating resources to communities in need. </w:t>
      </w:r>
    </w:p>
    <w:p w14:paraId="1552E192" w14:textId="67C6DE92" w:rsidR="00C016E8" w:rsidRPr="00702DDD" w:rsidRDefault="00C016E8" w:rsidP="00A41FF8">
      <w:pPr>
        <w:pStyle w:val="Heading3"/>
      </w:pPr>
      <w:bookmarkStart w:id="38" w:name="_Toc98692986"/>
      <w:r w:rsidRPr="00702DDD">
        <w:t>2.2.</w:t>
      </w:r>
      <w:r w:rsidR="003C7821" w:rsidRPr="00702DDD">
        <w:t>2</w:t>
      </w:r>
      <w:r w:rsidRPr="00702DDD">
        <w:t xml:space="preserve"> Indices</w:t>
      </w:r>
      <w:bookmarkEnd w:id="38"/>
    </w:p>
    <w:p w14:paraId="27A4697E" w14:textId="77777777" w:rsidR="00C016E8" w:rsidRPr="00702DDD" w:rsidRDefault="00C016E8" w:rsidP="00C016E8">
      <w:pPr>
        <w:spacing w:line="480" w:lineRule="auto"/>
        <w:rPr>
          <w:rFonts w:ascii="Times New Roman" w:hAnsi="Times New Roman" w:cs="Times New Roman"/>
        </w:rPr>
      </w:pPr>
      <w:r w:rsidRPr="00702DDD">
        <w:rPr>
          <w:rFonts w:ascii="Times New Roman" w:hAnsi="Times New Roman" w:cs="Times New Roman"/>
        </w:rPr>
        <w:t xml:space="preserve">To most effectively estimate community water infrastructure affordability, the ATPI factors and formation must be as accurate as possible in analysis. While few studies in the literature focus on community water infrastructure directly, many incorporate indices for similar affordability purposes. </w:t>
      </w:r>
    </w:p>
    <w:p w14:paraId="696FDD3D" w14:textId="1B41CCBB" w:rsidR="00C016E8" w:rsidRPr="00702DDD" w:rsidRDefault="00C016E8" w:rsidP="00C016E8">
      <w:pPr>
        <w:spacing w:line="480" w:lineRule="auto"/>
        <w:ind w:firstLine="720"/>
        <w:rPr>
          <w:rFonts w:ascii="Times New Roman" w:hAnsi="Times New Roman" w:cs="Times New Roman"/>
        </w:rPr>
      </w:pPr>
      <w:r w:rsidRPr="00702DDD">
        <w:rPr>
          <w:rFonts w:ascii="Times New Roman" w:hAnsi="Times New Roman" w:cs="Times New Roman"/>
        </w:rPr>
        <w:t xml:space="preserve">An index's factor selection must be considered first and foremost. </w:t>
      </w:r>
      <w:sdt>
        <w:sdtPr>
          <w:rPr>
            <w:rFonts w:ascii="Times New Roman" w:hAnsi="Times New Roman" w:cs="Times New Roman"/>
          </w:rPr>
          <w:tag w:val="goog_rdk_8"/>
          <w:id w:val="-1024789019"/>
        </w:sdtPr>
        <w:sdtEndPr/>
        <w:sdtContent/>
      </w:sdt>
      <w:r w:rsidRPr="00702DDD">
        <w:rPr>
          <w:rFonts w:ascii="Times New Roman" w:hAnsi="Times New Roman" w:cs="Times New Roman"/>
        </w:rPr>
        <w:t xml:space="preserve">A 2003 study comprehensively examined multiple methods used in various well-being indices and emphasized the importance of choosing factors both relevant and high in correlation with the desired index measure (both increasing or decreasing simultaneously when one is affected) </w:t>
      </w:r>
      <w:r w:rsidRPr="00702DDD">
        <w:rPr>
          <w:rFonts w:ascii="Times New Roman" w:hAnsi="Times New Roman" w:cs="Times New Roman"/>
        </w:rPr>
        <w:fldChar w:fldCharType="begin"/>
      </w:r>
      <w:r w:rsidRPr="00702DDD">
        <w:rPr>
          <w:rFonts w:ascii="Times New Roman" w:hAnsi="Times New Roman" w:cs="Times New Roman"/>
        </w:rPr>
        <w:instrText xml:space="preserve"> ADDIN ZOTERO_ITEM CSL_CITATION {"citationID":"vecq02MP","properties":{"formattedCitation":"(Salzman, 2003)","plainCitation":"(Salzman, 2003)","noteIndex":0},"citationItems":[{"id":3148,"uris":["http://zotero.org/groups/2546976/items/49A64QYA"],"uri":["http://zotero.org/groups/2546976/items/49A64QYA"],"itemData":{"id":3148,"type":"article-journal","abstract":"In recent year a large number of composite indexes of economic and social well-being have been developed (Hagerty et. al., 2001). Unfortunately, the methodological issues associated with index construction have often been neglected or inadequately treated by index developers. The objective of this paper is to provide a comprehensive review of the methodological choices involved in the construction of indexes of economic and social well-being and the implications of the choices for the properties of the index. Building on a recent paper by Booysen (2002) and work done by the United National Development Program (e.g. Anand and Sen, 1994), the paper addresses issues related to the choice of functional form of variables, scaling issues, the aggregation operations, weighting schemes, and the choice between single and complementary composite indexes. A detailed typology of the issues addressed in the paper accompanies this abstract. The paper concludes with a list of recommendations for best-practice methodologies for composite index construction.","language":"en","page":"33","source":"Zotero","title":"Methodological Choices Encountered in the Construction of Composite Indices of Economic and Social Well-Being","author":[{"family":"Salzman","given":"Julia"}],"issued":{"date-parts":[["2003",3,13]]}}}],"schema":"https://github.com/citation-style-language/schema/raw/master/csl-citation.json"} </w:instrText>
      </w:r>
      <w:r w:rsidRPr="00702DDD">
        <w:rPr>
          <w:rFonts w:ascii="Times New Roman" w:hAnsi="Times New Roman" w:cs="Times New Roman"/>
        </w:rPr>
        <w:fldChar w:fldCharType="separate"/>
      </w:r>
      <w:r w:rsidRPr="00702DDD">
        <w:rPr>
          <w:rFonts w:ascii="Times New Roman" w:hAnsi="Times New Roman" w:cs="Times New Roman"/>
        </w:rPr>
        <w:t>(Salzman, 2003)</w:t>
      </w:r>
      <w:r w:rsidRPr="00702DDD">
        <w:rPr>
          <w:rFonts w:ascii="Times New Roman" w:hAnsi="Times New Roman" w:cs="Times New Roman"/>
        </w:rPr>
        <w:fldChar w:fldCharType="end"/>
      </w:r>
      <w:r w:rsidRPr="00702DDD">
        <w:rPr>
          <w:rFonts w:ascii="Times New Roman" w:hAnsi="Times New Roman" w:cs="Times New Roman"/>
        </w:rPr>
        <w:t>.  In this study, the factors chosen were to identify socio-economic and financial extent in each community. This intent is comparable to a</w:t>
      </w:r>
      <w:r w:rsidR="00853CA1" w:rsidRPr="00702DDD">
        <w:rPr>
          <w:rFonts w:ascii="Times New Roman" w:hAnsi="Times New Roman" w:cs="Times New Roman"/>
        </w:rPr>
        <w:t xml:space="preserve"> </w:t>
      </w:r>
      <w:r w:rsidRPr="00702DDD">
        <w:rPr>
          <w:rFonts w:ascii="Times New Roman" w:hAnsi="Times New Roman" w:cs="Times New Roman"/>
        </w:rPr>
        <w:t xml:space="preserve">2012 study analyzing various methodologies to create </w:t>
      </w:r>
      <w:r w:rsidRPr="00702DDD">
        <w:rPr>
          <w:rFonts w:ascii="Times New Roman" w:hAnsi="Times New Roman" w:cs="Times New Roman"/>
        </w:rPr>
        <w:lastRenderedPageBreak/>
        <w:t xml:space="preserve">an Index of Economic Well-Being (IEWB) amongst fourteen countries </w:t>
      </w:r>
      <w:r w:rsidRPr="00702DDD">
        <w:rPr>
          <w:rFonts w:ascii="Times New Roman" w:hAnsi="Times New Roman" w:cs="Times New Roman"/>
        </w:rPr>
        <w:fldChar w:fldCharType="begin"/>
      </w:r>
      <w:r w:rsidRPr="00702DDD">
        <w:rPr>
          <w:rFonts w:ascii="Times New Roman" w:hAnsi="Times New Roman" w:cs="Times New Roman"/>
        </w:rPr>
        <w:instrText xml:space="preserve"> ADDIN ZOTERO_ITEM CSL_CITATION {"citationID":"tkkQ3T9E","properties":{"formattedCitation":"(Sharpe et al., 2012)","plainCitation":"(Sharpe et al., 2012)","noteIndex":0},"citationItems":[{"id":2306,"uris":["http://zotero.org/groups/2546976/items/5D9N5E6W"],"uri":["http://zotero.org/groups/2546976/items/5D9N5E6W"],"itemData":{"id":2306,"type":"book","abstract":"The Index of Economic Well-Being (IEWB)  – a composite indicator consisting of consumption, wealth, equality, and economic security – underwent several changes in the weighting of its components. For example, the final aggregation of the IEWB was changed to equal weighting after the IEWB was criticized for having a bias against sustainability; however, all weighting schemes have both advantages and shortcomings. To isolate the preferred ordinal ranking for the results, strong and weak dominance rules were established for countries across several observed weighting schemes, and each of these rules were ranked in all possible ways. An 'iterative dominance equilibrium ' was computed for comparison to observed weighting schemes. Constrained data envelopment analysis (CDEA) performed best, yet CDEA is not ideal for comparisons across countries. Among explicit weights, the original weights of the IEWB were best. Although the original weights are supported, they were controversial – a shift to equal","source":"CiteSeer","title":"An Assessment of Weighting Methodologies for Composite Indicators: The Case of the Index of Economic Well-being","title-short":"An Assessment of Weighting Methodologies for Composite Indicators","author":[{"family":"Sharpe","given":"Andrew"},{"family":"Andrews","given":"Brendon"},{"family":"Well-being","given":"Economic"}],"issued":{"date-parts":[["2012"]]}}}],"schema":"https://github.com/citation-style-language/schema/raw/master/csl-citation.json"} </w:instrText>
      </w:r>
      <w:r w:rsidRPr="00702DDD">
        <w:rPr>
          <w:rFonts w:ascii="Times New Roman" w:hAnsi="Times New Roman" w:cs="Times New Roman"/>
        </w:rPr>
        <w:fldChar w:fldCharType="separate"/>
      </w:r>
      <w:r w:rsidRPr="00702DDD">
        <w:rPr>
          <w:rFonts w:ascii="Times New Roman" w:hAnsi="Times New Roman" w:cs="Times New Roman"/>
        </w:rPr>
        <w:t>(Sharpe et al., 2012)</w:t>
      </w:r>
      <w:r w:rsidRPr="00702DDD">
        <w:rPr>
          <w:rFonts w:ascii="Times New Roman" w:hAnsi="Times New Roman" w:cs="Times New Roman"/>
        </w:rPr>
        <w:fldChar w:fldCharType="end"/>
      </w:r>
      <w:r w:rsidRPr="00702DDD">
        <w:rPr>
          <w:rFonts w:ascii="Times New Roman" w:hAnsi="Times New Roman" w:cs="Times New Roman"/>
        </w:rPr>
        <w:t xml:space="preserve">. The national factors chosen represented four wellness measures: consumption, wealth, economic equality, and economic security. While many factors specifically reflect national measures and therefore do not apply to this study (e.g. GDP growth and greenhouse gas (GHG) emissions), some were applicable, similarly used, and could be applied to the ATPI methodology </w:t>
      </w:r>
      <w:r w:rsidRPr="00702DDD">
        <w:rPr>
          <w:rFonts w:ascii="Times New Roman" w:hAnsi="Times New Roman" w:cs="Times New Roman"/>
        </w:rPr>
        <w:fldChar w:fldCharType="begin"/>
      </w:r>
      <w:r w:rsidRPr="00702DDD">
        <w:rPr>
          <w:rFonts w:ascii="Times New Roman" w:hAnsi="Times New Roman" w:cs="Times New Roman"/>
        </w:rPr>
        <w:instrText xml:space="preserve"> ADDIN ZOTERO_ITEM CSL_CITATION {"citationID":"8njgeSYl","properties":{"formattedCitation":"(Sharpe et al., 2012)","plainCitation":"(Sharpe et al., 2012)","noteIndex":0},"citationItems":[{"id":2306,"uris":["http://zotero.org/groups/2546976/items/5D9N5E6W"],"uri":["http://zotero.org/groups/2546976/items/5D9N5E6W"],"itemData":{"id":2306,"type":"book","abstract":"The Index of Economic Well-Being (IEWB)  – a composite indicator consisting of consumption, wealth, equality, and economic security – underwent several changes in the weighting of its components. For example, the final aggregation of the IEWB was changed to equal weighting after the IEWB was criticized for having a bias against sustainability; however, all weighting schemes have both advantages and shortcomings. To isolate the preferred ordinal ranking for the results, strong and weak dominance rules were established for countries across several observed weighting schemes, and each of these rules were ranked in all possible ways. An 'iterative dominance equilibrium ' was computed for comparison to observed weighting schemes. Constrained data envelopment analysis (CDEA) performed best, yet CDEA is not ideal for comparisons across countries. Among explicit weights, the original weights of the IEWB were best. Although the original weights are supported, they were controversial – a shift to equal","source":"CiteSeer","title":"An Assessment of Weighting Methodologies for Composite Indicators: The Case of the Index of Economic Well-being","title-short":"An Assessment of Weighting Methodologies for Composite Indicators","author":[{"family":"Sharpe","given":"Andrew"},{"family":"Andrews","given":"Brendon"},{"family":"Well-being","given":"Economic"}],"issued":{"date-parts":[["2012"]]}}}],"schema":"https://github.com/citation-style-language/schema/raw/master/csl-citation.json"} </w:instrText>
      </w:r>
      <w:r w:rsidRPr="00702DDD">
        <w:rPr>
          <w:rFonts w:ascii="Times New Roman" w:hAnsi="Times New Roman" w:cs="Times New Roman"/>
        </w:rPr>
        <w:fldChar w:fldCharType="separate"/>
      </w:r>
      <w:r w:rsidRPr="00702DDD">
        <w:rPr>
          <w:rFonts w:ascii="Times New Roman" w:hAnsi="Times New Roman" w:cs="Times New Roman"/>
        </w:rPr>
        <w:t>(Sharpe et al., 2012)</w:t>
      </w:r>
      <w:r w:rsidRPr="00702DDD">
        <w:rPr>
          <w:rFonts w:ascii="Times New Roman" w:hAnsi="Times New Roman" w:cs="Times New Roman"/>
        </w:rPr>
        <w:fldChar w:fldCharType="end"/>
      </w:r>
      <w:r w:rsidRPr="00702DDD">
        <w:rPr>
          <w:rFonts w:ascii="Times New Roman" w:hAnsi="Times New Roman" w:cs="Times New Roman"/>
        </w:rPr>
        <w:t xml:space="preserve">. The Sharpe and Andrews (2012) study use of poverty, unemployment, and expenditures in its analysis is replicated in the ATPI method discussed in this paper. While the various weighing methods in this study will not be analyzed (but could potentially be in future studies), the variety of wellness factors supports the ATPI implementation regardless of average method. </w:t>
      </w:r>
    </w:p>
    <w:p w14:paraId="03875E88" w14:textId="6817CF91" w:rsidR="00C016E8" w:rsidRPr="00702DDD" w:rsidRDefault="00C016E8" w:rsidP="00C016E8">
      <w:pPr>
        <w:spacing w:line="480" w:lineRule="auto"/>
        <w:ind w:firstLine="720"/>
        <w:rPr>
          <w:rFonts w:ascii="Times New Roman" w:hAnsi="Times New Roman" w:cs="Times New Roman"/>
          <w:highlight w:val="green"/>
        </w:rPr>
      </w:pPr>
      <w:r w:rsidRPr="00702DDD">
        <w:rPr>
          <w:rFonts w:ascii="Times New Roman" w:hAnsi="Times New Roman" w:cs="Times New Roman"/>
        </w:rPr>
        <w:t xml:space="preserve">After factor selection, the averaging for each method must be considered. The Simple Average method aggregates the factor scores (in relation to Tennessee, as outlined in the methodology) and averages the total. While non-robust, this method is straightforward and will serve as comparison to improve the Negative Scaled method. Salzman emphasizes the importance of standardizing an index, especially if the factor scores are not consistent (e.g. not in ratios or percentages) </w:t>
      </w:r>
      <w:r w:rsidRPr="00702DDD">
        <w:rPr>
          <w:rFonts w:ascii="Times New Roman" w:hAnsi="Times New Roman" w:cs="Times New Roman"/>
        </w:rPr>
        <w:fldChar w:fldCharType="begin"/>
      </w:r>
      <w:r w:rsidRPr="00702DDD">
        <w:rPr>
          <w:rFonts w:ascii="Times New Roman" w:hAnsi="Times New Roman" w:cs="Times New Roman"/>
        </w:rPr>
        <w:instrText xml:space="preserve"> ADDIN ZOTERO_ITEM CSL_CITATION {"citationID":"VaBh0Dg1","properties":{"formattedCitation":"(2003)","plainCitation":"(2003)","noteIndex":0},"citationItems":[{"id":3148,"uris":["http://zotero.org/groups/2546976/items/49A64QYA"],"uri":["http://zotero.org/groups/2546976/items/49A64QYA"],"itemData":{"id":3148,"type":"article-journal","abstract":"In recent year a large number of composite indexes of economic and social well-being have been developed (Hagerty et. al., 2001). Unfortunately, the methodological issues associated with index construction have often been neglected or inadequately treated by index developers. The objective of this paper is to provide a comprehensive review of the methodological choices involved in the construction of indexes of economic and social well-being and the implications of the choices for the properties of the index. Building on a recent paper by Booysen (2002) and work done by the United National Development Program (e.g. Anand and Sen, 1994), the paper addresses issues related to the choice of functional form of variables, scaling issues, the aggregation operations, weighting schemes, and the choice between single and complementary composite indexes. A detailed typology of the issues addressed in the paper accompanies this abstract. The paper concludes with a list of recommendations for best-practice methodologies for composite index construction.","language":"en","page":"33","source":"Zotero","title":"Methodological Choices Encountered in the Construction of Composite Indices of Economic and Social Well-Being","author":[{"family":"Salzman","given":"Julia"}],"issued":{"date-parts":[["2003",3,13]]}},"suppress-author":true}],"schema":"https://github.com/citation-style-language/schema/raw/master/csl-citation.json"} </w:instrText>
      </w:r>
      <w:r w:rsidRPr="00702DDD">
        <w:rPr>
          <w:rFonts w:ascii="Times New Roman" w:hAnsi="Times New Roman" w:cs="Times New Roman"/>
        </w:rPr>
        <w:fldChar w:fldCharType="separate"/>
      </w:r>
      <w:r w:rsidRPr="00702DDD">
        <w:rPr>
          <w:rFonts w:ascii="Times New Roman" w:hAnsi="Times New Roman" w:cs="Times New Roman"/>
        </w:rPr>
        <w:t>(2003)</w:t>
      </w:r>
      <w:r w:rsidRPr="00702DDD">
        <w:rPr>
          <w:rFonts w:ascii="Times New Roman" w:hAnsi="Times New Roman" w:cs="Times New Roman"/>
        </w:rPr>
        <w:fldChar w:fldCharType="end"/>
      </w:r>
      <w:r w:rsidRPr="00702DDD">
        <w:rPr>
          <w:rFonts w:ascii="Times New Roman" w:hAnsi="Times New Roman" w:cs="Times New Roman"/>
        </w:rPr>
        <w:t xml:space="preserve">. Utilizing a normalization method will represent each factor equally in the final aggregation, as preventing bias toward any one affordability measure. The Linear Scaling Technique (LST) as mentioned by Salzman, has been used in various indices to estimate each factor’s value in relation to the data range and create unilateral ranges easy to compare between </w:t>
      </w:r>
      <w:r w:rsidRPr="00702DDD">
        <w:rPr>
          <w:rFonts w:ascii="Times New Roman" w:hAnsi="Times New Roman" w:cs="Times New Roman"/>
        </w:rPr>
        <w:fldChar w:fldCharType="begin"/>
      </w:r>
      <w:r w:rsidRPr="00702DDD">
        <w:rPr>
          <w:rFonts w:ascii="Times New Roman" w:hAnsi="Times New Roman" w:cs="Times New Roman"/>
        </w:rPr>
        <w:instrText xml:space="preserve"> ADDIN ZOTERO_ITEM CSL_CITATION {"citationID":"WwVwHCX0","properties":{"formattedCitation":"(2003)","plainCitation":"(2003)","noteIndex":0},"citationItems":[{"id":3148,"uris":["http://zotero.org/groups/2546976/items/49A64QYA"],"uri":["http://zotero.org/groups/2546976/items/49A64QYA"],"itemData":{"id":3148,"type":"article-journal","abstract":"In recent year a large number of composite indexes of economic and social well-being have been developed (Hagerty et. al., 2001). Unfortunately, the methodological issues associated with index construction have often been neglected or inadequately treated by index developers. The objective of this paper is to provide a comprehensive review of the methodological choices involved in the construction of indexes of economic and social well-being and the implications of the choices for the properties of the index. Building on a recent paper by Booysen (2002) and work done by the United National Development Program (e.g. Anand and Sen, 1994), the paper addresses issues related to the choice of functional form of variables, scaling issues, the aggregation operations, weighting schemes, and the choice between single and complementary composite indexes. A detailed typology of the issues addressed in the paper accompanies this abstract. The paper concludes with a list of recommendations for best-practice methodologies for composite index construction.","language":"en","page":"33","source":"Zotero","title":"Methodological Choices Encountered in the Construction of Composite Indices of Economic and Social Well-Being","author":[{"family":"Salzman","given":"Julia"}],"issued":{"date-parts":[["2003",3,13]]}},"suppress-author":true}],"schema":"https://github.com/citation-style-language/schema/raw/master/csl-citation.json"} </w:instrText>
      </w:r>
      <w:r w:rsidRPr="00702DDD">
        <w:rPr>
          <w:rFonts w:ascii="Times New Roman" w:hAnsi="Times New Roman" w:cs="Times New Roman"/>
        </w:rPr>
        <w:fldChar w:fldCharType="separate"/>
      </w:r>
      <w:r w:rsidRPr="00702DDD">
        <w:rPr>
          <w:rFonts w:ascii="Times New Roman" w:hAnsi="Times New Roman" w:cs="Times New Roman"/>
        </w:rPr>
        <w:t>(2003)</w:t>
      </w:r>
      <w:r w:rsidRPr="00702DDD">
        <w:rPr>
          <w:rFonts w:ascii="Times New Roman" w:hAnsi="Times New Roman" w:cs="Times New Roman"/>
        </w:rPr>
        <w:fldChar w:fldCharType="end"/>
      </w:r>
      <w:r w:rsidRPr="00702DDD">
        <w:rPr>
          <w:rFonts w:ascii="Times New Roman" w:hAnsi="Times New Roman" w:cs="Times New Roman"/>
        </w:rPr>
        <w:t xml:space="preserve">. LST will also be utilized in the analysis’s Negative Scaled Average method.  </w:t>
      </w:r>
    </w:p>
    <w:p w14:paraId="7B42340F" w14:textId="340E9488" w:rsidR="00C016E8" w:rsidRPr="00702DDD" w:rsidRDefault="00C016E8" w:rsidP="00A41FF8">
      <w:pPr>
        <w:pStyle w:val="Heading3"/>
      </w:pPr>
      <w:bookmarkStart w:id="39" w:name="_Toc98444526"/>
      <w:bookmarkStart w:id="40" w:name="_Toc98692987"/>
      <w:r w:rsidRPr="00702DDD">
        <w:t>2.2.</w:t>
      </w:r>
      <w:r w:rsidR="003C7821" w:rsidRPr="00702DDD">
        <w:t>3</w:t>
      </w:r>
      <w:r w:rsidRPr="00702DDD">
        <w:t xml:space="preserve"> Input-Output Models</w:t>
      </w:r>
      <w:bookmarkEnd w:id="39"/>
      <w:bookmarkEnd w:id="40"/>
    </w:p>
    <w:p w14:paraId="35D42D8B" w14:textId="19EC486E" w:rsidR="00C016E8" w:rsidRPr="00702DDD" w:rsidRDefault="00C016E8" w:rsidP="00C016E8">
      <w:pPr>
        <w:spacing w:line="480" w:lineRule="auto"/>
        <w:rPr>
          <w:rFonts w:ascii="Times New Roman" w:hAnsi="Times New Roman" w:cs="Times New Roman"/>
        </w:rPr>
      </w:pPr>
      <w:r w:rsidRPr="00702DDD">
        <w:rPr>
          <w:rFonts w:ascii="Times New Roman" w:hAnsi="Times New Roman" w:cs="Times New Roman"/>
        </w:rPr>
        <w:t xml:space="preserve">Each ATPI method’s fund allocation impact is estimated using Input-Output (I-O) analysis. I-O predicts economic impacts of specified monetary shocks (inputs) to certain industry sectors and </w:t>
      </w:r>
      <w:r w:rsidRPr="00702DDD">
        <w:rPr>
          <w:rFonts w:ascii="Times New Roman" w:hAnsi="Times New Roman" w:cs="Times New Roman"/>
        </w:rPr>
        <w:lastRenderedPageBreak/>
        <w:t xml:space="preserve">the subsequent effects (outputs) at a regional level </w:t>
      </w:r>
      <w:r w:rsidRPr="00702DDD">
        <w:rPr>
          <w:rFonts w:ascii="Times New Roman" w:hAnsi="Times New Roman" w:cs="Times New Roman"/>
        </w:rPr>
        <w:fldChar w:fldCharType="begin"/>
      </w:r>
      <w:r w:rsidRPr="00702DDD">
        <w:rPr>
          <w:rFonts w:ascii="Times New Roman" w:hAnsi="Times New Roman" w:cs="Times New Roman"/>
        </w:rPr>
        <w:instrText xml:space="preserve"> ADDIN ZOTERO_ITEM CSL_CITATION {"citationID":"q8NjBvPk","properties":{"formattedCitation":"(Miller &amp; Blair, 2009)","plainCitation":"(Miller &amp; Blair, 2009)","noteIndex":0},"citationItems":[{"id":3391,"uris":["http://zotero.org/groups/2546976/items/JUPR5V5S"],"uri":["http://zotero.org/groups/2546976/items/JUPR5V5S"],"itemData":{"id":3391,"type":"book","abstract":"This edition of Ronald Miller and Peter Blair's classic textbook is an essential reference for students and scholars in the input-output research and applications community. The book has been fully revised and updated to reflect important developments in the field since its original publication. New topics covered include SAMs (and extended input-output models) and their connection to input-output data, structural decomposition analysis (SDA), multiplier decompositions, identifying important coefficients, and international input-output models. A major new feature of this edition is that it is also supported by an accompanying website with solutions to all problems, wide-ranging real-world data sets, and appendices with further information for more advanced readers. Input-Output Analysis is an ideal introduction to the subject for advanced undergraduate and graduate students in a wide variety of fields, including economics, regional science, regional economics, city, regional and urban planning, environmental planning, public policy analysis and public management.","edition":"2","event-place":"Cambridge","ISBN":"978-0-521-51713-3","note":"DOI: 10.1017/CBO9780511626982","publisher":"Cambridge University Press","publisher-place":"Cambridge","source":"Cambridge University Press","title":"Input-Output Analysis: Foundations and Extensions","title-short":"Input-Output Analysis","URL":"https://www.cambridge.org/core/books/inputoutput-analysis/69827DA658E766CD1E17B1A47BA2B9C3","author":[{"family":"Miller","given":"Ronald E."},{"family":"Blair","given":"Peter D."}],"accessed":{"date-parts":[["2022",1,14]]},"issued":{"date-parts":[["2009"]]}}}],"schema":"https://github.com/citation-style-language/schema/raw/master/csl-citation.json"} </w:instrText>
      </w:r>
      <w:r w:rsidRPr="00702DDD">
        <w:rPr>
          <w:rFonts w:ascii="Times New Roman" w:hAnsi="Times New Roman" w:cs="Times New Roman"/>
        </w:rPr>
        <w:fldChar w:fldCharType="separate"/>
      </w:r>
      <w:r w:rsidRPr="00702DDD">
        <w:rPr>
          <w:rFonts w:ascii="Times New Roman" w:hAnsi="Times New Roman" w:cs="Times New Roman"/>
        </w:rPr>
        <w:t>(Miller &amp; Blair, 2009)</w:t>
      </w:r>
      <w:r w:rsidRPr="00702DDD">
        <w:rPr>
          <w:rFonts w:ascii="Times New Roman" w:hAnsi="Times New Roman" w:cs="Times New Roman"/>
        </w:rPr>
        <w:fldChar w:fldCharType="end"/>
      </w:r>
      <w:r w:rsidRPr="00702DDD">
        <w:rPr>
          <w:rFonts w:ascii="Times New Roman" w:hAnsi="Times New Roman" w:cs="Times New Roman"/>
        </w:rPr>
        <w:t xml:space="preserve">. These effects are estimated using interindustry flow data to assemble a transactions table and calculate the specific outputs of the economic impact relative to the specific industry targeted, interacting industries, governments, and households </w:t>
      </w:r>
      <w:r w:rsidRPr="00702DDD">
        <w:rPr>
          <w:rFonts w:ascii="Times New Roman" w:hAnsi="Times New Roman" w:cs="Times New Roman"/>
        </w:rPr>
        <w:fldChar w:fldCharType="begin"/>
      </w:r>
      <w:r w:rsidRPr="00702DDD">
        <w:rPr>
          <w:rFonts w:ascii="Times New Roman" w:hAnsi="Times New Roman" w:cs="Times New Roman"/>
        </w:rPr>
        <w:instrText xml:space="preserve"> ADDIN ZOTERO_ITEM CSL_CITATION {"citationID":"ySlLZrSq","properties":{"formattedCitation":"(Leontief &amp; Strout, 1963)","plainCitation":"(Leontief &amp; Strout, 1963)","noteIndex":0},"citationItems":[{"id":3425,"uris":["http://zotero.org/groups/2546976/items/FIPE8K6W"],"uri":["http://zotero.org/groups/2546976/items/FIPE8K6W"],"itemData":{"id":3425,"type":"chapter","abstract":"In multiregional input-output analysis the economic system is described not only in terms of interdependent industries, but also in terms of several interrelated regions. The output of each region is defined as a combination of outputs of economic activities carried on within its geographic boundaries; its input accordingly comprises the direct inputs of these industries and the goods and services absorbed directly by the final demand sectors of that region.","container-title":"Structural Interdependence and Economic Development: Proceedings of an International Conference on Input-Output Techniques, Geneva, September 1961","event-place":"London","ISBN":"978-1-349-81634-7","language":"en","note":"DOI: 10.1007/978-1-349-81634-7_8","page":"119-150","publisher":"Palgrave Macmillan UK","publisher-place":"London","source":"Springer Link","title":"Multiregional Input-Output Analysis","URL":"https://doi.org/10.1007/978-1-349-81634-7_8","author":[{"family":"Leontief","given":"Wassily"},{"family":"Strout","given":"Alan"}],"editor":[{"family":"Barna","given":"Tibor"}],"accessed":{"date-parts":[["2022",1,31]]},"issued":{"date-parts":[["1963"]]}}}],"schema":"https://github.com/citation-style-language/schema/raw/master/csl-citation.json"} </w:instrText>
      </w:r>
      <w:r w:rsidRPr="00702DDD">
        <w:rPr>
          <w:rFonts w:ascii="Times New Roman" w:hAnsi="Times New Roman" w:cs="Times New Roman"/>
        </w:rPr>
        <w:fldChar w:fldCharType="separate"/>
      </w:r>
      <w:r w:rsidRPr="00702DDD">
        <w:rPr>
          <w:rFonts w:ascii="Times New Roman" w:hAnsi="Times New Roman" w:cs="Times New Roman"/>
        </w:rPr>
        <w:t>(Leontief &amp; Strout, 1963)</w:t>
      </w:r>
      <w:r w:rsidRPr="00702DDD">
        <w:rPr>
          <w:rFonts w:ascii="Times New Roman" w:hAnsi="Times New Roman" w:cs="Times New Roman"/>
        </w:rPr>
        <w:fldChar w:fldCharType="end"/>
      </w:r>
      <w:r w:rsidRPr="00702DDD">
        <w:rPr>
          <w:rFonts w:ascii="Times New Roman" w:hAnsi="Times New Roman" w:cs="Times New Roman"/>
        </w:rPr>
        <w:t xml:space="preserve">. I-O analysis is foremost a decision tool used to form quantitative </w:t>
      </w:r>
      <w:r w:rsidR="00DF4EE5" w:rsidRPr="00702DDD">
        <w:rPr>
          <w:rFonts w:ascii="Times New Roman" w:hAnsi="Times New Roman" w:cs="Times New Roman"/>
        </w:rPr>
        <w:t>estimations but</w:t>
      </w:r>
      <w:r w:rsidRPr="00702DDD">
        <w:rPr>
          <w:rFonts w:ascii="Times New Roman" w:hAnsi="Times New Roman" w:cs="Times New Roman"/>
        </w:rPr>
        <w:t xml:space="preserve"> is also useful when comparing various monetary impacts to diverse sectors.</w:t>
      </w:r>
    </w:p>
    <w:p w14:paraId="70A14F6E" w14:textId="54B47F70" w:rsidR="00C016E8" w:rsidRPr="00702DDD" w:rsidRDefault="00C016E8" w:rsidP="00C016E8">
      <w:pPr>
        <w:spacing w:line="480" w:lineRule="auto"/>
        <w:rPr>
          <w:rFonts w:ascii="Times New Roman" w:hAnsi="Times New Roman" w:cs="Times New Roman"/>
        </w:rPr>
      </w:pPr>
      <w:r w:rsidRPr="00702DDD">
        <w:rPr>
          <w:rFonts w:ascii="Times New Roman" w:hAnsi="Times New Roman" w:cs="Times New Roman"/>
        </w:rPr>
        <w:tab/>
        <w:t xml:space="preserve">The I-O analysis impact can be isolated by effect type as well as sectors. Each economic shock will create Direct, Indirect, and Induced Effects (aggregated as Total Effects) in the selected region. These effects and their relationships are detailed in Figure 2.1. Direct Effects occur in the same sector the economic shock is imposed: in this analysis, the water and wastewater sector. Indirect Effects stem from those sectors providing raw materials, goods, and services to the targeted sector. Induced Effects then result from household expenditures from those employed by the direct and indirect sectors, spreading the impact throughout the county </w:t>
      </w:r>
      <w:r w:rsidRPr="00702DDD">
        <w:rPr>
          <w:rFonts w:ascii="Times New Roman" w:hAnsi="Times New Roman" w:cs="Times New Roman"/>
        </w:rPr>
        <w:fldChar w:fldCharType="begin"/>
      </w:r>
      <w:r w:rsidRPr="00702DDD">
        <w:rPr>
          <w:rFonts w:ascii="Times New Roman" w:hAnsi="Times New Roman" w:cs="Times New Roman"/>
        </w:rPr>
        <w:instrText xml:space="preserve"> ADDIN ZOTERO_ITEM CSL_CITATION {"citationID":"ST5OWJjB","properties":{"formattedCitation":"(Miller &amp; Blair, 2009)","plainCitation":"(Miller &amp; Blair, 2009)","noteIndex":0},"citationItems":[{"id":3391,"uris":["http://zotero.org/groups/2546976/items/JUPR5V5S"],"uri":["http://zotero.org/groups/2546976/items/JUPR5V5S"],"itemData":{"id":3391,"type":"book","abstract":"This edition of Ronald Miller and Peter Blair's classic textbook is an essential reference for students and scholars in the input-output research and applications community. The book has been fully revised and updated to reflect important developments in the field since its original publication. New topics covered include SAMs (and extended input-output models) and their connection to input-output data, structural decomposition analysis (SDA), multiplier decompositions, identifying important coefficients, and international input-output models. A major new feature of this edition is that it is also supported by an accompanying website with solutions to all problems, wide-ranging real-world data sets, and appendices with further information for more advanced readers. Input-Output Analysis is an ideal introduction to the subject for advanced undergraduate and graduate students in a wide variety of fields, including economics, regional science, regional economics, city, regional and urban planning, environmental planning, public policy analysis and public management.","edition":"2","event-place":"Cambridge","ISBN":"978-0-521-51713-3","note":"DOI: 10.1017/CBO9780511626982","publisher":"Cambridge University Press","publisher-place":"Cambridge","source":"Cambridge University Press","title":"Input-Output Analysis: Foundations and Extensions","title-short":"Input-Output Analysis","URL":"https://www.cambridge.org/core/books/inputoutput-analysis/69827DA658E766CD1E17B1A47BA2B9C3","author":[{"family":"Miller","given":"Ronald E."},{"family":"Blair","given":"Peter D."}],"accessed":{"date-parts":[["2022",1,14]]},"issued":{"date-parts":[["2009"]]}}}],"schema":"https://github.com/citation-style-language/schema/raw/master/csl-citation.json"} </w:instrText>
      </w:r>
      <w:r w:rsidRPr="00702DDD">
        <w:rPr>
          <w:rFonts w:ascii="Times New Roman" w:hAnsi="Times New Roman" w:cs="Times New Roman"/>
        </w:rPr>
        <w:fldChar w:fldCharType="separate"/>
      </w:r>
      <w:r w:rsidRPr="00702DDD">
        <w:rPr>
          <w:rFonts w:ascii="Times New Roman" w:hAnsi="Times New Roman" w:cs="Times New Roman"/>
        </w:rPr>
        <w:t>(Miller &amp; Blair, 2009)</w:t>
      </w:r>
      <w:r w:rsidRPr="00702DDD">
        <w:rPr>
          <w:rFonts w:ascii="Times New Roman" w:hAnsi="Times New Roman" w:cs="Times New Roman"/>
        </w:rPr>
        <w:fldChar w:fldCharType="end"/>
      </w:r>
      <w:r w:rsidRPr="00702DDD">
        <w:rPr>
          <w:rFonts w:ascii="Times New Roman" w:hAnsi="Times New Roman" w:cs="Times New Roman"/>
        </w:rPr>
        <w:t xml:space="preserve">. To estimate each (and the aggregated total impacts), the Leontief inverse matrix estimates the final demand resulting from the inter-sector relationships and computes a region’s Direct, Indirect, and Induced Effect multipliers for various economic activity </w:t>
      </w:r>
      <w:r w:rsidRPr="00702DDD">
        <w:rPr>
          <w:rFonts w:ascii="Times New Roman" w:hAnsi="Times New Roman" w:cs="Times New Roman"/>
        </w:rPr>
        <w:fldChar w:fldCharType="begin"/>
      </w:r>
      <w:r w:rsidRPr="00702DDD">
        <w:rPr>
          <w:rFonts w:ascii="Times New Roman" w:hAnsi="Times New Roman" w:cs="Times New Roman"/>
        </w:rPr>
        <w:instrText xml:space="preserve"> ADDIN ZOTERO_ITEM CSL_CITATION {"citationID":"OVZKsRKu","properties":{"formattedCitation":"(W. Miernyk, 2020)","plainCitation":"(W. Miernyk, 2020)","noteIndex":0},"citationItems":[{"id":3419,"uris":["http://zotero.org/groups/2546976/items/X9ED4BHD"],"uri":["http://zotero.org/groups/2546976/items/X9ED4BHD"],"itemData":{"id":3419,"type":"article-journal","container-title":"1965","title":"The Elements of Input-Output Analysis","URL":"https://researchrepository.wvu.edu/rri-web-book/6","author":[{"family":"Miernyk","given":"William"}],"issued":{"date-parts":[["2020",1,1]]}}}],"schema":"https://github.com/citation-style-language/schema/raw/master/csl-citation.json"} </w:instrText>
      </w:r>
      <w:r w:rsidRPr="00702DDD">
        <w:rPr>
          <w:rFonts w:ascii="Times New Roman" w:hAnsi="Times New Roman" w:cs="Times New Roman"/>
        </w:rPr>
        <w:fldChar w:fldCharType="separate"/>
      </w:r>
      <w:r w:rsidRPr="00702DDD">
        <w:rPr>
          <w:rFonts w:ascii="Times New Roman" w:hAnsi="Times New Roman" w:cs="Times New Roman"/>
        </w:rPr>
        <w:t>(W. Miernyk, 2020)</w:t>
      </w:r>
      <w:r w:rsidRPr="00702DDD">
        <w:rPr>
          <w:rFonts w:ascii="Times New Roman" w:hAnsi="Times New Roman" w:cs="Times New Roman"/>
        </w:rPr>
        <w:fldChar w:fldCharType="end"/>
      </w:r>
      <w:r w:rsidRPr="00702DDD">
        <w:rPr>
          <w:rFonts w:ascii="Times New Roman" w:hAnsi="Times New Roman" w:cs="Times New Roman"/>
        </w:rPr>
        <w:t xml:space="preserve">. The multipliers provide simple estimates for an economic shock. For example: if an indirect multiplier is 0.50, $0.50 of a $1 direct economic shock goes to indirect sectors. These multipliers can be easily misinterpreted, however. Multipliers are dependent on the I-O’s analyzed region and time period and therefore change when the data’s region expands or contracts (e.g., shifting from city to county impacts). Therefore, it’s essential to fully comprehend the economic impact’s targeted areas when forming the I-O analysis.  </w:t>
      </w:r>
    </w:p>
    <w:p w14:paraId="77712A84" w14:textId="4CB91388" w:rsidR="00C016E8" w:rsidRPr="00702DDD" w:rsidRDefault="00C016E8" w:rsidP="00A41FF8">
      <w:pPr>
        <w:pStyle w:val="Heading3"/>
      </w:pPr>
      <w:bookmarkStart w:id="41" w:name="_Toc98444527"/>
      <w:bookmarkStart w:id="42" w:name="_Toc98692988"/>
      <w:r w:rsidRPr="00702DDD">
        <w:lastRenderedPageBreak/>
        <w:t>2.2.</w:t>
      </w:r>
      <w:r w:rsidR="003C7821" w:rsidRPr="00702DDD">
        <w:t>4</w:t>
      </w:r>
      <w:r w:rsidRPr="00702DDD">
        <w:t xml:space="preserve"> IMPLAN Software</w:t>
      </w:r>
      <w:bookmarkEnd w:id="41"/>
      <w:bookmarkEnd w:id="42"/>
    </w:p>
    <w:p w14:paraId="4B78F806" w14:textId="7A1DC61F" w:rsidR="00C016E8" w:rsidRPr="00702DDD" w:rsidRDefault="00C016E8" w:rsidP="00C016E8">
      <w:pPr>
        <w:spacing w:line="480" w:lineRule="auto"/>
        <w:rPr>
          <w:rFonts w:ascii="Times New Roman" w:hAnsi="Times New Roman" w:cs="Times New Roman"/>
        </w:rPr>
      </w:pPr>
      <w:r w:rsidRPr="00702DDD">
        <w:rPr>
          <w:rFonts w:ascii="Times New Roman" w:hAnsi="Times New Roman" w:cs="Times New Roman"/>
        </w:rPr>
        <w:t xml:space="preserve">Three I-O model applications are utilized to conduct economic impact analyses: IMPLAN, REMI, and RIMS II. This study will use IMPLAN software to estimate the economic impacts of the various ATPI method allocations on Tennessee communities. The software uses publicly available data to estimate economic impacts across multiple regions and industrial sectors </w:t>
      </w:r>
      <w:r w:rsidRPr="00702DDD">
        <w:rPr>
          <w:rFonts w:ascii="Times New Roman" w:hAnsi="Times New Roman" w:cs="Times New Roman"/>
        </w:rPr>
        <w:fldChar w:fldCharType="begin"/>
      </w:r>
      <w:r w:rsidRPr="00702DDD">
        <w:rPr>
          <w:rFonts w:ascii="Times New Roman" w:hAnsi="Times New Roman" w:cs="Times New Roman"/>
        </w:rPr>
        <w:instrText xml:space="preserve"> ADDIN ZOTERO_ITEM CSL_CITATION {"citationID":"qe75q4xd","properties":{"formattedCitation":"(IMPLAN, 2019a)","plainCitation":"(IMPLAN, 2019a)","noteIndex":0},"citationItems":[{"id":3421,"uris":["http://zotero.org/groups/2546976/items/QHJVZ8TR"],"uri":["http://zotero.org/groups/2546976/items/QHJVZ8TR"],"itemData":{"id":3421,"type":"webpage","language":"en-US","title":"IMPLAN Data Sources","URL":"https://implan.com/data-sources/","author":[{"literal":"IMPLAN"}],"accessed":{"date-parts":[["2022",1,30]]},"issued":{"date-parts":[["2019",10,16]]}}}],"schema":"https://github.com/citation-style-language/schema/raw/master/csl-citation.json"} </w:instrText>
      </w:r>
      <w:r w:rsidRPr="00702DDD">
        <w:rPr>
          <w:rFonts w:ascii="Times New Roman" w:hAnsi="Times New Roman" w:cs="Times New Roman"/>
        </w:rPr>
        <w:fldChar w:fldCharType="separate"/>
      </w:r>
      <w:r w:rsidRPr="00702DDD">
        <w:rPr>
          <w:rFonts w:ascii="Times New Roman" w:hAnsi="Times New Roman" w:cs="Times New Roman"/>
        </w:rPr>
        <w:t>(IMPLAN, 2019a)</w:t>
      </w:r>
      <w:r w:rsidRPr="00702DDD">
        <w:rPr>
          <w:rFonts w:ascii="Times New Roman" w:hAnsi="Times New Roman" w:cs="Times New Roman"/>
        </w:rPr>
        <w:fldChar w:fldCharType="end"/>
      </w:r>
      <w:r w:rsidRPr="00702DDD">
        <w:rPr>
          <w:rFonts w:ascii="Times New Roman" w:hAnsi="Times New Roman" w:cs="Times New Roman"/>
        </w:rPr>
        <w:t xml:space="preserve">. The database consists of 546 industry sectors defined by the North American Industry Classification System (NAICS) codes </w:t>
      </w:r>
      <w:r w:rsidRPr="00702DDD">
        <w:rPr>
          <w:rFonts w:ascii="Times New Roman" w:hAnsi="Times New Roman" w:cs="Times New Roman"/>
        </w:rPr>
        <w:fldChar w:fldCharType="begin"/>
      </w:r>
      <w:r w:rsidRPr="00702DDD">
        <w:rPr>
          <w:rFonts w:ascii="Times New Roman" w:hAnsi="Times New Roman" w:cs="Times New Roman"/>
        </w:rPr>
        <w:instrText xml:space="preserve"> ADDIN ZOTERO_ITEM CSL_CITATION {"citationID":"u9szuPet","properties":{"formattedCitation":"(IMPLAN, 2019a)","plainCitation":"(IMPLAN, 2019a)","noteIndex":0},"citationItems":[{"id":3421,"uris":["http://zotero.org/groups/2546976/items/QHJVZ8TR"],"uri":["http://zotero.org/groups/2546976/items/QHJVZ8TR"],"itemData":{"id":3421,"type":"webpage","language":"en-US","title":"IMPLAN Data Sources","URL":"https://implan.com/data-sources/","author":[{"literal":"IMPLAN"}],"accessed":{"date-parts":[["2022",1,30]]},"issued":{"date-parts":[["2019",10,16]]}}}],"schema":"https://github.com/citation-style-language/schema/raw/master/csl-citation.json"} </w:instrText>
      </w:r>
      <w:r w:rsidRPr="00702DDD">
        <w:rPr>
          <w:rFonts w:ascii="Times New Roman" w:hAnsi="Times New Roman" w:cs="Times New Roman"/>
        </w:rPr>
        <w:fldChar w:fldCharType="separate"/>
      </w:r>
      <w:r w:rsidRPr="00702DDD">
        <w:rPr>
          <w:rFonts w:ascii="Times New Roman" w:hAnsi="Times New Roman" w:cs="Times New Roman"/>
        </w:rPr>
        <w:t>(IMPLAN, 2019a)</w:t>
      </w:r>
      <w:r w:rsidRPr="00702DDD">
        <w:rPr>
          <w:rFonts w:ascii="Times New Roman" w:hAnsi="Times New Roman" w:cs="Times New Roman"/>
        </w:rPr>
        <w:fldChar w:fldCharType="end"/>
      </w:r>
      <w:r w:rsidRPr="00702DDD">
        <w:rPr>
          <w:rFonts w:ascii="Times New Roman" w:hAnsi="Times New Roman" w:cs="Times New Roman"/>
        </w:rPr>
        <w:t xml:space="preserve">. National, federal, state, and county data from multiple sources is updated annually in the software </w:t>
      </w:r>
      <w:r w:rsidRPr="00702DDD">
        <w:rPr>
          <w:rFonts w:ascii="Times New Roman" w:hAnsi="Times New Roman" w:cs="Times New Roman"/>
        </w:rPr>
        <w:fldChar w:fldCharType="begin"/>
      </w:r>
      <w:r w:rsidRPr="00702DDD">
        <w:rPr>
          <w:rFonts w:ascii="Times New Roman" w:hAnsi="Times New Roman" w:cs="Times New Roman"/>
        </w:rPr>
        <w:instrText xml:space="preserve"> ADDIN ZOTERO_ITEM CSL_CITATION {"citationID":"8ciXjW4O","properties":{"formattedCitation":"(IMPLAN, 2019a)","plainCitation":"(IMPLAN, 2019a)","noteIndex":0},"citationItems":[{"id":3421,"uris":["http://zotero.org/groups/2546976/items/QHJVZ8TR"],"uri":["http://zotero.org/groups/2546976/items/QHJVZ8TR"],"itemData":{"id":3421,"type":"webpage","language":"en-US","title":"IMPLAN Data Sources","URL":"https://implan.com/data-sources/","author":[{"literal":"IMPLAN"}],"accessed":{"date-parts":[["2022",1,30]]},"issued":{"date-parts":[["2019",10,16]]}}}],"schema":"https://github.com/citation-style-language/schema/raw/master/csl-citation.json"} </w:instrText>
      </w:r>
      <w:r w:rsidRPr="00702DDD">
        <w:rPr>
          <w:rFonts w:ascii="Times New Roman" w:hAnsi="Times New Roman" w:cs="Times New Roman"/>
        </w:rPr>
        <w:fldChar w:fldCharType="separate"/>
      </w:r>
      <w:r w:rsidRPr="00702DDD">
        <w:rPr>
          <w:rFonts w:ascii="Times New Roman" w:hAnsi="Times New Roman" w:cs="Times New Roman"/>
        </w:rPr>
        <w:t>(IMPLAN, 2019a)</w:t>
      </w:r>
      <w:r w:rsidRPr="00702DDD">
        <w:rPr>
          <w:rFonts w:ascii="Times New Roman" w:hAnsi="Times New Roman" w:cs="Times New Roman"/>
        </w:rPr>
        <w:fldChar w:fldCharType="end"/>
      </w:r>
      <w:r w:rsidRPr="00702DDD">
        <w:rPr>
          <w:rFonts w:ascii="Times New Roman" w:hAnsi="Times New Roman" w:cs="Times New Roman"/>
        </w:rPr>
        <w:t xml:space="preserve">. </w:t>
      </w:r>
    </w:p>
    <w:p w14:paraId="7ACFD192" w14:textId="7CA2F0D3" w:rsidR="00C016E8" w:rsidRPr="00702DDD" w:rsidRDefault="00C016E8" w:rsidP="00C016E8">
      <w:pPr>
        <w:spacing w:line="480" w:lineRule="auto"/>
        <w:ind w:firstLine="720"/>
        <w:rPr>
          <w:rFonts w:ascii="Times New Roman" w:hAnsi="Times New Roman" w:cs="Times New Roman"/>
        </w:rPr>
      </w:pPr>
      <w:r w:rsidRPr="00702DDD">
        <w:rPr>
          <w:rFonts w:ascii="Times New Roman" w:hAnsi="Times New Roman" w:cs="Times New Roman"/>
        </w:rPr>
        <w:t xml:space="preserve">IMPLAN has been used to estimate economic impact to industrial sectors in several studies in the literature. The University of Arkansas Extension implemented IMPLAN application in a 2002 study estimating the economic impact of the state’s agricultural industries </w:t>
      </w:r>
      <w:r w:rsidRPr="00702DDD">
        <w:rPr>
          <w:rFonts w:ascii="Times New Roman" w:hAnsi="Times New Roman" w:cs="Times New Roman"/>
        </w:rPr>
        <w:fldChar w:fldCharType="begin"/>
      </w:r>
      <w:r w:rsidRPr="00702DDD">
        <w:rPr>
          <w:rFonts w:ascii="Times New Roman" w:hAnsi="Times New Roman" w:cs="Times New Roman"/>
        </w:rPr>
        <w:instrText xml:space="preserve"> ADDIN ZOTERO_ITEM CSL_CITATION {"citationID":"hs0oyQET","properties":{"formattedCitation":"(Goodwin et al., 2002)","plainCitation":"(Goodwin et al., 2002)","noteIndex":0},"citationItems":[{"id":3435,"uris":["http://zotero.org/groups/2546976/items/JR7SVH4U"],"uri":["http://zotero.org/groups/2546976/items/JR7SVH4U"],"itemData":{"id":3435,"type":"article-journal","container-title":"Research Reports and Research Bulletins","title":"Impact of the Agricultural Sector on the Arkansas Economy","URL":"https://scholarworks.uark.edu/aaesrb/28","author":[{"family":"Goodwin","given":"H."},{"family":"Popp","given":"Jennie"},{"family":"Miller","given":"Wayne"},{"family":"Vickery","given":"Gina"},{"family":"Clayton-Niederman","given":"Z."}],"issued":{"date-parts":[["2002",10,1]]}}}],"schema":"https://github.com/citation-style-language/schema/raw/master/csl-citation.json"} </w:instrText>
      </w:r>
      <w:r w:rsidRPr="00702DDD">
        <w:rPr>
          <w:rFonts w:ascii="Times New Roman" w:hAnsi="Times New Roman" w:cs="Times New Roman"/>
        </w:rPr>
        <w:fldChar w:fldCharType="separate"/>
      </w:r>
      <w:r w:rsidRPr="00702DDD">
        <w:rPr>
          <w:rFonts w:ascii="Times New Roman" w:hAnsi="Times New Roman" w:cs="Times New Roman"/>
        </w:rPr>
        <w:t>(Goodwin et al., 2002)</w:t>
      </w:r>
      <w:r w:rsidRPr="00702DDD">
        <w:rPr>
          <w:rFonts w:ascii="Times New Roman" w:hAnsi="Times New Roman" w:cs="Times New Roman"/>
        </w:rPr>
        <w:fldChar w:fldCharType="end"/>
      </w:r>
      <w:r w:rsidRPr="00702DDD">
        <w:rPr>
          <w:rFonts w:ascii="Times New Roman" w:hAnsi="Times New Roman" w:cs="Times New Roman"/>
        </w:rPr>
        <w:t>. Hodges et al</w:t>
      </w:r>
      <w:r w:rsidR="00853CA1" w:rsidRPr="00702DDD">
        <w:rPr>
          <w:rFonts w:ascii="Times New Roman" w:hAnsi="Times New Roman" w:cs="Times New Roman"/>
        </w:rPr>
        <w:t>.</w:t>
      </w:r>
      <w:r w:rsidRPr="00702DDD">
        <w:rPr>
          <w:rFonts w:ascii="Times New Roman" w:hAnsi="Times New Roman" w:cs="Times New Roman"/>
        </w:rPr>
        <w:t xml:space="preserve"> estimated the economic impact of Florida’s 1999-2000 citrus industry; </w:t>
      </w:r>
      <w:proofErr w:type="spellStart"/>
      <w:r w:rsidRPr="00702DDD">
        <w:rPr>
          <w:rFonts w:ascii="Times New Roman" w:hAnsi="Times New Roman" w:cs="Times New Roman"/>
        </w:rPr>
        <w:t>Steinback</w:t>
      </w:r>
      <w:proofErr w:type="spellEnd"/>
      <w:r w:rsidRPr="00702DDD">
        <w:rPr>
          <w:rFonts w:ascii="Times New Roman" w:hAnsi="Times New Roman" w:cs="Times New Roman"/>
        </w:rPr>
        <w:t xml:space="preserve"> analyzed the recreational fisheries industry’s impact in Maine </w:t>
      </w:r>
      <w:r w:rsidRPr="00702DDD">
        <w:rPr>
          <w:rFonts w:ascii="Times New Roman" w:hAnsi="Times New Roman" w:cs="Times New Roman"/>
        </w:rPr>
        <w:fldChar w:fldCharType="begin"/>
      </w:r>
      <w:r w:rsidRPr="00702DDD">
        <w:rPr>
          <w:rFonts w:ascii="Times New Roman" w:hAnsi="Times New Roman" w:cs="Times New Roman"/>
        </w:rPr>
        <w:instrText xml:space="preserve"> ADDIN ZOTERO_ITEM CSL_CITATION {"citationID":"qFjxRABJ","properties":{"formattedCitation":"(2001; 1999)","plainCitation":"(2001; 1999)","noteIndex":0},"citationItems":[{"id":3433,"uris":["http://zotero.org/groups/2546976/items/HDELJRK9"],"uri":["http://zotero.org/groups/2546976/items/HDELJRK9"],"itemData":{"id":3433,"type":"report","abstract":"The citrus industry in Florida has historically been an important sector of the state’s agricultural economy, and remains so today. Citrus fruits, including oranges, grapefruit, tangelos, tangerines, limes, and other specialty fruits, are the state’s largest agricultural commodity. Florida is the world’s leading producing region for grapefruit and second only to Brazil in orange production. The state produces over 80 percent of the United States’ supply of citrus. Production of citrus in Florida has increased substantially over the past 10 years, as a result of large replantings following the disastrous freezes during the mid-1980's. In the 1999-2000 season, a total of 298 million boxes of citrus fruit were produced in Florida from 107 million bearing citrus trees growing on 832,000 acres. The farm-level value of citrus fruit sold to packinghouses and processing plants amounted to $1.73 billion. Nearly 90 percent of Florida citrus is processed into canned, chilled, and frozen concentrate juices. Total industry output was $4.07 billion, including $3.58 billion in sales of citrus juice and processed citrus byproducts, and $494 m illion in sales of fresh citrus fruit. About 93 percent of Florida citrus products, valued at $3.89 billion, were shipped to domestic and international markets outside the state. Income to the regional economy from export sales results in secondary economic impacts. These impacts , which were evaluated with Implan, an input-output modeling and social accounting system that was used to develop a regional economic model for the state of Florida. Total economic impacts associated with the citrus industry were estimated at $9.13 billion in industry output, $4.18 billion in value added, and 89,700 jobs. This included an indirect impact of $2.13 billion in output attributed to purchases from other industry sectors, and an induced impact $2.93 billion resulting from consumer spending of earnings by industry employees.","genre":"Economic Information Report","language":"en","number":"01-2","page":"14","source":"Zotero","title":"Economic Impact of Florida’s Citrus Industry, 1999-2000","author":[{"family":"Hodges","given":"Alan"},{"family":"Philippakos","given":"Effie"},{"family":"Mulkey","given":"David"},{"family":"Spreen","given":"Tom"},{"family":"Muraro","given":"Ron"}],"issued":{"date-parts":[["2001",7]]}},"label":"page","suppress-author":true},{"id":3434,"uris":["http://zotero.org/groups/2546976/items/CQ9LGWBP"],"uri":["http://zotero.org/groups/2546976/items/CQ9LGWBP"],"itemData":{"id":3434,"type":"article-journal","abstract":"Regional economic impact assessments (EIAs) of recreational fisheries reveal how anglers' expenditures affect economic activity such as sales, income, and employment in a particular region. Unfortunately, most EIA studies report only the final impacts of the EIA, without describing the economic interdependencies that produced the impacts or how the results should and should not be used to guide management decisions. This is particularly troublesome because most resource managers only vaguely understand how EIA models work and how to interpret the results in a fisheries management framework. The purpose of this article is to provide a starting point toward establishing consistent and defensible techniques for conducting regional EIAs of recreational fisheries and to explore the appropriate uses of EIA outputs as they relate to the growing needs of natural resource managers. Using marine recreational party and charter boat fishing in Maine in 1996 as an example, an EIA was conducted with the IMPLAN (Impact analysis for Planning) input–output system. Economic impacts were analyzed separately for Maine residents and nonresidents, and a linear production function that represented average for-hire operating expenditures was developed and integrated into the input–output model. Direct, indirect, and induced economic impacts were estimated for sales, income, and employment. In total, the US$1.12 million spent in Maine by nonresident party and charter anglers in 1996 resulted in $1.04 million in sales that remained within the state, $393 thousand in additional income, and supported approximately 37 jobs. Resident expenditures in 1996 totaled $276 thousand and generated $225 thousand in instate sales, $82 thousand in income, and approximately 10 jobs. The impacts of nonresident expenditures were generally five times greater than that of their resident counterparts. However, the actual economic impact of resident expenditures depends on assumptions regarding the absence of the marine for-hire fishery in Maine. Although the model's multipliers may be used to predict the total impacts of changes in expenditures by party and charter boat anglers, it is important to understand their limitations. The procedures and data sets applied here, if used in conjunction with future versions of IMPLAN, can serve as a foundation for updating the Maine input–output model provided in this study and for developing economic impact assessments of recreational fisheries in other states.","container-title":"North American Journal of Fisheries Management","DOI":"10.1577/1548-8675(1999)019&lt;0724:REIAOR&gt;2.0.CO;2","ISSN":"0275-5947","issue":"3","note":"publisher: Taylor &amp; Francis\n_eprint: https://doi.org/10.1577/1548-8675(1999)019&lt;0724:REIAOR&gt;2.0.CO;2","page":"724-736","source":"Taylor and Francis+NEJM","title":"Regional Economic Impact Assessments of Recreational Fisheries: An Application of the IMPLAN Modeling System to Marine Party and Charter Boat Fishing in Maine","title-short":"Regional Economic Impact Assessments of Recreational Fisheries","volume":"19","author":[{"family":"Steinback","given":"Scott R."}],"issued":{"date-parts":[["1999",8,1]]}},"label":"page","suppress-author":true}],"schema":"https://github.com/citation-style-language/schema/raw/master/csl-citation.json"} </w:instrText>
      </w:r>
      <w:r w:rsidRPr="00702DDD">
        <w:rPr>
          <w:rFonts w:ascii="Times New Roman" w:hAnsi="Times New Roman" w:cs="Times New Roman"/>
        </w:rPr>
        <w:fldChar w:fldCharType="separate"/>
      </w:r>
      <w:r w:rsidRPr="00702DDD">
        <w:rPr>
          <w:rFonts w:ascii="Times New Roman" w:hAnsi="Times New Roman" w:cs="Times New Roman"/>
        </w:rPr>
        <w:t>(2001; 1999)</w:t>
      </w:r>
      <w:r w:rsidRPr="00702DDD">
        <w:rPr>
          <w:rFonts w:ascii="Times New Roman" w:hAnsi="Times New Roman" w:cs="Times New Roman"/>
        </w:rPr>
        <w:fldChar w:fldCharType="end"/>
      </w:r>
      <w:r w:rsidRPr="00702DDD">
        <w:rPr>
          <w:rFonts w:ascii="Times New Roman" w:hAnsi="Times New Roman" w:cs="Times New Roman"/>
        </w:rPr>
        <w:t xml:space="preserve">. An impacted sector is isolated and the economic impacts are analyzed by effect in each of these studies, as the sector 49 (“Water, sewage, and other industries”) will be in this analysis.  </w:t>
      </w:r>
    </w:p>
    <w:p w14:paraId="11A7D49D" w14:textId="77777777" w:rsidR="00C016E8" w:rsidRPr="00702DDD" w:rsidRDefault="00C016E8" w:rsidP="000654A5">
      <w:pPr>
        <w:pStyle w:val="Heading2"/>
      </w:pPr>
      <w:bookmarkStart w:id="43" w:name="_Toc98444528"/>
      <w:bookmarkStart w:id="44" w:name="_Toc98692989"/>
      <w:r w:rsidRPr="00702DDD">
        <w:t>2.3 Methodology</w:t>
      </w:r>
      <w:bookmarkEnd w:id="43"/>
      <w:bookmarkEnd w:id="44"/>
      <w:r w:rsidRPr="00702DDD">
        <w:t xml:space="preserve"> </w:t>
      </w:r>
    </w:p>
    <w:p w14:paraId="6E944733" w14:textId="30D86F6E" w:rsidR="00C016E8" w:rsidRPr="00702DDD" w:rsidRDefault="00C016E8" w:rsidP="00A41FF8">
      <w:pPr>
        <w:pStyle w:val="Heading3"/>
      </w:pPr>
      <w:bookmarkStart w:id="45" w:name="_Toc98444529"/>
      <w:bookmarkStart w:id="46" w:name="_Toc98692990"/>
      <w:r w:rsidRPr="00702DDD">
        <w:t>2.3.1 Conceptual Framework</w:t>
      </w:r>
      <w:bookmarkEnd w:id="45"/>
      <w:bookmarkEnd w:id="46"/>
    </w:p>
    <w:p w14:paraId="497C6A42" w14:textId="7722DFF3" w:rsidR="00C016E8" w:rsidRPr="00702DDD" w:rsidRDefault="00C016E8" w:rsidP="00C016E8">
      <w:pPr>
        <w:spacing w:line="480" w:lineRule="auto"/>
        <w:rPr>
          <w:rFonts w:ascii="Times New Roman" w:hAnsi="Times New Roman" w:cs="Times New Roman"/>
        </w:rPr>
      </w:pPr>
      <w:r w:rsidRPr="00702DDD">
        <w:rPr>
          <w:rFonts w:ascii="Times New Roman" w:hAnsi="Times New Roman" w:cs="Times New Roman"/>
        </w:rPr>
        <w:t xml:space="preserve">Evaluating and ranking community affordability regarding water infrastructure subsidies is necessary due to scarcity. Scarcity occurs as a set and limited amount of resources must be distributed amongst a higher volume demand. In this case, a state agency (TDEC) must decide the community allocation of federal funds (EPA CWSRF funds) based on the most accurate affordability evaluation. Three ATPI methods are formed and compared to determine this ideal </w:t>
      </w:r>
      <w:r w:rsidRPr="00702DDD">
        <w:rPr>
          <w:rFonts w:ascii="Times New Roman" w:hAnsi="Times New Roman" w:cs="Times New Roman"/>
        </w:rPr>
        <w:lastRenderedPageBreak/>
        <w:t xml:space="preserve">allocation using socio-economic and financial factors. Each method’s fund distribution will be compared, as well as how each aligns with communities already determined distressed by the state. The method found to be the most suitable in identifying economic distress will be used as an objective, replicable, and robust decision-making tool in comparison to a widely used subjective approach to funds distribution. </w:t>
      </w:r>
    </w:p>
    <w:p w14:paraId="45055432" w14:textId="1F581A19" w:rsidR="00C016E8" w:rsidRPr="00702DDD" w:rsidRDefault="00C016E8" w:rsidP="00C016E8">
      <w:pPr>
        <w:spacing w:line="480" w:lineRule="auto"/>
        <w:ind w:firstLine="720"/>
        <w:rPr>
          <w:rFonts w:ascii="Times New Roman" w:hAnsi="Times New Roman" w:cs="Times New Roman"/>
        </w:rPr>
      </w:pPr>
      <w:r w:rsidRPr="00702DDD">
        <w:rPr>
          <w:rFonts w:ascii="Times New Roman" w:hAnsi="Times New Roman" w:cs="Times New Roman"/>
        </w:rPr>
        <w:t xml:space="preserve">Community socio-economic and financial factors for each Tennessee county will be used to form the three respective ATPIs for water infrastructure upgrades. Each index will then identify those communities’ abilities to afford water infrastructure improvements based on a specified threshold. This affordability scoring is conducted using the following three methods, each developing from the former. </w:t>
      </w:r>
    </w:p>
    <w:p w14:paraId="787BE36B" w14:textId="0633CB8E" w:rsidR="00C016E8" w:rsidRPr="00702DDD" w:rsidRDefault="00C016E8" w:rsidP="00A41FF8">
      <w:pPr>
        <w:pStyle w:val="Heading3"/>
      </w:pPr>
      <w:bookmarkStart w:id="47" w:name="_Toc98692991"/>
      <w:r w:rsidRPr="00702DDD">
        <w:t>2.3.2 Method 1: Median Household Income</w:t>
      </w:r>
      <w:bookmarkEnd w:id="47"/>
      <w:r w:rsidRPr="00702DDD">
        <w:t xml:space="preserve"> </w:t>
      </w:r>
    </w:p>
    <w:p w14:paraId="43D0773B" w14:textId="7E16ADEA" w:rsidR="00C016E8" w:rsidRPr="00702DDD" w:rsidRDefault="00C016E8" w:rsidP="00C016E8">
      <w:pPr>
        <w:spacing w:line="480" w:lineRule="auto"/>
        <w:rPr>
          <w:rFonts w:ascii="Times New Roman" w:hAnsi="Times New Roman" w:cs="Times New Roman"/>
        </w:rPr>
      </w:pPr>
      <w:r w:rsidRPr="00702DDD">
        <w:rPr>
          <w:rFonts w:ascii="Times New Roman" w:hAnsi="Times New Roman" w:cs="Times New Roman"/>
        </w:rPr>
        <w:t xml:space="preserve">First, the median household income (MHI) of the studied counties are identified and sorted in ascending order. This order creates the scoring and affordability rankings for the 95 counties in Tennessee. This method demonstrates the current default method of community affordability (MHI, as reported by the EPA), and will be used as a comparison for Method 2 and 3 </w:t>
      </w:r>
      <w:r w:rsidRPr="00702DDD">
        <w:rPr>
          <w:rFonts w:ascii="Times New Roman" w:hAnsi="Times New Roman" w:cs="Times New Roman"/>
        </w:rPr>
        <w:fldChar w:fldCharType="begin"/>
      </w:r>
      <w:r w:rsidRPr="00702DDD">
        <w:rPr>
          <w:rFonts w:ascii="Times New Roman" w:hAnsi="Times New Roman" w:cs="Times New Roman"/>
        </w:rPr>
        <w:instrText xml:space="preserve"> ADDIN ZOTERO_ITEM CSL_CITATION {"citationID":"dwz4Ib4O","properties":{"formattedCitation":"(US EPA 2014)","plainCitation":"(US EPA 2014)","noteIndex":0},"citationItems":[{"id":3414,"uris":["http://zotero.org/groups/2546976/items/5TUYSXZN"],"uri":["http://zotero.org/groups/2546976/items/5TUYSXZN"],"itemData":{"id":3414,"type":"report","genre":"Report to Congress","title":"Utilization of Additional Subsidization Authority in the Clean Water and Drinking Water State Revolving Fund Program","author":[{"literal":"United States Environmental Protection Agency"}],"issued":{"date-parts":[["2014",4]]}},"suppress-author":true,"prefix":"US EPA"}],"schema":"https://github.com/citation-style-language/schema/raw/master/csl-citation.json"} </w:instrText>
      </w:r>
      <w:r w:rsidRPr="00702DDD">
        <w:rPr>
          <w:rFonts w:ascii="Times New Roman" w:hAnsi="Times New Roman" w:cs="Times New Roman"/>
        </w:rPr>
        <w:fldChar w:fldCharType="separate"/>
      </w:r>
      <w:r w:rsidRPr="00702DDD">
        <w:rPr>
          <w:rFonts w:ascii="Times New Roman" w:hAnsi="Times New Roman" w:cs="Times New Roman"/>
        </w:rPr>
        <w:t>(US EPA 2014)</w:t>
      </w:r>
      <w:r w:rsidRPr="00702DDD">
        <w:rPr>
          <w:rFonts w:ascii="Times New Roman" w:hAnsi="Times New Roman" w:cs="Times New Roman"/>
        </w:rPr>
        <w:fldChar w:fldCharType="end"/>
      </w:r>
      <w:r w:rsidRPr="00702DDD">
        <w:rPr>
          <w:rFonts w:ascii="Times New Roman" w:hAnsi="Times New Roman" w:cs="Times New Roman"/>
        </w:rPr>
        <w:t xml:space="preserve">. </w:t>
      </w:r>
    </w:p>
    <w:p w14:paraId="2F7AF9E9" w14:textId="7C6E91C5" w:rsidR="00C016E8" w:rsidRPr="00702DDD" w:rsidRDefault="00C016E8" w:rsidP="00A41FF8">
      <w:pPr>
        <w:pStyle w:val="Heading3"/>
      </w:pPr>
      <w:bookmarkStart w:id="48" w:name="_Toc98444530"/>
      <w:bookmarkStart w:id="49" w:name="_Toc98692992"/>
      <w:r w:rsidRPr="00702DDD">
        <w:t>2.3.3 Method 2: Simple Average</w:t>
      </w:r>
      <w:bookmarkEnd w:id="48"/>
      <w:bookmarkEnd w:id="49"/>
      <w:r w:rsidRPr="00702DDD">
        <w:t xml:space="preserve"> </w:t>
      </w:r>
    </w:p>
    <w:p w14:paraId="1BD23391" w14:textId="77777777" w:rsidR="00C016E8" w:rsidRPr="00702DDD" w:rsidRDefault="00C016E8" w:rsidP="00C016E8">
      <w:pPr>
        <w:spacing w:line="480" w:lineRule="auto"/>
        <w:rPr>
          <w:rFonts w:ascii="Times New Roman" w:hAnsi="Times New Roman" w:cs="Times New Roman"/>
        </w:rPr>
      </w:pPr>
      <w:r w:rsidRPr="00702DDD">
        <w:rPr>
          <w:rFonts w:ascii="Times New Roman" w:hAnsi="Times New Roman" w:cs="Times New Roman"/>
        </w:rPr>
        <w:t>In the second method, additional community factors are incorporated into the affordability scoring: Population Change, Unemployment Rate, Food Stamp Rate, Poverty Rate, Assets, Debt, Revenue, and Expenditures. The community factors are calculated in comparison to the state average, as displayed by Equation 1:</w:t>
      </w:r>
    </w:p>
    <w:p w14:paraId="6A1105EF" w14:textId="77777777" w:rsidR="00C016E8" w:rsidRPr="00702DDD" w:rsidRDefault="00D07965" w:rsidP="00C016E8">
      <w:pPr>
        <w:spacing w:line="480" w:lineRule="auto"/>
        <w:ind w:left="2160" w:firstLine="720"/>
        <w:jc w:val="center"/>
        <w:rPr>
          <w:rFonts w:ascii="Times New Roman" w:hAnsi="Times New Roman" w:cs="Times New Roman"/>
        </w:rPr>
      </w:pPr>
      <m:oMath>
        <m:sSub>
          <m:sSubPr>
            <m:ctrlPr>
              <w:rPr>
                <w:rFonts w:ascii="Cambria Math" w:eastAsia="Cambria Math" w:hAnsi="Cambria Math" w:cs="Times New Roman"/>
              </w:rPr>
            </m:ctrlPr>
          </m:sSubPr>
          <m:e>
            <m:r>
              <w:rPr>
                <w:rFonts w:ascii="Cambria Math" w:eastAsia="Cambria Math" w:hAnsi="Cambria Math" w:cs="Times New Roman"/>
              </w:rPr>
              <m:t>Factor Score</m:t>
            </m:r>
          </m:e>
          <m:sub>
            <m:r>
              <w:rPr>
                <w:rFonts w:ascii="Cambria Math" w:eastAsia="Cambria Math" w:hAnsi="Cambria Math" w:cs="Times New Roman"/>
              </w:rPr>
              <m:t>f</m:t>
            </m:r>
          </m:sub>
        </m:sSub>
        <m:r>
          <w:rPr>
            <w:rFonts w:ascii="Cambria Math" w:eastAsia="Cambria Math" w:hAnsi="Cambria Math" w:cs="Times New Roman"/>
          </w:rPr>
          <m:t>=</m:t>
        </m:r>
        <m:f>
          <m:fPr>
            <m:ctrlPr>
              <w:rPr>
                <w:rFonts w:ascii="Cambria Math" w:eastAsia="Cambria Math" w:hAnsi="Cambria Math" w:cs="Times New Roman"/>
              </w:rPr>
            </m:ctrlPr>
          </m:fPr>
          <m:num>
            <m:sSub>
              <m:sSubPr>
                <m:ctrlPr>
                  <w:rPr>
                    <w:rFonts w:ascii="Cambria Math" w:eastAsia="Cambria Math" w:hAnsi="Cambria Math" w:cs="Times New Roman"/>
                  </w:rPr>
                </m:ctrlPr>
              </m:sSubPr>
              <m:e>
                <m:r>
                  <w:rPr>
                    <w:rFonts w:ascii="Cambria Math" w:eastAsia="Cambria Math" w:hAnsi="Cambria Math" w:cs="Times New Roman"/>
                  </w:rPr>
                  <m:t xml:space="preserve">Community Rate </m:t>
                </m:r>
              </m:e>
              <m:sub>
                <m:r>
                  <w:rPr>
                    <w:rFonts w:ascii="Cambria Math" w:eastAsia="Cambria Math" w:hAnsi="Cambria Math" w:cs="Times New Roman"/>
                  </w:rPr>
                  <m:t>f</m:t>
                </m:r>
              </m:sub>
            </m:sSub>
          </m:num>
          <m:den>
            <m:sSub>
              <m:sSubPr>
                <m:ctrlPr>
                  <w:rPr>
                    <w:rFonts w:ascii="Cambria Math" w:eastAsia="Cambria Math" w:hAnsi="Cambria Math" w:cs="Times New Roman"/>
                  </w:rPr>
                </m:ctrlPr>
              </m:sSubPr>
              <m:e>
                <m:r>
                  <w:rPr>
                    <w:rFonts w:ascii="Cambria Math" w:eastAsia="Cambria Math" w:hAnsi="Cambria Math" w:cs="Times New Roman"/>
                  </w:rPr>
                  <m:t>State Rate</m:t>
                </m:r>
              </m:e>
              <m:sub>
                <m:r>
                  <w:rPr>
                    <w:rFonts w:ascii="Cambria Math" w:eastAsia="Cambria Math" w:hAnsi="Cambria Math" w:cs="Times New Roman"/>
                  </w:rPr>
                  <m:t>f</m:t>
                </m:r>
              </m:sub>
            </m:sSub>
          </m:den>
        </m:f>
      </m:oMath>
      <w:r w:rsidR="00C016E8" w:rsidRPr="00702DDD">
        <w:rPr>
          <w:rFonts w:ascii="Times New Roman" w:hAnsi="Times New Roman" w:cs="Times New Roman"/>
        </w:rPr>
        <w:tab/>
      </w:r>
      <w:r w:rsidR="00C016E8" w:rsidRPr="00702DDD">
        <w:rPr>
          <w:rFonts w:ascii="Times New Roman" w:hAnsi="Times New Roman" w:cs="Times New Roman"/>
        </w:rPr>
        <w:tab/>
      </w:r>
      <w:r w:rsidR="00C016E8" w:rsidRPr="00702DDD">
        <w:rPr>
          <w:rFonts w:ascii="Times New Roman" w:hAnsi="Times New Roman" w:cs="Times New Roman"/>
        </w:rPr>
        <w:tab/>
      </w:r>
      <w:r w:rsidR="00C016E8" w:rsidRPr="00702DDD">
        <w:rPr>
          <w:rFonts w:ascii="Times New Roman" w:hAnsi="Times New Roman" w:cs="Times New Roman"/>
        </w:rPr>
        <w:tab/>
        <w:t>(1)</w:t>
      </w:r>
    </w:p>
    <w:p w14:paraId="2A1D8DDF" w14:textId="77777777" w:rsidR="00C016E8" w:rsidRPr="00702DDD" w:rsidRDefault="00C016E8" w:rsidP="00C016E8">
      <w:pPr>
        <w:spacing w:line="480" w:lineRule="auto"/>
        <w:rPr>
          <w:rFonts w:ascii="Times New Roman" w:hAnsi="Times New Roman" w:cs="Times New Roman"/>
        </w:rPr>
      </w:pPr>
      <w:r w:rsidRPr="00702DDD">
        <w:rPr>
          <w:rFonts w:ascii="Times New Roman" w:hAnsi="Times New Roman" w:cs="Times New Roman"/>
        </w:rPr>
        <w:lastRenderedPageBreak/>
        <w:t xml:space="preserve">where </w:t>
      </w:r>
      <w:r w:rsidRPr="00702DDD">
        <w:rPr>
          <w:rFonts w:ascii="Times New Roman" w:hAnsi="Times New Roman" w:cs="Times New Roman"/>
          <w:i/>
        </w:rPr>
        <w:t xml:space="preserve">f </w:t>
      </w:r>
      <w:r w:rsidRPr="00702DDD">
        <w:rPr>
          <w:rFonts w:ascii="Times New Roman" w:hAnsi="Times New Roman" w:cs="Times New Roman"/>
        </w:rPr>
        <w:t xml:space="preserve">is the factor score being calculated. The Population Change community and state rates are calculated using Equation 2, estimating the change from 2010 to 2019. </w:t>
      </w:r>
    </w:p>
    <w:p w14:paraId="4AD87B01" w14:textId="77777777" w:rsidR="00C016E8" w:rsidRPr="00702DDD" w:rsidRDefault="00C016E8" w:rsidP="00C016E8">
      <w:pPr>
        <w:spacing w:line="480" w:lineRule="auto"/>
        <w:ind w:left="1440" w:firstLine="720"/>
        <w:jc w:val="center"/>
        <w:rPr>
          <w:rFonts w:ascii="Times New Roman" w:hAnsi="Times New Roman" w:cs="Times New Roman"/>
        </w:rPr>
      </w:pPr>
      <m:oMath>
        <m:r>
          <w:rPr>
            <w:rFonts w:ascii="Cambria Math" w:eastAsia="Cambria Math" w:hAnsi="Cambria Math" w:cs="Times New Roman"/>
          </w:rPr>
          <m:t>Pop Change=</m:t>
        </m:r>
        <m:f>
          <m:fPr>
            <m:ctrlPr>
              <w:rPr>
                <w:rFonts w:ascii="Cambria Math" w:eastAsia="Cambria Math" w:hAnsi="Cambria Math" w:cs="Times New Roman"/>
              </w:rPr>
            </m:ctrlPr>
          </m:fPr>
          <m:num>
            <m:r>
              <w:rPr>
                <w:rFonts w:ascii="Cambria Math" w:eastAsia="Cambria Math" w:hAnsi="Cambria Math" w:cs="Times New Roman"/>
              </w:rPr>
              <m:t>Current Year Pop-Previous Year Pop</m:t>
            </m:r>
          </m:num>
          <m:den>
            <m:r>
              <w:rPr>
                <w:rFonts w:ascii="Cambria Math" w:eastAsia="Cambria Math" w:hAnsi="Cambria Math" w:cs="Times New Roman"/>
              </w:rPr>
              <m:t>Previous Year Pop</m:t>
            </m:r>
          </m:den>
        </m:f>
      </m:oMath>
      <w:r w:rsidRPr="00702DDD">
        <w:rPr>
          <w:rFonts w:ascii="Times New Roman" w:hAnsi="Times New Roman" w:cs="Times New Roman"/>
        </w:rPr>
        <w:tab/>
      </w:r>
      <w:r w:rsidRPr="00702DDD">
        <w:rPr>
          <w:rFonts w:ascii="Times New Roman" w:hAnsi="Times New Roman" w:cs="Times New Roman"/>
        </w:rPr>
        <w:tab/>
      </w:r>
      <w:r w:rsidRPr="00702DDD">
        <w:rPr>
          <w:rFonts w:ascii="Times New Roman" w:hAnsi="Times New Roman" w:cs="Times New Roman"/>
        </w:rPr>
        <w:tab/>
        <w:t>(2)</w:t>
      </w:r>
    </w:p>
    <w:p w14:paraId="6DF3AAC7" w14:textId="77777777" w:rsidR="00C016E8" w:rsidRPr="00702DDD" w:rsidRDefault="00C016E8" w:rsidP="00C016E8">
      <w:pPr>
        <w:spacing w:line="480" w:lineRule="auto"/>
        <w:rPr>
          <w:rFonts w:ascii="Times New Roman" w:hAnsi="Times New Roman" w:cs="Times New Roman"/>
        </w:rPr>
      </w:pPr>
      <w:r w:rsidRPr="00702DDD">
        <w:rPr>
          <w:rFonts w:ascii="Times New Roman" w:hAnsi="Times New Roman" w:cs="Times New Roman"/>
        </w:rPr>
        <w:t xml:space="preserve">The community factor scores for each county are then averaged for an ultimate affordability score. These additional factors represent other aspects of community affordability. </w:t>
      </w:r>
    </w:p>
    <w:p w14:paraId="37EB9732" w14:textId="1CA60A1C" w:rsidR="00C016E8" w:rsidRPr="00702DDD" w:rsidRDefault="00C016E8" w:rsidP="00A41FF8">
      <w:pPr>
        <w:pStyle w:val="Heading3"/>
      </w:pPr>
      <w:bookmarkStart w:id="50" w:name="_Toc98444531"/>
      <w:bookmarkStart w:id="51" w:name="_Toc98692993"/>
      <w:r w:rsidRPr="00702DDD">
        <w:t>2.3.4 Method 3: Negative Scaling</w:t>
      </w:r>
      <w:bookmarkEnd w:id="50"/>
      <w:bookmarkEnd w:id="51"/>
      <w:r w:rsidRPr="00702DDD">
        <w:t xml:space="preserve"> </w:t>
      </w:r>
    </w:p>
    <w:p w14:paraId="6414193A" w14:textId="3AF4FACD" w:rsidR="00C016E8" w:rsidRPr="00702DDD" w:rsidRDefault="00C016E8" w:rsidP="00C016E8">
      <w:pPr>
        <w:spacing w:line="480" w:lineRule="auto"/>
        <w:rPr>
          <w:rFonts w:ascii="Times New Roman" w:hAnsi="Times New Roman" w:cs="Times New Roman"/>
        </w:rPr>
      </w:pPr>
      <w:r w:rsidRPr="00702DDD">
        <w:rPr>
          <w:rFonts w:ascii="Times New Roman" w:hAnsi="Times New Roman" w:cs="Times New Roman"/>
        </w:rPr>
        <w:t xml:space="preserve">In the third and final method, the factor scoring becomes more complex to demonstrate the varying factors more accurately while accounting for the direction of their relationship. The factors considered detrimental to a society are negatively scaled (i.e., Unemployment Rate, Food Stamp Rate, Poverty Rate, Debt, and Expenditures), before all the factors undergo normalization. Negative scaling accounts for the detriment certain socio-economic and financial factors present to community affordability </w:t>
      </w:r>
      <w:r w:rsidRPr="00702DDD">
        <w:rPr>
          <w:rFonts w:ascii="Times New Roman" w:hAnsi="Times New Roman" w:cs="Times New Roman"/>
        </w:rPr>
        <w:fldChar w:fldCharType="begin"/>
      </w:r>
      <w:r w:rsidRPr="00702DDD">
        <w:rPr>
          <w:rFonts w:ascii="Times New Roman" w:hAnsi="Times New Roman" w:cs="Times New Roman"/>
        </w:rPr>
        <w:instrText xml:space="preserve"> ADDIN ZOTERO_ITEM CSL_CITATION {"citationID":"AsCHtQz3","properties":{"formattedCitation":"(Salzman, 2003)","plainCitation":"(Salzman, 2003)","noteIndex":0},"citationItems":[{"id":3148,"uris":["http://zotero.org/groups/2546976/items/49A64QYA"],"uri":["http://zotero.org/groups/2546976/items/49A64QYA"],"itemData":{"id":3148,"type":"article-journal","abstract":"In recent year a large number of composite indexes of economic and social well-being have been developed (Hagerty et. al., 2001). Unfortunately, the methodological issues associated with index construction have often been neglected or inadequately treated by index developers. The objective of this paper is to provide a comprehensive review of the methodological choices involved in the construction of indexes of economic and social well-being and the implications of the choices for the properties of the index. Building on a recent paper by Booysen (2002) and work done by the United National Development Program (e.g. Anand and Sen, 1994), the paper addresses issues related to the choice of functional form of variables, scaling issues, the aggregation operations, weighting schemes, and the choice between single and complementary composite indexes. A detailed typology of the issues addressed in the paper accompanies this abstract. The paper concludes with a list of recommendations for best-practice methodologies for composite index construction.","language":"en","page":"33","source":"Zotero","title":"Methodological Choices Encountered in the Construction of Composite Indices of Economic and Social Well-Being","author":[{"family":"Salzman","given":"Julia"}],"issued":{"date-parts":[["2003",3,13]]}}}],"schema":"https://github.com/citation-style-language/schema/raw/master/csl-citation.json"} </w:instrText>
      </w:r>
      <w:r w:rsidRPr="00702DDD">
        <w:rPr>
          <w:rFonts w:ascii="Times New Roman" w:hAnsi="Times New Roman" w:cs="Times New Roman"/>
        </w:rPr>
        <w:fldChar w:fldCharType="separate"/>
      </w:r>
      <w:r w:rsidRPr="00702DDD">
        <w:rPr>
          <w:rFonts w:ascii="Times New Roman" w:hAnsi="Times New Roman" w:cs="Times New Roman"/>
        </w:rPr>
        <w:t>(Salzman, 2003)</w:t>
      </w:r>
      <w:r w:rsidRPr="00702DDD">
        <w:rPr>
          <w:rFonts w:ascii="Times New Roman" w:hAnsi="Times New Roman" w:cs="Times New Roman"/>
        </w:rPr>
        <w:fldChar w:fldCharType="end"/>
      </w:r>
      <w:r w:rsidRPr="00702DDD">
        <w:rPr>
          <w:rFonts w:ascii="Times New Roman" w:hAnsi="Times New Roman" w:cs="Times New Roman"/>
        </w:rPr>
        <w:t xml:space="preserve">. Normalization sets each factor score range as 0-1 to make the index accessible and comparable </w:t>
      </w:r>
      <w:r w:rsidRPr="00702DDD">
        <w:rPr>
          <w:rFonts w:ascii="Times New Roman" w:hAnsi="Times New Roman" w:cs="Times New Roman"/>
        </w:rPr>
        <w:fldChar w:fldCharType="begin"/>
      </w:r>
      <w:r w:rsidRPr="00702DDD">
        <w:rPr>
          <w:rFonts w:ascii="Times New Roman" w:hAnsi="Times New Roman" w:cs="Times New Roman"/>
        </w:rPr>
        <w:instrText xml:space="preserve"> ADDIN ZOTERO_ITEM CSL_CITATION {"citationID":"k6ZqDF0s","properties":{"formattedCitation":"(Salzman, 2003)","plainCitation":"(Salzman, 2003)","noteIndex":0},"citationItems":[{"id":3148,"uris":["http://zotero.org/groups/2546976/items/49A64QYA"],"uri":["http://zotero.org/groups/2546976/items/49A64QYA"],"itemData":{"id":3148,"type":"article-journal","abstract":"In recent year a large number of composite indexes of economic and social well-being have been developed (Hagerty et. al., 2001). Unfortunately, the methodological issues associated with index construction have often been neglected or inadequately treated by index developers. The objective of this paper is to provide a comprehensive review of the methodological choices involved in the construction of indexes of economic and social well-being and the implications of the choices for the properties of the index. Building on a recent paper by Booysen (2002) and work done by the United National Development Program (e.g. Anand and Sen, 1994), the paper addresses issues related to the choice of functional form of variables, scaling issues, the aggregation operations, weighting schemes, and the choice between single and complementary composite indexes. A detailed typology of the issues addressed in the paper accompanies this abstract. The paper concludes with a list of recommendations for best-practice methodologies for composite index construction.","language":"en","page":"33","source":"Zotero","title":"Methodological Choices Encountered in the Construction of Composite Indices of Economic and Social Well-Being","author":[{"family":"Salzman","given":"Julia"}],"issued":{"date-parts":[["2003",3,13]]}}}],"schema":"https://github.com/citation-style-language/schema/raw/master/csl-citation.json"} </w:instrText>
      </w:r>
      <w:r w:rsidRPr="00702DDD">
        <w:rPr>
          <w:rFonts w:ascii="Times New Roman" w:hAnsi="Times New Roman" w:cs="Times New Roman"/>
        </w:rPr>
        <w:fldChar w:fldCharType="separate"/>
      </w:r>
      <w:r w:rsidRPr="00702DDD">
        <w:rPr>
          <w:rFonts w:ascii="Times New Roman" w:hAnsi="Times New Roman" w:cs="Times New Roman"/>
        </w:rPr>
        <w:t>(Salzman, 2003)</w:t>
      </w:r>
      <w:r w:rsidRPr="00702DDD">
        <w:rPr>
          <w:rFonts w:ascii="Times New Roman" w:hAnsi="Times New Roman" w:cs="Times New Roman"/>
        </w:rPr>
        <w:fldChar w:fldCharType="end"/>
      </w:r>
      <w:r w:rsidRPr="00702DDD">
        <w:rPr>
          <w:rFonts w:ascii="Times New Roman" w:hAnsi="Times New Roman" w:cs="Times New Roman"/>
        </w:rPr>
        <w:t xml:space="preserve">. These factors’ scores (calculated in Equation 1) are multiplied by -1 to represent the negative effect of these factors on affordability for the specific factors identified in the community. </w:t>
      </w:r>
    </w:p>
    <w:p w14:paraId="7218AB85" w14:textId="77777777" w:rsidR="00C016E8" w:rsidRPr="00702DDD" w:rsidRDefault="00C016E8" w:rsidP="00C016E8">
      <w:pPr>
        <w:spacing w:line="480" w:lineRule="auto"/>
        <w:rPr>
          <w:rFonts w:ascii="Times New Roman" w:hAnsi="Times New Roman" w:cs="Times New Roman"/>
        </w:rPr>
      </w:pPr>
      <w:r w:rsidRPr="00702DDD">
        <w:rPr>
          <w:rFonts w:ascii="Times New Roman" w:hAnsi="Times New Roman" w:cs="Times New Roman"/>
        </w:rPr>
        <w:tab/>
        <w:t>After the negative scaling, the scores are normalized using Equation 3:</w:t>
      </w:r>
    </w:p>
    <w:p w14:paraId="37790B46" w14:textId="77777777" w:rsidR="00C016E8" w:rsidRPr="00702DDD" w:rsidRDefault="00C016E8" w:rsidP="00C016E8">
      <w:pPr>
        <w:spacing w:line="480" w:lineRule="auto"/>
        <w:ind w:left="720" w:firstLine="720"/>
        <w:jc w:val="center"/>
        <w:rPr>
          <w:rFonts w:ascii="Times New Roman" w:hAnsi="Times New Roman" w:cs="Times New Roman"/>
        </w:rPr>
      </w:pPr>
      <m:oMath>
        <m:r>
          <w:rPr>
            <w:rFonts w:ascii="Cambria Math" w:eastAsia="Cambria Math" w:hAnsi="Cambria Math" w:cs="Times New Roman"/>
          </w:rPr>
          <m:t>Normalization=</m:t>
        </m:r>
        <m:f>
          <m:fPr>
            <m:ctrlPr>
              <w:rPr>
                <w:rFonts w:ascii="Cambria Math" w:eastAsia="Cambria Math" w:hAnsi="Cambria Math" w:cs="Times New Roman"/>
              </w:rPr>
            </m:ctrlPr>
          </m:fPr>
          <m:num>
            <m:r>
              <w:rPr>
                <w:rFonts w:ascii="Cambria Math" w:eastAsia="Cambria Math" w:hAnsi="Cambria Math" w:cs="Times New Roman"/>
              </w:rPr>
              <m:t>Factor Value-Minimum</m:t>
            </m:r>
          </m:num>
          <m:den>
            <m:r>
              <w:rPr>
                <w:rFonts w:ascii="Cambria Math" w:eastAsia="Cambria Math" w:hAnsi="Cambria Math" w:cs="Times New Roman"/>
              </w:rPr>
              <m:t>Maximum-Minimum</m:t>
            </m:r>
          </m:den>
        </m:f>
      </m:oMath>
      <w:r w:rsidRPr="00702DDD">
        <w:rPr>
          <w:rFonts w:ascii="Times New Roman" w:hAnsi="Times New Roman" w:cs="Times New Roman"/>
        </w:rPr>
        <w:tab/>
      </w:r>
      <w:r w:rsidRPr="00702DDD">
        <w:rPr>
          <w:rFonts w:ascii="Times New Roman" w:hAnsi="Times New Roman" w:cs="Times New Roman"/>
        </w:rPr>
        <w:tab/>
      </w:r>
      <w:r w:rsidRPr="00702DDD">
        <w:rPr>
          <w:rFonts w:ascii="Times New Roman" w:hAnsi="Times New Roman" w:cs="Times New Roman"/>
        </w:rPr>
        <w:tab/>
        <w:t>(3)</w:t>
      </w:r>
    </w:p>
    <w:p w14:paraId="05D8D274" w14:textId="670D3372" w:rsidR="00C016E8" w:rsidRPr="00702DDD" w:rsidRDefault="00C016E8" w:rsidP="00C016E8">
      <w:pPr>
        <w:spacing w:line="480" w:lineRule="auto"/>
        <w:rPr>
          <w:rFonts w:ascii="Times New Roman" w:hAnsi="Times New Roman" w:cs="Times New Roman"/>
        </w:rPr>
      </w:pPr>
      <w:r w:rsidRPr="00702DDD">
        <w:rPr>
          <w:rFonts w:ascii="Times New Roman" w:hAnsi="Times New Roman" w:cs="Times New Roman"/>
        </w:rPr>
        <w:t xml:space="preserve">for the variables Population Change, MHI, Unemployment Rate, Food Stamps Rate, Poverty Rate, and the Financial Indicator. Scaling normalization furthers the state comparison already calculated, as the community’s score is also affected based on its rank amongst the other communities. In addition, the normalized factors considered to be Financial Indicators (i.e., Assets, Debt, Revenue, and Expenditures) are simply averaged together to form a new unique </w:t>
      </w:r>
      <w:r w:rsidRPr="00702DDD">
        <w:rPr>
          <w:rFonts w:ascii="Times New Roman" w:hAnsi="Times New Roman" w:cs="Times New Roman"/>
        </w:rPr>
        <w:lastRenderedPageBreak/>
        <w:t xml:space="preserve">factor: the Financial Indicator. These factors will have less overall weight in the model while still being present, with the negatively scaled Debt and Expenditures factors also in effect. </w:t>
      </w:r>
    </w:p>
    <w:p w14:paraId="6A0E6B01" w14:textId="54E5DBAF" w:rsidR="00C016E8" w:rsidRPr="00702DDD" w:rsidRDefault="00C016E8" w:rsidP="00A41FF8">
      <w:pPr>
        <w:pStyle w:val="Heading3"/>
      </w:pPr>
      <w:bookmarkStart w:id="52" w:name="_Toc98444532"/>
      <w:bookmarkStart w:id="53" w:name="_Toc98692994"/>
      <w:r w:rsidRPr="00702DDD">
        <w:t>2.3.5 Ranking Community Scores</w:t>
      </w:r>
      <w:bookmarkEnd w:id="52"/>
      <w:bookmarkEnd w:id="53"/>
    </w:p>
    <w:p w14:paraId="462BEE6A" w14:textId="4D35E5BD" w:rsidR="00C016E8" w:rsidRPr="00702DDD" w:rsidRDefault="00C016E8" w:rsidP="00C016E8">
      <w:pPr>
        <w:spacing w:line="480" w:lineRule="auto"/>
        <w:rPr>
          <w:rFonts w:ascii="Times New Roman" w:hAnsi="Times New Roman" w:cs="Times New Roman"/>
        </w:rPr>
      </w:pPr>
      <w:r w:rsidRPr="00702DDD">
        <w:rPr>
          <w:rFonts w:ascii="Times New Roman" w:hAnsi="Times New Roman" w:cs="Times New Roman"/>
        </w:rPr>
        <w:t xml:space="preserve">The calculated community affordability scores are indexed using the Jenks Natural Breaks method, an algorithm designed to sort data into classes set by minimizing the total sum of squared deviations </w:t>
      </w:r>
      <w:r w:rsidRPr="00702DDD">
        <w:rPr>
          <w:rFonts w:ascii="Times New Roman" w:hAnsi="Times New Roman" w:cs="Times New Roman"/>
        </w:rPr>
        <w:fldChar w:fldCharType="begin"/>
      </w:r>
      <w:r w:rsidRPr="00702DDD">
        <w:rPr>
          <w:rFonts w:ascii="Times New Roman" w:hAnsi="Times New Roman" w:cs="Times New Roman"/>
        </w:rPr>
        <w:instrText xml:space="preserve"> ADDIN ZOTERO_ITEM CSL_CITATION {"citationID":"pJf8qRLA","properties":{"formattedCitation":"(Campbell &amp; Shin, 2011)","plainCitation":"(Campbell &amp; Shin, 2011)","noteIndex":0},"citationItems":[{"id":3416,"uris":["http://zotero.org/groups/2546976/items/DJMF234S"],"uri":["http://zotero.org/groups/2546976/items/DJMF234S"],"itemData":{"id":3416,"type":"book","title":"Essentials of Geographic Information Systems","URL":"https://saylordotorg.github.io/text_essentials-of-geographic-information-systems/s10-03-data-classification.html","author":[{"family":"Campbell","given":"Jonathan"},{"family":"Shin","given":"Michael Edward"}],"accessed":{"date-parts":[["2022",1,27]]},"issued":{"date-parts":[["2011"]]}}}],"schema":"https://github.com/citation-style-language/schema/raw/master/csl-citation.json"} </w:instrText>
      </w:r>
      <w:r w:rsidRPr="00702DDD">
        <w:rPr>
          <w:rFonts w:ascii="Times New Roman" w:hAnsi="Times New Roman" w:cs="Times New Roman"/>
        </w:rPr>
        <w:fldChar w:fldCharType="separate"/>
      </w:r>
      <w:r w:rsidRPr="00702DDD">
        <w:rPr>
          <w:rFonts w:ascii="Times New Roman" w:hAnsi="Times New Roman" w:cs="Times New Roman"/>
        </w:rPr>
        <w:t>(Campbell &amp; Shin, 2011)</w:t>
      </w:r>
      <w:r w:rsidRPr="00702DDD">
        <w:rPr>
          <w:rFonts w:ascii="Times New Roman" w:hAnsi="Times New Roman" w:cs="Times New Roman"/>
        </w:rPr>
        <w:fldChar w:fldCharType="end"/>
      </w:r>
      <w:r w:rsidRPr="00702DDD">
        <w:rPr>
          <w:rFonts w:ascii="Times New Roman" w:hAnsi="Times New Roman" w:cs="Times New Roman"/>
        </w:rPr>
        <w:t xml:space="preserve">. The three factor scoring methods will utilize this algorithm to sort the affordability scores into 11 ATPI bins (i.e., 0, 10, 20, 30, 40, 50, 60, 70, 80, 90, 100). The 0-100 scores are then comparable across ATPI methods, will identify how the community rankings shift in each, and allow threshold to be set determining which communities receive assistance. For this analysis, the threshold will be 50. Counties in the 50 ATPI bin and below will be considered distressed and will qualify for subsidies such as principal forgiveness, low interest loans, and technical assistance. </w:t>
      </w:r>
    </w:p>
    <w:p w14:paraId="1E662550" w14:textId="77777777" w:rsidR="00C016E8" w:rsidRPr="00702DDD" w:rsidRDefault="00C016E8" w:rsidP="00C016E8">
      <w:pPr>
        <w:pStyle w:val="Style2"/>
        <w:rPr>
          <w:rFonts w:ascii="Times New Roman" w:hAnsi="Times New Roman" w:cs="Times New Roman"/>
        </w:rPr>
      </w:pPr>
      <w:r w:rsidRPr="00702DDD">
        <w:rPr>
          <w:rFonts w:ascii="Times New Roman" w:hAnsi="Times New Roman" w:cs="Times New Roman"/>
        </w:rPr>
        <w:t>2.3.6 IMPLAN Application</w:t>
      </w:r>
    </w:p>
    <w:p w14:paraId="4FB22882" w14:textId="6D1CD353" w:rsidR="00C016E8" w:rsidRPr="00702DDD" w:rsidRDefault="00D07965" w:rsidP="00C016E8">
      <w:pPr>
        <w:spacing w:line="480" w:lineRule="auto"/>
        <w:rPr>
          <w:rFonts w:ascii="Times New Roman" w:hAnsi="Times New Roman" w:cs="Times New Roman"/>
        </w:rPr>
      </w:pPr>
      <w:sdt>
        <w:sdtPr>
          <w:rPr>
            <w:rFonts w:ascii="Times New Roman" w:hAnsi="Times New Roman" w:cs="Times New Roman"/>
          </w:rPr>
          <w:tag w:val="goog_rdk_20"/>
          <w:id w:val="-1575888581"/>
        </w:sdtPr>
        <w:sdtEndPr/>
        <w:sdtContent/>
      </w:sdt>
      <w:r w:rsidR="00C016E8" w:rsidRPr="00702DDD">
        <w:rPr>
          <w:rFonts w:ascii="Times New Roman" w:hAnsi="Times New Roman" w:cs="Times New Roman"/>
        </w:rPr>
        <w:t xml:space="preserve">IMPLAN software is used to estimate the economic impact of the various method’s ranking of distressed counties and resulting fund distributions </w:t>
      </w:r>
      <w:r w:rsidR="00C016E8" w:rsidRPr="00702DDD">
        <w:rPr>
          <w:rFonts w:ascii="Times New Roman" w:hAnsi="Times New Roman" w:cs="Times New Roman"/>
        </w:rPr>
        <w:fldChar w:fldCharType="begin"/>
      </w:r>
      <w:r w:rsidR="00C016E8" w:rsidRPr="00702DDD">
        <w:rPr>
          <w:rFonts w:ascii="Times New Roman" w:hAnsi="Times New Roman" w:cs="Times New Roman"/>
        </w:rPr>
        <w:instrText xml:space="preserve"> ADDIN ZOTERO_ITEM CSL_CITATION {"citationID":"ClH70DxX","properties":{"formattedCitation":"(IMPLAN, 2019b)","plainCitation":"(IMPLAN, 2019b)","noteIndex":0},"citationItems":[{"id":3422,"uris":["http://zotero.org/groups/2546976/items/XSFI25MI"],"uri":["http://zotero.org/groups/2546976/items/XSFI25MI"],"itemData":{"id":3422,"type":"book","abstract":"Enjoy the freedom to run economic analysis from anywhere. Build and analyze input-output models with the most recent data for academia, government, business.","title":"IMPLAN","URL":"https://implan.com/","author":[{"literal":"IMPLAN"}],"accessed":{"date-parts":[["2022",1,30]]},"issued":{"date-parts":[["2019",10,24]]}}}],"schema":"https://github.com/citation-style-language/schema/raw/master/csl-citation.json"} </w:instrText>
      </w:r>
      <w:r w:rsidR="00C016E8" w:rsidRPr="00702DDD">
        <w:rPr>
          <w:rFonts w:ascii="Times New Roman" w:hAnsi="Times New Roman" w:cs="Times New Roman"/>
        </w:rPr>
        <w:fldChar w:fldCharType="separate"/>
      </w:r>
      <w:r w:rsidR="00C016E8" w:rsidRPr="00702DDD">
        <w:rPr>
          <w:rFonts w:ascii="Times New Roman" w:hAnsi="Times New Roman" w:cs="Times New Roman"/>
        </w:rPr>
        <w:t>(IMPLAN, 2019b)</w:t>
      </w:r>
      <w:r w:rsidR="00C016E8" w:rsidRPr="00702DDD">
        <w:rPr>
          <w:rFonts w:ascii="Times New Roman" w:hAnsi="Times New Roman" w:cs="Times New Roman"/>
        </w:rPr>
        <w:fldChar w:fldCharType="end"/>
      </w:r>
      <w:r w:rsidR="00C016E8" w:rsidRPr="00702DDD">
        <w:rPr>
          <w:rFonts w:ascii="Times New Roman" w:hAnsi="Times New Roman" w:cs="Times New Roman"/>
        </w:rPr>
        <w:t xml:space="preserve">. This study will use IMPLAN to analyze the effects of three ATPI scenarios on water infrastructure investments across Tennessee (one for each method). The investments in water infrastructure will be attributed to the “Water, sewage, and other systems” sector, sector 49 in IMPLAN. Supporting sectors will be impacted by indirect and induced effects for the total impact to the analysis region. </w:t>
      </w:r>
    </w:p>
    <w:p w14:paraId="00C8D0C8" w14:textId="7D8B06B7" w:rsidR="00C016E8" w:rsidRPr="00702DDD" w:rsidRDefault="00C016E8" w:rsidP="00C016E8">
      <w:pPr>
        <w:spacing w:line="480" w:lineRule="auto"/>
        <w:rPr>
          <w:rFonts w:ascii="Times New Roman" w:hAnsi="Times New Roman" w:cs="Times New Roman"/>
          <w:highlight w:val="green"/>
        </w:rPr>
      </w:pPr>
      <w:r w:rsidRPr="00702DDD">
        <w:rPr>
          <w:rFonts w:ascii="Times New Roman" w:hAnsi="Times New Roman" w:cs="Times New Roman"/>
        </w:rPr>
        <w:tab/>
        <w:t xml:space="preserve">IMPLAN estimates I-O analysis multipliers for a region’s Direct, Indirect, and Induced Effects after a modelled economic shock to a specific sector. These allocations are made by TDEC at the water system level. However, IMPLAN software models county economic impacts. </w:t>
      </w:r>
      <w:r w:rsidRPr="00702DDD">
        <w:rPr>
          <w:rFonts w:ascii="Times New Roman" w:hAnsi="Times New Roman" w:cs="Times New Roman"/>
        </w:rPr>
        <w:lastRenderedPageBreak/>
        <w:t xml:space="preserve">In addition, because IMPLAN lacks water and sewage industry data for every county in Tennessee (many water infrastructure systems span multiple counties), this study will perform IMPLAN analyses on the regional level. Nine Tennessee regions (determined by the Tennessee Department of Economic and Community Development) will be used as the next smallest economic analysis area to fully include the water sector data in the analysis. These regions are: Northwest, Northern Middle, Upper Cumberland, East, Northeast, Southeast, Southern Middle, Southwest, and Greater Memphis and are displayed in Figure 2.2 </w:t>
      </w:r>
      <w:r w:rsidRPr="00702DDD">
        <w:rPr>
          <w:rFonts w:ascii="Times New Roman" w:hAnsi="Times New Roman" w:cs="Times New Roman"/>
        </w:rPr>
        <w:fldChar w:fldCharType="begin"/>
      </w:r>
      <w:r w:rsidRPr="00702DDD">
        <w:rPr>
          <w:rFonts w:ascii="Times New Roman" w:hAnsi="Times New Roman" w:cs="Times New Roman"/>
        </w:rPr>
        <w:instrText xml:space="preserve"> ADDIN ZOTERO_ITEM CSL_CITATION {"citationID":"4qEROzzV","properties":{"formattedCitation":"(TDECD 2018)","plainCitation":"(TDECD 2018)","noteIndex":0},"citationItems":[{"id":3393,"uris":["http://zotero.org/groups/2546976/items/3HYP2NLT"],"uri":["http://zotero.org/groups/2546976/items/3HYP2NLT"],"itemData":{"id":3393,"type":"report","title":"Regional Directors","author":[{"literal":"Tennessee Department of Economic and Community Development"}],"issued":{"date-parts":[["2018"]]}},"suppress-author":true,"prefix":"TDECD"}],"schema":"https://github.com/citation-style-language/schema/raw/master/csl-citation.json"} </w:instrText>
      </w:r>
      <w:r w:rsidRPr="00702DDD">
        <w:rPr>
          <w:rFonts w:ascii="Times New Roman" w:hAnsi="Times New Roman" w:cs="Times New Roman"/>
        </w:rPr>
        <w:fldChar w:fldCharType="separate"/>
      </w:r>
      <w:r w:rsidRPr="00702DDD">
        <w:rPr>
          <w:rFonts w:ascii="Times New Roman" w:hAnsi="Times New Roman" w:cs="Times New Roman"/>
        </w:rPr>
        <w:t>(TDECD 2018)</w:t>
      </w:r>
      <w:r w:rsidRPr="00702DDD">
        <w:rPr>
          <w:rFonts w:ascii="Times New Roman" w:hAnsi="Times New Roman" w:cs="Times New Roman"/>
        </w:rPr>
        <w:fldChar w:fldCharType="end"/>
      </w:r>
      <w:r w:rsidRPr="00702DDD">
        <w:rPr>
          <w:rFonts w:ascii="Times New Roman" w:hAnsi="Times New Roman" w:cs="Times New Roman"/>
        </w:rPr>
        <w:t xml:space="preserve">. In total, twenty-seven economic impacts will be analyzed in IMPLAN. These impacts will be compared at the regional level and aggregated for method allocation comparison. Not analyzing the economic impacts at the water system level may be addressed in similar future studies with additional data, but the consistent analysis methodology is sufficient for this analysis’s purpose.  </w:t>
      </w:r>
    </w:p>
    <w:p w14:paraId="32FE3C0F" w14:textId="77777777" w:rsidR="00C016E8" w:rsidRPr="00702DDD" w:rsidRDefault="00C016E8" w:rsidP="000654A5">
      <w:pPr>
        <w:pStyle w:val="Heading2"/>
      </w:pPr>
      <w:bookmarkStart w:id="54" w:name="_Toc98444533"/>
      <w:bookmarkStart w:id="55" w:name="_Toc98692995"/>
      <w:r w:rsidRPr="00702DDD">
        <w:t>2.4 Data</w:t>
      </w:r>
      <w:bookmarkEnd w:id="54"/>
      <w:bookmarkEnd w:id="55"/>
    </w:p>
    <w:p w14:paraId="5E52D627" w14:textId="58E6455F" w:rsidR="00C016E8" w:rsidRPr="00702DDD" w:rsidRDefault="00C016E8" w:rsidP="00C016E8">
      <w:pPr>
        <w:spacing w:line="480" w:lineRule="auto"/>
        <w:rPr>
          <w:rFonts w:ascii="Times New Roman" w:hAnsi="Times New Roman" w:cs="Times New Roman"/>
        </w:rPr>
      </w:pPr>
      <w:r w:rsidRPr="00702DDD">
        <w:rPr>
          <w:rFonts w:ascii="Times New Roman" w:hAnsi="Times New Roman" w:cs="Times New Roman"/>
          <w:color w:val="000000"/>
        </w:rPr>
        <w:t xml:space="preserve">The data used in this study </w:t>
      </w:r>
      <w:r w:rsidRPr="00702DDD">
        <w:rPr>
          <w:rFonts w:ascii="Times New Roman" w:hAnsi="Times New Roman" w:cs="Times New Roman"/>
        </w:rPr>
        <w:t xml:space="preserve">were </w:t>
      </w:r>
      <w:r w:rsidRPr="00702DDD">
        <w:rPr>
          <w:rFonts w:ascii="Times New Roman" w:hAnsi="Times New Roman" w:cs="Times New Roman"/>
          <w:color w:val="000000"/>
        </w:rPr>
        <w:t>collected from severa</w:t>
      </w:r>
      <w:r w:rsidRPr="00702DDD">
        <w:rPr>
          <w:rFonts w:ascii="Times New Roman" w:hAnsi="Times New Roman" w:cs="Times New Roman"/>
        </w:rPr>
        <w:t xml:space="preserve">l </w:t>
      </w:r>
      <w:r w:rsidRPr="00702DDD">
        <w:rPr>
          <w:rFonts w:ascii="Times New Roman" w:hAnsi="Times New Roman" w:cs="Times New Roman"/>
          <w:color w:val="000000"/>
        </w:rPr>
        <w:t xml:space="preserve">publicly available databases. Data from 2019 5-year American Community Survey estimates from the U.S. Census Bureau were used to obtain population, median household income, food stamp, and poverty rates </w:t>
      </w:r>
      <w:r w:rsidRPr="00702DDD">
        <w:rPr>
          <w:rFonts w:ascii="Times New Roman" w:hAnsi="Times New Roman" w:cs="Times New Roman"/>
          <w:color w:val="000000"/>
        </w:rPr>
        <w:fldChar w:fldCharType="begin"/>
      </w:r>
      <w:r w:rsidRPr="00702DDD">
        <w:rPr>
          <w:rFonts w:ascii="Times New Roman" w:hAnsi="Times New Roman" w:cs="Times New Roman"/>
          <w:color w:val="000000"/>
        </w:rPr>
        <w:instrText xml:space="preserve"> ADDIN ZOTERO_ITEM CSL_CITATION {"citationID":"IxXOkMpM","properties":{"formattedCitation":"(US Census 2020)","plainCitation":"(US Census 2020)","noteIndex":0},"citationItems":[{"id":3150,"uris":["http://zotero.org/groups/2546976/items/C4V57BFB"],"uri":["http://zotero.org/groups/2546976/items/C4V57BFB"],"itemData":{"id":3150,"type":"webpage","title":"Census Data","URL":"https://data.census.gov/cedsci/","author":[{"literal":"United States Census Bureau"}],"accessed":{"date-parts":[["2021",7,14]]},"issued":{"date-parts":[["2020"]]}},"suppress-author":true,"prefix":"US Census"}],"schema":"https://github.com/citation-style-language/schema/raw/master/csl-citation.json"} </w:instrText>
      </w:r>
      <w:r w:rsidRPr="00702DDD">
        <w:rPr>
          <w:rFonts w:ascii="Times New Roman" w:hAnsi="Times New Roman" w:cs="Times New Roman"/>
          <w:color w:val="000000"/>
        </w:rPr>
        <w:fldChar w:fldCharType="separate"/>
      </w:r>
      <w:r w:rsidRPr="00702DDD">
        <w:rPr>
          <w:rFonts w:ascii="Times New Roman" w:hAnsi="Times New Roman" w:cs="Times New Roman"/>
        </w:rPr>
        <w:t>(US Census 2020)</w:t>
      </w:r>
      <w:r w:rsidRPr="00702DDD">
        <w:rPr>
          <w:rFonts w:ascii="Times New Roman" w:hAnsi="Times New Roman" w:cs="Times New Roman"/>
          <w:color w:val="000000"/>
        </w:rPr>
        <w:fldChar w:fldCharType="end"/>
      </w:r>
      <w:r w:rsidRPr="00702DDD">
        <w:rPr>
          <w:rFonts w:ascii="Times New Roman" w:hAnsi="Times New Roman" w:cs="Times New Roman"/>
          <w:color w:val="000000"/>
        </w:rPr>
        <w:t xml:space="preserve">. Community assets, debt, revenue, and expenditure information as reported in audit reports was collected from the Tennessee Comptroller of Treasury </w:t>
      </w:r>
      <w:r w:rsidRPr="00702DDD">
        <w:rPr>
          <w:rFonts w:ascii="Times New Roman" w:hAnsi="Times New Roman" w:cs="Times New Roman"/>
          <w:color w:val="000000"/>
        </w:rPr>
        <w:fldChar w:fldCharType="begin"/>
      </w:r>
      <w:r w:rsidRPr="00702DDD">
        <w:rPr>
          <w:rFonts w:ascii="Times New Roman" w:hAnsi="Times New Roman" w:cs="Times New Roman"/>
          <w:color w:val="000000"/>
        </w:rPr>
        <w:instrText xml:space="preserve"> ADDIN ZOTERO_ITEM CSL_CITATION {"citationID":"6HoE7whu","properties":{"formattedCitation":"(2020)","plainCitation":"(2020)","noteIndex":0},"citationItems":[{"id":3146,"uris":["http://zotero.org/groups/2546976/items/7EELCRLB"],"uri":["http://zotero.org/groups/2546976/items/7EELCRLB"],"itemData":{"id":3146,"type":"report","language":"en","title":"County Audit Reports","URL":"https://comptroller.tn.gov/office-functions/la/reports/audit-reports.html","author":[{"literal":"Tennessee Comptroller of the Treasury"}],"accessed":{"date-parts":[["2021",7,17]]},"issued":{"date-parts":[["2020"]]}},"suppress-author":true}],"schema":"https://github.com/citation-style-language/schema/raw/master/csl-citation.json"} </w:instrText>
      </w:r>
      <w:r w:rsidRPr="00702DDD">
        <w:rPr>
          <w:rFonts w:ascii="Times New Roman" w:hAnsi="Times New Roman" w:cs="Times New Roman"/>
          <w:color w:val="000000"/>
        </w:rPr>
        <w:fldChar w:fldCharType="separate"/>
      </w:r>
      <w:r w:rsidRPr="00702DDD">
        <w:rPr>
          <w:rFonts w:ascii="Times New Roman" w:hAnsi="Times New Roman" w:cs="Times New Roman"/>
        </w:rPr>
        <w:t>(2020)</w:t>
      </w:r>
      <w:r w:rsidRPr="00702DDD">
        <w:rPr>
          <w:rFonts w:ascii="Times New Roman" w:hAnsi="Times New Roman" w:cs="Times New Roman"/>
          <w:color w:val="000000"/>
        </w:rPr>
        <w:fldChar w:fldCharType="end"/>
      </w:r>
      <w:r w:rsidRPr="00702DDD">
        <w:rPr>
          <w:rFonts w:ascii="Times New Roman" w:hAnsi="Times New Roman" w:cs="Times New Roman"/>
          <w:color w:val="000000"/>
        </w:rPr>
        <w:t xml:space="preserve">. Unemployment rates were retrieved from the Tennessee Labor Market Report </w:t>
      </w:r>
      <w:r w:rsidRPr="00702DDD">
        <w:rPr>
          <w:rFonts w:ascii="Times New Roman" w:hAnsi="Times New Roman" w:cs="Times New Roman"/>
          <w:color w:val="000000"/>
        </w:rPr>
        <w:fldChar w:fldCharType="begin"/>
      </w:r>
      <w:r w:rsidRPr="00702DDD">
        <w:rPr>
          <w:rFonts w:ascii="Times New Roman" w:hAnsi="Times New Roman" w:cs="Times New Roman"/>
          <w:color w:val="000000"/>
        </w:rPr>
        <w:instrText xml:space="preserve"> ADDIN ZOTERO_ITEM CSL_CITATION {"citationID":"hLIRo8XG","properties":{"formattedCitation":"(TDLWD 2020)","plainCitation":"(TDLWD 2020)","noteIndex":0},"citationItems":[{"id":3149,"uris":["http://zotero.org/groups/2546976/items/34NZ7DTI"],"uri":["http://zotero.org/groups/2546976/items/34NZ7DTI"],"itemData":{"id":3149,"type":"report","title":"Tennessee Labor Market Report","URL":"https://www.tn.gov/content/dam/tn/workforce/documents/LMR/LMRDecember2020.pdf","author":[{"literal":"Tennessee Department of Labor &amp; Workforce Development"}],"accessed":{"date-parts":[["2021",7,14]]},"issued":{"date-parts":[["2020",12]]}},"suppress-author":true,"prefix":"TDLWD"}],"schema":"https://github.com/citation-style-language/schema/raw/master/csl-citation.json"} </w:instrText>
      </w:r>
      <w:r w:rsidRPr="00702DDD">
        <w:rPr>
          <w:rFonts w:ascii="Times New Roman" w:hAnsi="Times New Roman" w:cs="Times New Roman"/>
          <w:color w:val="000000"/>
        </w:rPr>
        <w:fldChar w:fldCharType="separate"/>
      </w:r>
      <w:r w:rsidRPr="00702DDD">
        <w:rPr>
          <w:rFonts w:ascii="Times New Roman" w:hAnsi="Times New Roman" w:cs="Times New Roman"/>
        </w:rPr>
        <w:t>(TDLWD 2020)</w:t>
      </w:r>
      <w:r w:rsidRPr="00702DDD">
        <w:rPr>
          <w:rFonts w:ascii="Times New Roman" w:hAnsi="Times New Roman" w:cs="Times New Roman"/>
          <w:color w:val="000000"/>
        </w:rPr>
        <w:fldChar w:fldCharType="end"/>
      </w:r>
      <w:r w:rsidRPr="00702DDD">
        <w:rPr>
          <w:rFonts w:ascii="Times New Roman" w:hAnsi="Times New Roman" w:cs="Times New Roman"/>
          <w:color w:val="000000"/>
        </w:rPr>
        <w:t xml:space="preserve">. </w:t>
      </w:r>
      <w:r w:rsidRPr="00702DDD">
        <w:rPr>
          <w:rFonts w:ascii="Times New Roman" w:hAnsi="Times New Roman" w:cs="Times New Roman"/>
        </w:rPr>
        <w:t xml:space="preserve">The data for each of the above factors were collected for the 95 Tennessee counties and at the state level when available, or otherwise averaged for state-county comparisons. As mentioned above, the population averages for 2010 were also used to estimate the population change from 2019. </w:t>
      </w:r>
    </w:p>
    <w:p w14:paraId="2AEE7F2E" w14:textId="53558DF9" w:rsidR="00C016E8" w:rsidRPr="00702DDD" w:rsidRDefault="00C016E8" w:rsidP="00C016E8">
      <w:pPr>
        <w:spacing w:line="480" w:lineRule="auto"/>
        <w:rPr>
          <w:rFonts w:ascii="Times New Roman" w:hAnsi="Times New Roman" w:cs="Times New Roman"/>
          <w:highlight w:val="green"/>
        </w:rPr>
      </w:pPr>
      <w:r w:rsidRPr="00702DDD">
        <w:rPr>
          <w:rFonts w:ascii="Times New Roman" w:hAnsi="Times New Roman" w:cs="Times New Roman"/>
        </w:rPr>
        <w:tab/>
        <w:t xml:space="preserve">IMPLAN software contains the regional economic data for I-O analysis. This data comes from national government databases and agencies including the U.S. Bureau of Economic </w:t>
      </w:r>
      <w:r w:rsidRPr="00702DDD">
        <w:rPr>
          <w:rFonts w:ascii="Times New Roman" w:hAnsi="Times New Roman" w:cs="Times New Roman"/>
        </w:rPr>
        <w:lastRenderedPageBreak/>
        <w:t xml:space="preserve">Analysis, U.S. Department of Agriculture, U.S. Bureau of Labor Statistics, and the U.S. Census Bureau </w:t>
      </w:r>
      <w:r w:rsidRPr="00702DDD">
        <w:rPr>
          <w:rFonts w:ascii="Times New Roman" w:hAnsi="Times New Roman" w:cs="Times New Roman"/>
        </w:rPr>
        <w:fldChar w:fldCharType="begin"/>
      </w:r>
      <w:r w:rsidRPr="00702DDD">
        <w:rPr>
          <w:rFonts w:ascii="Times New Roman" w:hAnsi="Times New Roman" w:cs="Times New Roman"/>
        </w:rPr>
        <w:instrText xml:space="preserve"> ADDIN ZOTERO_ITEM CSL_CITATION {"citationID":"Ej2eHd6m","properties":{"formattedCitation":"(IMPLAN, 2019a)","plainCitation":"(IMPLAN, 2019a)","noteIndex":0},"citationItems":[{"id":3421,"uris":["http://zotero.org/groups/2546976/items/QHJVZ8TR"],"uri":["http://zotero.org/groups/2546976/items/QHJVZ8TR"],"itemData":{"id":3421,"type":"webpage","language":"en-US","title":"IMPLAN Data Sources","URL":"https://implan.com/data-sources/","author":[{"literal":"IMPLAN"}],"accessed":{"date-parts":[["2022",1,30]]},"issued":{"date-parts":[["2019",10,16]]}}}],"schema":"https://github.com/citation-style-language/schema/raw/master/csl-citation.json"} </w:instrText>
      </w:r>
      <w:r w:rsidRPr="00702DDD">
        <w:rPr>
          <w:rFonts w:ascii="Times New Roman" w:hAnsi="Times New Roman" w:cs="Times New Roman"/>
        </w:rPr>
        <w:fldChar w:fldCharType="separate"/>
      </w:r>
      <w:r w:rsidRPr="00702DDD">
        <w:rPr>
          <w:rFonts w:ascii="Times New Roman" w:hAnsi="Times New Roman" w:cs="Times New Roman"/>
        </w:rPr>
        <w:t>(IMPLAN, 2019a)</w:t>
      </w:r>
      <w:r w:rsidRPr="00702DDD">
        <w:rPr>
          <w:rFonts w:ascii="Times New Roman" w:hAnsi="Times New Roman" w:cs="Times New Roman"/>
        </w:rPr>
        <w:fldChar w:fldCharType="end"/>
      </w:r>
      <w:r w:rsidRPr="00702DDD">
        <w:rPr>
          <w:rFonts w:ascii="Times New Roman" w:hAnsi="Times New Roman" w:cs="Times New Roman"/>
        </w:rPr>
        <w:t xml:space="preserve">. </w:t>
      </w:r>
    </w:p>
    <w:p w14:paraId="1A91E42D" w14:textId="77777777" w:rsidR="00C016E8" w:rsidRPr="00702DDD" w:rsidRDefault="00C016E8" w:rsidP="000654A5">
      <w:pPr>
        <w:pStyle w:val="Heading2"/>
      </w:pPr>
      <w:bookmarkStart w:id="56" w:name="_Toc98444534"/>
      <w:bookmarkStart w:id="57" w:name="_Toc98692996"/>
      <w:r w:rsidRPr="00702DDD">
        <w:t>2.5 Results</w:t>
      </w:r>
      <w:bookmarkEnd w:id="56"/>
      <w:bookmarkEnd w:id="57"/>
      <w:r w:rsidRPr="00702DDD">
        <w:t xml:space="preserve"> </w:t>
      </w:r>
    </w:p>
    <w:p w14:paraId="69EB4B5E" w14:textId="2E1945B2" w:rsidR="00C016E8" w:rsidRPr="00702DDD" w:rsidRDefault="00C016E8" w:rsidP="00A41FF8">
      <w:pPr>
        <w:pStyle w:val="Heading3"/>
      </w:pPr>
      <w:bookmarkStart w:id="58" w:name="_Toc98444535"/>
      <w:bookmarkStart w:id="59" w:name="_Toc98692997"/>
      <w:r w:rsidRPr="00702DDD">
        <w:t>2.5.1 ATPI Method Results</w:t>
      </w:r>
      <w:bookmarkEnd w:id="58"/>
      <w:bookmarkEnd w:id="59"/>
      <w:r w:rsidRPr="00702DDD">
        <w:t xml:space="preserve"> </w:t>
      </w:r>
    </w:p>
    <w:p w14:paraId="02B737C2" w14:textId="5415E778" w:rsidR="00C016E8" w:rsidRPr="00702DDD" w:rsidRDefault="00C016E8" w:rsidP="00C016E8">
      <w:pPr>
        <w:spacing w:line="480" w:lineRule="auto"/>
        <w:rPr>
          <w:rFonts w:ascii="Times New Roman" w:hAnsi="Times New Roman" w:cs="Times New Roman"/>
        </w:rPr>
      </w:pPr>
      <w:r w:rsidRPr="00702DDD">
        <w:rPr>
          <w:rFonts w:ascii="Times New Roman" w:hAnsi="Times New Roman" w:cs="Times New Roman"/>
        </w:rPr>
        <w:t xml:space="preserve">The ATPI results for each method are reported in Table </w:t>
      </w:r>
      <w:r w:rsidR="00C72EA1">
        <w:rPr>
          <w:rFonts w:ascii="Times New Roman" w:hAnsi="Times New Roman" w:cs="Times New Roman"/>
        </w:rPr>
        <w:t>2.1</w:t>
      </w:r>
      <w:r w:rsidRPr="00702DDD">
        <w:rPr>
          <w:rFonts w:ascii="Times New Roman" w:hAnsi="Times New Roman" w:cs="Times New Roman"/>
        </w:rPr>
        <w:t xml:space="preserve">. As expected, each method produced a unique frequency of distressed counties. The Simple Average method calculated the most distressed communities at 65, followed by Negative Scaled at 57, and MHI at 52. While the ATPI calculated some counties as distressed or not distressed across methods (e.g., in Carroll, Davidson, and Henry counties), the Simple Average method often over or underestimated county distress compared to the others (e.g., in Bledsoe, Fayette, and Hancock counties). This identifies the Simple Average method as potentially misleading despite including the factors used in the other ATPI calculation methods. </w:t>
      </w:r>
    </w:p>
    <w:p w14:paraId="49E2C273" w14:textId="0AD79ABC" w:rsidR="00C016E8" w:rsidRPr="00702DDD" w:rsidRDefault="00C016E8" w:rsidP="00C016E8">
      <w:pPr>
        <w:spacing w:line="480" w:lineRule="auto"/>
        <w:rPr>
          <w:rFonts w:ascii="Times New Roman" w:hAnsi="Times New Roman" w:cs="Times New Roman"/>
        </w:rPr>
      </w:pPr>
      <w:r w:rsidRPr="00702DDD">
        <w:rPr>
          <w:rFonts w:ascii="Times New Roman" w:hAnsi="Times New Roman" w:cs="Times New Roman"/>
        </w:rPr>
        <w:tab/>
        <w:t>The ATPI method distributions also vary, as displayed by Figures 2.</w:t>
      </w:r>
      <w:r w:rsidR="00C72EA1">
        <w:rPr>
          <w:rFonts w:ascii="Times New Roman" w:hAnsi="Times New Roman" w:cs="Times New Roman"/>
        </w:rPr>
        <w:t>3</w:t>
      </w:r>
      <w:r w:rsidRPr="00702DDD">
        <w:rPr>
          <w:rFonts w:ascii="Times New Roman" w:hAnsi="Times New Roman" w:cs="Times New Roman"/>
        </w:rPr>
        <w:t>-2.</w:t>
      </w:r>
      <w:r w:rsidR="00C72EA1">
        <w:rPr>
          <w:rFonts w:ascii="Times New Roman" w:hAnsi="Times New Roman" w:cs="Times New Roman"/>
        </w:rPr>
        <w:t>5</w:t>
      </w:r>
      <w:r w:rsidRPr="00702DDD">
        <w:rPr>
          <w:rFonts w:ascii="Times New Roman" w:hAnsi="Times New Roman" w:cs="Times New Roman"/>
        </w:rPr>
        <w:t xml:space="preserve">. The MHI method frequency of ATPI bin scores greatly increases from 0 to 10 (from 2 to 12 counties), slowly decreases to the 60 ATPI bin level, and greatly increases again to 70 at peak 17 counties. The frequency follows close at 14 counties for the 80 ATPI bin, followed by only 4 total counties in the 90 and 100 ATPI. The Simple Average frequency looks similar to MHI at first, sharply inclining after the first bin (2 counties at 0 ATPI) to a frequency of 15 counties at 10 and 16 counties at 20 ATPI. The Simple Average, however, gradually declines instead of sharply increasing in the higher ATPI bins: the county frequency is skewed toward the lower ATPI. The Negative Scaled method is less skewed than the others, with the ATPI bin levels increasing to a peak of 60 before decreasing to the end of the range. The county frequency increases sharply from the 10 to 20 bin, stays at 10 counties or above to the 60 bin level, and gradually declines to </w:t>
      </w:r>
      <w:r w:rsidRPr="00702DDD">
        <w:rPr>
          <w:rFonts w:ascii="Times New Roman" w:hAnsi="Times New Roman" w:cs="Times New Roman"/>
        </w:rPr>
        <w:lastRenderedPageBreak/>
        <w:t xml:space="preserve">the end of the distribution. This shows the Simple Average method overestimates county distress level while MHI slightly underestimates it, supported by the methods calculating the most and least distressed counties, respectively. The frequency and distribution identify the Negative Scaled method as the most moderate and balanced of the three ATPI methods. </w:t>
      </w:r>
    </w:p>
    <w:p w14:paraId="1B4A9FBB" w14:textId="5673225D" w:rsidR="00C016E8" w:rsidRPr="00702DDD" w:rsidRDefault="00C016E8" w:rsidP="00C016E8">
      <w:pPr>
        <w:spacing w:line="480" w:lineRule="auto"/>
        <w:rPr>
          <w:rFonts w:ascii="Times New Roman" w:hAnsi="Times New Roman" w:cs="Times New Roman"/>
        </w:rPr>
      </w:pPr>
      <w:r w:rsidRPr="00702DDD">
        <w:rPr>
          <w:rFonts w:ascii="Times New Roman" w:hAnsi="Times New Roman" w:cs="Times New Roman"/>
        </w:rPr>
        <w:tab/>
        <w:t>Figures 2.</w:t>
      </w:r>
      <w:r w:rsidR="00C72EA1">
        <w:rPr>
          <w:rFonts w:ascii="Times New Roman" w:hAnsi="Times New Roman" w:cs="Times New Roman"/>
        </w:rPr>
        <w:t>6</w:t>
      </w:r>
      <w:r w:rsidRPr="00702DDD">
        <w:rPr>
          <w:rFonts w:ascii="Times New Roman" w:hAnsi="Times New Roman" w:cs="Times New Roman"/>
        </w:rPr>
        <w:t>-2</w:t>
      </w:r>
      <w:r w:rsidR="00C72EA1">
        <w:rPr>
          <w:rFonts w:ascii="Times New Roman" w:hAnsi="Times New Roman" w:cs="Times New Roman"/>
        </w:rPr>
        <w:t>.8</w:t>
      </w:r>
      <w:r w:rsidRPr="00702DDD">
        <w:rPr>
          <w:rFonts w:ascii="Times New Roman" w:hAnsi="Times New Roman" w:cs="Times New Roman"/>
        </w:rPr>
        <w:t xml:space="preserve"> display the analyzed Tennessee counties and their respective ATPI level for each method. The MHI method calculates the most counties of any method as above the distress threshold (those colored yellow into green), encompassing the majority of the Memphis, central, and eastern areas of the state. Simple Average calculates more counties as distressed, with many counties being much lower in ATPI bin level. The Negative Scaling Average method is similar to the MHI but does not characterize counties as affluently. </w:t>
      </w:r>
    </w:p>
    <w:p w14:paraId="2CDE5CB8" w14:textId="792B858C" w:rsidR="00C016E8" w:rsidRPr="00702DDD" w:rsidRDefault="00C016E8" w:rsidP="00C016E8">
      <w:pPr>
        <w:spacing w:line="480" w:lineRule="auto"/>
        <w:rPr>
          <w:rFonts w:ascii="Times New Roman" w:hAnsi="Times New Roman" w:cs="Times New Roman"/>
        </w:rPr>
      </w:pPr>
      <w:r w:rsidRPr="00702DDD">
        <w:rPr>
          <w:rFonts w:ascii="Times New Roman" w:hAnsi="Times New Roman" w:cs="Times New Roman"/>
        </w:rPr>
        <w:tab/>
        <w:t xml:space="preserve">The distressed counties in each method can also be compared to those already considered distressed by the state. </w:t>
      </w:r>
      <w:sdt>
        <w:sdtPr>
          <w:rPr>
            <w:rFonts w:ascii="Times New Roman" w:hAnsi="Times New Roman" w:cs="Times New Roman"/>
          </w:rPr>
          <w:tag w:val="goog_rdk_25"/>
          <w:id w:val="-621612532"/>
        </w:sdtPr>
        <w:sdtEndPr/>
        <w:sdtContent/>
      </w:sdt>
      <w:r w:rsidRPr="00702DDD">
        <w:rPr>
          <w:rFonts w:ascii="Times New Roman" w:hAnsi="Times New Roman" w:cs="Times New Roman"/>
        </w:rPr>
        <w:t xml:space="preserve">Each year the state of Tennessee analyzes socio-economic factors to determine distressed counties using the Appalachian Regional Commission Index </w:t>
      </w:r>
      <w:r w:rsidRPr="00702DDD">
        <w:rPr>
          <w:rFonts w:ascii="Times New Roman" w:hAnsi="Times New Roman" w:cs="Times New Roman"/>
        </w:rPr>
        <w:fldChar w:fldCharType="begin"/>
      </w:r>
      <w:r w:rsidRPr="00702DDD">
        <w:rPr>
          <w:rFonts w:ascii="Times New Roman" w:hAnsi="Times New Roman" w:cs="Times New Roman"/>
        </w:rPr>
        <w:instrText xml:space="preserve"> ADDIN ZOTERO_ITEM CSL_CITATION {"citationID":"7FmlgTjn","properties":{"formattedCitation":"(Transparent Tennessee, 2022)","plainCitation":"(Transparent Tennessee, 2022)","noteIndex":0},"citationItems":[{"id":3415,"uris":["http://zotero.org/groups/2546976/items/PWFBKTN7"],"uri":["http://zotero.org/groups/2546976/items/PWFBKTN7"],"itemData":{"id":3415,"type":"webpage","container-title":"Tennessee State Government","language":"en","title":"Distressed Counties","title-short":"Transparent Tennessee","URL":"https://www.tn.gov/transparenttn/state-financial-overview/open-ecd/openecd/tnecd-performance-metrics/openecd-long-term-objectives-quick-stats/distressed-counties.html","author":[{"literal":"Transparent Tennessee"}],"accessed":{"date-parts":[["2022",1,27]]},"issued":{"date-parts":[["2022"]]}}}],"schema":"https://github.com/citation-style-language/schema/raw/master/csl-citation.json"} </w:instrText>
      </w:r>
      <w:r w:rsidRPr="00702DDD">
        <w:rPr>
          <w:rFonts w:ascii="Times New Roman" w:hAnsi="Times New Roman" w:cs="Times New Roman"/>
        </w:rPr>
        <w:fldChar w:fldCharType="separate"/>
      </w:r>
      <w:r w:rsidRPr="00702DDD">
        <w:rPr>
          <w:rFonts w:ascii="Times New Roman" w:hAnsi="Times New Roman" w:cs="Times New Roman"/>
        </w:rPr>
        <w:t>(Transparent Tennessee, 2022)</w:t>
      </w:r>
      <w:r w:rsidRPr="00702DDD">
        <w:rPr>
          <w:rFonts w:ascii="Times New Roman" w:hAnsi="Times New Roman" w:cs="Times New Roman"/>
        </w:rPr>
        <w:fldChar w:fldCharType="end"/>
      </w:r>
      <w:r w:rsidRPr="00702DDD">
        <w:rPr>
          <w:rFonts w:ascii="Times New Roman" w:hAnsi="Times New Roman" w:cs="Times New Roman"/>
        </w:rPr>
        <w:t>. Fifteen Tennessee counties were considered distressed by Tennessee in 2019, as presented in Table 2.</w:t>
      </w:r>
      <w:r w:rsidR="00C72EA1">
        <w:rPr>
          <w:rFonts w:ascii="Times New Roman" w:hAnsi="Times New Roman" w:cs="Times New Roman"/>
        </w:rPr>
        <w:t>2</w:t>
      </w:r>
      <w:r w:rsidRPr="00702DDD">
        <w:rPr>
          <w:rFonts w:ascii="Times New Roman" w:hAnsi="Times New Roman" w:cs="Times New Roman"/>
        </w:rPr>
        <w:t>. All of the Governor’s distressed counties were also calculated as distressed by the MHI and Negative Scaled Average Methods. However, the Simple Average method evaluated seven of the distressed counties as non-distressed, often by a score substantially higher than those the other methods found. The Governor’s distressed counties provide an existing conception of Tennessee distressed counties, demonstrating the Simple Average method the least accurate and reliable of the three methods for determining county affordability.</w:t>
      </w:r>
    </w:p>
    <w:p w14:paraId="6997D1B6" w14:textId="0B3FD9CD" w:rsidR="00C016E8" w:rsidRPr="00702DDD" w:rsidRDefault="00C016E8" w:rsidP="00A41FF8">
      <w:pPr>
        <w:pStyle w:val="Heading3"/>
      </w:pPr>
      <w:bookmarkStart w:id="60" w:name="_Toc98444536"/>
      <w:bookmarkStart w:id="61" w:name="_Toc98692998"/>
      <w:r w:rsidRPr="00702DDD">
        <w:lastRenderedPageBreak/>
        <w:t>2.5.2 IMPLAN Impact Results</w:t>
      </w:r>
      <w:bookmarkEnd w:id="60"/>
      <w:bookmarkEnd w:id="61"/>
      <w:r w:rsidRPr="00702DDD">
        <w:t xml:space="preserve">  </w:t>
      </w:r>
    </w:p>
    <w:p w14:paraId="00552F47" w14:textId="4872098A" w:rsidR="00C016E8" w:rsidRPr="00702DDD" w:rsidRDefault="00C016E8" w:rsidP="00C016E8">
      <w:pPr>
        <w:spacing w:line="480" w:lineRule="auto"/>
        <w:rPr>
          <w:rFonts w:ascii="Times New Roman" w:hAnsi="Times New Roman" w:cs="Times New Roman"/>
        </w:rPr>
      </w:pPr>
      <w:r w:rsidRPr="00702DDD">
        <w:rPr>
          <w:rFonts w:ascii="Times New Roman" w:hAnsi="Times New Roman" w:cs="Times New Roman"/>
        </w:rPr>
        <w:t xml:space="preserve">The IMPLAN-generated Direct, Indirect, Induced, and Total multipliers varied across regions as expected. These are displayed in </w:t>
      </w:r>
      <w:r w:rsidR="00C72EA1">
        <w:rPr>
          <w:rFonts w:ascii="Times New Roman" w:hAnsi="Times New Roman" w:cs="Times New Roman"/>
        </w:rPr>
        <w:t>Table 2.3</w:t>
      </w:r>
      <w:r w:rsidRPr="00702DDD">
        <w:rPr>
          <w:rFonts w:ascii="Times New Roman" w:hAnsi="Times New Roman" w:cs="Times New Roman"/>
        </w:rPr>
        <w:t xml:space="preserve"> for Employment, Labor Income, Value Added, and Output. The Employment impact represents the amount of jobs supported in the region </w:t>
      </w:r>
      <w:r w:rsidRPr="00702DDD">
        <w:rPr>
          <w:rFonts w:ascii="Times New Roman" w:hAnsi="Times New Roman" w:cs="Times New Roman"/>
        </w:rPr>
        <w:fldChar w:fldCharType="begin"/>
      </w:r>
      <w:r w:rsidRPr="00702DDD">
        <w:rPr>
          <w:rFonts w:ascii="Times New Roman" w:hAnsi="Times New Roman" w:cs="Times New Roman"/>
        </w:rPr>
        <w:instrText xml:space="preserve"> ADDIN ZOTERO_ITEM CSL_CITATION {"citationID":"GvGNhZCO","properties":{"formattedCitation":"(IMPLAN, 2004)","plainCitation":"(IMPLAN, 2004)","noteIndex":0},"citationItems":[{"id":3429,"uris":["http://zotero.org/groups/2546976/items/D3VNC897"],"uri":["http://zotero.org/groups/2546976/items/D3VNC897"],"itemData":{"id":3429,"type":"book","edition":"3","title":"Implan Pro Manual","author":[{"literal":"IMPLAN"}],"issued":{"date-parts":[["2004"]]}}}],"schema":"https://github.com/citation-style-language/schema/raw/master/csl-citation.json"} </w:instrText>
      </w:r>
      <w:r w:rsidRPr="00702DDD">
        <w:rPr>
          <w:rFonts w:ascii="Times New Roman" w:hAnsi="Times New Roman" w:cs="Times New Roman"/>
        </w:rPr>
        <w:fldChar w:fldCharType="separate"/>
      </w:r>
      <w:r w:rsidRPr="00702DDD">
        <w:rPr>
          <w:rFonts w:ascii="Times New Roman" w:hAnsi="Times New Roman" w:cs="Times New Roman"/>
        </w:rPr>
        <w:t>(IMPLAN, 2004)</w:t>
      </w:r>
      <w:r w:rsidRPr="00702DDD">
        <w:rPr>
          <w:rFonts w:ascii="Times New Roman" w:hAnsi="Times New Roman" w:cs="Times New Roman"/>
        </w:rPr>
        <w:fldChar w:fldCharType="end"/>
      </w:r>
      <w:r w:rsidRPr="00702DDD">
        <w:rPr>
          <w:rFonts w:ascii="Times New Roman" w:hAnsi="Times New Roman" w:cs="Times New Roman"/>
        </w:rPr>
        <w:t xml:space="preserve">. Labor Income is the amount of salaries and wages  paid to employees working in a sector </w:t>
      </w:r>
      <w:r w:rsidRPr="00702DDD">
        <w:rPr>
          <w:rFonts w:ascii="Times New Roman" w:hAnsi="Times New Roman" w:cs="Times New Roman"/>
        </w:rPr>
        <w:fldChar w:fldCharType="begin"/>
      </w:r>
      <w:r w:rsidRPr="00702DDD">
        <w:rPr>
          <w:rFonts w:ascii="Times New Roman" w:hAnsi="Times New Roman" w:cs="Times New Roman"/>
        </w:rPr>
        <w:instrText xml:space="preserve"> ADDIN ZOTERO_ITEM CSL_CITATION {"citationID":"dp5U3A8U","properties":{"formattedCitation":"(2004)","plainCitation":"(2004)","dontUpdate":true,"noteIndex":0},"citationItems":[{"id":3429,"uris":["http://zotero.org/groups/2546976/items/D3VNC897"],"uri":["http://zotero.org/groups/2546976/items/D3VNC897"],"itemData":{"id":3429,"type":"book","edition":"3","title":"Implan Pro Manual","author":[{"literal":"IMPLAN"}],"issued":{"date-parts":[["2004"]]}},"suppress-author":true}],"schema":"https://github.com/citation-style-language/schema/raw/master/csl-citation.json"} </w:instrText>
      </w:r>
      <w:r w:rsidRPr="00702DDD">
        <w:rPr>
          <w:rFonts w:ascii="Times New Roman" w:hAnsi="Times New Roman" w:cs="Times New Roman"/>
        </w:rPr>
        <w:fldChar w:fldCharType="separate"/>
      </w:r>
      <w:r w:rsidRPr="00702DDD">
        <w:rPr>
          <w:rFonts w:ascii="Times New Roman" w:hAnsi="Times New Roman" w:cs="Times New Roman"/>
        </w:rPr>
        <w:t>(IMPLAN 2004)</w:t>
      </w:r>
      <w:r w:rsidRPr="00702DDD">
        <w:rPr>
          <w:rFonts w:ascii="Times New Roman" w:hAnsi="Times New Roman" w:cs="Times New Roman"/>
        </w:rPr>
        <w:fldChar w:fldCharType="end"/>
      </w:r>
      <w:r w:rsidRPr="00702DDD">
        <w:rPr>
          <w:rFonts w:ascii="Times New Roman" w:hAnsi="Times New Roman" w:cs="Times New Roman"/>
        </w:rPr>
        <w:t xml:space="preserve">. Value Added is employee compensation (e.g., benefits), varying forms of community income (e.g., interest and rents on properties), and indirect business taxes </w:t>
      </w:r>
      <w:r w:rsidRPr="00702DDD">
        <w:rPr>
          <w:rFonts w:ascii="Times New Roman" w:hAnsi="Times New Roman" w:cs="Times New Roman"/>
        </w:rPr>
        <w:fldChar w:fldCharType="begin"/>
      </w:r>
      <w:r w:rsidRPr="00702DDD">
        <w:rPr>
          <w:rFonts w:ascii="Times New Roman" w:hAnsi="Times New Roman" w:cs="Times New Roman"/>
        </w:rPr>
        <w:instrText xml:space="preserve"> ADDIN ZOTERO_ITEM CSL_CITATION {"citationID":"ZcOXixav","properties":{"formattedCitation":"(2004)","plainCitation":"(2004)","noteIndex":0},"citationItems":[{"id":3429,"uris":["http://zotero.org/groups/2546976/items/D3VNC897"],"uri":["http://zotero.org/groups/2546976/items/D3VNC897"],"itemData":{"id":3429,"type":"book","edition":"3","title":"Implan Pro Manual","author":[{"literal":"IMPLAN"}],"issued":{"date-parts":[["2004"]]}},"suppress-author":true}],"schema":"https://github.com/citation-style-language/schema/raw/master/csl-citation.json"} </w:instrText>
      </w:r>
      <w:r w:rsidRPr="00702DDD">
        <w:rPr>
          <w:rFonts w:ascii="Times New Roman" w:hAnsi="Times New Roman" w:cs="Times New Roman"/>
        </w:rPr>
        <w:fldChar w:fldCharType="separate"/>
      </w:r>
      <w:r w:rsidRPr="00702DDD">
        <w:rPr>
          <w:rFonts w:ascii="Times New Roman" w:hAnsi="Times New Roman" w:cs="Times New Roman"/>
        </w:rPr>
        <w:t>(</w:t>
      </w:r>
      <w:r w:rsidR="00FF6407">
        <w:rPr>
          <w:rFonts w:ascii="Times New Roman" w:hAnsi="Times New Roman" w:cs="Times New Roman"/>
        </w:rPr>
        <w:t xml:space="preserve">IMPLAN, </w:t>
      </w:r>
      <w:r w:rsidRPr="00702DDD">
        <w:rPr>
          <w:rFonts w:ascii="Times New Roman" w:hAnsi="Times New Roman" w:cs="Times New Roman"/>
        </w:rPr>
        <w:t>2004)</w:t>
      </w:r>
      <w:r w:rsidRPr="00702DDD">
        <w:rPr>
          <w:rFonts w:ascii="Times New Roman" w:hAnsi="Times New Roman" w:cs="Times New Roman"/>
        </w:rPr>
        <w:fldChar w:fldCharType="end"/>
      </w:r>
      <w:r w:rsidRPr="00702DDD">
        <w:rPr>
          <w:rFonts w:ascii="Times New Roman" w:hAnsi="Times New Roman" w:cs="Times New Roman"/>
        </w:rPr>
        <w:t xml:space="preserve">. Output is a region’s industrial value generated </w:t>
      </w:r>
      <w:r w:rsidRPr="00702DDD">
        <w:rPr>
          <w:rFonts w:ascii="Times New Roman" w:hAnsi="Times New Roman" w:cs="Times New Roman"/>
        </w:rPr>
        <w:fldChar w:fldCharType="begin"/>
      </w:r>
      <w:r w:rsidRPr="00702DDD">
        <w:rPr>
          <w:rFonts w:ascii="Times New Roman" w:hAnsi="Times New Roman" w:cs="Times New Roman"/>
        </w:rPr>
        <w:instrText xml:space="preserve"> ADDIN ZOTERO_ITEM CSL_CITATION {"citationID":"xpFce6PT","properties":{"formattedCitation":"(2004)","plainCitation":"(2004)","noteIndex":0},"citationItems":[{"id":3429,"uris":["http://zotero.org/groups/2546976/items/D3VNC897"],"uri":["http://zotero.org/groups/2546976/items/D3VNC897"],"itemData":{"id":3429,"type":"book","edition":"3","title":"Implan Pro Manual","author":[{"literal":"IMPLAN"}],"issued":{"date-parts":[["2004"]]}},"suppress-author":true}],"schema":"https://github.com/citation-style-language/schema/raw/master/csl-citation.json"} </w:instrText>
      </w:r>
      <w:r w:rsidRPr="00702DDD">
        <w:rPr>
          <w:rFonts w:ascii="Times New Roman" w:hAnsi="Times New Roman" w:cs="Times New Roman"/>
        </w:rPr>
        <w:fldChar w:fldCharType="separate"/>
      </w:r>
      <w:r w:rsidRPr="00702DDD">
        <w:rPr>
          <w:rFonts w:ascii="Times New Roman" w:hAnsi="Times New Roman" w:cs="Times New Roman"/>
        </w:rPr>
        <w:t>(</w:t>
      </w:r>
      <w:r w:rsidR="00FF6407">
        <w:rPr>
          <w:rFonts w:ascii="Times New Roman" w:hAnsi="Times New Roman" w:cs="Times New Roman"/>
        </w:rPr>
        <w:t xml:space="preserve">IMPLAN, </w:t>
      </w:r>
      <w:r w:rsidRPr="00702DDD">
        <w:rPr>
          <w:rFonts w:ascii="Times New Roman" w:hAnsi="Times New Roman" w:cs="Times New Roman"/>
        </w:rPr>
        <w:t>2004)</w:t>
      </w:r>
      <w:r w:rsidRPr="00702DDD">
        <w:rPr>
          <w:rFonts w:ascii="Times New Roman" w:hAnsi="Times New Roman" w:cs="Times New Roman"/>
        </w:rPr>
        <w:fldChar w:fldCharType="end"/>
      </w:r>
      <w:r w:rsidRPr="00702DDD">
        <w:rPr>
          <w:rFonts w:ascii="Times New Roman" w:hAnsi="Times New Roman" w:cs="Times New Roman"/>
        </w:rPr>
        <w:t xml:space="preserve">. These interpretations are simple estimates, and the results will predominantly be used as comparisons between the models. </w:t>
      </w:r>
    </w:p>
    <w:p w14:paraId="5F036971" w14:textId="26D169DD" w:rsidR="00C016E8" w:rsidRPr="00702DDD" w:rsidRDefault="00C016E8" w:rsidP="00C016E8">
      <w:pPr>
        <w:spacing w:line="480" w:lineRule="auto"/>
        <w:ind w:firstLine="720"/>
        <w:rPr>
          <w:rFonts w:ascii="Times New Roman" w:hAnsi="Times New Roman" w:cs="Times New Roman"/>
        </w:rPr>
      </w:pPr>
      <w:r w:rsidRPr="00702DDD">
        <w:rPr>
          <w:rFonts w:ascii="Times New Roman" w:hAnsi="Times New Roman" w:cs="Times New Roman"/>
        </w:rPr>
        <w:t>Each multiplier represents the impact from an additional $1 (or 1 job for Employment) of investment in a particular sector. The multipliers for each region and method allocation are presented in Table 2.</w:t>
      </w:r>
      <w:r w:rsidR="00C72EA1">
        <w:rPr>
          <w:rFonts w:ascii="Times New Roman" w:hAnsi="Times New Roman" w:cs="Times New Roman"/>
        </w:rPr>
        <w:t>3</w:t>
      </w:r>
      <w:r w:rsidRPr="00702DDD">
        <w:rPr>
          <w:rFonts w:ascii="Times New Roman" w:hAnsi="Times New Roman" w:cs="Times New Roman"/>
        </w:rPr>
        <w:t>. The Employment, Labor Income, Value Added, and Output Impacts are also generated by region and aggregated to the state level for method comparison purposes. These impacts are presented in Tables 2.</w:t>
      </w:r>
      <w:r w:rsidR="00C72EA1">
        <w:rPr>
          <w:rFonts w:ascii="Times New Roman" w:hAnsi="Times New Roman" w:cs="Times New Roman"/>
        </w:rPr>
        <w:t>4</w:t>
      </w:r>
      <w:r w:rsidRPr="00702DDD">
        <w:rPr>
          <w:rFonts w:ascii="Times New Roman" w:hAnsi="Times New Roman" w:cs="Times New Roman"/>
        </w:rPr>
        <w:t>-2.</w:t>
      </w:r>
      <w:r w:rsidR="00C72EA1">
        <w:rPr>
          <w:rFonts w:ascii="Times New Roman" w:hAnsi="Times New Roman" w:cs="Times New Roman"/>
        </w:rPr>
        <w:t>7</w:t>
      </w:r>
      <w:r w:rsidRPr="00702DDD">
        <w:rPr>
          <w:rFonts w:ascii="Times New Roman" w:hAnsi="Times New Roman" w:cs="Times New Roman"/>
        </w:rPr>
        <w:t>, respectively. The Simple Average method leads these impacts in all but Employment (led by MHI), logical as the method allocates the funds to the most counties. The Negative Scale method, however, provides the second-most impact in every economic category. As the Simple Average has already been deemed unreliable based on the ATPI method results, the impacts support the Negative Scale method as the overall best ATPI method to use for allocation as well as distribution. This is supported by both MHI and Negative Scaled ATPI methods indexing the Governor’s Distressed counties as distressed while the Simple Average method does not. Figures 2.</w:t>
      </w:r>
      <w:r w:rsidR="00C72EA1">
        <w:rPr>
          <w:rFonts w:ascii="Times New Roman" w:hAnsi="Times New Roman" w:cs="Times New Roman"/>
        </w:rPr>
        <w:t>9</w:t>
      </w:r>
      <w:r w:rsidRPr="00702DDD">
        <w:rPr>
          <w:rFonts w:ascii="Times New Roman" w:hAnsi="Times New Roman" w:cs="Times New Roman"/>
        </w:rPr>
        <w:t>-2.1</w:t>
      </w:r>
      <w:r w:rsidR="00C72EA1">
        <w:rPr>
          <w:rFonts w:ascii="Times New Roman" w:hAnsi="Times New Roman" w:cs="Times New Roman"/>
        </w:rPr>
        <w:t>2</w:t>
      </w:r>
      <w:r w:rsidRPr="00702DDD">
        <w:rPr>
          <w:rFonts w:ascii="Times New Roman" w:hAnsi="Times New Roman" w:cs="Times New Roman"/>
        </w:rPr>
        <w:t xml:space="preserve"> further compares the aggregated impacts </w:t>
      </w:r>
      <w:r w:rsidRPr="00702DDD">
        <w:rPr>
          <w:rFonts w:ascii="Times New Roman" w:hAnsi="Times New Roman" w:cs="Times New Roman"/>
        </w:rPr>
        <w:lastRenderedPageBreak/>
        <w:t xml:space="preserve">by method. The aggregated impacts do not account for the regional economies interacting, but simply used for comparison purposes between methods in this study. </w:t>
      </w:r>
    </w:p>
    <w:p w14:paraId="520EBC2B" w14:textId="7798E4EE" w:rsidR="000627F1" w:rsidRDefault="00C016E8" w:rsidP="009817C0">
      <w:pPr>
        <w:spacing w:line="480" w:lineRule="auto"/>
        <w:ind w:firstLine="720"/>
        <w:rPr>
          <w:rFonts w:ascii="Times New Roman" w:hAnsi="Times New Roman" w:cs="Times New Roman"/>
        </w:rPr>
      </w:pPr>
      <w:r w:rsidRPr="00702DDD">
        <w:rPr>
          <w:rFonts w:ascii="Times New Roman" w:hAnsi="Times New Roman" w:cs="Times New Roman"/>
        </w:rPr>
        <w:t>The</w:t>
      </w:r>
      <w:r w:rsidR="000627F1">
        <w:rPr>
          <w:rFonts w:ascii="Times New Roman" w:hAnsi="Times New Roman" w:cs="Times New Roman"/>
        </w:rPr>
        <w:t xml:space="preserve"> investment</w:t>
      </w:r>
      <w:r w:rsidRPr="00702DDD">
        <w:rPr>
          <w:rFonts w:ascii="Times New Roman" w:hAnsi="Times New Roman" w:cs="Times New Roman"/>
        </w:rPr>
        <w:t xml:space="preserve"> impacts are also analyzed at the regional level in Figures 2.</w:t>
      </w:r>
      <w:r w:rsidR="00FF6407">
        <w:rPr>
          <w:rFonts w:ascii="Times New Roman" w:hAnsi="Times New Roman" w:cs="Times New Roman"/>
        </w:rPr>
        <w:t>1</w:t>
      </w:r>
      <w:r w:rsidR="00C72EA1">
        <w:rPr>
          <w:rFonts w:ascii="Times New Roman" w:hAnsi="Times New Roman" w:cs="Times New Roman"/>
        </w:rPr>
        <w:t>3</w:t>
      </w:r>
      <w:r w:rsidRPr="00702DDD">
        <w:rPr>
          <w:rFonts w:ascii="Times New Roman" w:hAnsi="Times New Roman" w:cs="Times New Roman"/>
        </w:rPr>
        <w:t>-2.</w:t>
      </w:r>
      <w:r w:rsidR="00C72EA1">
        <w:rPr>
          <w:rFonts w:ascii="Times New Roman" w:hAnsi="Times New Roman" w:cs="Times New Roman"/>
        </w:rPr>
        <w:t>24</w:t>
      </w:r>
      <w:r w:rsidR="000627F1">
        <w:rPr>
          <w:rFonts w:ascii="Times New Roman" w:hAnsi="Times New Roman" w:cs="Times New Roman"/>
        </w:rPr>
        <w:t>.</w:t>
      </w:r>
      <w:r w:rsidR="000627F1" w:rsidRPr="000627F1">
        <w:rPr>
          <w:rFonts w:ascii="Times New Roman" w:hAnsi="Times New Roman" w:cs="Times New Roman"/>
        </w:rPr>
        <w:t xml:space="preserve"> </w:t>
      </w:r>
      <w:r w:rsidR="000627F1">
        <w:rPr>
          <w:rFonts w:ascii="Times New Roman" w:hAnsi="Times New Roman" w:cs="Times New Roman"/>
        </w:rPr>
        <w:t>The concentration effects shift between the method of calculation</w:t>
      </w:r>
      <w:r w:rsidRPr="00702DDD">
        <w:rPr>
          <w:rFonts w:ascii="Times New Roman" w:hAnsi="Times New Roman" w:cs="Times New Roman"/>
        </w:rPr>
        <w:t xml:space="preserve">. </w:t>
      </w:r>
      <w:r w:rsidR="00BC6C6F">
        <w:rPr>
          <w:rFonts w:ascii="Times New Roman" w:hAnsi="Times New Roman" w:cs="Times New Roman"/>
        </w:rPr>
        <w:t xml:space="preserve">In terms of </w:t>
      </w:r>
      <w:r w:rsidR="005C556E">
        <w:rPr>
          <w:rFonts w:ascii="Times New Roman" w:hAnsi="Times New Roman" w:cs="Times New Roman"/>
        </w:rPr>
        <w:t>E</w:t>
      </w:r>
      <w:r w:rsidR="00BC6C6F">
        <w:rPr>
          <w:rFonts w:ascii="Times New Roman" w:hAnsi="Times New Roman" w:cs="Times New Roman"/>
        </w:rPr>
        <w:t>mployment</w:t>
      </w:r>
      <w:r w:rsidR="00A42EFA">
        <w:rPr>
          <w:rFonts w:ascii="Times New Roman" w:hAnsi="Times New Roman" w:cs="Times New Roman"/>
        </w:rPr>
        <w:t xml:space="preserve"> (Figures 2.1</w:t>
      </w:r>
      <w:r w:rsidR="00C72EA1">
        <w:rPr>
          <w:rFonts w:ascii="Times New Roman" w:hAnsi="Times New Roman" w:cs="Times New Roman"/>
        </w:rPr>
        <w:t>3</w:t>
      </w:r>
      <w:r w:rsidR="00A42EFA">
        <w:rPr>
          <w:rFonts w:ascii="Times New Roman" w:hAnsi="Times New Roman" w:cs="Times New Roman"/>
        </w:rPr>
        <w:t>-2.</w:t>
      </w:r>
      <w:r w:rsidR="00C72EA1">
        <w:rPr>
          <w:rFonts w:ascii="Times New Roman" w:hAnsi="Times New Roman" w:cs="Times New Roman"/>
        </w:rPr>
        <w:t>15</w:t>
      </w:r>
      <w:r w:rsidR="00A42EFA">
        <w:rPr>
          <w:rFonts w:ascii="Times New Roman" w:hAnsi="Times New Roman" w:cs="Times New Roman"/>
        </w:rPr>
        <w:t>)</w:t>
      </w:r>
      <w:r w:rsidR="00BC6C6F">
        <w:rPr>
          <w:rFonts w:ascii="Times New Roman" w:hAnsi="Times New Roman" w:cs="Times New Roman"/>
        </w:rPr>
        <w:t xml:space="preserve">, due to investment in </w:t>
      </w:r>
      <w:r w:rsidR="00B26EF9">
        <w:rPr>
          <w:rFonts w:ascii="Times New Roman" w:hAnsi="Times New Roman" w:cs="Times New Roman"/>
        </w:rPr>
        <w:t xml:space="preserve">water infrastructure, </w:t>
      </w:r>
      <w:r w:rsidR="00BC6C6F">
        <w:rPr>
          <w:rFonts w:ascii="Times New Roman" w:hAnsi="Times New Roman" w:cs="Times New Roman"/>
        </w:rPr>
        <w:t xml:space="preserve">Eastern and Upper Cumberland regions </w:t>
      </w:r>
      <w:r w:rsidR="00831CE6">
        <w:rPr>
          <w:rFonts w:ascii="Times New Roman" w:hAnsi="Times New Roman" w:cs="Times New Roman"/>
        </w:rPr>
        <w:t>supported the most jobs (greater than 1,500) while</w:t>
      </w:r>
      <w:r w:rsidR="00BC6C6F">
        <w:rPr>
          <w:rFonts w:ascii="Times New Roman" w:hAnsi="Times New Roman" w:cs="Times New Roman"/>
        </w:rPr>
        <w:t xml:space="preserve"> Norther </w:t>
      </w:r>
      <w:r w:rsidR="005C556E">
        <w:rPr>
          <w:rFonts w:ascii="Times New Roman" w:hAnsi="Times New Roman" w:cs="Times New Roman"/>
        </w:rPr>
        <w:t>M</w:t>
      </w:r>
      <w:r w:rsidR="00BC6C6F">
        <w:rPr>
          <w:rFonts w:ascii="Times New Roman" w:hAnsi="Times New Roman" w:cs="Times New Roman"/>
        </w:rPr>
        <w:t xml:space="preserve">iddle and Greater Memphis regions </w:t>
      </w:r>
      <w:r w:rsidR="00B26EF9">
        <w:rPr>
          <w:rFonts w:ascii="Times New Roman" w:hAnsi="Times New Roman" w:cs="Times New Roman"/>
        </w:rPr>
        <w:t>supported the least jobs</w:t>
      </w:r>
      <w:r w:rsidR="00831CE6">
        <w:rPr>
          <w:rFonts w:ascii="Times New Roman" w:hAnsi="Times New Roman" w:cs="Times New Roman"/>
        </w:rPr>
        <w:t xml:space="preserve"> (less </w:t>
      </w:r>
      <w:r w:rsidR="00A42EFA">
        <w:rPr>
          <w:rFonts w:ascii="Times New Roman" w:hAnsi="Times New Roman" w:cs="Times New Roman"/>
        </w:rPr>
        <w:t>than</w:t>
      </w:r>
      <w:r w:rsidR="00831CE6">
        <w:rPr>
          <w:rFonts w:ascii="Times New Roman" w:hAnsi="Times New Roman" w:cs="Times New Roman"/>
        </w:rPr>
        <w:t xml:space="preserve"> 350)</w:t>
      </w:r>
      <w:r w:rsidR="00B26EF9">
        <w:rPr>
          <w:rFonts w:ascii="Times New Roman" w:hAnsi="Times New Roman" w:cs="Times New Roman"/>
        </w:rPr>
        <w:t xml:space="preserve">. </w:t>
      </w:r>
      <w:r w:rsidR="009817C0">
        <w:rPr>
          <w:rFonts w:ascii="Times New Roman" w:hAnsi="Times New Roman" w:cs="Times New Roman"/>
        </w:rPr>
        <w:t xml:space="preserve">Using negative scaled </w:t>
      </w:r>
      <w:r w:rsidR="00770B6E">
        <w:rPr>
          <w:rFonts w:ascii="Times New Roman" w:hAnsi="Times New Roman" w:cs="Times New Roman"/>
        </w:rPr>
        <w:t xml:space="preserve">ATPI </w:t>
      </w:r>
      <w:r w:rsidR="009817C0">
        <w:rPr>
          <w:rFonts w:ascii="Times New Roman" w:hAnsi="Times New Roman" w:cs="Times New Roman"/>
        </w:rPr>
        <w:t xml:space="preserve">drives a higher impact in the Southeast in comparison to the MHI ATPI. </w:t>
      </w:r>
    </w:p>
    <w:p w14:paraId="7644EFCE" w14:textId="5A265084" w:rsidR="00073418" w:rsidRDefault="00831CE6" w:rsidP="00A42EFA">
      <w:pPr>
        <w:spacing w:line="480" w:lineRule="auto"/>
        <w:ind w:firstLine="720"/>
        <w:rPr>
          <w:rFonts w:ascii="Times New Roman" w:hAnsi="Times New Roman" w:cs="Times New Roman"/>
        </w:rPr>
      </w:pPr>
      <w:r>
        <w:rPr>
          <w:rFonts w:ascii="Times New Roman" w:hAnsi="Times New Roman" w:cs="Times New Roman"/>
        </w:rPr>
        <w:t xml:space="preserve">In terms of </w:t>
      </w:r>
      <w:r w:rsidR="005C556E">
        <w:rPr>
          <w:rFonts w:ascii="Times New Roman" w:hAnsi="Times New Roman" w:cs="Times New Roman"/>
        </w:rPr>
        <w:t>L</w:t>
      </w:r>
      <w:r>
        <w:rPr>
          <w:rFonts w:ascii="Times New Roman" w:hAnsi="Times New Roman" w:cs="Times New Roman"/>
        </w:rPr>
        <w:t xml:space="preserve">abor </w:t>
      </w:r>
      <w:r w:rsidR="005C556E">
        <w:rPr>
          <w:rFonts w:ascii="Times New Roman" w:hAnsi="Times New Roman" w:cs="Times New Roman"/>
        </w:rPr>
        <w:t>I</w:t>
      </w:r>
      <w:r>
        <w:rPr>
          <w:rFonts w:ascii="Times New Roman" w:hAnsi="Times New Roman" w:cs="Times New Roman"/>
        </w:rPr>
        <w:t>ncome</w:t>
      </w:r>
      <w:r w:rsidR="00A42EFA">
        <w:rPr>
          <w:rFonts w:ascii="Times New Roman" w:hAnsi="Times New Roman" w:cs="Times New Roman"/>
        </w:rPr>
        <w:t xml:space="preserve"> (Figures 2.</w:t>
      </w:r>
      <w:r w:rsidR="00C72EA1">
        <w:rPr>
          <w:rFonts w:ascii="Times New Roman" w:hAnsi="Times New Roman" w:cs="Times New Roman"/>
        </w:rPr>
        <w:t>16</w:t>
      </w:r>
      <w:r w:rsidR="00A42EFA">
        <w:rPr>
          <w:rFonts w:ascii="Times New Roman" w:hAnsi="Times New Roman" w:cs="Times New Roman"/>
        </w:rPr>
        <w:t>-2.</w:t>
      </w:r>
      <w:r w:rsidR="00C72EA1">
        <w:rPr>
          <w:rFonts w:ascii="Times New Roman" w:hAnsi="Times New Roman" w:cs="Times New Roman"/>
        </w:rPr>
        <w:t>18</w:t>
      </w:r>
      <w:r w:rsidR="00A42EFA">
        <w:rPr>
          <w:rFonts w:ascii="Times New Roman" w:hAnsi="Times New Roman" w:cs="Times New Roman"/>
        </w:rPr>
        <w:t>)</w:t>
      </w:r>
      <w:r>
        <w:rPr>
          <w:rFonts w:ascii="Times New Roman" w:hAnsi="Times New Roman" w:cs="Times New Roman"/>
        </w:rPr>
        <w:t>, Eastern, Southeast</w:t>
      </w:r>
      <w:r w:rsidR="00770B6E">
        <w:rPr>
          <w:rFonts w:ascii="Times New Roman" w:hAnsi="Times New Roman" w:cs="Times New Roman"/>
        </w:rPr>
        <w:t>,</w:t>
      </w:r>
      <w:r>
        <w:rPr>
          <w:rFonts w:ascii="Times New Roman" w:hAnsi="Times New Roman" w:cs="Times New Roman"/>
        </w:rPr>
        <w:t xml:space="preserve"> and Northwest regions paid the highest wages (greater than $7</w:t>
      </w:r>
      <w:r w:rsidR="00A42EFA">
        <w:rPr>
          <w:rFonts w:ascii="Times New Roman" w:hAnsi="Times New Roman" w:cs="Times New Roman"/>
        </w:rPr>
        <w:t>5</w:t>
      </w:r>
      <w:r>
        <w:rPr>
          <w:rFonts w:ascii="Times New Roman" w:hAnsi="Times New Roman" w:cs="Times New Roman"/>
        </w:rPr>
        <w:t xml:space="preserve"> million) to workers while rest of the regions paid salaries below $5</w:t>
      </w:r>
      <w:r w:rsidR="00A42EFA">
        <w:rPr>
          <w:rFonts w:ascii="Times New Roman" w:hAnsi="Times New Roman" w:cs="Times New Roman"/>
        </w:rPr>
        <w:t>0</w:t>
      </w:r>
      <w:r>
        <w:rPr>
          <w:rFonts w:ascii="Times New Roman" w:hAnsi="Times New Roman" w:cs="Times New Roman"/>
        </w:rPr>
        <w:t xml:space="preserve"> million. </w:t>
      </w:r>
      <w:r w:rsidR="009817C0">
        <w:rPr>
          <w:rFonts w:ascii="Times New Roman" w:hAnsi="Times New Roman" w:cs="Times New Roman"/>
        </w:rPr>
        <w:t xml:space="preserve">The spatial differences are consistent across the state between MHI and Negative Scaled Average ATPI, with the exception of the Southeast, which is not as impacted when not accounting for the expanded set of financial and socioeconomic indicators of distress. </w:t>
      </w:r>
      <w:r w:rsidR="00073418">
        <w:rPr>
          <w:rFonts w:ascii="Times New Roman" w:hAnsi="Times New Roman" w:cs="Times New Roman"/>
        </w:rPr>
        <w:t xml:space="preserve">In comparison, </w:t>
      </w:r>
      <w:r>
        <w:rPr>
          <w:rFonts w:ascii="Times New Roman" w:hAnsi="Times New Roman" w:cs="Times New Roman"/>
        </w:rPr>
        <w:t>value-</w:t>
      </w:r>
      <w:r w:rsidR="00073418">
        <w:rPr>
          <w:rFonts w:ascii="Times New Roman" w:hAnsi="Times New Roman" w:cs="Times New Roman"/>
        </w:rPr>
        <w:t xml:space="preserve">added impacts </w:t>
      </w:r>
      <w:r w:rsidR="00A42EFA">
        <w:rPr>
          <w:rFonts w:ascii="Times New Roman" w:hAnsi="Times New Roman" w:cs="Times New Roman"/>
        </w:rPr>
        <w:t>(Figures 2.</w:t>
      </w:r>
      <w:r w:rsidR="00C72EA1">
        <w:rPr>
          <w:rFonts w:ascii="Times New Roman" w:hAnsi="Times New Roman" w:cs="Times New Roman"/>
        </w:rPr>
        <w:t>19</w:t>
      </w:r>
      <w:r w:rsidR="00A42EFA">
        <w:rPr>
          <w:rFonts w:ascii="Times New Roman" w:hAnsi="Times New Roman" w:cs="Times New Roman"/>
        </w:rPr>
        <w:t>-2.</w:t>
      </w:r>
      <w:r w:rsidR="00C72EA1">
        <w:rPr>
          <w:rFonts w:ascii="Times New Roman" w:hAnsi="Times New Roman" w:cs="Times New Roman"/>
        </w:rPr>
        <w:t>21</w:t>
      </w:r>
      <w:r w:rsidR="00A42EFA">
        <w:rPr>
          <w:rFonts w:ascii="Times New Roman" w:hAnsi="Times New Roman" w:cs="Times New Roman"/>
        </w:rPr>
        <w:t>)</w:t>
      </w:r>
      <w:r>
        <w:rPr>
          <w:rFonts w:ascii="Times New Roman" w:hAnsi="Times New Roman" w:cs="Times New Roman"/>
        </w:rPr>
        <w:t>,</w:t>
      </w:r>
      <w:r w:rsidR="00073418">
        <w:rPr>
          <w:rFonts w:ascii="Times New Roman" w:hAnsi="Times New Roman" w:cs="Times New Roman"/>
        </w:rPr>
        <w:t xml:space="preserve"> the spatial effect varied. In absolute terms, the </w:t>
      </w:r>
      <w:r>
        <w:rPr>
          <w:rFonts w:ascii="Times New Roman" w:hAnsi="Times New Roman" w:cs="Times New Roman"/>
        </w:rPr>
        <w:t>Eastern region, Southeast, Upper Cumberland, Northwest and Northeast regions contributed the most (greater than $1</w:t>
      </w:r>
      <w:r w:rsidR="00A42EFA">
        <w:rPr>
          <w:rFonts w:ascii="Times New Roman" w:hAnsi="Times New Roman" w:cs="Times New Roman"/>
        </w:rPr>
        <w:t xml:space="preserve">50 million) but Greater Memphis and Northern </w:t>
      </w:r>
      <w:r w:rsidR="005C556E">
        <w:rPr>
          <w:rFonts w:ascii="Times New Roman" w:hAnsi="Times New Roman" w:cs="Times New Roman"/>
        </w:rPr>
        <w:t>M</w:t>
      </w:r>
      <w:r w:rsidR="00A42EFA">
        <w:rPr>
          <w:rFonts w:ascii="Times New Roman" w:hAnsi="Times New Roman" w:cs="Times New Roman"/>
        </w:rPr>
        <w:t xml:space="preserve">iddle regions contributed less than $50 million. </w:t>
      </w:r>
      <w:r w:rsidR="00073418">
        <w:rPr>
          <w:rFonts w:ascii="Times New Roman" w:hAnsi="Times New Roman" w:cs="Times New Roman"/>
        </w:rPr>
        <w:t xml:space="preserve">Spatially, the </w:t>
      </w:r>
      <w:r w:rsidR="00986641">
        <w:rPr>
          <w:rFonts w:ascii="Times New Roman" w:hAnsi="Times New Roman" w:cs="Times New Roman"/>
        </w:rPr>
        <w:t>was more emphasis on regions with more economic distressing signals. While the absolute values may not indicate the differences, the spatial effects indicate that the impacts of the different methods can be substantial on distressed communities and how we measure that distress.</w:t>
      </w:r>
    </w:p>
    <w:p w14:paraId="50069597" w14:textId="0AEBB1AF" w:rsidR="00B26EF9" w:rsidRDefault="00073418" w:rsidP="00A42EFA">
      <w:pPr>
        <w:spacing w:line="480" w:lineRule="auto"/>
        <w:ind w:firstLine="720"/>
        <w:rPr>
          <w:rFonts w:ascii="Times New Roman" w:hAnsi="Times New Roman" w:cs="Times New Roman"/>
        </w:rPr>
      </w:pPr>
      <w:r>
        <w:rPr>
          <w:rFonts w:ascii="Times New Roman" w:hAnsi="Times New Roman" w:cs="Times New Roman"/>
        </w:rPr>
        <w:t>For</w:t>
      </w:r>
      <w:r w:rsidR="00A42EFA">
        <w:rPr>
          <w:rFonts w:ascii="Times New Roman" w:hAnsi="Times New Roman" w:cs="Times New Roman"/>
        </w:rPr>
        <w:t xml:space="preserve"> </w:t>
      </w:r>
      <w:r w:rsidR="005C556E">
        <w:rPr>
          <w:rFonts w:ascii="Times New Roman" w:hAnsi="Times New Roman" w:cs="Times New Roman"/>
        </w:rPr>
        <w:t>O</w:t>
      </w:r>
      <w:r w:rsidR="00A42EFA">
        <w:rPr>
          <w:rFonts w:ascii="Times New Roman" w:hAnsi="Times New Roman" w:cs="Times New Roman"/>
        </w:rPr>
        <w:t>utput (Figures 2.2</w:t>
      </w:r>
      <w:r w:rsidR="00C72EA1">
        <w:rPr>
          <w:rFonts w:ascii="Times New Roman" w:hAnsi="Times New Roman" w:cs="Times New Roman"/>
        </w:rPr>
        <w:t>2</w:t>
      </w:r>
      <w:r w:rsidR="00A42EFA">
        <w:rPr>
          <w:rFonts w:ascii="Times New Roman" w:hAnsi="Times New Roman" w:cs="Times New Roman"/>
        </w:rPr>
        <w:t>-2.</w:t>
      </w:r>
      <w:r w:rsidR="00C72EA1">
        <w:rPr>
          <w:rFonts w:ascii="Times New Roman" w:hAnsi="Times New Roman" w:cs="Times New Roman"/>
        </w:rPr>
        <w:t>4</w:t>
      </w:r>
      <w:r w:rsidR="00A42EFA">
        <w:rPr>
          <w:rFonts w:ascii="Times New Roman" w:hAnsi="Times New Roman" w:cs="Times New Roman"/>
        </w:rPr>
        <w:t xml:space="preserve">), Eastern, Upper Cumberland and Northwest regions contributed the most (greater than $230 million) to the regional economy whereas Northern Middle and Greater Memphis regions contributed the least (less than $100 million). </w:t>
      </w:r>
    </w:p>
    <w:p w14:paraId="3E2E4D47" w14:textId="54B8BEE0" w:rsidR="00812EB3" w:rsidRPr="00702DDD" w:rsidRDefault="00812EB3" w:rsidP="00A42EFA">
      <w:pPr>
        <w:spacing w:line="480" w:lineRule="auto"/>
        <w:ind w:firstLine="720"/>
        <w:rPr>
          <w:rFonts w:ascii="Times New Roman" w:hAnsi="Times New Roman" w:cs="Times New Roman"/>
        </w:rPr>
      </w:pPr>
      <w:r>
        <w:rPr>
          <w:rFonts w:ascii="Times New Roman" w:hAnsi="Times New Roman" w:cs="Times New Roman"/>
        </w:rPr>
        <w:lastRenderedPageBreak/>
        <w:t>Regional level impacts identify how the three allocation amounts (derived from method) affect the state differently. The Simple Average method nearly consistently provides more impact by region than the MHI and Negative Scaled Average method, as assumed with the highest allocation</w:t>
      </w:r>
      <w:r w:rsidR="00F55CEF">
        <w:rPr>
          <w:rFonts w:ascii="Times New Roman" w:hAnsi="Times New Roman" w:cs="Times New Roman"/>
        </w:rPr>
        <w:t>, but also allocates to areas that are known to be in less distress</w:t>
      </w:r>
      <w:r>
        <w:rPr>
          <w:rFonts w:ascii="Times New Roman" w:hAnsi="Times New Roman" w:cs="Times New Roman"/>
        </w:rPr>
        <w:t xml:space="preserve">. The MHI and Negative Scaled Average method are similar in impact, with some regions </w:t>
      </w:r>
      <w:r w:rsidR="000627F1">
        <w:rPr>
          <w:rFonts w:ascii="Times New Roman" w:hAnsi="Times New Roman" w:cs="Times New Roman"/>
        </w:rPr>
        <w:t>generating</w:t>
      </w:r>
      <w:r>
        <w:rPr>
          <w:rFonts w:ascii="Times New Roman" w:hAnsi="Times New Roman" w:cs="Times New Roman"/>
        </w:rPr>
        <w:t xml:space="preserve"> slightly </w:t>
      </w:r>
      <w:r w:rsidR="000627F1">
        <w:rPr>
          <w:rFonts w:ascii="Times New Roman" w:hAnsi="Times New Roman" w:cs="Times New Roman"/>
        </w:rPr>
        <w:t>higher or lower</w:t>
      </w:r>
      <w:r>
        <w:rPr>
          <w:rFonts w:ascii="Times New Roman" w:hAnsi="Times New Roman" w:cs="Times New Roman"/>
        </w:rPr>
        <w:t xml:space="preserve"> regional impact between the methods. The MHI method visually exceeds Negative Scaled Average in Employment and Labor </w:t>
      </w:r>
      <w:r w:rsidR="000627F1">
        <w:rPr>
          <w:rFonts w:ascii="Times New Roman" w:hAnsi="Times New Roman" w:cs="Times New Roman"/>
        </w:rPr>
        <w:t>Income but</w:t>
      </w:r>
      <w:r>
        <w:rPr>
          <w:rFonts w:ascii="Times New Roman" w:hAnsi="Times New Roman" w:cs="Times New Roman"/>
        </w:rPr>
        <w:t xml:space="preserve"> see fewer </w:t>
      </w:r>
      <w:r w:rsidR="000627F1">
        <w:rPr>
          <w:rFonts w:ascii="Times New Roman" w:hAnsi="Times New Roman" w:cs="Times New Roman"/>
        </w:rPr>
        <w:t>Value-Added</w:t>
      </w:r>
      <w:r>
        <w:rPr>
          <w:rFonts w:ascii="Times New Roman" w:hAnsi="Times New Roman" w:cs="Times New Roman"/>
        </w:rPr>
        <w:t xml:space="preserve"> impacts. In Output, higher outputs depend on region: Northwest, Northern Middle, Upper Cumberland, East, and Southern Middle in the MHI method, and Greater Memphis, Southeast, Northeast, and Southwest in the Negative Scaled Average Method. </w:t>
      </w:r>
      <w:r w:rsidR="00F55CEF">
        <w:rPr>
          <w:rFonts w:ascii="Times New Roman" w:hAnsi="Times New Roman" w:cs="Times New Roman"/>
        </w:rPr>
        <w:t>The spatial effects show there are differences in how these impacts are allocated, with Negative Scaled Average Method driving a more diverse impact across the state.</w:t>
      </w:r>
    </w:p>
    <w:p w14:paraId="5A6C6FA3" w14:textId="52C70FA6" w:rsidR="00C016E8" w:rsidRPr="00702DDD" w:rsidRDefault="00C016E8" w:rsidP="00C016E8">
      <w:pPr>
        <w:spacing w:line="480" w:lineRule="auto"/>
        <w:rPr>
          <w:rFonts w:ascii="Times New Roman" w:hAnsi="Times New Roman" w:cs="Times New Roman"/>
        </w:rPr>
      </w:pPr>
      <w:r w:rsidRPr="00702DDD">
        <w:rPr>
          <w:rFonts w:ascii="Times New Roman" w:hAnsi="Times New Roman" w:cs="Times New Roman"/>
        </w:rPr>
        <w:tab/>
        <w:t>To understand where in the community fund allocations reach, the top fifteen impacted industries by total effects are listed for each method in Table 2.</w:t>
      </w:r>
      <w:r w:rsidR="00C72EA1">
        <w:rPr>
          <w:rFonts w:ascii="Times New Roman" w:hAnsi="Times New Roman" w:cs="Times New Roman"/>
        </w:rPr>
        <w:t>8</w:t>
      </w:r>
      <w:r w:rsidRPr="00702DDD">
        <w:rPr>
          <w:rFonts w:ascii="Times New Roman" w:hAnsi="Times New Roman" w:cs="Times New Roman"/>
        </w:rPr>
        <w:t xml:space="preserve">. Sector 49 receives the most impact by default as the sector directly receiving the economic shock. Resources and services used for the infrastructure projects and maintenance, government-services, and healthcare operations are also ranked highly. As these effects stem from the sector impacted, the differences between the models are negligible. </w:t>
      </w:r>
    </w:p>
    <w:p w14:paraId="0D03ABE4" w14:textId="77777777" w:rsidR="00C016E8" w:rsidRPr="00702DDD" w:rsidRDefault="00C016E8" w:rsidP="000654A5">
      <w:pPr>
        <w:pStyle w:val="Heading2"/>
      </w:pPr>
      <w:bookmarkStart w:id="62" w:name="_Toc98444537"/>
      <w:bookmarkStart w:id="63" w:name="_Toc98692999"/>
      <w:r w:rsidRPr="00702DDD">
        <w:t>2.6 Conclusion</w:t>
      </w:r>
      <w:bookmarkEnd w:id="62"/>
      <w:bookmarkEnd w:id="63"/>
    </w:p>
    <w:p w14:paraId="724D49D7" w14:textId="77777777" w:rsidR="00C016E8" w:rsidRPr="00702DDD" w:rsidRDefault="00C016E8" w:rsidP="00C016E8">
      <w:pPr>
        <w:spacing w:line="480" w:lineRule="auto"/>
        <w:rPr>
          <w:rFonts w:ascii="Times New Roman" w:hAnsi="Times New Roman" w:cs="Times New Roman"/>
        </w:rPr>
      </w:pPr>
      <w:r w:rsidRPr="00702DDD">
        <w:rPr>
          <w:rFonts w:ascii="Times New Roman" w:hAnsi="Times New Roman" w:cs="Times New Roman"/>
        </w:rPr>
        <w:t xml:space="preserve">Establishing a standard community ATPI calculation method would serve as an objective and replicable decision-making tool for fund-allocating agencies at a regional level. Including a wide range of affordability factors in addition to MHI may create a more accurate analysis of community distress but should not be done so without adequately offsetting the factor scales or </w:t>
      </w:r>
      <w:r w:rsidRPr="00702DDD">
        <w:rPr>
          <w:rFonts w:ascii="Times New Roman" w:hAnsi="Times New Roman" w:cs="Times New Roman"/>
        </w:rPr>
        <w:lastRenderedPageBreak/>
        <w:t xml:space="preserve">beneficence (or lack thereof). The Negative Scaling method includes the factors while correctly evaluating how each translates into community affordability the way the Simple Average does not. </w:t>
      </w:r>
    </w:p>
    <w:p w14:paraId="6242363D" w14:textId="77777777" w:rsidR="006977A1" w:rsidRPr="00702DDD" w:rsidRDefault="00C016E8" w:rsidP="006977A1">
      <w:pPr>
        <w:spacing w:line="480" w:lineRule="auto"/>
        <w:rPr>
          <w:rFonts w:ascii="Times New Roman" w:hAnsi="Times New Roman" w:cs="Times New Roman"/>
        </w:rPr>
      </w:pPr>
      <w:r w:rsidRPr="00702DDD">
        <w:rPr>
          <w:rFonts w:ascii="Times New Roman" w:hAnsi="Times New Roman" w:cs="Times New Roman"/>
        </w:rPr>
        <w:tab/>
      </w:r>
      <w:r w:rsidR="006977A1" w:rsidRPr="00702DDD">
        <w:rPr>
          <w:rFonts w:ascii="Times New Roman" w:hAnsi="Times New Roman" w:cs="Times New Roman"/>
        </w:rPr>
        <w:t xml:space="preserve">The MHI method is not a perfect indicator of poverty, does not capture income disparity among diverse populations, and does not consider the socio-economic and demographic changes occurring across communities over time. Since the Negative Scaling Average method includes several socio-economic factors, it is relatively a better method that captures economic distress when compared to the MHI method. Further, the Negative Scaling Average method captures the financial burden on rural communities to comply with regulations. </w:t>
      </w:r>
    </w:p>
    <w:p w14:paraId="1A16BE22" w14:textId="7967F9CE" w:rsidR="00C016E8" w:rsidRPr="00702DDD" w:rsidRDefault="00C016E8" w:rsidP="00973CFB">
      <w:pPr>
        <w:spacing w:line="480" w:lineRule="auto"/>
        <w:ind w:firstLine="720"/>
        <w:rPr>
          <w:rFonts w:ascii="Times New Roman" w:hAnsi="Times New Roman" w:cs="Times New Roman"/>
        </w:rPr>
      </w:pPr>
      <w:r w:rsidRPr="00702DDD">
        <w:rPr>
          <w:rFonts w:ascii="Times New Roman" w:hAnsi="Times New Roman" w:cs="Times New Roman"/>
        </w:rPr>
        <w:t xml:space="preserve">While this study considers several factors, it does contain limitations. TDEC and other state agencies distributing CWSRF funds by water infrastructure system rather than county. While this analysis used county data for simplicity, water system analysis would be more accurate. In addition, the study incorporates I-O analysis using IMPLAN software as comparison between methods. IMPLAN is adequate for no more than estimates for a specific time period, region, and targeted sector. I-O analysis does not consider industry changes and can only be used for short term forecasting, requiring data analyzed to be frequently updated </w:t>
      </w:r>
      <w:r w:rsidRPr="00702DDD">
        <w:rPr>
          <w:rFonts w:ascii="Times New Roman" w:hAnsi="Times New Roman" w:cs="Times New Roman"/>
        </w:rPr>
        <w:fldChar w:fldCharType="begin"/>
      </w:r>
      <w:r w:rsidRPr="00702DDD">
        <w:rPr>
          <w:rFonts w:ascii="Times New Roman" w:hAnsi="Times New Roman" w:cs="Times New Roman"/>
        </w:rPr>
        <w:instrText xml:space="preserve"> ADDIN ZOTERO_ITEM CSL_CITATION {"citationID":"leJcsF3y","properties":{"formattedCitation":"(W. H. Miernyk, 1966)","plainCitation":"(W. H. Miernyk, 1966)","noteIndex":0},"citationItems":[{"id":3436,"uris":["http://zotero.org/groups/2546976/items/ELIX9ACS"],"uri":["http://zotero.org/groups/2546976/items/ELIX9ACS"],"itemData":{"id":3436,"type":"article-journal","container-title":"Economica","DOI":"10.2307/2552761","ISSN":"00130427","issue":"132","journalAbbreviation":"Economica","language":"en","page":"501","source":"DOI.org (Crossref)","title":"The Elements of Input-Output Analysis.","volume":"33","author":[{"family":"Miernyk","given":"W. H."}],"issued":{"date-parts":[["1966",11]]}}}],"schema":"https://github.com/citation-style-language/schema/raw/master/csl-citation.json"} </w:instrText>
      </w:r>
      <w:r w:rsidRPr="00702DDD">
        <w:rPr>
          <w:rFonts w:ascii="Times New Roman" w:hAnsi="Times New Roman" w:cs="Times New Roman"/>
        </w:rPr>
        <w:fldChar w:fldCharType="separate"/>
      </w:r>
      <w:r w:rsidRPr="00702DDD">
        <w:rPr>
          <w:rFonts w:ascii="Times New Roman" w:hAnsi="Times New Roman" w:cs="Times New Roman"/>
        </w:rPr>
        <w:t>(W. H. Miernyk, 1966)</w:t>
      </w:r>
      <w:r w:rsidRPr="00702DDD">
        <w:rPr>
          <w:rFonts w:ascii="Times New Roman" w:hAnsi="Times New Roman" w:cs="Times New Roman"/>
        </w:rPr>
        <w:fldChar w:fldCharType="end"/>
      </w:r>
      <w:r w:rsidRPr="00702DDD">
        <w:rPr>
          <w:rFonts w:ascii="Times New Roman" w:hAnsi="Times New Roman" w:cs="Times New Roman"/>
        </w:rPr>
        <w:t xml:space="preserve">. Therefore, the IMPLAN results from this study cannot be applied to other regions and require the IMPLAN analysis to be re-estimated. </w:t>
      </w:r>
    </w:p>
    <w:p w14:paraId="7588F018" w14:textId="77777777" w:rsidR="00C016E8" w:rsidRPr="00702DDD" w:rsidRDefault="00C016E8" w:rsidP="00C016E8">
      <w:pPr>
        <w:spacing w:line="480" w:lineRule="auto"/>
        <w:rPr>
          <w:rFonts w:ascii="Times New Roman" w:hAnsi="Times New Roman" w:cs="Times New Roman"/>
        </w:rPr>
      </w:pPr>
      <w:r w:rsidRPr="00702DDD">
        <w:rPr>
          <w:rFonts w:ascii="Times New Roman" w:hAnsi="Times New Roman" w:cs="Times New Roman"/>
        </w:rPr>
        <w:tab/>
        <w:t xml:space="preserve">This study and similar studies provide valuable information on creating an adaptable and replicable tool for regional agencies like TDEC and would allow communities to estimate their own affordability rankings. Implications could also extend into other rural development support in similar loan and subsidy programs. </w:t>
      </w:r>
    </w:p>
    <w:p w14:paraId="7F2E4652" w14:textId="77777777" w:rsidR="007D287F" w:rsidRPr="00702DDD" w:rsidRDefault="007D287F" w:rsidP="004560A0">
      <w:pPr>
        <w:spacing w:after="240" w:line="256" w:lineRule="auto"/>
        <w:rPr>
          <w:rFonts w:ascii="Times New Roman" w:hAnsi="Times New Roman" w:cs="Times New Roman"/>
          <w:bCs/>
          <w:color w:val="000000"/>
        </w:rPr>
      </w:pPr>
    </w:p>
    <w:p w14:paraId="4AA34F5B" w14:textId="77777777" w:rsidR="00432428" w:rsidRDefault="00432428">
      <w:pPr>
        <w:spacing w:after="160" w:line="259" w:lineRule="auto"/>
        <w:rPr>
          <w:rFonts w:ascii="Times New Roman" w:hAnsi="Times New Roman" w:cs="Times New Roman"/>
          <w:b/>
          <w:bCs/>
          <w:caps/>
          <w:color w:val="000000" w:themeColor="text1"/>
        </w:rPr>
      </w:pPr>
      <w:bookmarkStart w:id="64" w:name="_Toc98693000"/>
      <w:r>
        <w:br w:type="page"/>
      </w:r>
    </w:p>
    <w:p w14:paraId="474D5A48" w14:textId="7C685C21" w:rsidR="007D287F" w:rsidRPr="00702DDD" w:rsidRDefault="00B25162" w:rsidP="00A41FF8">
      <w:pPr>
        <w:pStyle w:val="Heading1"/>
      </w:pPr>
      <w:r w:rsidRPr="00702DDD">
        <w:lastRenderedPageBreak/>
        <w:t>Conclusion</w:t>
      </w:r>
      <w:bookmarkEnd w:id="64"/>
    </w:p>
    <w:p w14:paraId="1581FBD8" w14:textId="77777777" w:rsidR="00B4645E" w:rsidRDefault="00C63C21" w:rsidP="00B4645E">
      <w:pPr>
        <w:spacing w:line="480" w:lineRule="auto"/>
        <w:rPr>
          <w:rFonts w:ascii="Times New Roman" w:hAnsi="Times New Roman" w:cs="Times New Roman"/>
        </w:rPr>
      </w:pPr>
      <w:r w:rsidRPr="00702DDD">
        <w:rPr>
          <w:rFonts w:ascii="Times New Roman" w:hAnsi="Times New Roman" w:cs="Times New Roman"/>
        </w:rPr>
        <w:t xml:space="preserve">Human health concerns are </w:t>
      </w:r>
      <w:r w:rsidR="005C470D">
        <w:rPr>
          <w:rFonts w:ascii="Times New Roman" w:hAnsi="Times New Roman" w:cs="Times New Roman"/>
        </w:rPr>
        <w:t>varied</w:t>
      </w:r>
      <w:r w:rsidRPr="00702DDD">
        <w:rPr>
          <w:rFonts w:ascii="Times New Roman" w:hAnsi="Times New Roman" w:cs="Times New Roman"/>
        </w:rPr>
        <w:t xml:space="preserve"> and complex. While the estimated impacts of many pandemics result in reduced estimated overall global trade in protein</w:t>
      </w:r>
      <w:r w:rsidR="006F7AF9" w:rsidRPr="00702DDD">
        <w:rPr>
          <w:rFonts w:ascii="Times New Roman" w:hAnsi="Times New Roman" w:cs="Times New Roman"/>
        </w:rPr>
        <w:t xml:space="preserve"> as expected,</w:t>
      </w:r>
      <w:r w:rsidRPr="00702DDD">
        <w:rPr>
          <w:rFonts w:ascii="Times New Roman" w:hAnsi="Times New Roman" w:cs="Times New Roman"/>
        </w:rPr>
        <w:t xml:space="preserve"> some have </w:t>
      </w:r>
      <w:r w:rsidR="00361376" w:rsidRPr="00702DDD">
        <w:rPr>
          <w:rFonts w:ascii="Times New Roman" w:hAnsi="Times New Roman" w:cs="Times New Roman"/>
        </w:rPr>
        <w:t>no, or even positive effects compared to non-event periods.</w:t>
      </w:r>
      <w:r w:rsidR="005C470D">
        <w:rPr>
          <w:rFonts w:ascii="Times New Roman" w:hAnsi="Times New Roman" w:cs="Times New Roman"/>
        </w:rPr>
        <w:t xml:space="preserve"> This could be driven by relative size and scope of the event, but limitations in data did not allow for this to be estimated.</w:t>
      </w:r>
      <w:r w:rsidR="00361376" w:rsidRPr="00702DDD">
        <w:rPr>
          <w:rFonts w:ascii="Times New Roman" w:hAnsi="Times New Roman" w:cs="Times New Roman"/>
        </w:rPr>
        <w:t xml:space="preserve"> </w:t>
      </w:r>
      <w:r w:rsidR="00C5089D" w:rsidRPr="00702DDD">
        <w:rPr>
          <w:rFonts w:ascii="Times New Roman" w:hAnsi="Times New Roman" w:cs="Times New Roman"/>
        </w:rPr>
        <w:t xml:space="preserve">These effects vary across protein and exporter, making the impacts even more susceptible to the given pandemic. Therefore, these large-scale human health events will impact global protein trade dependent on </w:t>
      </w:r>
      <w:r w:rsidR="006F7AF9" w:rsidRPr="00702DDD">
        <w:rPr>
          <w:rFonts w:ascii="Times New Roman" w:hAnsi="Times New Roman" w:cs="Times New Roman"/>
        </w:rPr>
        <w:t xml:space="preserve">the </w:t>
      </w:r>
      <w:r w:rsidR="00C5089D" w:rsidRPr="00702DDD">
        <w:rPr>
          <w:rFonts w:ascii="Times New Roman" w:hAnsi="Times New Roman" w:cs="Times New Roman"/>
        </w:rPr>
        <w:t>period, product, and region rather than strict comparison to non-</w:t>
      </w:r>
      <w:r w:rsidR="006F7AF9" w:rsidRPr="00702DDD">
        <w:rPr>
          <w:rFonts w:ascii="Times New Roman" w:hAnsi="Times New Roman" w:cs="Times New Roman"/>
        </w:rPr>
        <w:t>pandemic</w:t>
      </w:r>
      <w:r w:rsidR="00C5089D" w:rsidRPr="00702DDD">
        <w:rPr>
          <w:rFonts w:ascii="Times New Roman" w:hAnsi="Times New Roman" w:cs="Times New Roman"/>
        </w:rPr>
        <w:t xml:space="preserve"> periods</w:t>
      </w:r>
      <w:r w:rsidR="008C42BE" w:rsidRPr="00702DDD">
        <w:rPr>
          <w:rFonts w:ascii="Times New Roman" w:hAnsi="Times New Roman" w:cs="Times New Roman"/>
        </w:rPr>
        <w:t xml:space="preserve">. Additional data and analyses would be useful to further understand </w:t>
      </w:r>
      <w:r w:rsidR="005C470D">
        <w:rPr>
          <w:rFonts w:ascii="Times New Roman" w:hAnsi="Times New Roman" w:cs="Times New Roman"/>
        </w:rPr>
        <w:t>the effects</w:t>
      </w:r>
      <w:r w:rsidR="008C42BE" w:rsidRPr="00702DDD">
        <w:rPr>
          <w:rFonts w:ascii="Times New Roman" w:hAnsi="Times New Roman" w:cs="Times New Roman"/>
        </w:rPr>
        <w:t xml:space="preserve"> pandemic </w:t>
      </w:r>
      <w:r w:rsidR="005C470D">
        <w:rPr>
          <w:rFonts w:ascii="Times New Roman" w:hAnsi="Times New Roman" w:cs="Times New Roman"/>
        </w:rPr>
        <w:t>have</w:t>
      </w:r>
      <w:r w:rsidR="008C42BE" w:rsidRPr="00702DDD">
        <w:rPr>
          <w:rFonts w:ascii="Times New Roman" w:hAnsi="Times New Roman" w:cs="Times New Roman"/>
        </w:rPr>
        <w:t xml:space="preserve"> </w:t>
      </w:r>
      <w:r w:rsidR="006F7AF9" w:rsidRPr="00702DDD">
        <w:rPr>
          <w:rFonts w:ascii="Times New Roman" w:hAnsi="Times New Roman" w:cs="Times New Roman"/>
        </w:rPr>
        <w:t xml:space="preserve">on </w:t>
      </w:r>
      <w:r w:rsidR="008C42BE" w:rsidRPr="00702DDD">
        <w:rPr>
          <w:rFonts w:ascii="Times New Roman" w:hAnsi="Times New Roman" w:cs="Times New Roman"/>
        </w:rPr>
        <w:t xml:space="preserve">global protein trade. </w:t>
      </w:r>
      <w:r w:rsidR="00B4645E">
        <w:rPr>
          <w:rFonts w:ascii="Times New Roman" w:hAnsi="Times New Roman" w:cs="Times New Roman"/>
        </w:rPr>
        <w:t xml:space="preserve"> </w:t>
      </w:r>
    </w:p>
    <w:p w14:paraId="05DAE4BC" w14:textId="6652EF9A" w:rsidR="007D287F" w:rsidRPr="00B4645E" w:rsidRDefault="00B4645E" w:rsidP="00B4645E">
      <w:pPr>
        <w:spacing w:line="480" w:lineRule="auto"/>
        <w:ind w:firstLine="720"/>
        <w:rPr>
          <w:rFonts w:ascii="Times New Roman" w:hAnsi="Times New Roman" w:cs="Times New Roman"/>
        </w:rPr>
      </w:pPr>
      <w:r>
        <w:rPr>
          <w:rFonts w:ascii="Times New Roman" w:hAnsi="Times New Roman" w:cs="Times New Roman"/>
        </w:rPr>
        <w:t>In terms of water infrastructure</w:t>
      </w:r>
      <w:r w:rsidR="008C42BE" w:rsidRPr="00702DDD">
        <w:rPr>
          <w:rFonts w:ascii="Times New Roman" w:hAnsi="Times New Roman" w:cs="Times New Roman"/>
        </w:rPr>
        <w:t xml:space="preserve">, additional socioeconomic and financial factors </w:t>
      </w:r>
      <w:r w:rsidR="00A85A01">
        <w:rPr>
          <w:rFonts w:ascii="Times New Roman" w:hAnsi="Times New Roman" w:cs="Times New Roman"/>
        </w:rPr>
        <w:t>should be used in determining</w:t>
      </w:r>
      <w:r w:rsidR="008C42BE" w:rsidRPr="00702DDD">
        <w:rPr>
          <w:rFonts w:ascii="Times New Roman" w:hAnsi="Times New Roman" w:cs="Times New Roman"/>
        </w:rPr>
        <w:t xml:space="preserve"> community </w:t>
      </w:r>
      <w:r w:rsidR="00A85A01">
        <w:rPr>
          <w:rFonts w:ascii="Times New Roman" w:hAnsi="Times New Roman" w:cs="Times New Roman"/>
        </w:rPr>
        <w:t>ability-to-pay index</w:t>
      </w:r>
      <w:r w:rsidR="008C42BE" w:rsidRPr="00702DDD">
        <w:rPr>
          <w:rFonts w:ascii="Times New Roman" w:hAnsi="Times New Roman" w:cs="Times New Roman"/>
        </w:rPr>
        <w:t xml:space="preserve"> calculation</w:t>
      </w:r>
      <w:r w:rsidR="00A85A01">
        <w:rPr>
          <w:rFonts w:ascii="Times New Roman" w:hAnsi="Times New Roman" w:cs="Times New Roman"/>
        </w:rPr>
        <w:t>s to</w:t>
      </w:r>
      <w:r w:rsidR="008C42BE" w:rsidRPr="00702DDD">
        <w:rPr>
          <w:rFonts w:ascii="Times New Roman" w:hAnsi="Times New Roman" w:cs="Times New Roman"/>
        </w:rPr>
        <w:t xml:space="preserve"> provide replicable, objective, and comprehensive distress determination method to ensure human health remains a </w:t>
      </w:r>
      <w:r w:rsidR="00423130" w:rsidRPr="00702DDD">
        <w:rPr>
          <w:rFonts w:ascii="Times New Roman" w:hAnsi="Times New Roman" w:cs="Times New Roman"/>
        </w:rPr>
        <w:t>priority at the local level</w:t>
      </w:r>
      <w:r>
        <w:rPr>
          <w:rFonts w:ascii="Times New Roman" w:hAnsi="Times New Roman" w:cs="Times New Roman"/>
        </w:rPr>
        <w:t xml:space="preserve"> with positive spatial outcomes compared to current methods</w:t>
      </w:r>
      <w:r w:rsidR="00423130" w:rsidRPr="00702DDD">
        <w:rPr>
          <w:rFonts w:ascii="Times New Roman" w:hAnsi="Times New Roman" w:cs="Times New Roman"/>
        </w:rPr>
        <w:t xml:space="preserve">. Anticipating and understanding potential implications from human health events at the global scale </w:t>
      </w:r>
      <w:r w:rsidR="006F7AF9" w:rsidRPr="00702DDD">
        <w:rPr>
          <w:rFonts w:ascii="Times New Roman" w:hAnsi="Times New Roman" w:cs="Times New Roman"/>
        </w:rPr>
        <w:t>is</w:t>
      </w:r>
      <w:r w:rsidR="00423130" w:rsidRPr="00702DDD">
        <w:rPr>
          <w:rFonts w:ascii="Times New Roman" w:hAnsi="Times New Roman" w:cs="Times New Roman"/>
        </w:rPr>
        <w:t xml:space="preserve"> </w:t>
      </w:r>
      <w:r w:rsidR="00A85A01" w:rsidRPr="00702DDD">
        <w:rPr>
          <w:rFonts w:ascii="Times New Roman" w:hAnsi="Times New Roman" w:cs="Times New Roman"/>
        </w:rPr>
        <w:t>vital but</w:t>
      </w:r>
      <w:r w:rsidR="00423130" w:rsidRPr="00702DDD">
        <w:rPr>
          <w:rFonts w:ascii="Times New Roman" w:hAnsi="Times New Roman" w:cs="Times New Roman"/>
        </w:rPr>
        <w:t xml:space="preserve"> attending to local demands for basic needs must also be a prerogative. </w:t>
      </w:r>
      <w:r w:rsidR="006F7AF9" w:rsidRPr="00702DDD">
        <w:rPr>
          <w:rFonts w:ascii="Times New Roman" w:hAnsi="Times New Roman" w:cs="Times New Roman"/>
        </w:rPr>
        <w:t xml:space="preserve">Without the consideration of both, the human health concern cannot be fully addressed. </w:t>
      </w:r>
      <w:bookmarkStart w:id="65" w:name="_Toc420995900"/>
      <w:bookmarkStart w:id="66" w:name="_Toc422997487"/>
    </w:p>
    <w:p w14:paraId="4038301B" w14:textId="583CC465" w:rsidR="00F16496" w:rsidRDefault="00F16496" w:rsidP="00A41FF8">
      <w:pPr>
        <w:pStyle w:val="Heading1"/>
      </w:pPr>
    </w:p>
    <w:p w14:paraId="2E474776" w14:textId="77777777" w:rsidR="00B4645E" w:rsidRPr="00B4645E" w:rsidRDefault="00B4645E" w:rsidP="00B4645E"/>
    <w:p w14:paraId="6CAB1962" w14:textId="7AF9B25E" w:rsidR="00B4645E" w:rsidRPr="00B4645E" w:rsidRDefault="00B4645E">
      <w:pPr>
        <w:spacing w:after="160" w:line="259" w:lineRule="auto"/>
      </w:pPr>
      <w:bookmarkStart w:id="67" w:name="_Toc420995911"/>
      <w:bookmarkStart w:id="68" w:name="_Toc422997498"/>
      <w:bookmarkStart w:id="69" w:name="_Toc427156483"/>
      <w:bookmarkStart w:id="70" w:name="_Toc428278488"/>
      <w:bookmarkStart w:id="71" w:name="_Toc98693001"/>
      <w:bookmarkEnd w:id="65"/>
      <w:bookmarkEnd w:id="66"/>
      <w:r>
        <w:br w:type="page"/>
      </w:r>
    </w:p>
    <w:p w14:paraId="12C32C5C" w14:textId="485E4C9D" w:rsidR="007D287F" w:rsidRPr="00702DDD" w:rsidRDefault="007D287F" w:rsidP="00A41FF8">
      <w:pPr>
        <w:pStyle w:val="Heading1"/>
      </w:pPr>
      <w:r w:rsidRPr="00702DDD">
        <w:lastRenderedPageBreak/>
        <w:t>References</w:t>
      </w:r>
      <w:bookmarkEnd w:id="67"/>
      <w:bookmarkEnd w:id="68"/>
      <w:bookmarkEnd w:id="69"/>
      <w:bookmarkEnd w:id="70"/>
      <w:bookmarkEnd w:id="71"/>
    </w:p>
    <w:p w14:paraId="1A1E1A48" w14:textId="77777777" w:rsidR="00945573" w:rsidRPr="00702DDD" w:rsidRDefault="007D287F" w:rsidP="00945573">
      <w:pPr>
        <w:pStyle w:val="Bibliography"/>
        <w:rPr>
          <w:rFonts w:ascii="Times New Roman" w:hAnsi="Times New Roman" w:cs="Times New Roman"/>
        </w:rPr>
      </w:pPr>
      <w:r w:rsidRPr="006E77C6">
        <w:rPr>
          <w:rFonts w:ascii="Times New Roman" w:hAnsi="Times New Roman" w:cs="Times New Roman"/>
          <w:sz w:val="28"/>
          <w:szCs w:val="28"/>
        </w:rPr>
        <w:br w:type="page"/>
      </w:r>
      <w:r w:rsidRPr="00702DDD">
        <w:rPr>
          <w:rFonts w:ascii="Times New Roman" w:hAnsi="Times New Roman" w:cs="Times New Roman"/>
        </w:rPr>
        <w:lastRenderedPageBreak/>
        <w:fldChar w:fldCharType="begin"/>
      </w:r>
      <w:r w:rsidR="00947934" w:rsidRPr="00702DDD">
        <w:rPr>
          <w:rFonts w:ascii="Times New Roman" w:hAnsi="Times New Roman" w:cs="Times New Roman"/>
        </w:rPr>
        <w:instrText xml:space="preserve"> ADDIN ZOTERO_BIBL {"uncited":[],"omitted":[],"custom":[]} CSL_BIBLIOGRAPHY </w:instrText>
      </w:r>
      <w:r w:rsidRPr="00702DDD">
        <w:rPr>
          <w:rFonts w:ascii="Times New Roman" w:hAnsi="Times New Roman" w:cs="Times New Roman"/>
        </w:rPr>
        <w:fldChar w:fldCharType="separate"/>
      </w:r>
      <w:r w:rsidR="00945573" w:rsidRPr="00702DDD">
        <w:rPr>
          <w:rFonts w:ascii="Times New Roman" w:hAnsi="Times New Roman" w:cs="Times New Roman"/>
        </w:rPr>
        <w:t xml:space="preserve">Ahmed, J., Lorch, J., Ong, L., &amp; Wolfgram, J. (2018). </w:t>
      </w:r>
      <w:r w:rsidR="00945573" w:rsidRPr="00702DDD">
        <w:rPr>
          <w:rFonts w:ascii="Times New Roman" w:hAnsi="Times New Roman" w:cs="Times New Roman"/>
          <w:i/>
          <w:iCs/>
        </w:rPr>
        <w:t>How the global supply landscape for global meat consumption will evolve | McKinsey</w:t>
      </w:r>
      <w:r w:rsidR="00945573" w:rsidRPr="00702DDD">
        <w:rPr>
          <w:rFonts w:ascii="Times New Roman" w:hAnsi="Times New Roman" w:cs="Times New Roman"/>
        </w:rPr>
        <w:t>. https://www.mckinsey.com/industries/agriculture/our-insights/how-the-global-supply-landscape-for-meat-protein-will-evolve#</w:t>
      </w:r>
    </w:p>
    <w:p w14:paraId="0FE2F6FA"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Allison, P. D. (1994). Using Panel Data to Estimate the Effects of Events. </w:t>
      </w:r>
      <w:r w:rsidRPr="00702DDD">
        <w:rPr>
          <w:rFonts w:ascii="Times New Roman" w:hAnsi="Times New Roman" w:cs="Times New Roman"/>
          <w:i/>
          <w:iCs/>
        </w:rPr>
        <w:t>Sociological Methods &amp; Research</w:t>
      </w:r>
      <w:r w:rsidRPr="00702DDD">
        <w:rPr>
          <w:rFonts w:ascii="Times New Roman" w:hAnsi="Times New Roman" w:cs="Times New Roman"/>
        </w:rPr>
        <w:t xml:space="preserve">, </w:t>
      </w:r>
      <w:r w:rsidRPr="00702DDD">
        <w:rPr>
          <w:rFonts w:ascii="Times New Roman" w:hAnsi="Times New Roman" w:cs="Times New Roman"/>
          <w:i/>
          <w:iCs/>
        </w:rPr>
        <w:t>23</w:t>
      </w:r>
      <w:r w:rsidRPr="00702DDD">
        <w:rPr>
          <w:rFonts w:ascii="Times New Roman" w:hAnsi="Times New Roman" w:cs="Times New Roman"/>
        </w:rPr>
        <w:t>(2), 174–199. https://doi.org/10/b9tpr3</w:t>
      </w:r>
    </w:p>
    <w:p w14:paraId="11299EDA"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Bhogal, T. S., &amp; Trivedi, A. K. (2008). </w:t>
      </w:r>
      <w:r w:rsidRPr="00702DDD">
        <w:rPr>
          <w:rFonts w:ascii="Times New Roman" w:hAnsi="Times New Roman" w:cs="Times New Roman"/>
          <w:i/>
          <w:iCs/>
        </w:rPr>
        <w:t>International Trade and Inherent Risks</w:t>
      </w:r>
      <w:r w:rsidRPr="00702DDD">
        <w:rPr>
          <w:rFonts w:ascii="Times New Roman" w:hAnsi="Times New Roman" w:cs="Times New Roman"/>
        </w:rPr>
        <w:t>. Palgrave Macmillan. https://link.springer.com/chapter/10.1057/9780230594326_1</w:t>
      </w:r>
    </w:p>
    <w:p w14:paraId="04BFD65C"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Campbell, J., &amp; Shin, M. E. (2011). </w:t>
      </w:r>
      <w:r w:rsidRPr="00702DDD">
        <w:rPr>
          <w:rFonts w:ascii="Times New Roman" w:hAnsi="Times New Roman" w:cs="Times New Roman"/>
          <w:i/>
          <w:iCs/>
        </w:rPr>
        <w:t>Essentials of Geographic Information Systems</w:t>
      </w:r>
      <w:r w:rsidRPr="00702DDD">
        <w:rPr>
          <w:rFonts w:ascii="Times New Roman" w:hAnsi="Times New Roman" w:cs="Times New Roman"/>
        </w:rPr>
        <w:t>. https://saylordotorg.github.io/text_essentials-of-geographic-information-systems/s10-03-data-classification.html</w:t>
      </w:r>
    </w:p>
    <w:p w14:paraId="4E8F2DA2"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Center for Disease Control. (2020, March 17). </w:t>
      </w:r>
      <w:r w:rsidRPr="00702DDD">
        <w:rPr>
          <w:rFonts w:ascii="Times New Roman" w:hAnsi="Times New Roman" w:cs="Times New Roman"/>
          <w:i/>
          <w:iCs/>
        </w:rPr>
        <w:t>2014-2016 Ebola Outbreak in West Africa</w:t>
      </w:r>
      <w:r w:rsidRPr="00702DDD">
        <w:rPr>
          <w:rFonts w:ascii="Times New Roman" w:hAnsi="Times New Roman" w:cs="Times New Roman"/>
        </w:rPr>
        <w:t>. https://www.cdc.gov/vhf/ebola/history/2014-2016-outbreak/index.html</w:t>
      </w:r>
    </w:p>
    <w:p w14:paraId="65D6921D"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Christiansen, J. (2018, May 1). Global Infections by the Numbers. </w:t>
      </w:r>
      <w:r w:rsidRPr="00702DDD">
        <w:rPr>
          <w:rFonts w:ascii="Times New Roman" w:hAnsi="Times New Roman" w:cs="Times New Roman"/>
          <w:i/>
          <w:iCs/>
        </w:rPr>
        <w:t>Scientific American</w:t>
      </w:r>
      <w:r w:rsidRPr="00702DDD">
        <w:rPr>
          <w:rFonts w:ascii="Times New Roman" w:hAnsi="Times New Roman" w:cs="Times New Roman"/>
        </w:rPr>
        <w:t>. https://doi.org/10.1038/scientificamerican0518-48</w:t>
      </w:r>
    </w:p>
    <w:p w14:paraId="73B062CF"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CNN. (2021, June 6). </w:t>
      </w:r>
      <w:r w:rsidRPr="00702DDD">
        <w:rPr>
          <w:rFonts w:ascii="Times New Roman" w:hAnsi="Times New Roman" w:cs="Times New Roman"/>
          <w:i/>
          <w:iCs/>
        </w:rPr>
        <w:t>H1N1 United States Fast Facts—CNN</w:t>
      </w:r>
      <w:r w:rsidRPr="00702DDD">
        <w:rPr>
          <w:rFonts w:ascii="Times New Roman" w:hAnsi="Times New Roman" w:cs="Times New Roman"/>
        </w:rPr>
        <w:t>. Cable News Network. https://www.cnn.com/2013/08/23/health/h1n1-u-s-fast-facts/index.html</w:t>
      </w:r>
    </w:p>
    <w:p w14:paraId="50CB9E34"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Costa, R., Bessler, D., &amp; Rosson, C. P. (2015). The Impacts of Foot and Mouth Disease Outbreaks on the Brazilian Meat Market. </w:t>
      </w:r>
      <w:r w:rsidRPr="00702DDD">
        <w:rPr>
          <w:rFonts w:ascii="Times New Roman" w:hAnsi="Times New Roman" w:cs="Times New Roman"/>
          <w:i/>
          <w:iCs/>
        </w:rPr>
        <w:t>Journal of Food Distribution Research</w:t>
      </w:r>
      <w:r w:rsidRPr="00702DDD">
        <w:rPr>
          <w:rFonts w:ascii="Times New Roman" w:hAnsi="Times New Roman" w:cs="Times New Roman"/>
        </w:rPr>
        <w:t xml:space="preserve">, </w:t>
      </w:r>
      <w:r w:rsidRPr="00702DDD">
        <w:rPr>
          <w:rFonts w:ascii="Times New Roman" w:hAnsi="Times New Roman" w:cs="Times New Roman"/>
          <w:i/>
          <w:iCs/>
        </w:rPr>
        <w:t>46</w:t>
      </w:r>
      <w:r w:rsidRPr="00702DDD">
        <w:rPr>
          <w:rFonts w:ascii="Times New Roman" w:hAnsi="Times New Roman" w:cs="Times New Roman"/>
        </w:rPr>
        <w:t>(3), 1–19.</w:t>
      </w:r>
    </w:p>
    <w:p w14:paraId="2E81063C"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da Costa, V. G., Moreli, M. L., &amp; Saivish, M. V. (2020). The emergence of SARS, MERS and novel SARS-2 coronaviruses in the 21st century. </w:t>
      </w:r>
      <w:r w:rsidRPr="00702DDD">
        <w:rPr>
          <w:rFonts w:ascii="Times New Roman" w:hAnsi="Times New Roman" w:cs="Times New Roman"/>
          <w:i/>
          <w:iCs/>
        </w:rPr>
        <w:t>Archives of Virology</w:t>
      </w:r>
      <w:r w:rsidRPr="00702DDD">
        <w:rPr>
          <w:rFonts w:ascii="Times New Roman" w:hAnsi="Times New Roman" w:cs="Times New Roman"/>
        </w:rPr>
        <w:t xml:space="preserve">, </w:t>
      </w:r>
      <w:r w:rsidRPr="00702DDD">
        <w:rPr>
          <w:rFonts w:ascii="Times New Roman" w:hAnsi="Times New Roman" w:cs="Times New Roman"/>
          <w:i/>
          <w:iCs/>
        </w:rPr>
        <w:t>165</w:t>
      </w:r>
      <w:r w:rsidRPr="00702DDD">
        <w:rPr>
          <w:rFonts w:ascii="Times New Roman" w:hAnsi="Times New Roman" w:cs="Times New Roman"/>
        </w:rPr>
        <w:t>(7), 1517–1526. https://doi.org/10.1007/s00705-020-04628-0</w:t>
      </w:r>
    </w:p>
    <w:p w14:paraId="26D9015E"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lastRenderedPageBreak/>
        <w:t xml:space="preserve">Goodwin, H., Popp, J., Miller, W., Vickery, G., &amp; Clayton-Niederman, Z. (2002). Impact of the Agricultural Sector on the Arkansas Economy. </w:t>
      </w:r>
      <w:r w:rsidRPr="00702DDD">
        <w:rPr>
          <w:rFonts w:ascii="Times New Roman" w:hAnsi="Times New Roman" w:cs="Times New Roman"/>
          <w:i/>
          <w:iCs/>
        </w:rPr>
        <w:t>Research Reports and Research Bulletins</w:t>
      </w:r>
      <w:r w:rsidRPr="00702DDD">
        <w:rPr>
          <w:rFonts w:ascii="Times New Roman" w:hAnsi="Times New Roman" w:cs="Times New Roman"/>
        </w:rPr>
        <w:t>. https://scholarworks.uark.edu/aaesrb/28</w:t>
      </w:r>
    </w:p>
    <w:p w14:paraId="6E163741"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Greenlaw, S. A., &amp; Shapiro, D. (2017). </w:t>
      </w:r>
      <w:r w:rsidRPr="00702DDD">
        <w:rPr>
          <w:rFonts w:ascii="Times New Roman" w:hAnsi="Times New Roman" w:cs="Times New Roman"/>
          <w:i/>
          <w:iCs/>
        </w:rPr>
        <w:t>Principles of Microeconomics 2e</w:t>
      </w:r>
      <w:r w:rsidRPr="00702DDD">
        <w:rPr>
          <w:rFonts w:ascii="Times New Roman" w:hAnsi="Times New Roman" w:cs="Times New Roman"/>
        </w:rPr>
        <w:t>. OpenStax. https://openstax.org/books/principles-microeconomics-2e/pages/1-introduction</w:t>
      </w:r>
    </w:p>
    <w:p w14:paraId="6552BD16"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Hayes, D. J., Schulz, L. L., Hart, C. E., &amp; Jacobs, K. L. (2021). A descriptive analysis of the COVID‐19 impacts on U.S. pork, turkey, and egg markets. </w:t>
      </w:r>
      <w:r w:rsidRPr="00702DDD">
        <w:rPr>
          <w:rFonts w:ascii="Times New Roman" w:hAnsi="Times New Roman" w:cs="Times New Roman"/>
          <w:i/>
          <w:iCs/>
        </w:rPr>
        <w:t>Agribusiness</w:t>
      </w:r>
      <w:r w:rsidRPr="00702DDD">
        <w:rPr>
          <w:rFonts w:ascii="Times New Roman" w:hAnsi="Times New Roman" w:cs="Times New Roman"/>
        </w:rPr>
        <w:t xml:space="preserve">, </w:t>
      </w:r>
      <w:r w:rsidRPr="00702DDD">
        <w:rPr>
          <w:rFonts w:ascii="Times New Roman" w:hAnsi="Times New Roman" w:cs="Times New Roman"/>
          <w:i/>
          <w:iCs/>
        </w:rPr>
        <w:t>37</w:t>
      </w:r>
      <w:r w:rsidRPr="00702DDD">
        <w:rPr>
          <w:rFonts w:ascii="Times New Roman" w:hAnsi="Times New Roman" w:cs="Times New Roman"/>
        </w:rPr>
        <w:t>(1), 122–141. https://doi.org/10/gjgqd4</w:t>
      </w:r>
    </w:p>
    <w:p w14:paraId="322CD43A"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Henson, S., &amp; Mazzocchi, M. (2002). Impact of Bovine Spongiform Encephalopathy on agribusiness in the United Kingdom: Results of an event study of equity prices. </w:t>
      </w:r>
      <w:r w:rsidRPr="00702DDD">
        <w:rPr>
          <w:rFonts w:ascii="Times New Roman" w:hAnsi="Times New Roman" w:cs="Times New Roman"/>
          <w:i/>
          <w:iCs/>
        </w:rPr>
        <w:t>American Journal of Agricultural Economics</w:t>
      </w:r>
      <w:r w:rsidRPr="00702DDD">
        <w:rPr>
          <w:rFonts w:ascii="Times New Roman" w:hAnsi="Times New Roman" w:cs="Times New Roman"/>
        </w:rPr>
        <w:t xml:space="preserve">, </w:t>
      </w:r>
      <w:r w:rsidRPr="00702DDD">
        <w:rPr>
          <w:rFonts w:ascii="Times New Roman" w:hAnsi="Times New Roman" w:cs="Times New Roman"/>
          <w:i/>
          <w:iCs/>
        </w:rPr>
        <w:t>84</w:t>
      </w:r>
      <w:r w:rsidRPr="00702DDD">
        <w:rPr>
          <w:rFonts w:ascii="Times New Roman" w:hAnsi="Times New Roman" w:cs="Times New Roman"/>
        </w:rPr>
        <w:t>(2), 370–386. https://doi.org/10/cjqjtq</w:t>
      </w:r>
    </w:p>
    <w:p w14:paraId="7CD689BC"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Hodges, A., Philippakos, E., Mulkey, D., Spreen, T., &amp; Muraro, R. (2001). </w:t>
      </w:r>
      <w:r w:rsidRPr="00702DDD">
        <w:rPr>
          <w:rFonts w:ascii="Times New Roman" w:hAnsi="Times New Roman" w:cs="Times New Roman"/>
          <w:i/>
          <w:iCs/>
        </w:rPr>
        <w:t>Economic Impact of Florida’s Citrus Industry, 1999-2000</w:t>
      </w:r>
      <w:r w:rsidRPr="00702DDD">
        <w:rPr>
          <w:rFonts w:ascii="Times New Roman" w:hAnsi="Times New Roman" w:cs="Times New Roman"/>
        </w:rPr>
        <w:t xml:space="preserve"> (Economic Information Report No. 01–2; p. 14).</w:t>
      </w:r>
    </w:p>
    <w:p w14:paraId="4D6EFB3D"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Ikejezie, J. (2017). Zika Virus Transmission—Region of the Americas, May 15, 2015–December 15, 2016. </w:t>
      </w:r>
      <w:r w:rsidRPr="00702DDD">
        <w:rPr>
          <w:rFonts w:ascii="Times New Roman" w:hAnsi="Times New Roman" w:cs="Times New Roman"/>
          <w:i/>
          <w:iCs/>
        </w:rPr>
        <w:t>MMWR. Morbidity and Mortality Weekly Report</w:t>
      </w:r>
      <w:r w:rsidRPr="00702DDD">
        <w:rPr>
          <w:rFonts w:ascii="Times New Roman" w:hAnsi="Times New Roman" w:cs="Times New Roman"/>
        </w:rPr>
        <w:t xml:space="preserve">, </w:t>
      </w:r>
      <w:r w:rsidRPr="00702DDD">
        <w:rPr>
          <w:rFonts w:ascii="Times New Roman" w:hAnsi="Times New Roman" w:cs="Times New Roman"/>
          <w:i/>
          <w:iCs/>
        </w:rPr>
        <w:t>66</w:t>
      </w:r>
      <w:r w:rsidRPr="00702DDD">
        <w:rPr>
          <w:rFonts w:ascii="Times New Roman" w:hAnsi="Times New Roman" w:cs="Times New Roman"/>
        </w:rPr>
        <w:t>. https://doi.org/10.15585/mmwr.mm6612a4</w:t>
      </w:r>
    </w:p>
    <w:p w14:paraId="35A93C6F"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IMPLAN. (2004). </w:t>
      </w:r>
      <w:r w:rsidRPr="00702DDD">
        <w:rPr>
          <w:rFonts w:ascii="Times New Roman" w:hAnsi="Times New Roman" w:cs="Times New Roman"/>
          <w:i/>
          <w:iCs/>
        </w:rPr>
        <w:t>Implan Pro Manual</w:t>
      </w:r>
      <w:r w:rsidRPr="00702DDD">
        <w:rPr>
          <w:rFonts w:ascii="Times New Roman" w:hAnsi="Times New Roman" w:cs="Times New Roman"/>
        </w:rPr>
        <w:t xml:space="preserve"> (3rd ed.).</w:t>
      </w:r>
    </w:p>
    <w:p w14:paraId="38805008"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IMPLAN. (2019a, October 16). </w:t>
      </w:r>
      <w:r w:rsidRPr="00702DDD">
        <w:rPr>
          <w:rFonts w:ascii="Times New Roman" w:hAnsi="Times New Roman" w:cs="Times New Roman"/>
          <w:i/>
          <w:iCs/>
        </w:rPr>
        <w:t>IMPLAN Data Sources</w:t>
      </w:r>
      <w:r w:rsidRPr="00702DDD">
        <w:rPr>
          <w:rFonts w:ascii="Times New Roman" w:hAnsi="Times New Roman" w:cs="Times New Roman"/>
        </w:rPr>
        <w:t>. https://implan.com/data-sources/</w:t>
      </w:r>
    </w:p>
    <w:p w14:paraId="2D8B175A"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IMPLAN. (2019b). </w:t>
      </w:r>
      <w:r w:rsidRPr="00702DDD">
        <w:rPr>
          <w:rFonts w:ascii="Times New Roman" w:hAnsi="Times New Roman" w:cs="Times New Roman"/>
          <w:i/>
          <w:iCs/>
        </w:rPr>
        <w:t>IMPLAN</w:t>
      </w:r>
      <w:r w:rsidRPr="00702DDD">
        <w:rPr>
          <w:rFonts w:ascii="Times New Roman" w:hAnsi="Times New Roman" w:cs="Times New Roman"/>
        </w:rPr>
        <w:t>. https://implan.com/</w:t>
      </w:r>
    </w:p>
    <w:p w14:paraId="4C0BA65F"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Krugman, P., &amp; Wells, R. (2012). </w:t>
      </w:r>
      <w:r w:rsidRPr="00702DDD">
        <w:rPr>
          <w:rFonts w:ascii="Times New Roman" w:hAnsi="Times New Roman" w:cs="Times New Roman"/>
          <w:i/>
          <w:iCs/>
        </w:rPr>
        <w:t>Economics and Microeconomics</w:t>
      </w:r>
      <w:r w:rsidRPr="00702DDD">
        <w:rPr>
          <w:rFonts w:ascii="Times New Roman" w:hAnsi="Times New Roman" w:cs="Times New Roman"/>
        </w:rPr>
        <w:t xml:space="preserve"> (Third). Worth Publishers. https://www.uni-giessen.de/fbz/fb02/fb/professuren/vwl/goetz/lehre/downloadsordner/mikrooekonomie-i/foliensaetze/chapter-8</w:t>
      </w:r>
    </w:p>
    <w:p w14:paraId="75FA59B5"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lastRenderedPageBreak/>
        <w:t xml:space="preserve">Leontief, W., &amp; Strout, A. (1963). Multiregional Input-Output Analysis. In T. Barna (Ed.), </w:t>
      </w:r>
      <w:r w:rsidRPr="00702DDD">
        <w:rPr>
          <w:rFonts w:ascii="Times New Roman" w:hAnsi="Times New Roman" w:cs="Times New Roman"/>
          <w:i/>
          <w:iCs/>
        </w:rPr>
        <w:t>Structural Interdependence and Economic Development: Proceedings of an International Conference on Input-Output Techniques, Geneva, September 1961</w:t>
      </w:r>
      <w:r w:rsidRPr="00702DDD">
        <w:rPr>
          <w:rFonts w:ascii="Times New Roman" w:hAnsi="Times New Roman" w:cs="Times New Roman"/>
        </w:rPr>
        <w:t xml:space="preserve"> (pp. 119–150). Palgrave Macmillan UK. https://doi.org/10.1007/978-1-349-81634-7_8</w:t>
      </w:r>
    </w:p>
    <w:p w14:paraId="205074BC"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Madhav, N., Oppenheim, B., Gallivan, M., Mulembakani, P., Rubin, E., &amp; Wolfe, N. (2017). Pandemics: Risks, Impacts, and Mitigation. In D. T. Jamison, H. Gelband, S. Horton, P. Jha, R. Laxminarayan, C. N. Mock, &amp; R. Nugent (Eds.), </w:t>
      </w:r>
      <w:r w:rsidRPr="00702DDD">
        <w:rPr>
          <w:rFonts w:ascii="Times New Roman" w:hAnsi="Times New Roman" w:cs="Times New Roman"/>
          <w:i/>
          <w:iCs/>
        </w:rPr>
        <w:t>Disease Control Priorities: Improving Health and Reducing Poverty</w:t>
      </w:r>
      <w:r w:rsidRPr="00702DDD">
        <w:rPr>
          <w:rFonts w:ascii="Times New Roman" w:hAnsi="Times New Roman" w:cs="Times New Roman"/>
        </w:rPr>
        <w:t xml:space="preserve"> (3rd ed.). The International Bank for Reconstruction and Development / The World Bank. http://www.ncbi.nlm.nih.gov/books/NBK525302/</w:t>
      </w:r>
    </w:p>
    <w:p w14:paraId="499B0D10"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Mallory, M. L. (2021). Impact of COVID-19 on Medium-Term Export Prospects for Soybeans, Corn, Beef, Pork, and Poultry. </w:t>
      </w:r>
      <w:r w:rsidRPr="00702DDD">
        <w:rPr>
          <w:rFonts w:ascii="Times New Roman" w:hAnsi="Times New Roman" w:cs="Times New Roman"/>
          <w:i/>
          <w:iCs/>
        </w:rPr>
        <w:t>Applied Economic Perspectives and Policy</w:t>
      </w:r>
      <w:r w:rsidRPr="00702DDD">
        <w:rPr>
          <w:rFonts w:ascii="Times New Roman" w:hAnsi="Times New Roman" w:cs="Times New Roman"/>
        </w:rPr>
        <w:t xml:space="preserve">, </w:t>
      </w:r>
      <w:r w:rsidRPr="00702DDD">
        <w:rPr>
          <w:rFonts w:ascii="Times New Roman" w:hAnsi="Times New Roman" w:cs="Times New Roman"/>
          <w:i/>
          <w:iCs/>
        </w:rPr>
        <w:t>43</w:t>
      </w:r>
      <w:r w:rsidRPr="00702DDD">
        <w:rPr>
          <w:rFonts w:ascii="Times New Roman" w:hAnsi="Times New Roman" w:cs="Times New Roman"/>
        </w:rPr>
        <w:t>(1), 292–303. https://doi.org/10/gj9p6b</w:t>
      </w:r>
    </w:p>
    <w:p w14:paraId="5C510490"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Maples, J. G., Thompson, J. M., Anderson, J. D., &amp; Anderson, D. P. (2021). Estimating COVID-19 Impacts on the Broiler Industry. </w:t>
      </w:r>
      <w:r w:rsidRPr="00702DDD">
        <w:rPr>
          <w:rFonts w:ascii="Times New Roman" w:hAnsi="Times New Roman" w:cs="Times New Roman"/>
          <w:i/>
          <w:iCs/>
        </w:rPr>
        <w:t>Applied Economic Perspectives and Policy</w:t>
      </w:r>
      <w:r w:rsidRPr="00702DDD">
        <w:rPr>
          <w:rFonts w:ascii="Times New Roman" w:hAnsi="Times New Roman" w:cs="Times New Roman"/>
        </w:rPr>
        <w:t xml:space="preserve">, </w:t>
      </w:r>
      <w:r w:rsidRPr="00702DDD">
        <w:rPr>
          <w:rFonts w:ascii="Times New Roman" w:hAnsi="Times New Roman" w:cs="Times New Roman"/>
          <w:i/>
          <w:iCs/>
        </w:rPr>
        <w:t>43</w:t>
      </w:r>
      <w:r w:rsidRPr="00702DDD">
        <w:rPr>
          <w:rFonts w:ascii="Times New Roman" w:hAnsi="Times New Roman" w:cs="Times New Roman"/>
        </w:rPr>
        <w:t>(1), 315–328. https://doi.org/10/ghdrd6</w:t>
      </w:r>
    </w:p>
    <w:p w14:paraId="2B28FBC7"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McEwan, K., Marchand, L., Shang, M., &amp; Bucknell, D. (2020). Potential implications of COVID‐19 on the Canadian pork industry. </w:t>
      </w:r>
      <w:r w:rsidRPr="00702DDD">
        <w:rPr>
          <w:rFonts w:ascii="Times New Roman" w:hAnsi="Times New Roman" w:cs="Times New Roman"/>
          <w:i/>
          <w:iCs/>
        </w:rPr>
        <w:t>Canadian Journal of Agricultural Economics/Revue Canadienne d’agroeconomie</w:t>
      </w:r>
      <w:r w:rsidRPr="00702DDD">
        <w:rPr>
          <w:rFonts w:ascii="Times New Roman" w:hAnsi="Times New Roman" w:cs="Times New Roman"/>
        </w:rPr>
        <w:t xml:space="preserve">, </w:t>
      </w:r>
      <w:r w:rsidRPr="00702DDD">
        <w:rPr>
          <w:rFonts w:ascii="Times New Roman" w:hAnsi="Times New Roman" w:cs="Times New Roman"/>
          <w:i/>
          <w:iCs/>
        </w:rPr>
        <w:t>68</w:t>
      </w:r>
      <w:r w:rsidRPr="00702DDD">
        <w:rPr>
          <w:rFonts w:ascii="Times New Roman" w:hAnsi="Times New Roman" w:cs="Times New Roman"/>
        </w:rPr>
        <w:t>(2), 201–206. https://doi.org/10/gjgqd5</w:t>
      </w:r>
    </w:p>
    <w:p w14:paraId="5E4FD79C"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Miernyk, W. (2020). The Elements of Input-Output Analysis. </w:t>
      </w:r>
      <w:r w:rsidRPr="00702DDD">
        <w:rPr>
          <w:rFonts w:ascii="Times New Roman" w:hAnsi="Times New Roman" w:cs="Times New Roman"/>
          <w:i/>
          <w:iCs/>
        </w:rPr>
        <w:t>1965</w:t>
      </w:r>
      <w:r w:rsidRPr="00702DDD">
        <w:rPr>
          <w:rFonts w:ascii="Times New Roman" w:hAnsi="Times New Roman" w:cs="Times New Roman"/>
        </w:rPr>
        <w:t>. https://researchrepository.wvu.edu/rri-web-book/6</w:t>
      </w:r>
    </w:p>
    <w:p w14:paraId="380F5F1A" w14:textId="77777777" w:rsidR="00945573" w:rsidRPr="00FF6407" w:rsidRDefault="00945573" w:rsidP="00945573">
      <w:pPr>
        <w:pStyle w:val="Bibliography"/>
        <w:rPr>
          <w:rFonts w:ascii="Times New Roman" w:hAnsi="Times New Roman" w:cs="Times New Roman"/>
          <w:lang w:val="es-ES"/>
        </w:rPr>
      </w:pPr>
      <w:r w:rsidRPr="00702DDD">
        <w:rPr>
          <w:rFonts w:ascii="Times New Roman" w:hAnsi="Times New Roman" w:cs="Times New Roman"/>
        </w:rPr>
        <w:lastRenderedPageBreak/>
        <w:t xml:space="preserve">Miernyk, W. H. (1966). The Elements of Input-Output Analysis. </w:t>
      </w:r>
      <w:r w:rsidRPr="00FF6407">
        <w:rPr>
          <w:rFonts w:ascii="Times New Roman" w:hAnsi="Times New Roman" w:cs="Times New Roman"/>
          <w:i/>
          <w:iCs/>
          <w:lang w:val="es-ES"/>
        </w:rPr>
        <w:t>Economica</w:t>
      </w:r>
      <w:r w:rsidRPr="00FF6407">
        <w:rPr>
          <w:rFonts w:ascii="Times New Roman" w:hAnsi="Times New Roman" w:cs="Times New Roman"/>
          <w:lang w:val="es-ES"/>
        </w:rPr>
        <w:t xml:space="preserve">, </w:t>
      </w:r>
      <w:r w:rsidRPr="00FF6407">
        <w:rPr>
          <w:rFonts w:ascii="Times New Roman" w:hAnsi="Times New Roman" w:cs="Times New Roman"/>
          <w:i/>
          <w:iCs/>
          <w:lang w:val="es-ES"/>
        </w:rPr>
        <w:t>33</w:t>
      </w:r>
      <w:r w:rsidRPr="00FF6407">
        <w:rPr>
          <w:rFonts w:ascii="Times New Roman" w:hAnsi="Times New Roman" w:cs="Times New Roman"/>
          <w:lang w:val="es-ES"/>
        </w:rPr>
        <w:t>(132), 501. https://doi.org/10.2307/2552761</w:t>
      </w:r>
    </w:p>
    <w:p w14:paraId="40C043B5" w14:textId="77777777" w:rsidR="00945573" w:rsidRPr="00702DDD" w:rsidRDefault="00945573" w:rsidP="00945573">
      <w:pPr>
        <w:pStyle w:val="Bibliography"/>
        <w:rPr>
          <w:rFonts w:ascii="Times New Roman" w:hAnsi="Times New Roman" w:cs="Times New Roman"/>
        </w:rPr>
      </w:pPr>
      <w:r w:rsidRPr="00FF6407">
        <w:rPr>
          <w:rFonts w:ascii="Times New Roman" w:hAnsi="Times New Roman" w:cs="Times New Roman"/>
          <w:lang w:val="es-ES"/>
        </w:rPr>
        <w:t xml:space="preserve">Miller, R. E., &amp; Blair, P. D. (2009). </w:t>
      </w:r>
      <w:r w:rsidRPr="00702DDD">
        <w:rPr>
          <w:rFonts w:ascii="Times New Roman" w:hAnsi="Times New Roman" w:cs="Times New Roman"/>
          <w:i/>
          <w:iCs/>
        </w:rPr>
        <w:t>Input-Output Analysis: Foundations and Extensions</w:t>
      </w:r>
      <w:r w:rsidRPr="00702DDD">
        <w:rPr>
          <w:rFonts w:ascii="Times New Roman" w:hAnsi="Times New Roman" w:cs="Times New Roman"/>
        </w:rPr>
        <w:t xml:space="preserve"> (2nd ed.). Cambridge University Press. https://doi.org/10.1017/CBO9780511626982</w:t>
      </w:r>
    </w:p>
    <w:p w14:paraId="2AF259BC"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Pendell, D. L., Brester, G. W., Schroeder, T. C., Dhuyvetter, K. C., &amp; Tonsor, G. T. (2010). Animal Identification and Tracing in the United States. </w:t>
      </w:r>
      <w:r w:rsidRPr="00702DDD">
        <w:rPr>
          <w:rFonts w:ascii="Times New Roman" w:hAnsi="Times New Roman" w:cs="Times New Roman"/>
          <w:i/>
          <w:iCs/>
        </w:rPr>
        <w:t>American Journal of Agricultural Economics</w:t>
      </w:r>
      <w:r w:rsidRPr="00702DDD">
        <w:rPr>
          <w:rFonts w:ascii="Times New Roman" w:hAnsi="Times New Roman" w:cs="Times New Roman"/>
        </w:rPr>
        <w:t xml:space="preserve">, </w:t>
      </w:r>
      <w:r w:rsidRPr="00702DDD">
        <w:rPr>
          <w:rFonts w:ascii="Times New Roman" w:hAnsi="Times New Roman" w:cs="Times New Roman"/>
          <w:i/>
          <w:iCs/>
        </w:rPr>
        <w:t>92</w:t>
      </w:r>
      <w:r w:rsidRPr="00702DDD">
        <w:rPr>
          <w:rFonts w:ascii="Times New Roman" w:hAnsi="Times New Roman" w:cs="Times New Roman"/>
        </w:rPr>
        <w:t>(4), 927–940. https://doi.org/10/fwjvtm</w:t>
      </w:r>
    </w:p>
    <w:p w14:paraId="2E69591D"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Peterson, H. H., &amp; Chen, Y.-J. (Kelly). (2005). The Impact of BSE on Japanese Retail Meat Demand. </w:t>
      </w:r>
      <w:r w:rsidRPr="00702DDD">
        <w:rPr>
          <w:rFonts w:ascii="Times New Roman" w:hAnsi="Times New Roman" w:cs="Times New Roman"/>
          <w:i/>
          <w:iCs/>
        </w:rPr>
        <w:t>Agribusiness</w:t>
      </w:r>
      <w:r w:rsidRPr="00702DDD">
        <w:rPr>
          <w:rFonts w:ascii="Times New Roman" w:hAnsi="Times New Roman" w:cs="Times New Roman"/>
        </w:rPr>
        <w:t xml:space="preserve">, </w:t>
      </w:r>
      <w:r w:rsidRPr="00702DDD">
        <w:rPr>
          <w:rFonts w:ascii="Times New Roman" w:hAnsi="Times New Roman" w:cs="Times New Roman"/>
          <w:i/>
          <w:iCs/>
        </w:rPr>
        <w:t>21</w:t>
      </w:r>
      <w:r w:rsidRPr="00702DDD">
        <w:rPr>
          <w:rFonts w:ascii="Times New Roman" w:hAnsi="Times New Roman" w:cs="Times New Roman"/>
        </w:rPr>
        <w:t>(3), 313–327. https://doi.org/10/c3hjcz</w:t>
      </w:r>
    </w:p>
    <w:p w14:paraId="1A8C82E2"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Salzman, J. (2003). </w:t>
      </w:r>
      <w:r w:rsidRPr="00702DDD">
        <w:rPr>
          <w:rFonts w:ascii="Times New Roman" w:hAnsi="Times New Roman" w:cs="Times New Roman"/>
          <w:i/>
          <w:iCs/>
        </w:rPr>
        <w:t>Methodological Choices Encountered in the Construction of Composite Indices of Economic and Social Well-Being</w:t>
      </w:r>
      <w:r w:rsidRPr="00702DDD">
        <w:rPr>
          <w:rFonts w:ascii="Times New Roman" w:hAnsi="Times New Roman" w:cs="Times New Roman"/>
        </w:rPr>
        <w:t>. 33.</w:t>
      </w:r>
    </w:p>
    <w:p w14:paraId="1B85C74F"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Schlenker, W., &amp; Villas-Boas, S. B. (2009). Consumer and Market Responses to Mad Cow Disease. </w:t>
      </w:r>
      <w:r w:rsidRPr="00702DDD">
        <w:rPr>
          <w:rFonts w:ascii="Times New Roman" w:hAnsi="Times New Roman" w:cs="Times New Roman"/>
          <w:i/>
          <w:iCs/>
        </w:rPr>
        <w:t>American Journal of Agricultural Economics</w:t>
      </w:r>
      <w:r w:rsidRPr="00702DDD">
        <w:rPr>
          <w:rFonts w:ascii="Times New Roman" w:hAnsi="Times New Roman" w:cs="Times New Roman"/>
        </w:rPr>
        <w:t xml:space="preserve">, </w:t>
      </w:r>
      <w:r w:rsidRPr="00702DDD">
        <w:rPr>
          <w:rFonts w:ascii="Times New Roman" w:hAnsi="Times New Roman" w:cs="Times New Roman"/>
          <w:i/>
          <w:iCs/>
        </w:rPr>
        <w:t>91</w:t>
      </w:r>
      <w:r w:rsidRPr="00702DDD">
        <w:rPr>
          <w:rFonts w:ascii="Times New Roman" w:hAnsi="Times New Roman" w:cs="Times New Roman"/>
        </w:rPr>
        <w:t>(4), 1140–1152. https://doi.org/10/dmbqpk</w:t>
      </w:r>
    </w:p>
    <w:p w14:paraId="763BE5CE" w14:textId="77777777" w:rsidR="00945573" w:rsidRPr="00FF6407" w:rsidRDefault="00945573" w:rsidP="00945573">
      <w:pPr>
        <w:pStyle w:val="Bibliography"/>
        <w:rPr>
          <w:rFonts w:ascii="Times New Roman" w:hAnsi="Times New Roman" w:cs="Times New Roman"/>
          <w:lang w:val="fr-FR"/>
        </w:rPr>
      </w:pPr>
      <w:r w:rsidRPr="00702DDD">
        <w:rPr>
          <w:rFonts w:ascii="Times New Roman" w:hAnsi="Times New Roman" w:cs="Times New Roman"/>
        </w:rPr>
        <w:t xml:space="preserve">Shanafelt, D. W., &amp; Perrings, C. A. (2017). Foot and mouth disease: The risks of the international trade in live animals: -EN- -FR- Fièvre aphteuse : les risques liés aux échanges internationaux d’animaux vivants -ES- Fiebre aftosa y riesgos del comercio internacional de animales vivos. </w:t>
      </w:r>
      <w:r w:rsidRPr="00FF6407">
        <w:rPr>
          <w:rFonts w:ascii="Times New Roman" w:hAnsi="Times New Roman" w:cs="Times New Roman"/>
          <w:i/>
          <w:iCs/>
          <w:lang w:val="fr-FR"/>
        </w:rPr>
        <w:t>Revue Scientifique et Technique de l’OIE</w:t>
      </w:r>
      <w:r w:rsidRPr="00FF6407">
        <w:rPr>
          <w:rFonts w:ascii="Times New Roman" w:hAnsi="Times New Roman" w:cs="Times New Roman"/>
          <w:lang w:val="fr-FR"/>
        </w:rPr>
        <w:t xml:space="preserve">, </w:t>
      </w:r>
      <w:r w:rsidRPr="00FF6407">
        <w:rPr>
          <w:rFonts w:ascii="Times New Roman" w:hAnsi="Times New Roman" w:cs="Times New Roman"/>
          <w:i/>
          <w:iCs/>
          <w:lang w:val="fr-FR"/>
        </w:rPr>
        <w:t>36</w:t>
      </w:r>
      <w:r w:rsidRPr="00FF6407">
        <w:rPr>
          <w:rFonts w:ascii="Times New Roman" w:hAnsi="Times New Roman" w:cs="Times New Roman"/>
          <w:lang w:val="fr-FR"/>
        </w:rPr>
        <w:t>(3), 839–865. https://doi.org/10.20506/rst.36.3.2719</w:t>
      </w:r>
    </w:p>
    <w:p w14:paraId="72EC144E"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Sharpe, A., Andrews, B., &amp; Well-being, E. (2012). </w:t>
      </w:r>
      <w:r w:rsidRPr="00702DDD">
        <w:rPr>
          <w:rFonts w:ascii="Times New Roman" w:hAnsi="Times New Roman" w:cs="Times New Roman"/>
          <w:i/>
          <w:iCs/>
        </w:rPr>
        <w:t>An Assessment of Weighting Methodologies for Composite Indicators: The Case of the Index of Economic Well-being</w:t>
      </w:r>
      <w:r w:rsidRPr="00702DDD">
        <w:rPr>
          <w:rFonts w:ascii="Times New Roman" w:hAnsi="Times New Roman" w:cs="Times New Roman"/>
        </w:rPr>
        <w:t>.</w:t>
      </w:r>
    </w:p>
    <w:p w14:paraId="65D3F9EE"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StataCorp. (2019). </w:t>
      </w:r>
      <w:r w:rsidRPr="00702DDD">
        <w:rPr>
          <w:rFonts w:ascii="Times New Roman" w:hAnsi="Times New Roman" w:cs="Times New Roman"/>
          <w:i/>
          <w:iCs/>
        </w:rPr>
        <w:t>Stata Statistical Software</w:t>
      </w:r>
      <w:r w:rsidRPr="00702DDD">
        <w:rPr>
          <w:rFonts w:ascii="Times New Roman" w:hAnsi="Times New Roman" w:cs="Times New Roman"/>
        </w:rPr>
        <w:t xml:space="preserve"> (Version 16) [Computer software]. StataCrop LLC.</w:t>
      </w:r>
    </w:p>
    <w:p w14:paraId="10281A92"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lastRenderedPageBreak/>
        <w:t xml:space="preserve">Steinback, S. R. (1999). Regional Economic Impact Assessments of Recreational Fisheries: An Application of the IMPLAN Modeling System to Marine Party and Charter Boat Fishing in Maine. </w:t>
      </w:r>
      <w:r w:rsidRPr="00702DDD">
        <w:rPr>
          <w:rFonts w:ascii="Times New Roman" w:hAnsi="Times New Roman" w:cs="Times New Roman"/>
          <w:i/>
          <w:iCs/>
        </w:rPr>
        <w:t>North American Journal of Fisheries Management</w:t>
      </w:r>
      <w:r w:rsidRPr="00702DDD">
        <w:rPr>
          <w:rFonts w:ascii="Times New Roman" w:hAnsi="Times New Roman" w:cs="Times New Roman"/>
        </w:rPr>
        <w:t xml:space="preserve">, </w:t>
      </w:r>
      <w:r w:rsidRPr="00702DDD">
        <w:rPr>
          <w:rFonts w:ascii="Times New Roman" w:hAnsi="Times New Roman" w:cs="Times New Roman"/>
          <w:i/>
          <w:iCs/>
        </w:rPr>
        <w:t>19</w:t>
      </w:r>
      <w:r w:rsidRPr="00702DDD">
        <w:rPr>
          <w:rFonts w:ascii="Times New Roman" w:hAnsi="Times New Roman" w:cs="Times New Roman"/>
        </w:rPr>
        <w:t>(3), 724–736. https://doi.org/10.1577/1548-8675(1999)019&lt;0724:REIAOR&gt;2.0.CO;2</w:t>
      </w:r>
    </w:p>
    <w:p w14:paraId="6D901739"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Tennessee Advisory Commission on Intergovernmental Relations. (2022). </w:t>
      </w:r>
      <w:r w:rsidRPr="00702DDD">
        <w:rPr>
          <w:rFonts w:ascii="Times New Roman" w:hAnsi="Times New Roman" w:cs="Times New Roman"/>
          <w:i/>
          <w:iCs/>
        </w:rPr>
        <w:t>Building Tennessee’s Tomorrow: Anticipating the State’s Infrastructure Needs</w:t>
      </w:r>
      <w:r w:rsidRPr="00702DDD">
        <w:rPr>
          <w:rFonts w:ascii="Times New Roman" w:hAnsi="Times New Roman" w:cs="Times New Roman"/>
        </w:rPr>
        <w:t xml:space="preserve"> (p. 269). https://www.tn.gov/content/dam/tn/tacir/infrastructure/2022infra2020-2025/2022_Infrastructure.pdf</w:t>
      </w:r>
    </w:p>
    <w:p w14:paraId="4BD7CAC9"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Tennessee Comptroller of the Treasury. (2020). </w:t>
      </w:r>
      <w:r w:rsidRPr="00702DDD">
        <w:rPr>
          <w:rFonts w:ascii="Times New Roman" w:hAnsi="Times New Roman" w:cs="Times New Roman"/>
          <w:i/>
          <w:iCs/>
        </w:rPr>
        <w:t>County Audit Reports</w:t>
      </w:r>
      <w:r w:rsidRPr="00702DDD">
        <w:rPr>
          <w:rFonts w:ascii="Times New Roman" w:hAnsi="Times New Roman" w:cs="Times New Roman"/>
        </w:rPr>
        <w:t>. https://comptroller.tn.gov/office-functions/la/reports/audit-reports.html</w:t>
      </w:r>
    </w:p>
    <w:p w14:paraId="308B5C35"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Tennessee Department of Economic and Community Development. (2018). </w:t>
      </w:r>
      <w:r w:rsidRPr="00702DDD">
        <w:rPr>
          <w:rFonts w:ascii="Times New Roman" w:hAnsi="Times New Roman" w:cs="Times New Roman"/>
          <w:i/>
          <w:iCs/>
        </w:rPr>
        <w:t>Regional Directors</w:t>
      </w:r>
      <w:r w:rsidRPr="00702DDD">
        <w:rPr>
          <w:rFonts w:ascii="Times New Roman" w:hAnsi="Times New Roman" w:cs="Times New Roman"/>
        </w:rPr>
        <w:t>.</w:t>
      </w:r>
    </w:p>
    <w:p w14:paraId="6D5D3943"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Tennessee Department of Environment &amp; Conservation. (2021). </w:t>
      </w:r>
      <w:r w:rsidRPr="00702DDD">
        <w:rPr>
          <w:rFonts w:ascii="Times New Roman" w:hAnsi="Times New Roman" w:cs="Times New Roman"/>
          <w:i/>
          <w:iCs/>
        </w:rPr>
        <w:t>Clean Water State Revolving Fund</w:t>
      </w:r>
      <w:r w:rsidRPr="00702DDD">
        <w:rPr>
          <w:rFonts w:ascii="Times New Roman" w:hAnsi="Times New Roman" w:cs="Times New Roman"/>
        </w:rPr>
        <w:t>. https://www.tn.gov/environment/program-areas/wr-water-resources/srfp/srf-home/clean-water-state-revolving-fund.html</w:t>
      </w:r>
    </w:p>
    <w:p w14:paraId="2C6AC1A4"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Tennessee Department of Labor &amp; Workforce Development. (2020). </w:t>
      </w:r>
      <w:r w:rsidRPr="00702DDD">
        <w:rPr>
          <w:rFonts w:ascii="Times New Roman" w:hAnsi="Times New Roman" w:cs="Times New Roman"/>
          <w:i/>
          <w:iCs/>
        </w:rPr>
        <w:t>Tennessee Labor Market Report</w:t>
      </w:r>
      <w:r w:rsidRPr="00702DDD">
        <w:rPr>
          <w:rFonts w:ascii="Times New Roman" w:hAnsi="Times New Roman" w:cs="Times New Roman"/>
        </w:rPr>
        <w:t>. https://www.tn.gov/content/dam/tn/workforce/documents/LMR/LMRDecember2020.pdf</w:t>
      </w:r>
    </w:p>
    <w:p w14:paraId="169385A0"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The White House. (2021, March 31). </w:t>
      </w:r>
      <w:r w:rsidRPr="00702DDD">
        <w:rPr>
          <w:rFonts w:ascii="Times New Roman" w:hAnsi="Times New Roman" w:cs="Times New Roman"/>
          <w:i/>
          <w:iCs/>
        </w:rPr>
        <w:t>FACT SHEET: The American Jobs Plan</w:t>
      </w:r>
      <w:r w:rsidRPr="00702DDD">
        <w:rPr>
          <w:rFonts w:ascii="Times New Roman" w:hAnsi="Times New Roman" w:cs="Times New Roman"/>
        </w:rPr>
        <w:t>. The White House. https://www.whitehouse.gov/briefing-room/statements-releases/2021/03/31/fact-sheet-the-american-jobs-plan/</w:t>
      </w:r>
    </w:p>
    <w:p w14:paraId="347A04D2"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Thompson, J. M. (2018). Effects of Regionalized Trade Restrictions on Quantity Exported During a Highly Pathogenic Avian Influenza Event. </w:t>
      </w:r>
      <w:r w:rsidRPr="00702DDD">
        <w:rPr>
          <w:rFonts w:ascii="Times New Roman" w:hAnsi="Times New Roman" w:cs="Times New Roman"/>
          <w:i/>
          <w:iCs/>
        </w:rPr>
        <w:t>Journal of Agricultural and Applied Economics</w:t>
      </w:r>
      <w:r w:rsidRPr="00702DDD">
        <w:rPr>
          <w:rFonts w:ascii="Times New Roman" w:hAnsi="Times New Roman" w:cs="Times New Roman"/>
        </w:rPr>
        <w:t xml:space="preserve">, </w:t>
      </w:r>
      <w:r w:rsidRPr="00702DDD">
        <w:rPr>
          <w:rFonts w:ascii="Times New Roman" w:hAnsi="Times New Roman" w:cs="Times New Roman"/>
          <w:i/>
          <w:iCs/>
        </w:rPr>
        <w:t>50</w:t>
      </w:r>
      <w:r w:rsidRPr="00702DDD">
        <w:rPr>
          <w:rFonts w:ascii="Times New Roman" w:hAnsi="Times New Roman" w:cs="Times New Roman"/>
        </w:rPr>
        <w:t>(2), 270–289. https://doi.org/10.1017/aae.2017.29</w:t>
      </w:r>
    </w:p>
    <w:p w14:paraId="4817C0E2"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lastRenderedPageBreak/>
        <w:t xml:space="preserve">Thompson, J. M., Pendell, D. L., Hagerman, A. D., &amp; Johnson, K. K. (2020). International Trade Implications of Highly Pathogenic Poultry Disease Events. </w:t>
      </w:r>
      <w:r w:rsidRPr="00702DDD">
        <w:rPr>
          <w:rFonts w:ascii="Times New Roman" w:hAnsi="Times New Roman" w:cs="Times New Roman"/>
          <w:i/>
          <w:iCs/>
        </w:rPr>
        <w:t>Agricultural and Resource Economics Review</w:t>
      </w:r>
      <w:r w:rsidRPr="00702DDD">
        <w:rPr>
          <w:rFonts w:ascii="Times New Roman" w:hAnsi="Times New Roman" w:cs="Times New Roman"/>
        </w:rPr>
        <w:t xml:space="preserve">, </w:t>
      </w:r>
      <w:r w:rsidRPr="00702DDD">
        <w:rPr>
          <w:rFonts w:ascii="Times New Roman" w:hAnsi="Times New Roman" w:cs="Times New Roman"/>
          <w:i/>
          <w:iCs/>
        </w:rPr>
        <w:t>49</w:t>
      </w:r>
      <w:r w:rsidRPr="00702DDD">
        <w:rPr>
          <w:rFonts w:ascii="Times New Roman" w:hAnsi="Times New Roman" w:cs="Times New Roman"/>
        </w:rPr>
        <w:t>(3), 517–537. https://doi.org/10/ggcmdn</w:t>
      </w:r>
    </w:p>
    <w:p w14:paraId="524F7AB6"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Transparent Tennessee. (2022). </w:t>
      </w:r>
      <w:r w:rsidRPr="00702DDD">
        <w:rPr>
          <w:rFonts w:ascii="Times New Roman" w:hAnsi="Times New Roman" w:cs="Times New Roman"/>
          <w:i/>
          <w:iCs/>
        </w:rPr>
        <w:t>Distressed Counties</w:t>
      </w:r>
      <w:r w:rsidRPr="00702DDD">
        <w:rPr>
          <w:rFonts w:ascii="Times New Roman" w:hAnsi="Times New Roman" w:cs="Times New Roman"/>
        </w:rPr>
        <w:t>. Tennessee State Government. https://www.tn.gov/transparenttn/state-financial-overview/open-ecd/openecd/tnecd-performance-metrics/openecd-long-term-objectives-quick-stats/distressed-counties.html</w:t>
      </w:r>
    </w:p>
    <w:p w14:paraId="4E238570"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United Nations. (2017). </w:t>
      </w:r>
      <w:r w:rsidRPr="00702DDD">
        <w:rPr>
          <w:rFonts w:ascii="Times New Roman" w:hAnsi="Times New Roman" w:cs="Times New Roman"/>
          <w:i/>
          <w:iCs/>
        </w:rPr>
        <w:t>Harmonized Commodity Description and Coding Systems (HS)</w:t>
      </w:r>
      <w:r w:rsidRPr="00702DDD">
        <w:rPr>
          <w:rFonts w:ascii="Times New Roman" w:hAnsi="Times New Roman" w:cs="Times New Roman"/>
        </w:rPr>
        <w:t>. United Nations International Trade Statistics Knowledgebase. https://unstats.un.org/unsd/tradekb/Knowledgebase/Harmonized-Commodity-Description-and-Coding-Systems-HS</w:t>
      </w:r>
    </w:p>
    <w:p w14:paraId="43C2F40D"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United Nations. (2021). </w:t>
      </w:r>
      <w:r w:rsidRPr="00702DDD">
        <w:rPr>
          <w:rFonts w:ascii="Times New Roman" w:hAnsi="Times New Roman" w:cs="Times New Roman"/>
          <w:i/>
          <w:iCs/>
        </w:rPr>
        <w:t>UN Comtrade Database</w:t>
      </w:r>
      <w:r w:rsidRPr="00702DDD">
        <w:rPr>
          <w:rFonts w:ascii="Times New Roman" w:hAnsi="Times New Roman" w:cs="Times New Roman"/>
        </w:rPr>
        <w:t>. United Nations. http://comtrade.un.org/data/</w:t>
      </w:r>
    </w:p>
    <w:p w14:paraId="291972D0"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United States Census Bureau. (2020). </w:t>
      </w:r>
      <w:r w:rsidRPr="00702DDD">
        <w:rPr>
          <w:rFonts w:ascii="Times New Roman" w:hAnsi="Times New Roman" w:cs="Times New Roman"/>
          <w:i/>
          <w:iCs/>
        </w:rPr>
        <w:t>Census Data</w:t>
      </w:r>
      <w:r w:rsidRPr="00702DDD">
        <w:rPr>
          <w:rFonts w:ascii="Times New Roman" w:hAnsi="Times New Roman" w:cs="Times New Roman"/>
        </w:rPr>
        <w:t>. https://data.census.gov/cedsci/</w:t>
      </w:r>
    </w:p>
    <w:p w14:paraId="5056521B"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United States Environmental Protection Agency. (2014). </w:t>
      </w:r>
      <w:r w:rsidRPr="00702DDD">
        <w:rPr>
          <w:rFonts w:ascii="Times New Roman" w:hAnsi="Times New Roman" w:cs="Times New Roman"/>
          <w:i/>
          <w:iCs/>
        </w:rPr>
        <w:t>Utilization of Additional Subsidization Authority in the Clean Water and Drinking Water State Revolving Fund Program</w:t>
      </w:r>
      <w:r w:rsidRPr="00702DDD">
        <w:rPr>
          <w:rFonts w:ascii="Times New Roman" w:hAnsi="Times New Roman" w:cs="Times New Roman"/>
        </w:rPr>
        <w:t xml:space="preserve"> [Report to Congress].</w:t>
      </w:r>
    </w:p>
    <w:p w14:paraId="1A98A6A9"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United States Environmental Protection Agency. (2015, April 16). </w:t>
      </w:r>
      <w:r w:rsidRPr="00702DDD">
        <w:rPr>
          <w:rFonts w:ascii="Times New Roman" w:hAnsi="Times New Roman" w:cs="Times New Roman"/>
          <w:i/>
          <w:iCs/>
        </w:rPr>
        <w:t>Learn about the Clean Water State Revolving Fund (CWSRF)</w:t>
      </w:r>
      <w:r w:rsidRPr="00702DDD">
        <w:rPr>
          <w:rFonts w:ascii="Times New Roman" w:hAnsi="Times New Roman" w:cs="Times New Roman"/>
        </w:rPr>
        <w:t xml:space="preserve"> [Overviews and Factsheets]. https://www.epa.gov/cwsrf/learn-about-clean-water-state-revolving-fund-cwsrf</w:t>
      </w:r>
    </w:p>
    <w:p w14:paraId="6D3E547E"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USDA APHIS. (2019). </w:t>
      </w:r>
      <w:r w:rsidRPr="00702DDD">
        <w:rPr>
          <w:rFonts w:ascii="Times New Roman" w:hAnsi="Times New Roman" w:cs="Times New Roman"/>
          <w:i/>
          <w:iCs/>
        </w:rPr>
        <w:t>Joint Statement on the International African Swine Fever Forum</w:t>
      </w:r>
      <w:r w:rsidRPr="00702DDD">
        <w:rPr>
          <w:rFonts w:ascii="Times New Roman" w:hAnsi="Times New Roman" w:cs="Times New Roman"/>
        </w:rPr>
        <w:t>. https://www.aphis.usda.gov/aphis/newsroom/news/sa_by_date/sa-2019/asf-forum</w:t>
      </w:r>
    </w:p>
    <w:p w14:paraId="0B3C6155"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VanDerslice, J. (2011). Drinking Water Infrastructure and Environmental Disparities: Evidence and Methodological Considerations. </w:t>
      </w:r>
      <w:r w:rsidRPr="00702DDD">
        <w:rPr>
          <w:rFonts w:ascii="Times New Roman" w:hAnsi="Times New Roman" w:cs="Times New Roman"/>
          <w:i/>
          <w:iCs/>
        </w:rPr>
        <w:t>American Journal of Public Health</w:t>
      </w:r>
      <w:r w:rsidRPr="00702DDD">
        <w:rPr>
          <w:rFonts w:ascii="Times New Roman" w:hAnsi="Times New Roman" w:cs="Times New Roman"/>
        </w:rPr>
        <w:t xml:space="preserve">, </w:t>
      </w:r>
      <w:r w:rsidRPr="00702DDD">
        <w:rPr>
          <w:rFonts w:ascii="Times New Roman" w:hAnsi="Times New Roman" w:cs="Times New Roman"/>
          <w:i/>
          <w:iCs/>
        </w:rPr>
        <w:t>101</w:t>
      </w:r>
      <w:r w:rsidRPr="00702DDD">
        <w:rPr>
          <w:rFonts w:ascii="Times New Roman" w:hAnsi="Times New Roman" w:cs="Times New Roman"/>
        </w:rPr>
        <w:t>(S1), S109–S114. https://doi.org/10/c4ffmx</w:t>
      </w:r>
    </w:p>
    <w:p w14:paraId="266EC196"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lastRenderedPageBreak/>
        <w:t xml:space="preserve">Weersink, A., von Massow, M., Bannon, N., Ifft, J., Maples, J., McEwen, K., McKendree, M., Nicholson, C., Novakovic, A., Rangarajan, A., Richards, T., Rickard, B., Rude, J., Schipanski, M., Schnitkey, G., Schulz, L., Schuurman, D., Schwartzkopf-Genswein, K., Stephenson, M., … Wood, K. (2021). COVID-19 and the agri-food system in the United States and Canada. </w:t>
      </w:r>
      <w:r w:rsidRPr="00702DDD">
        <w:rPr>
          <w:rFonts w:ascii="Times New Roman" w:hAnsi="Times New Roman" w:cs="Times New Roman"/>
          <w:i/>
          <w:iCs/>
        </w:rPr>
        <w:t>Agricultural Systems</w:t>
      </w:r>
      <w:r w:rsidRPr="00702DDD">
        <w:rPr>
          <w:rFonts w:ascii="Times New Roman" w:hAnsi="Times New Roman" w:cs="Times New Roman"/>
        </w:rPr>
        <w:t xml:space="preserve">, </w:t>
      </w:r>
      <w:r w:rsidRPr="00702DDD">
        <w:rPr>
          <w:rFonts w:ascii="Times New Roman" w:hAnsi="Times New Roman" w:cs="Times New Roman"/>
          <w:i/>
          <w:iCs/>
        </w:rPr>
        <w:t>188</w:t>
      </w:r>
      <w:r w:rsidRPr="00702DDD">
        <w:rPr>
          <w:rFonts w:ascii="Times New Roman" w:hAnsi="Times New Roman" w:cs="Times New Roman"/>
        </w:rPr>
        <w:t>. https://doi.org/10.1016/j.agsy.2020.103039</w:t>
      </w:r>
    </w:p>
    <w:p w14:paraId="02056AD1"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World Health Organization. (2020, March 26). </w:t>
      </w:r>
      <w:r w:rsidRPr="00702DDD">
        <w:rPr>
          <w:rFonts w:ascii="Times New Roman" w:hAnsi="Times New Roman" w:cs="Times New Roman"/>
          <w:i/>
          <w:iCs/>
        </w:rPr>
        <w:t>WHO recommendations to reduce risk of transmission of emerging pathogens from animals to humans in live animal markets or animal product markets</w:t>
      </w:r>
      <w:r w:rsidRPr="00702DDD">
        <w:rPr>
          <w:rFonts w:ascii="Times New Roman" w:hAnsi="Times New Roman" w:cs="Times New Roman"/>
        </w:rPr>
        <w:t>. https://www.who.int/publications-detail-redirect/10665332217</w:t>
      </w:r>
    </w:p>
    <w:p w14:paraId="24DF86CE"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World Health Organization. (2021a). </w:t>
      </w:r>
      <w:r w:rsidRPr="00702DDD">
        <w:rPr>
          <w:rFonts w:ascii="Times New Roman" w:hAnsi="Times New Roman" w:cs="Times New Roman"/>
          <w:i/>
          <w:iCs/>
        </w:rPr>
        <w:t>Disease Outbreaks</w:t>
      </w:r>
      <w:r w:rsidRPr="00702DDD">
        <w:rPr>
          <w:rFonts w:ascii="Times New Roman" w:hAnsi="Times New Roman" w:cs="Times New Roman"/>
        </w:rPr>
        <w:t>. WHO; World Health Organization.</w:t>
      </w:r>
    </w:p>
    <w:p w14:paraId="2E434D21"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World Health Organization. (2021b, August 23). </w:t>
      </w:r>
      <w:r w:rsidRPr="00702DDD">
        <w:rPr>
          <w:rFonts w:ascii="Times New Roman" w:hAnsi="Times New Roman" w:cs="Times New Roman"/>
          <w:i/>
          <w:iCs/>
        </w:rPr>
        <w:t>Coronavirus disease (COVID-19) pandemic</w:t>
      </w:r>
      <w:r w:rsidRPr="00702DDD">
        <w:rPr>
          <w:rFonts w:ascii="Times New Roman" w:hAnsi="Times New Roman" w:cs="Times New Roman"/>
        </w:rPr>
        <w:t>. https://www.who.int/emergencies/diseases/novel-coronavirus-2019</w:t>
      </w:r>
    </w:p>
    <w:p w14:paraId="66F2AF9F" w14:textId="77777777" w:rsidR="00945573" w:rsidRPr="00702DDD" w:rsidRDefault="00945573" w:rsidP="00945573">
      <w:pPr>
        <w:pStyle w:val="Bibliography"/>
        <w:rPr>
          <w:rFonts w:ascii="Times New Roman" w:hAnsi="Times New Roman" w:cs="Times New Roman"/>
        </w:rPr>
      </w:pPr>
      <w:r w:rsidRPr="00702DDD">
        <w:rPr>
          <w:rFonts w:ascii="Times New Roman" w:hAnsi="Times New Roman" w:cs="Times New Roman"/>
        </w:rPr>
        <w:t xml:space="preserve">Zhang, W. (2020). </w:t>
      </w:r>
      <w:r w:rsidRPr="00702DDD">
        <w:rPr>
          <w:rFonts w:ascii="Times New Roman" w:hAnsi="Times New Roman" w:cs="Times New Roman"/>
          <w:i/>
          <w:iCs/>
        </w:rPr>
        <w:t>The Case for Healthy U.S.‐China Agricultural Trade Relations despite Deglobalization Pressures</w:t>
      </w:r>
      <w:r w:rsidRPr="00702DDD">
        <w:rPr>
          <w:rFonts w:ascii="Times New Roman" w:hAnsi="Times New Roman" w:cs="Times New Roman"/>
        </w:rPr>
        <w:t>. https://doi.org/10/gktgbb</w:t>
      </w:r>
    </w:p>
    <w:p w14:paraId="648993DF" w14:textId="09EE7F22" w:rsidR="007D287F" w:rsidRPr="00702DDD" w:rsidRDefault="007D287F" w:rsidP="004560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40"/>
        <w:rPr>
          <w:rFonts w:ascii="Times New Roman" w:hAnsi="Times New Roman" w:cs="Times New Roman"/>
        </w:rPr>
      </w:pPr>
      <w:r w:rsidRPr="00702DDD">
        <w:rPr>
          <w:rFonts w:ascii="Times New Roman" w:hAnsi="Times New Roman" w:cs="Times New Roman"/>
        </w:rPr>
        <w:fldChar w:fldCharType="end"/>
      </w:r>
      <w:r w:rsidRPr="00702DDD">
        <w:rPr>
          <w:rFonts w:ascii="Times New Roman" w:hAnsi="Times New Roman" w:cs="Times New Roman"/>
        </w:rPr>
        <w:t xml:space="preserve"> </w:t>
      </w:r>
    </w:p>
    <w:p w14:paraId="2AF60444" w14:textId="77777777" w:rsidR="00C016E8" w:rsidRPr="00702DDD" w:rsidRDefault="00C016E8" w:rsidP="004560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40"/>
        <w:rPr>
          <w:rFonts w:ascii="Times New Roman" w:hAnsi="Times New Roman" w:cs="Times New Roman"/>
        </w:rPr>
      </w:pPr>
    </w:p>
    <w:p w14:paraId="08A5301A" w14:textId="77777777" w:rsidR="007D287F" w:rsidRPr="00702DDD" w:rsidRDefault="007D287F" w:rsidP="004560A0">
      <w:pPr>
        <w:numPr>
          <w:ilvl w:val="12"/>
          <w:numId w:val="0"/>
        </w:numPr>
        <w:spacing w:after="240"/>
        <w:rPr>
          <w:rFonts w:ascii="Times New Roman" w:hAnsi="Times New Roman" w:cs="Times New Roman"/>
        </w:rPr>
      </w:pPr>
      <w:r w:rsidRPr="00702DDD">
        <w:rPr>
          <w:rFonts w:ascii="Times New Roman" w:hAnsi="Times New Roman" w:cs="Times New Roman"/>
        </w:rPr>
        <w:br w:type="page"/>
      </w:r>
      <w:bookmarkStart w:id="72" w:name="_Toc420995912"/>
      <w:bookmarkStart w:id="73" w:name="_Toc422997499"/>
    </w:p>
    <w:p w14:paraId="28962A4E" w14:textId="77777777" w:rsidR="00F16496" w:rsidRPr="00702DDD" w:rsidRDefault="00F16496" w:rsidP="00A41FF8">
      <w:pPr>
        <w:pStyle w:val="Heading1"/>
      </w:pPr>
    </w:p>
    <w:p w14:paraId="5CB1545E" w14:textId="77777777" w:rsidR="007D287F" w:rsidRPr="00702DDD" w:rsidRDefault="007D287F" w:rsidP="000654A5">
      <w:pPr>
        <w:pStyle w:val="AltHeading1"/>
      </w:pPr>
      <w:bookmarkStart w:id="74" w:name="_Toc427156484"/>
      <w:bookmarkStart w:id="75" w:name="_Toc428278489"/>
      <w:bookmarkStart w:id="76" w:name="_Toc98693002"/>
      <w:r w:rsidRPr="00702DDD">
        <w:t>Appendix</w:t>
      </w:r>
      <w:bookmarkEnd w:id="72"/>
      <w:bookmarkEnd w:id="73"/>
      <w:bookmarkEnd w:id="74"/>
      <w:bookmarkEnd w:id="75"/>
      <w:bookmarkEnd w:id="76"/>
    </w:p>
    <w:p w14:paraId="60432DD8" w14:textId="6146917E" w:rsidR="00403387" w:rsidRPr="00702DDD" w:rsidRDefault="007D287F" w:rsidP="00C016E8">
      <w:pPr>
        <w:rPr>
          <w:rFonts w:ascii="Times New Roman" w:hAnsi="Times New Roman" w:cs="Times New Roman"/>
          <w:bCs/>
          <w:color w:val="000000"/>
        </w:rPr>
      </w:pPr>
      <w:r w:rsidRPr="00702DDD">
        <w:rPr>
          <w:rFonts w:ascii="Times New Roman" w:hAnsi="Times New Roman" w:cs="Times New Roman"/>
        </w:rPr>
        <w:br w:type="page"/>
      </w:r>
    </w:p>
    <w:p w14:paraId="30836416" w14:textId="6B4883E2" w:rsidR="00C016E8" w:rsidRPr="00F724DC" w:rsidRDefault="00C016E8" w:rsidP="00C016E8">
      <w:pPr>
        <w:rPr>
          <w:rFonts w:ascii="Times New Roman" w:hAnsi="Times New Roman" w:cs="Times New Roman"/>
          <w:b/>
        </w:rPr>
        <w:sectPr w:rsidR="00C016E8" w:rsidRPr="00F724DC" w:rsidSect="00185CBE">
          <w:headerReference w:type="even" r:id="rId11"/>
          <w:headerReference w:type="default" r:id="rId12"/>
          <w:footerReference w:type="even" r:id="rId13"/>
          <w:footerReference w:type="default" r:id="rId14"/>
          <w:footerReference w:type="first" r:id="rId15"/>
          <w:pgSz w:w="12240" w:h="15840"/>
          <w:pgMar w:top="1440" w:right="1440" w:bottom="1440" w:left="1440" w:header="720" w:footer="720" w:gutter="0"/>
          <w:pgNumType w:start="1"/>
          <w:cols w:space="720"/>
          <w:titlePg/>
          <w:docGrid w:linePitch="326"/>
        </w:sectPr>
      </w:pPr>
    </w:p>
    <w:p w14:paraId="0031C5D7" w14:textId="6AC72B84" w:rsidR="00E2746C" w:rsidRPr="00702DDD" w:rsidRDefault="00E2746C">
      <w:pPr>
        <w:rPr>
          <w:rFonts w:ascii="Times New Roman" w:hAnsi="Times New Roman" w:cs="Times New Roman"/>
          <w:b/>
        </w:rPr>
      </w:pPr>
      <w:r w:rsidRPr="00702DDD">
        <w:rPr>
          <w:rFonts w:ascii="Times New Roman" w:hAnsi="Times New Roman" w:cs="Times New Roman"/>
          <w:b/>
        </w:rPr>
        <w:lastRenderedPageBreak/>
        <w:t>Table 1.1: Harmonized System Product Codes and Description Used in the Analysis</w:t>
      </w:r>
    </w:p>
    <w:tbl>
      <w:tblPr>
        <w:tblW w:w="12960" w:type="dxa"/>
        <w:tblBorders>
          <w:top w:val="single" w:sz="4" w:space="0" w:color="F7CBAC"/>
          <w:left w:val="single" w:sz="4" w:space="0" w:color="F7CBAC"/>
          <w:bottom w:val="single" w:sz="4" w:space="0" w:color="F7CBAC"/>
          <w:right w:val="single" w:sz="4" w:space="0" w:color="F7CBAC"/>
          <w:insideH w:val="single" w:sz="4" w:space="0" w:color="F7CBAC"/>
          <w:insideV w:val="single" w:sz="4" w:space="0" w:color="F7CBAC"/>
        </w:tblBorders>
        <w:tblLayout w:type="fixed"/>
        <w:tblLook w:val="04A0" w:firstRow="1" w:lastRow="0" w:firstColumn="1" w:lastColumn="0" w:noHBand="0" w:noVBand="1"/>
      </w:tblPr>
      <w:tblGrid>
        <w:gridCol w:w="1130"/>
        <w:gridCol w:w="5044"/>
        <w:gridCol w:w="3631"/>
        <w:gridCol w:w="1724"/>
        <w:gridCol w:w="1431"/>
      </w:tblGrid>
      <w:tr w:rsidR="00C016E8" w:rsidRPr="00702DDD" w14:paraId="1E9A313A" w14:textId="77777777" w:rsidTr="00E83386">
        <w:tc>
          <w:tcPr>
            <w:tcW w:w="1130" w:type="dxa"/>
            <w:tcBorders>
              <w:top w:val="single" w:sz="4" w:space="0" w:color="000000"/>
              <w:bottom w:val="single" w:sz="4" w:space="0" w:color="000000"/>
            </w:tcBorders>
          </w:tcPr>
          <w:p w14:paraId="0F097040"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b/>
              </w:rPr>
              <w:t>HS Code</w:t>
            </w:r>
          </w:p>
        </w:tc>
        <w:tc>
          <w:tcPr>
            <w:tcW w:w="5044" w:type="dxa"/>
            <w:tcBorders>
              <w:top w:val="single" w:sz="4" w:space="0" w:color="000000"/>
              <w:bottom w:val="single" w:sz="4" w:space="0" w:color="000000"/>
            </w:tcBorders>
          </w:tcPr>
          <w:p w14:paraId="78240E94"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b/>
              </w:rPr>
              <w:t>Description</w:t>
            </w:r>
          </w:p>
        </w:tc>
        <w:tc>
          <w:tcPr>
            <w:tcW w:w="3631" w:type="dxa"/>
            <w:tcBorders>
              <w:top w:val="single" w:sz="4" w:space="0" w:color="000000"/>
              <w:bottom w:val="single" w:sz="4" w:space="0" w:color="000000"/>
            </w:tcBorders>
          </w:tcPr>
          <w:p w14:paraId="1A5040F9"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b/>
              </w:rPr>
              <w:t>Short Name</w:t>
            </w:r>
          </w:p>
        </w:tc>
        <w:tc>
          <w:tcPr>
            <w:tcW w:w="1724" w:type="dxa"/>
            <w:tcBorders>
              <w:top w:val="single" w:sz="4" w:space="0" w:color="000000"/>
              <w:bottom w:val="single" w:sz="4" w:space="0" w:color="000000"/>
            </w:tcBorders>
          </w:tcPr>
          <w:p w14:paraId="13D95804"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b/>
              </w:rPr>
              <w:t>Fresh/Frozen</w:t>
            </w:r>
          </w:p>
        </w:tc>
        <w:tc>
          <w:tcPr>
            <w:tcW w:w="1431" w:type="dxa"/>
            <w:tcBorders>
              <w:top w:val="single" w:sz="4" w:space="0" w:color="000000"/>
              <w:bottom w:val="single" w:sz="4" w:space="0" w:color="000000"/>
            </w:tcBorders>
          </w:tcPr>
          <w:p w14:paraId="141256D7"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b/>
              </w:rPr>
              <w:t>Meat Type</w:t>
            </w:r>
          </w:p>
        </w:tc>
      </w:tr>
      <w:tr w:rsidR="00C016E8" w:rsidRPr="00702DDD" w14:paraId="4B5A976C" w14:textId="77777777" w:rsidTr="00E83386">
        <w:tc>
          <w:tcPr>
            <w:tcW w:w="1130" w:type="dxa"/>
            <w:tcBorders>
              <w:top w:val="single" w:sz="4" w:space="0" w:color="000000"/>
            </w:tcBorders>
          </w:tcPr>
          <w:p w14:paraId="1C5F3D9D"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020110</w:t>
            </w:r>
          </w:p>
        </w:tc>
        <w:tc>
          <w:tcPr>
            <w:tcW w:w="5044" w:type="dxa"/>
            <w:tcBorders>
              <w:top w:val="single" w:sz="4" w:space="0" w:color="000000"/>
            </w:tcBorders>
          </w:tcPr>
          <w:p w14:paraId="0CCB64B7"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Meat; of bovine animals, carcasses and half-carcasses, fresh or chilled</w:t>
            </w:r>
          </w:p>
        </w:tc>
        <w:tc>
          <w:tcPr>
            <w:tcW w:w="3631" w:type="dxa"/>
            <w:tcBorders>
              <w:top w:val="single" w:sz="4" w:space="0" w:color="000000"/>
            </w:tcBorders>
          </w:tcPr>
          <w:p w14:paraId="71E36831" w14:textId="77777777" w:rsidR="00C016E8" w:rsidRPr="00702DDD" w:rsidRDefault="00C016E8" w:rsidP="00C016E8">
            <w:pPr>
              <w:rPr>
                <w:rFonts w:ascii="Times New Roman" w:hAnsi="Times New Roman" w:cs="Times New Roman"/>
              </w:rPr>
            </w:pPr>
            <w:r w:rsidRPr="00702DDD">
              <w:rPr>
                <w:rFonts w:ascii="Times New Roman" w:hAnsi="Times New Roman" w:cs="Times New Roman"/>
              </w:rPr>
              <w:t>Beef Fresh/Chilled Carcasses</w:t>
            </w:r>
          </w:p>
        </w:tc>
        <w:tc>
          <w:tcPr>
            <w:tcW w:w="1724" w:type="dxa"/>
            <w:tcBorders>
              <w:top w:val="single" w:sz="4" w:space="0" w:color="000000"/>
            </w:tcBorders>
          </w:tcPr>
          <w:p w14:paraId="3C2103FB"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Fresh</w:t>
            </w:r>
          </w:p>
        </w:tc>
        <w:tc>
          <w:tcPr>
            <w:tcW w:w="1431" w:type="dxa"/>
            <w:tcBorders>
              <w:top w:val="single" w:sz="4" w:space="0" w:color="000000"/>
            </w:tcBorders>
          </w:tcPr>
          <w:p w14:paraId="59A2887A"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Beef</w:t>
            </w:r>
          </w:p>
        </w:tc>
      </w:tr>
      <w:tr w:rsidR="00C016E8" w:rsidRPr="00702DDD" w14:paraId="1970BBE3" w14:textId="77777777" w:rsidTr="00E83386">
        <w:tc>
          <w:tcPr>
            <w:tcW w:w="1130" w:type="dxa"/>
          </w:tcPr>
          <w:p w14:paraId="6D6FE1AC"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020120</w:t>
            </w:r>
          </w:p>
        </w:tc>
        <w:tc>
          <w:tcPr>
            <w:tcW w:w="5044" w:type="dxa"/>
          </w:tcPr>
          <w:p w14:paraId="783182B6"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Meat; of bovine animals, cuts with bone in (excluding carcasses and half-carcasses), fresh or chilled</w:t>
            </w:r>
          </w:p>
        </w:tc>
        <w:tc>
          <w:tcPr>
            <w:tcW w:w="3631" w:type="dxa"/>
          </w:tcPr>
          <w:p w14:paraId="1E706A71" w14:textId="77777777" w:rsidR="00C016E8" w:rsidRPr="00702DDD" w:rsidRDefault="00C016E8" w:rsidP="00C016E8">
            <w:pPr>
              <w:rPr>
                <w:rFonts w:ascii="Times New Roman" w:hAnsi="Times New Roman" w:cs="Times New Roman"/>
              </w:rPr>
            </w:pPr>
            <w:r w:rsidRPr="00702DDD">
              <w:rPr>
                <w:rFonts w:ascii="Times New Roman" w:hAnsi="Times New Roman" w:cs="Times New Roman"/>
              </w:rPr>
              <w:t>Beef Fresh/Chilled Bone-In Cuts</w:t>
            </w:r>
          </w:p>
        </w:tc>
        <w:tc>
          <w:tcPr>
            <w:tcW w:w="1724" w:type="dxa"/>
          </w:tcPr>
          <w:p w14:paraId="59B0414C"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Fresh</w:t>
            </w:r>
          </w:p>
        </w:tc>
        <w:tc>
          <w:tcPr>
            <w:tcW w:w="1431" w:type="dxa"/>
          </w:tcPr>
          <w:p w14:paraId="59C5EF0D"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Beef</w:t>
            </w:r>
          </w:p>
        </w:tc>
      </w:tr>
      <w:tr w:rsidR="00C016E8" w:rsidRPr="00702DDD" w14:paraId="0BEE3791" w14:textId="77777777" w:rsidTr="00E83386">
        <w:tc>
          <w:tcPr>
            <w:tcW w:w="1130" w:type="dxa"/>
          </w:tcPr>
          <w:p w14:paraId="14E4B81A"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020130</w:t>
            </w:r>
          </w:p>
        </w:tc>
        <w:tc>
          <w:tcPr>
            <w:tcW w:w="5044" w:type="dxa"/>
          </w:tcPr>
          <w:p w14:paraId="25777F9C" w14:textId="77777777" w:rsidR="00C016E8" w:rsidRPr="00702DDD" w:rsidRDefault="00C016E8" w:rsidP="00C016E8">
            <w:pPr>
              <w:rPr>
                <w:rFonts w:ascii="Times New Roman" w:hAnsi="Times New Roman" w:cs="Times New Roman"/>
                <w:color w:val="212529"/>
              </w:rPr>
            </w:pPr>
            <w:r w:rsidRPr="00702DDD">
              <w:rPr>
                <w:rFonts w:ascii="Times New Roman" w:hAnsi="Times New Roman" w:cs="Times New Roman"/>
                <w:color w:val="212529"/>
              </w:rPr>
              <w:t>Meat; of bovine animals, boneless cuts, fresh or chilled</w:t>
            </w:r>
          </w:p>
        </w:tc>
        <w:tc>
          <w:tcPr>
            <w:tcW w:w="3631" w:type="dxa"/>
          </w:tcPr>
          <w:p w14:paraId="7467460E" w14:textId="77777777" w:rsidR="00C016E8" w:rsidRPr="00702DDD" w:rsidRDefault="00C016E8" w:rsidP="00C016E8">
            <w:pPr>
              <w:rPr>
                <w:rFonts w:ascii="Times New Roman" w:hAnsi="Times New Roman" w:cs="Times New Roman"/>
              </w:rPr>
            </w:pPr>
            <w:r w:rsidRPr="00702DDD">
              <w:rPr>
                <w:rFonts w:ascii="Times New Roman" w:hAnsi="Times New Roman" w:cs="Times New Roman"/>
              </w:rPr>
              <w:t>Beef Fresh/Chilled Boneless Cuts</w:t>
            </w:r>
          </w:p>
        </w:tc>
        <w:tc>
          <w:tcPr>
            <w:tcW w:w="1724" w:type="dxa"/>
          </w:tcPr>
          <w:p w14:paraId="38F784BE"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Fresh</w:t>
            </w:r>
          </w:p>
        </w:tc>
        <w:tc>
          <w:tcPr>
            <w:tcW w:w="1431" w:type="dxa"/>
          </w:tcPr>
          <w:p w14:paraId="0AAC3808"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Beef</w:t>
            </w:r>
          </w:p>
        </w:tc>
      </w:tr>
      <w:tr w:rsidR="00C016E8" w:rsidRPr="00702DDD" w14:paraId="295071C3" w14:textId="77777777" w:rsidTr="00E83386">
        <w:tc>
          <w:tcPr>
            <w:tcW w:w="1130" w:type="dxa"/>
          </w:tcPr>
          <w:p w14:paraId="4CD6730B"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020210</w:t>
            </w:r>
          </w:p>
        </w:tc>
        <w:tc>
          <w:tcPr>
            <w:tcW w:w="5044" w:type="dxa"/>
          </w:tcPr>
          <w:p w14:paraId="5A083DC4" w14:textId="77777777" w:rsidR="00C016E8" w:rsidRPr="00702DDD" w:rsidRDefault="00C016E8" w:rsidP="00C016E8">
            <w:pPr>
              <w:rPr>
                <w:rFonts w:ascii="Times New Roman" w:hAnsi="Times New Roman" w:cs="Times New Roman"/>
                <w:color w:val="212529"/>
              </w:rPr>
            </w:pPr>
            <w:r w:rsidRPr="00702DDD">
              <w:rPr>
                <w:rFonts w:ascii="Times New Roman" w:hAnsi="Times New Roman" w:cs="Times New Roman"/>
                <w:color w:val="212529"/>
              </w:rPr>
              <w:t>Meat; of bovine animals, carcasses and half-carcasses, frozen</w:t>
            </w:r>
          </w:p>
        </w:tc>
        <w:tc>
          <w:tcPr>
            <w:tcW w:w="3631" w:type="dxa"/>
          </w:tcPr>
          <w:p w14:paraId="09368111"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Beef Frozen Carcasses</w:t>
            </w:r>
          </w:p>
        </w:tc>
        <w:tc>
          <w:tcPr>
            <w:tcW w:w="1724" w:type="dxa"/>
          </w:tcPr>
          <w:p w14:paraId="0B021C21"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Frozen</w:t>
            </w:r>
          </w:p>
        </w:tc>
        <w:tc>
          <w:tcPr>
            <w:tcW w:w="1431" w:type="dxa"/>
          </w:tcPr>
          <w:p w14:paraId="6AFDE53E"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Beef</w:t>
            </w:r>
          </w:p>
        </w:tc>
      </w:tr>
      <w:tr w:rsidR="00C016E8" w:rsidRPr="00702DDD" w14:paraId="31BD635A" w14:textId="77777777" w:rsidTr="00E83386">
        <w:tc>
          <w:tcPr>
            <w:tcW w:w="1130" w:type="dxa"/>
          </w:tcPr>
          <w:p w14:paraId="0E291199" w14:textId="77777777" w:rsidR="00C016E8" w:rsidRPr="00702DDD" w:rsidRDefault="00C016E8" w:rsidP="00C016E8">
            <w:pPr>
              <w:jc w:val="center"/>
              <w:rPr>
                <w:rFonts w:ascii="Times New Roman" w:hAnsi="Times New Roman" w:cs="Times New Roman"/>
                <w:b/>
                <w:color w:val="000000"/>
              </w:rPr>
            </w:pPr>
            <w:r w:rsidRPr="00702DDD">
              <w:rPr>
                <w:rFonts w:ascii="Times New Roman" w:hAnsi="Times New Roman" w:cs="Times New Roman"/>
                <w:color w:val="000000"/>
              </w:rPr>
              <w:t>020220</w:t>
            </w:r>
          </w:p>
          <w:p w14:paraId="5894C032" w14:textId="77777777" w:rsidR="00C016E8" w:rsidRPr="00702DDD" w:rsidRDefault="00C016E8" w:rsidP="00C016E8">
            <w:pPr>
              <w:jc w:val="center"/>
              <w:rPr>
                <w:rFonts w:ascii="Times New Roman" w:hAnsi="Times New Roman" w:cs="Times New Roman"/>
                <w:b/>
              </w:rPr>
            </w:pPr>
          </w:p>
        </w:tc>
        <w:tc>
          <w:tcPr>
            <w:tcW w:w="5044" w:type="dxa"/>
          </w:tcPr>
          <w:p w14:paraId="5D9E1F0B"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Meat; of bovine animals, cuts with bone in (excluding carcasses and half-carcasses), frozen</w:t>
            </w:r>
          </w:p>
        </w:tc>
        <w:tc>
          <w:tcPr>
            <w:tcW w:w="3631" w:type="dxa"/>
          </w:tcPr>
          <w:p w14:paraId="1619E3E2"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Beef Frozen Bone-In Cuts</w:t>
            </w:r>
          </w:p>
        </w:tc>
        <w:tc>
          <w:tcPr>
            <w:tcW w:w="1724" w:type="dxa"/>
          </w:tcPr>
          <w:p w14:paraId="7A480461"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Frozen</w:t>
            </w:r>
          </w:p>
        </w:tc>
        <w:tc>
          <w:tcPr>
            <w:tcW w:w="1431" w:type="dxa"/>
          </w:tcPr>
          <w:p w14:paraId="37DCEEAE"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Beef</w:t>
            </w:r>
          </w:p>
        </w:tc>
      </w:tr>
      <w:tr w:rsidR="00C016E8" w:rsidRPr="00702DDD" w14:paraId="25E04523" w14:textId="77777777" w:rsidTr="00722F29">
        <w:trPr>
          <w:trHeight w:val="197"/>
        </w:trPr>
        <w:tc>
          <w:tcPr>
            <w:tcW w:w="1130" w:type="dxa"/>
          </w:tcPr>
          <w:p w14:paraId="49993AE0"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020230</w:t>
            </w:r>
          </w:p>
        </w:tc>
        <w:tc>
          <w:tcPr>
            <w:tcW w:w="5044" w:type="dxa"/>
          </w:tcPr>
          <w:p w14:paraId="167492A5"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Meat; of bovine animals, boneless cuts, frozen</w:t>
            </w:r>
          </w:p>
        </w:tc>
        <w:tc>
          <w:tcPr>
            <w:tcW w:w="3631" w:type="dxa"/>
          </w:tcPr>
          <w:p w14:paraId="112A93AB"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Beef Frozen Boneless Cuts</w:t>
            </w:r>
          </w:p>
        </w:tc>
        <w:tc>
          <w:tcPr>
            <w:tcW w:w="1724" w:type="dxa"/>
          </w:tcPr>
          <w:p w14:paraId="296FC4CA"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Frozen</w:t>
            </w:r>
          </w:p>
        </w:tc>
        <w:tc>
          <w:tcPr>
            <w:tcW w:w="1431" w:type="dxa"/>
          </w:tcPr>
          <w:p w14:paraId="3FDD3FAA"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Beef</w:t>
            </w:r>
          </w:p>
        </w:tc>
      </w:tr>
      <w:tr w:rsidR="00C016E8" w:rsidRPr="00702DDD" w14:paraId="66B5576C" w14:textId="77777777" w:rsidTr="00E83386">
        <w:tc>
          <w:tcPr>
            <w:tcW w:w="1130" w:type="dxa"/>
          </w:tcPr>
          <w:p w14:paraId="27C9042B" w14:textId="77777777" w:rsidR="00C016E8" w:rsidRPr="00702DDD" w:rsidRDefault="00C016E8" w:rsidP="00C016E8">
            <w:pPr>
              <w:jc w:val="center"/>
              <w:rPr>
                <w:rFonts w:ascii="Times New Roman" w:hAnsi="Times New Roman" w:cs="Times New Roman"/>
                <w:b/>
                <w:color w:val="000000"/>
              </w:rPr>
            </w:pPr>
            <w:r w:rsidRPr="00702DDD">
              <w:rPr>
                <w:rFonts w:ascii="Times New Roman" w:hAnsi="Times New Roman" w:cs="Times New Roman"/>
                <w:color w:val="000000"/>
              </w:rPr>
              <w:t>020311</w:t>
            </w:r>
          </w:p>
          <w:p w14:paraId="65B19ECA" w14:textId="77777777" w:rsidR="00C016E8" w:rsidRPr="00702DDD" w:rsidRDefault="00C016E8" w:rsidP="00C016E8">
            <w:pPr>
              <w:jc w:val="center"/>
              <w:rPr>
                <w:rFonts w:ascii="Times New Roman" w:hAnsi="Times New Roman" w:cs="Times New Roman"/>
                <w:b/>
              </w:rPr>
            </w:pPr>
          </w:p>
        </w:tc>
        <w:tc>
          <w:tcPr>
            <w:tcW w:w="5044" w:type="dxa"/>
          </w:tcPr>
          <w:p w14:paraId="6A259BEC"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Meat; of swine, carcasses and half-carcasses, fresh or chilled</w:t>
            </w:r>
          </w:p>
        </w:tc>
        <w:tc>
          <w:tcPr>
            <w:tcW w:w="3631" w:type="dxa"/>
          </w:tcPr>
          <w:p w14:paraId="3FDBA632"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Swine Fresh/Chilled Carcasses</w:t>
            </w:r>
          </w:p>
          <w:p w14:paraId="6883907F" w14:textId="77777777" w:rsidR="00C016E8" w:rsidRPr="00702DDD" w:rsidRDefault="00C016E8" w:rsidP="00C016E8">
            <w:pPr>
              <w:rPr>
                <w:rFonts w:ascii="Times New Roman" w:hAnsi="Times New Roman" w:cs="Times New Roman"/>
              </w:rPr>
            </w:pPr>
          </w:p>
        </w:tc>
        <w:tc>
          <w:tcPr>
            <w:tcW w:w="1724" w:type="dxa"/>
          </w:tcPr>
          <w:p w14:paraId="1A4B4B27"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Fresh</w:t>
            </w:r>
          </w:p>
        </w:tc>
        <w:tc>
          <w:tcPr>
            <w:tcW w:w="1431" w:type="dxa"/>
          </w:tcPr>
          <w:p w14:paraId="558EEA0A"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Swine</w:t>
            </w:r>
          </w:p>
        </w:tc>
      </w:tr>
      <w:tr w:rsidR="00C016E8" w:rsidRPr="00702DDD" w14:paraId="0957BEBA" w14:textId="77777777" w:rsidTr="00E83386">
        <w:tc>
          <w:tcPr>
            <w:tcW w:w="1130" w:type="dxa"/>
          </w:tcPr>
          <w:p w14:paraId="55E7C99D" w14:textId="77777777" w:rsidR="00C016E8" w:rsidRPr="00702DDD" w:rsidRDefault="00C016E8" w:rsidP="00C016E8">
            <w:pPr>
              <w:jc w:val="center"/>
              <w:rPr>
                <w:rFonts w:ascii="Times New Roman" w:hAnsi="Times New Roman" w:cs="Times New Roman"/>
                <w:b/>
                <w:color w:val="000000"/>
              </w:rPr>
            </w:pPr>
            <w:r w:rsidRPr="00702DDD">
              <w:rPr>
                <w:rFonts w:ascii="Times New Roman" w:hAnsi="Times New Roman" w:cs="Times New Roman"/>
                <w:color w:val="000000"/>
              </w:rPr>
              <w:t>020312</w:t>
            </w:r>
          </w:p>
        </w:tc>
        <w:tc>
          <w:tcPr>
            <w:tcW w:w="5044" w:type="dxa"/>
          </w:tcPr>
          <w:p w14:paraId="382E5DC8"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Meat; of swine, hams, shoulders and cuts thereof, with bone in, fresh or chilled</w:t>
            </w:r>
          </w:p>
        </w:tc>
        <w:tc>
          <w:tcPr>
            <w:tcW w:w="3631" w:type="dxa"/>
          </w:tcPr>
          <w:p w14:paraId="65D0A203"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Swine Fresh/Chilled Bone-In Cuts</w:t>
            </w:r>
          </w:p>
        </w:tc>
        <w:tc>
          <w:tcPr>
            <w:tcW w:w="1724" w:type="dxa"/>
          </w:tcPr>
          <w:p w14:paraId="0FE43D8F"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Fresh</w:t>
            </w:r>
          </w:p>
        </w:tc>
        <w:tc>
          <w:tcPr>
            <w:tcW w:w="1431" w:type="dxa"/>
          </w:tcPr>
          <w:p w14:paraId="421A6314"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Swine</w:t>
            </w:r>
          </w:p>
        </w:tc>
      </w:tr>
      <w:tr w:rsidR="00C016E8" w:rsidRPr="00702DDD" w14:paraId="735A7C82" w14:textId="77777777" w:rsidTr="00E83386">
        <w:tc>
          <w:tcPr>
            <w:tcW w:w="1130" w:type="dxa"/>
          </w:tcPr>
          <w:p w14:paraId="063C8B7D" w14:textId="77777777" w:rsidR="00C016E8" w:rsidRPr="00702DDD" w:rsidRDefault="00C016E8" w:rsidP="00C016E8">
            <w:pPr>
              <w:jc w:val="center"/>
              <w:rPr>
                <w:rFonts w:ascii="Times New Roman" w:hAnsi="Times New Roman" w:cs="Times New Roman"/>
                <w:b/>
                <w:color w:val="000000"/>
              </w:rPr>
            </w:pPr>
            <w:r w:rsidRPr="00702DDD">
              <w:rPr>
                <w:rFonts w:ascii="Times New Roman" w:hAnsi="Times New Roman" w:cs="Times New Roman"/>
                <w:color w:val="000000"/>
              </w:rPr>
              <w:t>020319</w:t>
            </w:r>
          </w:p>
          <w:p w14:paraId="5BBFEA70" w14:textId="77777777" w:rsidR="00C016E8" w:rsidRPr="00702DDD" w:rsidRDefault="00C016E8" w:rsidP="00C016E8">
            <w:pPr>
              <w:jc w:val="center"/>
              <w:rPr>
                <w:rFonts w:ascii="Times New Roman" w:hAnsi="Times New Roman" w:cs="Times New Roman"/>
                <w:b/>
              </w:rPr>
            </w:pPr>
          </w:p>
        </w:tc>
        <w:tc>
          <w:tcPr>
            <w:tcW w:w="5044" w:type="dxa"/>
          </w:tcPr>
          <w:p w14:paraId="6C91B515"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 xml:space="preserve">Meat; of swine, </w:t>
            </w:r>
            <w:proofErr w:type="spellStart"/>
            <w:r w:rsidRPr="00702DDD">
              <w:rPr>
                <w:rFonts w:ascii="Times New Roman" w:hAnsi="Times New Roman" w:cs="Times New Roman"/>
                <w:color w:val="000000"/>
              </w:rPr>
              <w:t>n.e.s.</w:t>
            </w:r>
            <w:proofErr w:type="spellEnd"/>
            <w:r w:rsidRPr="00702DDD">
              <w:rPr>
                <w:rFonts w:ascii="Times New Roman" w:hAnsi="Times New Roman" w:cs="Times New Roman"/>
                <w:color w:val="000000"/>
              </w:rPr>
              <w:t xml:space="preserve"> in item no. 0203.1, fresh or chilled</w:t>
            </w:r>
          </w:p>
        </w:tc>
        <w:tc>
          <w:tcPr>
            <w:tcW w:w="3631" w:type="dxa"/>
          </w:tcPr>
          <w:p w14:paraId="2CDCE423"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Swine Fresh/Chilled Meat</w:t>
            </w:r>
          </w:p>
          <w:p w14:paraId="3128CFC8" w14:textId="77777777" w:rsidR="00C016E8" w:rsidRPr="00702DDD" w:rsidRDefault="00C016E8" w:rsidP="00C016E8">
            <w:pPr>
              <w:rPr>
                <w:rFonts w:ascii="Times New Roman" w:hAnsi="Times New Roman" w:cs="Times New Roman"/>
              </w:rPr>
            </w:pPr>
          </w:p>
        </w:tc>
        <w:tc>
          <w:tcPr>
            <w:tcW w:w="1724" w:type="dxa"/>
          </w:tcPr>
          <w:p w14:paraId="05B806EC"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Fresh</w:t>
            </w:r>
          </w:p>
        </w:tc>
        <w:tc>
          <w:tcPr>
            <w:tcW w:w="1431" w:type="dxa"/>
          </w:tcPr>
          <w:p w14:paraId="7FEE4859"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Swine</w:t>
            </w:r>
          </w:p>
        </w:tc>
      </w:tr>
      <w:tr w:rsidR="00C016E8" w:rsidRPr="00702DDD" w14:paraId="6E629706" w14:textId="77777777" w:rsidTr="00E83386">
        <w:tc>
          <w:tcPr>
            <w:tcW w:w="1130" w:type="dxa"/>
          </w:tcPr>
          <w:p w14:paraId="716782EE" w14:textId="77777777" w:rsidR="00C016E8" w:rsidRPr="00702DDD" w:rsidRDefault="00C016E8" w:rsidP="00C016E8">
            <w:pPr>
              <w:jc w:val="center"/>
              <w:rPr>
                <w:rFonts w:ascii="Times New Roman" w:hAnsi="Times New Roman" w:cs="Times New Roman"/>
                <w:b/>
                <w:color w:val="000000"/>
              </w:rPr>
            </w:pPr>
            <w:r w:rsidRPr="00702DDD">
              <w:rPr>
                <w:rFonts w:ascii="Times New Roman" w:hAnsi="Times New Roman" w:cs="Times New Roman"/>
                <w:color w:val="000000"/>
              </w:rPr>
              <w:t>020321</w:t>
            </w:r>
          </w:p>
        </w:tc>
        <w:tc>
          <w:tcPr>
            <w:tcW w:w="5044" w:type="dxa"/>
          </w:tcPr>
          <w:p w14:paraId="2B16E078"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Meat; of swine, carcasses and half-carcasses, frozen</w:t>
            </w:r>
          </w:p>
        </w:tc>
        <w:tc>
          <w:tcPr>
            <w:tcW w:w="3631" w:type="dxa"/>
          </w:tcPr>
          <w:p w14:paraId="27AE26C0"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Swine Frozen Carcasses</w:t>
            </w:r>
          </w:p>
        </w:tc>
        <w:tc>
          <w:tcPr>
            <w:tcW w:w="1724" w:type="dxa"/>
          </w:tcPr>
          <w:p w14:paraId="5F114E58"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Frozen</w:t>
            </w:r>
          </w:p>
        </w:tc>
        <w:tc>
          <w:tcPr>
            <w:tcW w:w="1431" w:type="dxa"/>
          </w:tcPr>
          <w:p w14:paraId="35F76175"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Swine</w:t>
            </w:r>
          </w:p>
        </w:tc>
      </w:tr>
      <w:tr w:rsidR="00C016E8" w:rsidRPr="00702DDD" w14:paraId="26459E11" w14:textId="77777777" w:rsidTr="00E83386">
        <w:trPr>
          <w:trHeight w:val="77"/>
        </w:trPr>
        <w:tc>
          <w:tcPr>
            <w:tcW w:w="1130" w:type="dxa"/>
          </w:tcPr>
          <w:p w14:paraId="5748B2FF"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020322</w:t>
            </w:r>
          </w:p>
        </w:tc>
        <w:tc>
          <w:tcPr>
            <w:tcW w:w="5044" w:type="dxa"/>
          </w:tcPr>
          <w:p w14:paraId="1B07B72E"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Meat; of swine, hams, shoulders and cuts thereof, with bone in, frozen</w:t>
            </w:r>
          </w:p>
        </w:tc>
        <w:tc>
          <w:tcPr>
            <w:tcW w:w="3631" w:type="dxa"/>
          </w:tcPr>
          <w:p w14:paraId="120B31B0"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Swine Frozen Bone-In Cuts</w:t>
            </w:r>
          </w:p>
        </w:tc>
        <w:tc>
          <w:tcPr>
            <w:tcW w:w="1724" w:type="dxa"/>
          </w:tcPr>
          <w:p w14:paraId="527DD579"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Frozen</w:t>
            </w:r>
          </w:p>
        </w:tc>
        <w:tc>
          <w:tcPr>
            <w:tcW w:w="1431" w:type="dxa"/>
          </w:tcPr>
          <w:p w14:paraId="40736710"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Swine</w:t>
            </w:r>
          </w:p>
        </w:tc>
      </w:tr>
      <w:tr w:rsidR="00C016E8" w:rsidRPr="00702DDD" w14:paraId="7A6D489A" w14:textId="77777777" w:rsidTr="00E83386">
        <w:tc>
          <w:tcPr>
            <w:tcW w:w="1130" w:type="dxa"/>
          </w:tcPr>
          <w:p w14:paraId="57CDB011"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020329</w:t>
            </w:r>
          </w:p>
        </w:tc>
        <w:tc>
          <w:tcPr>
            <w:tcW w:w="5044" w:type="dxa"/>
          </w:tcPr>
          <w:p w14:paraId="08E8575E"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 xml:space="preserve">Meat; of swine, </w:t>
            </w:r>
            <w:proofErr w:type="spellStart"/>
            <w:r w:rsidRPr="00702DDD">
              <w:rPr>
                <w:rFonts w:ascii="Times New Roman" w:hAnsi="Times New Roman" w:cs="Times New Roman"/>
                <w:color w:val="000000"/>
              </w:rPr>
              <w:t>n.e.s.</w:t>
            </w:r>
            <w:proofErr w:type="spellEnd"/>
            <w:r w:rsidRPr="00702DDD">
              <w:rPr>
                <w:rFonts w:ascii="Times New Roman" w:hAnsi="Times New Roman" w:cs="Times New Roman"/>
                <w:color w:val="000000"/>
              </w:rPr>
              <w:t xml:space="preserve"> in item no. 0203.2, frozen</w:t>
            </w:r>
          </w:p>
        </w:tc>
        <w:tc>
          <w:tcPr>
            <w:tcW w:w="3631" w:type="dxa"/>
          </w:tcPr>
          <w:p w14:paraId="546C66CC"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Swine Frozen Meat</w:t>
            </w:r>
          </w:p>
        </w:tc>
        <w:tc>
          <w:tcPr>
            <w:tcW w:w="1724" w:type="dxa"/>
          </w:tcPr>
          <w:p w14:paraId="5DB07C0B"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Frozen</w:t>
            </w:r>
          </w:p>
        </w:tc>
        <w:tc>
          <w:tcPr>
            <w:tcW w:w="1431" w:type="dxa"/>
          </w:tcPr>
          <w:p w14:paraId="5693AD54"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Swine</w:t>
            </w:r>
          </w:p>
        </w:tc>
      </w:tr>
      <w:tr w:rsidR="00C016E8" w:rsidRPr="00702DDD" w14:paraId="3D90A097" w14:textId="77777777" w:rsidTr="00E83386">
        <w:tc>
          <w:tcPr>
            <w:tcW w:w="1130" w:type="dxa"/>
          </w:tcPr>
          <w:p w14:paraId="4D873B06"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020410</w:t>
            </w:r>
          </w:p>
        </w:tc>
        <w:tc>
          <w:tcPr>
            <w:tcW w:w="5044" w:type="dxa"/>
          </w:tcPr>
          <w:p w14:paraId="57F0316A"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212529"/>
              </w:rPr>
              <w:t>Meat; of sheep, lamb carcasses and half-carcasses, fresh or chilled</w:t>
            </w:r>
          </w:p>
        </w:tc>
        <w:tc>
          <w:tcPr>
            <w:tcW w:w="3631" w:type="dxa"/>
          </w:tcPr>
          <w:p w14:paraId="34A4A05A"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Sheep Fresh/Chilled Lamb Carcasses</w:t>
            </w:r>
          </w:p>
        </w:tc>
        <w:tc>
          <w:tcPr>
            <w:tcW w:w="1724" w:type="dxa"/>
          </w:tcPr>
          <w:p w14:paraId="2AA8654D"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Fresh</w:t>
            </w:r>
          </w:p>
        </w:tc>
        <w:tc>
          <w:tcPr>
            <w:tcW w:w="1431" w:type="dxa"/>
          </w:tcPr>
          <w:p w14:paraId="19431530"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Other</w:t>
            </w:r>
          </w:p>
        </w:tc>
      </w:tr>
      <w:tr w:rsidR="00C016E8" w:rsidRPr="00702DDD" w14:paraId="578BAF98" w14:textId="77777777" w:rsidTr="00E83386">
        <w:tc>
          <w:tcPr>
            <w:tcW w:w="1130" w:type="dxa"/>
          </w:tcPr>
          <w:p w14:paraId="706D85A3"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020421</w:t>
            </w:r>
          </w:p>
        </w:tc>
        <w:tc>
          <w:tcPr>
            <w:tcW w:w="5044" w:type="dxa"/>
          </w:tcPr>
          <w:p w14:paraId="34ACB4AD"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Meat; of sheep, carcasses and half-carcasses (excluding carcasses and half-carcasses of lamb), fresh or chilled</w:t>
            </w:r>
          </w:p>
        </w:tc>
        <w:tc>
          <w:tcPr>
            <w:tcW w:w="3631" w:type="dxa"/>
          </w:tcPr>
          <w:p w14:paraId="609C316E"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Sheep Fresh/Chilled Carcasses</w:t>
            </w:r>
          </w:p>
          <w:p w14:paraId="632127F8" w14:textId="77777777" w:rsidR="00C016E8" w:rsidRPr="00702DDD" w:rsidRDefault="00C016E8" w:rsidP="00C016E8">
            <w:pPr>
              <w:rPr>
                <w:rFonts w:ascii="Times New Roman" w:hAnsi="Times New Roman" w:cs="Times New Roman"/>
              </w:rPr>
            </w:pPr>
          </w:p>
        </w:tc>
        <w:tc>
          <w:tcPr>
            <w:tcW w:w="1724" w:type="dxa"/>
          </w:tcPr>
          <w:p w14:paraId="0A073B3A"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Fresh</w:t>
            </w:r>
          </w:p>
        </w:tc>
        <w:tc>
          <w:tcPr>
            <w:tcW w:w="1431" w:type="dxa"/>
          </w:tcPr>
          <w:p w14:paraId="5277C349"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Other</w:t>
            </w:r>
          </w:p>
        </w:tc>
      </w:tr>
      <w:tr w:rsidR="00C016E8" w:rsidRPr="00702DDD" w14:paraId="3ED22558" w14:textId="77777777" w:rsidTr="00E83386">
        <w:tc>
          <w:tcPr>
            <w:tcW w:w="1130" w:type="dxa"/>
          </w:tcPr>
          <w:p w14:paraId="24DC3F86"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020422</w:t>
            </w:r>
          </w:p>
        </w:tc>
        <w:tc>
          <w:tcPr>
            <w:tcW w:w="5044" w:type="dxa"/>
          </w:tcPr>
          <w:p w14:paraId="307DC156"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Meat; of sheep (including lamb), cuts with bone in (excluding carcasses and half-carcasses), fresh or chilled</w:t>
            </w:r>
          </w:p>
        </w:tc>
        <w:tc>
          <w:tcPr>
            <w:tcW w:w="3631" w:type="dxa"/>
          </w:tcPr>
          <w:p w14:paraId="636EC8EC"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Sheep Fresh/Chilled Bone-In Cuts</w:t>
            </w:r>
          </w:p>
          <w:p w14:paraId="2C1EE6EB" w14:textId="77777777" w:rsidR="00C016E8" w:rsidRPr="00702DDD" w:rsidRDefault="00C016E8" w:rsidP="00C016E8">
            <w:pPr>
              <w:rPr>
                <w:rFonts w:ascii="Times New Roman" w:hAnsi="Times New Roman" w:cs="Times New Roman"/>
              </w:rPr>
            </w:pPr>
          </w:p>
        </w:tc>
        <w:tc>
          <w:tcPr>
            <w:tcW w:w="1724" w:type="dxa"/>
          </w:tcPr>
          <w:p w14:paraId="388D8F67"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Fresh</w:t>
            </w:r>
          </w:p>
        </w:tc>
        <w:tc>
          <w:tcPr>
            <w:tcW w:w="1431" w:type="dxa"/>
          </w:tcPr>
          <w:p w14:paraId="29C32794"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Other</w:t>
            </w:r>
          </w:p>
        </w:tc>
      </w:tr>
    </w:tbl>
    <w:p w14:paraId="30031348" w14:textId="63238D00" w:rsidR="00E2746C" w:rsidRPr="00702DDD" w:rsidRDefault="00E2746C">
      <w:pPr>
        <w:rPr>
          <w:rFonts w:ascii="Times New Roman" w:hAnsi="Times New Roman" w:cs="Times New Roman"/>
          <w:b/>
        </w:rPr>
      </w:pPr>
      <w:r w:rsidRPr="00702DDD">
        <w:rPr>
          <w:rFonts w:ascii="Times New Roman" w:hAnsi="Times New Roman" w:cs="Times New Roman"/>
          <w:b/>
        </w:rPr>
        <w:lastRenderedPageBreak/>
        <w:t>Table 1.1</w:t>
      </w:r>
      <w:r w:rsidR="00C72EA1">
        <w:rPr>
          <w:rFonts w:ascii="Times New Roman" w:hAnsi="Times New Roman" w:cs="Times New Roman"/>
          <w:b/>
        </w:rPr>
        <w:t>:</w:t>
      </w:r>
      <w:r w:rsidRPr="00702DDD">
        <w:rPr>
          <w:rFonts w:ascii="Times New Roman" w:hAnsi="Times New Roman" w:cs="Times New Roman"/>
          <w:b/>
        </w:rPr>
        <w:t xml:space="preserve"> Continued </w:t>
      </w:r>
    </w:p>
    <w:tbl>
      <w:tblPr>
        <w:tblW w:w="12960" w:type="dxa"/>
        <w:tblBorders>
          <w:top w:val="single" w:sz="4" w:space="0" w:color="F7CBAC"/>
          <w:left w:val="single" w:sz="4" w:space="0" w:color="F7CBAC"/>
          <w:bottom w:val="single" w:sz="4" w:space="0" w:color="F7CBAC"/>
          <w:right w:val="single" w:sz="4" w:space="0" w:color="F7CBAC"/>
          <w:insideH w:val="single" w:sz="4" w:space="0" w:color="F7CBAC"/>
          <w:insideV w:val="single" w:sz="4" w:space="0" w:color="F7CBAC"/>
        </w:tblBorders>
        <w:tblLayout w:type="fixed"/>
        <w:tblLook w:val="04A0" w:firstRow="1" w:lastRow="0" w:firstColumn="1" w:lastColumn="0" w:noHBand="0" w:noVBand="1"/>
      </w:tblPr>
      <w:tblGrid>
        <w:gridCol w:w="1130"/>
        <w:gridCol w:w="5044"/>
        <w:gridCol w:w="3631"/>
        <w:gridCol w:w="1724"/>
        <w:gridCol w:w="1431"/>
      </w:tblGrid>
      <w:tr w:rsidR="00C016E8" w:rsidRPr="00702DDD" w14:paraId="4CABCDC9" w14:textId="77777777" w:rsidTr="00E83386">
        <w:tc>
          <w:tcPr>
            <w:tcW w:w="1130" w:type="dxa"/>
          </w:tcPr>
          <w:p w14:paraId="1EEF6CE0"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020423</w:t>
            </w:r>
          </w:p>
        </w:tc>
        <w:tc>
          <w:tcPr>
            <w:tcW w:w="5044" w:type="dxa"/>
          </w:tcPr>
          <w:p w14:paraId="623080ED" w14:textId="77777777" w:rsidR="00C016E8" w:rsidRPr="00702DDD" w:rsidRDefault="00C016E8" w:rsidP="00C016E8">
            <w:pPr>
              <w:rPr>
                <w:rFonts w:ascii="Times New Roman" w:hAnsi="Times New Roman" w:cs="Times New Roman"/>
                <w:color w:val="212529"/>
              </w:rPr>
            </w:pPr>
            <w:r w:rsidRPr="00702DDD">
              <w:rPr>
                <w:rFonts w:ascii="Times New Roman" w:hAnsi="Times New Roman" w:cs="Times New Roman"/>
                <w:color w:val="212529"/>
              </w:rPr>
              <w:t>Meat; of sheep (including lamb), boneless cuts, fresh or chilled</w:t>
            </w:r>
          </w:p>
        </w:tc>
        <w:tc>
          <w:tcPr>
            <w:tcW w:w="3631" w:type="dxa"/>
          </w:tcPr>
          <w:p w14:paraId="79CEDCBC"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Sheep Fresh/Chilled Boneless Cuts</w:t>
            </w:r>
          </w:p>
        </w:tc>
        <w:tc>
          <w:tcPr>
            <w:tcW w:w="1724" w:type="dxa"/>
          </w:tcPr>
          <w:p w14:paraId="0FF713EF"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Fresh</w:t>
            </w:r>
          </w:p>
        </w:tc>
        <w:tc>
          <w:tcPr>
            <w:tcW w:w="1431" w:type="dxa"/>
          </w:tcPr>
          <w:p w14:paraId="14C46037"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Other</w:t>
            </w:r>
          </w:p>
        </w:tc>
      </w:tr>
      <w:tr w:rsidR="00C016E8" w:rsidRPr="00702DDD" w14:paraId="432E3DA4" w14:textId="77777777" w:rsidTr="00E83386">
        <w:tc>
          <w:tcPr>
            <w:tcW w:w="1130" w:type="dxa"/>
          </w:tcPr>
          <w:p w14:paraId="76026D82"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020430</w:t>
            </w:r>
          </w:p>
        </w:tc>
        <w:tc>
          <w:tcPr>
            <w:tcW w:w="5044" w:type="dxa"/>
          </w:tcPr>
          <w:p w14:paraId="56301E18" w14:textId="77777777" w:rsidR="00C016E8" w:rsidRPr="00702DDD" w:rsidRDefault="00C016E8" w:rsidP="00C016E8">
            <w:pPr>
              <w:rPr>
                <w:rFonts w:ascii="Times New Roman" w:hAnsi="Times New Roman" w:cs="Times New Roman"/>
                <w:color w:val="212529"/>
              </w:rPr>
            </w:pPr>
            <w:r w:rsidRPr="00702DDD">
              <w:rPr>
                <w:rFonts w:ascii="Times New Roman" w:hAnsi="Times New Roman" w:cs="Times New Roman"/>
                <w:color w:val="212529"/>
              </w:rPr>
              <w:t>Meat; of sheep, lamb carcasses and half-carcasses, frozen</w:t>
            </w:r>
          </w:p>
        </w:tc>
        <w:tc>
          <w:tcPr>
            <w:tcW w:w="3631" w:type="dxa"/>
          </w:tcPr>
          <w:p w14:paraId="0EFF60F4"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Sheep Frozen Lamb Carcasses</w:t>
            </w:r>
          </w:p>
          <w:p w14:paraId="76372922" w14:textId="77777777" w:rsidR="00C016E8" w:rsidRPr="00702DDD" w:rsidRDefault="00C016E8" w:rsidP="00C016E8">
            <w:pPr>
              <w:rPr>
                <w:rFonts w:ascii="Times New Roman" w:hAnsi="Times New Roman" w:cs="Times New Roman"/>
              </w:rPr>
            </w:pPr>
          </w:p>
        </w:tc>
        <w:tc>
          <w:tcPr>
            <w:tcW w:w="1724" w:type="dxa"/>
          </w:tcPr>
          <w:p w14:paraId="3D31FBE8"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Frozen</w:t>
            </w:r>
          </w:p>
        </w:tc>
        <w:tc>
          <w:tcPr>
            <w:tcW w:w="1431" w:type="dxa"/>
          </w:tcPr>
          <w:p w14:paraId="4199C52E"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Other</w:t>
            </w:r>
          </w:p>
        </w:tc>
      </w:tr>
      <w:tr w:rsidR="00C016E8" w:rsidRPr="00702DDD" w14:paraId="60B98071" w14:textId="77777777" w:rsidTr="00E83386">
        <w:tc>
          <w:tcPr>
            <w:tcW w:w="1130" w:type="dxa"/>
          </w:tcPr>
          <w:p w14:paraId="5FFFA4CD"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020441</w:t>
            </w:r>
          </w:p>
        </w:tc>
        <w:tc>
          <w:tcPr>
            <w:tcW w:w="5044" w:type="dxa"/>
          </w:tcPr>
          <w:p w14:paraId="6D623FB6"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Meat; of sheep, carcasses and half-carcasses (excluding carcasses and half-carcasses of lamb), frozen</w:t>
            </w:r>
          </w:p>
        </w:tc>
        <w:tc>
          <w:tcPr>
            <w:tcW w:w="3631" w:type="dxa"/>
          </w:tcPr>
          <w:p w14:paraId="6D3310E4"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Sheep Frozen Carcasses</w:t>
            </w:r>
          </w:p>
          <w:p w14:paraId="5B1BEAB2" w14:textId="77777777" w:rsidR="00C016E8" w:rsidRPr="00702DDD" w:rsidRDefault="00C016E8" w:rsidP="00C016E8">
            <w:pPr>
              <w:rPr>
                <w:rFonts w:ascii="Times New Roman" w:hAnsi="Times New Roman" w:cs="Times New Roman"/>
              </w:rPr>
            </w:pPr>
          </w:p>
        </w:tc>
        <w:tc>
          <w:tcPr>
            <w:tcW w:w="1724" w:type="dxa"/>
          </w:tcPr>
          <w:p w14:paraId="59078FD8"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Frozen</w:t>
            </w:r>
          </w:p>
        </w:tc>
        <w:tc>
          <w:tcPr>
            <w:tcW w:w="1431" w:type="dxa"/>
          </w:tcPr>
          <w:p w14:paraId="122641DD"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Other</w:t>
            </w:r>
          </w:p>
        </w:tc>
      </w:tr>
      <w:tr w:rsidR="00C016E8" w:rsidRPr="00702DDD" w14:paraId="5147DA41" w14:textId="77777777" w:rsidTr="00E83386">
        <w:tc>
          <w:tcPr>
            <w:tcW w:w="1130" w:type="dxa"/>
          </w:tcPr>
          <w:p w14:paraId="478161FE"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020442</w:t>
            </w:r>
          </w:p>
        </w:tc>
        <w:tc>
          <w:tcPr>
            <w:tcW w:w="5044" w:type="dxa"/>
          </w:tcPr>
          <w:p w14:paraId="4999192D"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Meat; of sheep (including lamb), cuts with bone in (excluding carcasses and half-carcasses), frozen</w:t>
            </w:r>
          </w:p>
        </w:tc>
        <w:tc>
          <w:tcPr>
            <w:tcW w:w="3631" w:type="dxa"/>
          </w:tcPr>
          <w:p w14:paraId="1167AD44"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Sheep Frozen Bone-In Cuts</w:t>
            </w:r>
          </w:p>
          <w:p w14:paraId="516EBBFB" w14:textId="77777777" w:rsidR="00C016E8" w:rsidRPr="00702DDD" w:rsidRDefault="00C016E8" w:rsidP="00C016E8">
            <w:pPr>
              <w:rPr>
                <w:rFonts w:ascii="Times New Roman" w:hAnsi="Times New Roman" w:cs="Times New Roman"/>
              </w:rPr>
            </w:pPr>
          </w:p>
        </w:tc>
        <w:tc>
          <w:tcPr>
            <w:tcW w:w="1724" w:type="dxa"/>
          </w:tcPr>
          <w:p w14:paraId="202E6174"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Frozen</w:t>
            </w:r>
          </w:p>
        </w:tc>
        <w:tc>
          <w:tcPr>
            <w:tcW w:w="1431" w:type="dxa"/>
          </w:tcPr>
          <w:p w14:paraId="2E5D6DBE"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Other</w:t>
            </w:r>
          </w:p>
        </w:tc>
      </w:tr>
      <w:tr w:rsidR="00C016E8" w:rsidRPr="00702DDD" w14:paraId="35413C9B" w14:textId="77777777" w:rsidTr="00E83386">
        <w:tc>
          <w:tcPr>
            <w:tcW w:w="1130" w:type="dxa"/>
          </w:tcPr>
          <w:p w14:paraId="4C8CCD59"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020443</w:t>
            </w:r>
          </w:p>
        </w:tc>
        <w:tc>
          <w:tcPr>
            <w:tcW w:w="5044" w:type="dxa"/>
          </w:tcPr>
          <w:p w14:paraId="50AEB216"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Meat; of sheep (including lamb), boneless cuts, frozen</w:t>
            </w:r>
          </w:p>
        </w:tc>
        <w:tc>
          <w:tcPr>
            <w:tcW w:w="3631" w:type="dxa"/>
          </w:tcPr>
          <w:p w14:paraId="58F2DF44"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Sheep Frozen Boneless Cuts</w:t>
            </w:r>
          </w:p>
        </w:tc>
        <w:tc>
          <w:tcPr>
            <w:tcW w:w="1724" w:type="dxa"/>
          </w:tcPr>
          <w:p w14:paraId="786C1568"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Frozen</w:t>
            </w:r>
          </w:p>
        </w:tc>
        <w:tc>
          <w:tcPr>
            <w:tcW w:w="1431" w:type="dxa"/>
          </w:tcPr>
          <w:p w14:paraId="657E3196"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Other</w:t>
            </w:r>
          </w:p>
        </w:tc>
      </w:tr>
      <w:tr w:rsidR="00C016E8" w:rsidRPr="00702DDD" w14:paraId="58EE91C4" w14:textId="77777777" w:rsidTr="00E83386">
        <w:tc>
          <w:tcPr>
            <w:tcW w:w="1130" w:type="dxa"/>
          </w:tcPr>
          <w:p w14:paraId="22BEDC7A"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020450</w:t>
            </w:r>
          </w:p>
        </w:tc>
        <w:tc>
          <w:tcPr>
            <w:tcW w:w="5044" w:type="dxa"/>
          </w:tcPr>
          <w:p w14:paraId="0F1D09D1"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Meat; of goats, fresh, chilled or frozen</w:t>
            </w:r>
          </w:p>
        </w:tc>
        <w:tc>
          <w:tcPr>
            <w:tcW w:w="3631" w:type="dxa"/>
          </w:tcPr>
          <w:p w14:paraId="680E5411"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Goats Fresh/Chilled Frozen Meat</w:t>
            </w:r>
          </w:p>
        </w:tc>
        <w:tc>
          <w:tcPr>
            <w:tcW w:w="1724" w:type="dxa"/>
          </w:tcPr>
          <w:p w14:paraId="08BBF269"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Other</w:t>
            </w:r>
          </w:p>
        </w:tc>
        <w:tc>
          <w:tcPr>
            <w:tcW w:w="1431" w:type="dxa"/>
          </w:tcPr>
          <w:p w14:paraId="2D4F5EA4"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Other</w:t>
            </w:r>
          </w:p>
        </w:tc>
      </w:tr>
      <w:tr w:rsidR="00C016E8" w:rsidRPr="00702DDD" w14:paraId="2A276DE0" w14:textId="77777777" w:rsidTr="00E83386">
        <w:tc>
          <w:tcPr>
            <w:tcW w:w="1130" w:type="dxa"/>
          </w:tcPr>
          <w:p w14:paraId="535B0463"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020710</w:t>
            </w:r>
          </w:p>
        </w:tc>
        <w:tc>
          <w:tcPr>
            <w:tcW w:w="5044" w:type="dxa"/>
          </w:tcPr>
          <w:p w14:paraId="65C4314A" w14:textId="77777777" w:rsidR="00C016E8" w:rsidRPr="00702DDD" w:rsidRDefault="00C016E8" w:rsidP="00C016E8">
            <w:pPr>
              <w:rPr>
                <w:rFonts w:ascii="Times New Roman" w:hAnsi="Times New Roman" w:cs="Times New Roman"/>
                <w:color w:val="212529"/>
              </w:rPr>
            </w:pPr>
            <w:r w:rsidRPr="00702DDD">
              <w:rPr>
                <w:rFonts w:ascii="Times New Roman" w:hAnsi="Times New Roman" w:cs="Times New Roman"/>
                <w:color w:val="212529"/>
              </w:rPr>
              <w:t>Meat and edible offal; poultry, not cut in pieces, fresh or chilled</w:t>
            </w:r>
          </w:p>
        </w:tc>
        <w:tc>
          <w:tcPr>
            <w:tcW w:w="3631" w:type="dxa"/>
          </w:tcPr>
          <w:p w14:paraId="32A3D03B"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Poultry Fresh/Chilled Meat</w:t>
            </w:r>
          </w:p>
          <w:p w14:paraId="517833EF" w14:textId="77777777" w:rsidR="00C016E8" w:rsidRPr="00702DDD" w:rsidRDefault="00C016E8" w:rsidP="00C016E8">
            <w:pPr>
              <w:rPr>
                <w:rFonts w:ascii="Times New Roman" w:hAnsi="Times New Roman" w:cs="Times New Roman"/>
              </w:rPr>
            </w:pPr>
          </w:p>
        </w:tc>
        <w:tc>
          <w:tcPr>
            <w:tcW w:w="1724" w:type="dxa"/>
          </w:tcPr>
          <w:p w14:paraId="0B6D4320"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Fresh</w:t>
            </w:r>
          </w:p>
        </w:tc>
        <w:tc>
          <w:tcPr>
            <w:tcW w:w="1431" w:type="dxa"/>
          </w:tcPr>
          <w:p w14:paraId="79B4DA4B"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Poultry</w:t>
            </w:r>
          </w:p>
        </w:tc>
      </w:tr>
      <w:tr w:rsidR="00C016E8" w:rsidRPr="00702DDD" w14:paraId="6CF11FC3" w14:textId="77777777" w:rsidTr="00E83386">
        <w:tc>
          <w:tcPr>
            <w:tcW w:w="1130" w:type="dxa"/>
          </w:tcPr>
          <w:p w14:paraId="45AF0351"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020711</w:t>
            </w:r>
          </w:p>
        </w:tc>
        <w:tc>
          <w:tcPr>
            <w:tcW w:w="5044" w:type="dxa"/>
          </w:tcPr>
          <w:p w14:paraId="661F0534"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 xml:space="preserve">Meat and edible offal; of the poultry of heading no. 0105, of fowls of the species gallus </w:t>
            </w:r>
            <w:proofErr w:type="spellStart"/>
            <w:r w:rsidRPr="00702DDD">
              <w:rPr>
                <w:rFonts w:ascii="Times New Roman" w:hAnsi="Times New Roman" w:cs="Times New Roman"/>
                <w:color w:val="000000"/>
              </w:rPr>
              <w:t>domesticus</w:t>
            </w:r>
            <w:proofErr w:type="spellEnd"/>
            <w:r w:rsidRPr="00702DDD">
              <w:rPr>
                <w:rFonts w:ascii="Times New Roman" w:hAnsi="Times New Roman" w:cs="Times New Roman"/>
                <w:color w:val="000000"/>
              </w:rPr>
              <w:t>, (not cut in pieces), fresh or chilled</w:t>
            </w:r>
          </w:p>
        </w:tc>
        <w:tc>
          <w:tcPr>
            <w:tcW w:w="3631" w:type="dxa"/>
          </w:tcPr>
          <w:p w14:paraId="4F17805E"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Poultry Fresh/Chilled Broiler</w:t>
            </w:r>
          </w:p>
          <w:p w14:paraId="53A4863E" w14:textId="77777777" w:rsidR="00C016E8" w:rsidRPr="00702DDD" w:rsidRDefault="00C016E8" w:rsidP="00C016E8">
            <w:pPr>
              <w:rPr>
                <w:rFonts w:ascii="Times New Roman" w:hAnsi="Times New Roman" w:cs="Times New Roman"/>
              </w:rPr>
            </w:pPr>
          </w:p>
        </w:tc>
        <w:tc>
          <w:tcPr>
            <w:tcW w:w="1724" w:type="dxa"/>
          </w:tcPr>
          <w:p w14:paraId="69BEC82C"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Fresh</w:t>
            </w:r>
          </w:p>
        </w:tc>
        <w:tc>
          <w:tcPr>
            <w:tcW w:w="1431" w:type="dxa"/>
          </w:tcPr>
          <w:p w14:paraId="57121D0B"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Poultry</w:t>
            </w:r>
          </w:p>
        </w:tc>
      </w:tr>
      <w:tr w:rsidR="00C016E8" w:rsidRPr="00702DDD" w14:paraId="1BCD7ACD" w14:textId="77777777" w:rsidTr="00E83386">
        <w:tc>
          <w:tcPr>
            <w:tcW w:w="1130" w:type="dxa"/>
          </w:tcPr>
          <w:p w14:paraId="795C63D6"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020712</w:t>
            </w:r>
          </w:p>
        </w:tc>
        <w:tc>
          <w:tcPr>
            <w:tcW w:w="5044" w:type="dxa"/>
          </w:tcPr>
          <w:p w14:paraId="686F0D70"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 xml:space="preserve">Meat and edible offal; of the poultry of heading no. 0105, of fowls of the species gallus </w:t>
            </w:r>
            <w:proofErr w:type="spellStart"/>
            <w:r w:rsidRPr="00702DDD">
              <w:rPr>
                <w:rFonts w:ascii="Times New Roman" w:hAnsi="Times New Roman" w:cs="Times New Roman"/>
                <w:color w:val="000000"/>
              </w:rPr>
              <w:t>domesticus</w:t>
            </w:r>
            <w:proofErr w:type="spellEnd"/>
            <w:r w:rsidRPr="00702DDD">
              <w:rPr>
                <w:rFonts w:ascii="Times New Roman" w:hAnsi="Times New Roman" w:cs="Times New Roman"/>
                <w:color w:val="000000"/>
              </w:rPr>
              <w:t>, (not cut in pieces), frozen</w:t>
            </w:r>
          </w:p>
        </w:tc>
        <w:tc>
          <w:tcPr>
            <w:tcW w:w="3631" w:type="dxa"/>
          </w:tcPr>
          <w:p w14:paraId="076375E8"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Poultry Frozen Broilers</w:t>
            </w:r>
          </w:p>
          <w:p w14:paraId="0DAEEE32" w14:textId="77777777" w:rsidR="00C016E8" w:rsidRPr="00702DDD" w:rsidRDefault="00C016E8" w:rsidP="00C016E8">
            <w:pPr>
              <w:rPr>
                <w:rFonts w:ascii="Times New Roman" w:hAnsi="Times New Roman" w:cs="Times New Roman"/>
              </w:rPr>
            </w:pPr>
          </w:p>
        </w:tc>
        <w:tc>
          <w:tcPr>
            <w:tcW w:w="1724" w:type="dxa"/>
          </w:tcPr>
          <w:p w14:paraId="0AF4AE63"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Frozen</w:t>
            </w:r>
          </w:p>
        </w:tc>
        <w:tc>
          <w:tcPr>
            <w:tcW w:w="1431" w:type="dxa"/>
          </w:tcPr>
          <w:p w14:paraId="67D2C49C"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Poultry</w:t>
            </w:r>
          </w:p>
        </w:tc>
      </w:tr>
      <w:tr w:rsidR="00C016E8" w:rsidRPr="00702DDD" w14:paraId="596F728A" w14:textId="77777777" w:rsidTr="00E83386">
        <w:tc>
          <w:tcPr>
            <w:tcW w:w="1130" w:type="dxa"/>
          </w:tcPr>
          <w:p w14:paraId="34ECD40E"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020713</w:t>
            </w:r>
          </w:p>
        </w:tc>
        <w:tc>
          <w:tcPr>
            <w:tcW w:w="5044" w:type="dxa"/>
          </w:tcPr>
          <w:p w14:paraId="7C8FDECB" w14:textId="77777777" w:rsidR="00C016E8" w:rsidRPr="00702DDD" w:rsidRDefault="00C016E8" w:rsidP="00C016E8">
            <w:pPr>
              <w:rPr>
                <w:rFonts w:ascii="Times New Roman" w:hAnsi="Times New Roman" w:cs="Times New Roman"/>
                <w:color w:val="212529"/>
              </w:rPr>
            </w:pPr>
            <w:r w:rsidRPr="00702DDD">
              <w:rPr>
                <w:rFonts w:ascii="Times New Roman" w:hAnsi="Times New Roman" w:cs="Times New Roman"/>
                <w:color w:val="212529"/>
              </w:rPr>
              <w:t xml:space="preserve">Meat and edible offal; of the poultry of heading no. 0105, of fowls of the species gallus </w:t>
            </w:r>
            <w:proofErr w:type="spellStart"/>
            <w:r w:rsidRPr="00702DDD">
              <w:rPr>
                <w:rFonts w:ascii="Times New Roman" w:hAnsi="Times New Roman" w:cs="Times New Roman"/>
                <w:color w:val="212529"/>
              </w:rPr>
              <w:t>domesticus</w:t>
            </w:r>
            <w:proofErr w:type="spellEnd"/>
            <w:r w:rsidRPr="00702DDD">
              <w:rPr>
                <w:rFonts w:ascii="Times New Roman" w:hAnsi="Times New Roman" w:cs="Times New Roman"/>
                <w:color w:val="212529"/>
              </w:rPr>
              <w:t>, cuts and offal, fresh or chilled</w:t>
            </w:r>
          </w:p>
        </w:tc>
        <w:tc>
          <w:tcPr>
            <w:tcW w:w="3631" w:type="dxa"/>
          </w:tcPr>
          <w:p w14:paraId="36631D6A"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Poultry Fresh/Chilled Broiler Cuts</w:t>
            </w:r>
          </w:p>
          <w:p w14:paraId="136C352A" w14:textId="77777777" w:rsidR="00C016E8" w:rsidRPr="00702DDD" w:rsidRDefault="00C016E8" w:rsidP="00C016E8">
            <w:pPr>
              <w:rPr>
                <w:rFonts w:ascii="Times New Roman" w:hAnsi="Times New Roman" w:cs="Times New Roman"/>
              </w:rPr>
            </w:pPr>
          </w:p>
        </w:tc>
        <w:tc>
          <w:tcPr>
            <w:tcW w:w="1724" w:type="dxa"/>
          </w:tcPr>
          <w:p w14:paraId="394054F0"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Fresh</w:t>
            </w:r>
          </w:p>
        </w:tc>
        <w:tc>
          <w:tcPr>
            <w:tcW w:w="1431" w:type="dxa"/>
          </w:tcPr>
          <w:p w14:paraId="74075C5E"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Poultry</w:t>
            </w:r>
          </w:p>
        </w:tc>
      </w:tr>
      <w:tr w:rsidR="00C016E8" w:rsidRPr="00702DDD" w14:paraId="71A0EC09" w14:textId="77777777" w:rsidTr="00E83386">
        <w:tc>
          <w:tcPr>
            <w:tcW w:w="1130" w:type="dxa"/>
          </w:tcPr>
          <w:p w14:paraId="238A03A8"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020714</w:t>
            </w:r>
          </w:p>
        </w:tc>
        <w:tc>
          <w:tcPr>
            <w:tcW w:w="5044" w:type="dxa"/>
          </w:tcPr>
          <w:p w14:paraId="00BB109D" w14:textId="77777777" w:rsidR="00C016E8" w:rsidRPr="00702DDD" w:rsidRDefault="00C016E8" w:rsidP="00C016E8">
            <w:pPr>
              <w:rPr>
                <w:rFonts w:ascii="Times New Roman" w:hAnsi="Times New Roman" w:cs="Times New Roman"/>
                <w:color w:val="212529"/>
              </w:rPr>
            </w:pPr>
            <w:r w:rsidRPr="00702DDD">
              <w:rPr>
                <w:rFonts w:ascii="Times New Roman" w:hAnsi="Times New Roman" w:cs="Times New Roman"/>
                <w:color w:val="212529"/>
              </w:rPr>
              <w:t xml:space="preserve">Meat and edible offal; of the poultry of heading no. 0105, of fowls of the species gallus </w:t>
            </w:r>
            <w:proofErr w:type="spellStart"/>
            <w:r w:rsidRPr="00702DDD">
              <w:rPr>
                <w:rFonts w:ascii="Times New Roman" w:hAnsi="Times New Roman" w:cs="Times New Roman"/>
                <w:color w:val="212529"/>
              </w:rPr>
              <w:t>domesticus</w:t>
            </w:r>
            <w:proofErr w:type="spellEnd"/>
            <w:r w:rsidRPr="00702DDD">
              <w:rPr>
                <w:rFonts w:ascii="Times New Roman" w:hAnsi="Times New Roman" w:cs="Times New Roman"/>
                <w:color w:val="212529"/>
              </w:rPr>
              <w:t>, cuts and offal, frozen</w:t>
            </w:r>
          </w:p>
        </w:tc>
        <w:tc>
          <w:tcPr>
            <w:tcW w:w="3631" w:type="dxa"/>
          </w:tcPr>
          <w:p w14:paraId="2378FC94"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Poultry Frozen Broiler Cuts</w:t>
            </w:r>
          </w:p>
          <w:p w14:paraId="737E6D51" w14:textId="77777777" w:rsidR="00C016E8" w:rsidRPr="00702DDD" w:rsidRDefault="00C016E8" w:rsidP="00C016E8">
            <w:pPr>
              <w:rPr>
                <w:rFonts w:ascii="Times New Roman" w:hAnsi="Times New Roman" w:cs="Times New Roman"/>
              </w:rPr>
            </w:pPr>
          </w:p>
        </w:tc>
        <w:tc>
          <w:tcPr>
            <w:tcW w:w="1724" w:type="dxa"/>
          </w:tcPr>
          <w:p w14:paraId="5434A091"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Frozen</w:t>
            </w:r>
          </w:p>
        </w:tc>
        <w:tc>
          <w:tcPr>
            <w:tcW w:w="1431" w:type="dxa"/>
          </w:tcPr>
          <w:p w14:paraId="0200BEB6"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Poultry</w:t>
            </w:r>
          </w:p>
        </w:tc>
      </w:tr>
      <w:tr w:rsidR="00C016E8" w:rsidRPr="00702DDD" w14:paraId="4AABFC39" w14:textId="77777777" w:rsidTr="00E83386">
        <w:tc>
          <w:tcPr>
            <w:tcW w:w="1130" w:type="dxa"/>
          </w:tcPr>
          <w:p w14:paraId="458BFDA6"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020723</w:t>
            </w:r>
          </w:p>
        </w:tc>
        <w:tc>
          <w:tcPr>
            <w:tcW w:w="5044" w:type="dxa"/>
          </w:tcPr>
          <w:p w14:paraId="268E94C2"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Meat and edible offal; of the poultry of heading no. 0105, of ducks, geese or guinea fowls, (not cut in pieces), frozen</w:t>
            </w:r>
          </w:p>
        </w:tc>
        <w:tc>
          <w:tcPr>
            <w:tcW w:w="3631" w:type="dxa"/>
          </w:tcPr>
          <w:p w14:paraId="46EDACF2"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 xml:space="preserve">Poultry Frozen Other </w:t>
            </w:r>
          </w:p>
          <w:p w14:paraId="27108AEB" w14:textId="77777777" w:rsidR="00C016E8" w:rsidRPr="00702DDD" w:rsidRDefault="00C016E8" w:rsidP="00C016E8">
            <w:pPr>
              <w:rPr>
                <w:rFonts w:ascii="Times New Roman" w:hAnsi="Times New Roman" w:cs="Times New Roman"/>
              </w:rPr>
            </w:pPr>
          </w:p>
        </w:tc>
        <w:tc>
          <w:tcPr>
            <w:tcW w:w="1724" w:type="dxa"/>
          </w:tcPr>
          <w:p w14:paraId="40AE2C64"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Frozen</w:t>
            </w:r>
          </w:p>
        </w:tc>
        <w:tc>
          <w:tcPr>
            <w:tcW w:w="1431" w:type="dxa"/>
          </w:tcPr>
          <w:p w14:paraId="74E9DC0E"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Poultry</w:t>
            </w:r>
          </w:p>
        </w:tc>
      </w:tr>
    </w:tbl>
    <w:p w14:paraId="4685CD4D" w14:textId="77777777" w:rsidR="00F201FF" w:rsidRPr="00702DDD" w:rsidRDefault="00F201FF">
      <w:pPr>
        <w:rPr>
          <w:rFonts w:ascii="Times New Roman" w:hAnsi="Times New Roman" w:cs="Times New Roman"/>
        </w:rPr>
      </w:pPr>
    </w:p>
    <w:p w14:paraId="415770FA" w14:textId="77777777" w:rsidR="00F201FF" w:rsidRPr="00702DDD" w:rsidRDefault="00F201FF">
      <w:pPr>
        <w:rPr>
          <w:rFonts w:ascii="Times New Roman" w:hAnsi="Times New Roman" w:cs="Times New Roman"/>
        </w:rPr>
      </w:pPr>
    </w:p>
    <w:p w14:paraId="338F2E8F" w14:textId="5C4F1342" w:rsidR="00F201FF" w:rsidRPr="00702DDD" w:rsidRDefault="00F201FF">
      <w:pPr>
        <w:rPr>
          <w:rFonts w:ascii="Times New Roman" w:hAnsi="Times New Roman" w:cs="Times New Roman"/>
          <w:b/>
        </w:rPr>
      </w:pPr>
      <w:r w:rsidRPr="00702DDD">
        <w:rPr>
          <w:rFonts w:ascii="Times New Roman" w:hAnsi="Times New Roman" w:cs="Times New Roman"/>
          <w:b/>
        </w:rPr>
        <w:lastRenderedPageBreak/>
        <w:t>Table 1.1</w:t>
      </w:r>
      <w:r w:rsidR="00C72EA1">
        <w:rPr>
          <w:rFonts w:ascii="Times New Roman" w:hAnsi="Times New Roman" w:cs="Times New Roman"/>
          <w:b/>
        </w:rPr>
        <w:t>:</w:t>
      </w:r>
      <w:r w:rsidRPr="00702DDD">
        <w:rPr>
          <w:rFonts w:ascii="Times New Roman" w:hAnsi="Times New Roman" w:cs="Times New Roman"/>
          <w:b/>
        </w:rPr>
        <w:t xml:space="preserve"> Continued </w:t>
      </w:r>
    </w:p>
    <w:tbl>
      <w:tblPr>
        <w:tblW w:w="12960" w:type="dxa"/>
        <w:tblBorders>
          <w:top w:val="single" w:sz="4" w:space="0" w:color="F7CBAC"/>
          <w:left w:val="single" w:sz="4" w:space="0" w:color="F7CBAC"/>
          <w:bottom w:val="single" w:sz="4" w:space="0" w:color="F7CBAC"/>
          <w:right w:val="single" w:sz="4" w:space="0" w:color="F7CBAC"/>
          <w:insideH w:val="single" w:sz="4" w:space="0" w:color="F7CBAC"/>
          <w:insideV w:val="single" w:sz="4" w:space="0" w:color="F7CBAC"/>
        </w:tblBorders>
        <w:tblLayout w:type="fixed"/>
        <w:tblLook w:val="04A0" w:firstRow="1" w:lastRow="0" w:firstColumn="1" w:lastColumn="0" w:noHBand="0" w:noVBand="1"/>
      </w:tblPr>
      <w:tblGrid>
        <w:gridCol w:w="1130"/>
        <w:gridCol w:w="5044"/>
        <w:gridCol w:w="3631"/>
        <w:gridCol w:w="1724"/>
        <w:gridCol w:w="1431"/>
      </w:tblGrid>
      <w:tr w:rsidR="00C016E8" w:rsidRPr="00702DDD" w14:paraId="0A7216F7" w14:textId="77777777" w:rsidTr="00E83386">
        <w:tc>
          <w:tcPr>
            <w:tcW w:w="1130" w:type="dxa"/>
          </w:tcPr>
          <w:p w14:paraId="42F7E95A"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020724</w:t>
            </w:r>
          </w:p>
        </w:tc>
        <w:tc>
          <w:tcPr>
            <w:tcW w:w="5044" w:type="dxa"/>
          </w:tcPr>
          <w:p w14:paraId="3BC008F2"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Meat and edible offal; of the poultry of heading no. 0105, of turkeys, (not cut in pieces), fresh or chilled</w:t>
            </w:r>
          </w:p>
        </w:tc>
        <w:tc>
          <w:tcPr>
            <w:tcW w:w="3631" w:type="dxa"/>
          </w:tcPr>
          <w:p w14:paraId="5124114B"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 xml:space="preserve">Poultry Fresh/Chilled Turkeys </w:t>
            </w:r>
          </w:p>
          <w:p w14:paraId="6FB83ADE" w14:textId="77777777" w:rsidR="00C016E8" w:rsidRPr="00702DDD" w:rsidRDefault="00C016E8" w:rsidP="00C016E8">
            <w:pPr>
              <w:rPr>
                <w:rFonts w:ascii="Times New Roman" w:hAnsi="Times New Roman" w:cs="Times New Roman"/>
              </w:rPr>
            </w:pPr>
          </w:p>
        </w:tc>
        <w:tc>
          <w:tcPr>
            <w:tcW w:w="1724" w:type="dxa"/>
          </w:tcPr>
          <w:p w14:paraId="09B74193"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Fresh</w:t>
            </w:r>
          </w:p>
        </w:tc>
        <w:tc>
          <w:tcPr>
            <w:tcW w:w="1431" w:type="dxa"/>
          </w:tcPr>
          <w:p w14:paraId="565B5FAB"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Poultry</w:t>
            </w:r>
          </w:p>
        </w:tc>
      </w:tr>
      <w:tr w:rsidR="00C016E8" w:rsidRPr="00702DDD" w14:paraId="01993BE8" w14:textId="77777777" w:rsidTr="00E83386">
        <w:tc>
          <w:tcPr>
            <w:tcW w:w="1130" w:type="dxa"/>
          </w:tcPr>
          <w:p w14:paraId="55E7AE29"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020725</w:t>
            </w:r>
          </w:p>
        </w:tc>
        <w:tc>
          <w:tcPr>
            <w:tcW w:w="5044" w:type="dxa"/>
          </w:tcPr>
          <w:p w14:paraId="34115015"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Meat and edible offal; of the poultry of heading no. 0105, of turkeys, (not cut in pieces), frozen</w:t>
            </w:r>
          </w:p>
        </w:tc>
        <w:tc>
          <w:tcPr>
            <w:tcW w:w="3631" w:type="dxa"/>
          </w:tcPr>
          <w:p w14:paraId="173A12C5"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Poultry Frozen Turkeys</w:t>
            </w:r>
          </w:p>
          <w:p w14:paraId="29EEBA94" w14:textId="77777777" w:rsidR="00C016E8" w:rsidRPr="00702DDD" w:rsidRDefault="00C016E8" w:rsidP="00C016E8">
            <w:pPr>
              <w:rPr>
                <w:rFonts w:ascii="Times New Roman" w:hAnsi="Times New Roman" w:cs="Times New Roman"/>
              </w:rPr>
            </w:pPr>
          </w:p>
        </w:tc>
        <w:tc>
          <w:tcPr>
            <w:tcW w:w="1724" w:type="dxa"/>
          </w:tcPr>
          <w:p w14:paraId="46787D48"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Frozen</w:t>
            </w:r>
          </w:p>
        </w:tc>
        <w:tc>
          <w:tcPr>
            <w:tcW w:w="1431" w:type="dxa"/>
          </w:tcPr>
          <w:p w14:paraId="176B11DE"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Poultry</w:t>
            </w:r>
          </w:p>
        </w:tc>
      </w:tr>
      <w:tr w:rsidR="00C016E8" w:rsidRPr="00702DDD" w14:paraId="1741280E" w14:textId="77777777" w:rsidTr="00E83386">
        <w:tc>
          <w:tcPr>
            <w:tcW w:w="1130" w:type="dxa"/>
          </w:tcPr>
          <w:p w14:paraId="6E9BE6FB"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020727</w:t>
            </w:r>
          </w:p>
        </w:tc>
        <w:tc>
          <w:tcPr>
            <w:tcW w:w="5044" w:type="dxa"/>
          </w:tcPr>
          <w:p w14:paraId="6DF911C2"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Meat and edible offal; of the poultry of heading no. 0105, of turkeys, cuts and offal, frozen</w:t>
            </w:r>
          </w:p>
        </w:tc>
        <w:tc>
          <w:tcPr>
            <w:tcW w:w="3631" w:type="dxa"/>
          </w:tcPr>
          <w:p w14:paraId="072B3E7C"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Poultry Frozen Turkey Cuts</w:t>
            </w:r>
          </w:p>
          <w:p w14:paraId="2108CA07" w14:textId="77777777" w:rsidR="00C016E8" w:rsidRPr="00702DDD" w:rsidRDefault="00C016E8" w:rsidP="00C016E8">
            <w:pPr>
              <w:rPr>
                <w:rFonts w:ascii="Times New Roman" w:hAnsi="Times New Roman" w:cs="Times New Roman"/>
              </w:rPr>
            </w:pPr>
          </w:p>
        </w:tc>
        <w:tc>
          <w:tcPr>
            <w:tcW w:w="1724" w:type="dxa"/>
          </w:tcPr>
          <w:p w14:paraId="693B441C"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Frozen</w:t>
            </w:r>
          </w:p>
        </w:tc>
        <w:tc>
          <w:tcPr>
            <w:tcW w:w="1431" w:type="dxa"/>
          </w:tcPr>
          <w:p w14:paraId="21B0D0A6"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Poultry</w:t>
            </w:r>
          </w:p>
        </w:tc>
      </w:tr>
      <w:tr w:rsidR="00C016E8" w:rsidRPr="00702DDD" w14:paraId="7ED05593" w14:textId="77777777" w:rsidTr="00E83386">
        <w:tc>
          <w:tcPr>
            <w:tcW w:w="1130" w:type="dxa"/>
          </w:tcPr>
          <w:p w14:paraId="39AA59F5"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020732</w:t>
            </w:r>
          </w:p>
        </w:tc>
        <w:tc>
          <w:tcPr>
            <w:tcW w:w="5044" w:type="dxa"/>
          </w:tcPr>
          <w:p w14:paraId="5749E0AC"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Meat and edible offal; of the poultry of heading no. 0105, of ducks, geese or guinea fowls, (not cut in pieces), fresh or chilled</w:t>
            </w:r>
          </w:p>
        </w:tc>
        <w:tc>
          <w:tcPr>
            <w:tcW w:w="3631" w:type="dxa"/>
          </w:tcPr>
          <w:p w14:paraId="483D0A10"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Poultry Fresh/Chilled Other</w:t>
            </w:r>
          </w:p>
          <w:p w14:paraId="68B7F102" w14:textId="77777777" w:rsidR="00C016E8" w:rsidRPr="00702DDD" w:rsidRDefault="00C016E8" w:rsidP="00C016E8">
            <w:pPr>
              <w:rPr>
                <w:rFonts w:ascii="Times New Roman" w:hAnsi="Times New Roman" w:cs="Times New Roman"/>
              </w:rPr>
            </w:pPr>
          </w:p>
        </w:tc>
        <w:tc>
          <w:tcPr>
            <w:tcW w:w="1724" w:type="dxa"/>
          </w:tcPr>
          <w:p w14:paraId="73A5DAD3"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Fresh</w:t>
            </w:r>
          </w:p>
        </w:tc>
        <w:tc>
          <w:tcPr>
            <w:tcW w:w="1431" w:type="dxa"/>
          </w:tcPr>
          <w:p w14:paraId="3CC8CF95"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Poultry</w:t>
            </w:r>
          </w:p>
        </w:tc>
      </w:tr>
      <w:tr w:rsidR="00C016E8" w:rsidRPr="00702DDD" w14:paraId="490B23A8" w14:textId="77777777" w:rsidTr="00E83386">
        <w:tc>
          <w:tcPr>
            <w:tcW w:w="1130" w:type="dxa"/>
          </w:tcPr>
          <w:p w14:paraId="196FEF6D"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020733</w:t>
            </w:r>
          </w:p>
        </w:tc>
        <w:tc>
          <w:tcPr>
            <w:tcW w:w="5044" w:type="dxa"/>
          </w:tcPr>
          <w:p w14:paraId="7640E85C"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Meat and edible offal; of the poultry of heading no. 0105, of ducks, geese or guinea fowls, (not cut in pieces), frozen</w:t>
            </w:r>
          </w:p>
        </w:tc>
        <w:tc>
          <w:tcPr>
            <w:tcW w:w="3631" w:type="dxa"/>
          </w:tcPr>
          <w:p w14:paraId="331F015E"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 xml:space="preserve">Poultry Frozen Other </w:t>
            </w:r>
          </w:p>
          <w:p w14:paraId="47843503" w14:textId="77777777" w:rsidR="00C016E8" w:rsidRPr="00702DDD" w:rsidRDefault="00C016E8" w:rsidP="00C016E8">
            <w:pPr>
              <w:rPr>
                <w:rFonts w:ascii="Times New Roman" w:hAnsi="Times New Roman" w:cs="Times New Roman"/>
              </w:rPr>
            </w:pPr>
          </w:p>
        </w:tc>
        <w:tc>
          <w:tcPr>
            <w:tcW w:w="1724" w:type="dxa"/>
          </w:tcPr>
          <w:p w14:paraId="35F280F8"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Frozen</w:t>
            </w:r>
          </w:p>
        </w:tc>
        <w:tc>
          <w:tcPr>
            <w:tcW w:w="1431" w:type="dxa"/>
          </w:tcPr>
          <w:p w14:paraId="334A6B82"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Poultry</w:t>
            </w:r>
          </w:p>
        </w:tc>
      </w:tr>
      <w:tr w:rsidR="00C016E8" w:rsidRPr="00702DDD" w14:paraId="5803C3CA" w14:textId="77777777" w:rsidTr="00E83386">
        <w:tc>
          <w:tcPr>
            <w:tcW w:w="1130" w:type="dxa"/>
          </w:tcPr>
          <w:p w14:paraId="4B63BE2B"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020734</w:t>
            </w:r>
          </w:p>
        </w:tc>
        <w:tc>
          <w:tcPr>
            <w:tcW w:w="5044" w:type="dxa"/>
          </w:tcPr>
          <w:p w14:paraId="4C83652A" w14:textId="77777777" w:rsidR="00C016E8" w:rsidRPr="00702DDD" w:rsidRDefault="00C016E8" w:rsidP="00C016E8">
            <w:pPr>
              <w:rPr>
                <w:rFonts w:ascii="Times New Roman" w:hAnsi="Times New Roman" w:cs="Times New Roman"/>
                <w:color w:val="212529"/>
              </w:rPr>
            </w:pPr>
            <w:r w:rsidRPr="00702DDD">
              <w:rPr>
                <w:rFonts w:ascii="Times New Roman" w:hAnsi="Times New Roman" w:cs="Times New Roman"/>
                <w:color w:val="212529"/>
              </w:rPr>
              <w:t>Meat and edible offal; of the poultry of heading no. 0105, of ducks, geese or guinea fowls, fatty livers, fresh or chilled (foie gras from ducks or geese only)</w:t>
            </w:r>
          </w:p>
        </w:tc>
        <w:tc>
          <w:tcPr>
            <w:tcW w:w="3631" w:type="dxa"/>
          </w:tcPr>
          <w:p w14:paraId="67CCEB86"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Poultry Fresh/Chilled Other Fatty Livers</w:t>
            </w:r>
          </w:p>
          <w:p w14:paraId="3B7469C4" w14:textId="77777777" w:rsidR="00C016E8" w:rsidRPr="00702DDD" w:rsidRDefault="00C016E8" w:rsidP="00C016E8">
            <w:pPr>
              <w:rPr>
                <w:rFonts w:ascii="Times New Roman" w:hAnsi="Times New Roman" w:cs="Times New Roman"/>
              </w:rPr>
            </w:pPr>
          </w:p>
        </w:tc>
        <w:tc>
          <w:tcPr>
            <w:tcW w:w="1724" w:type="dxa"/>
          </w:tcPr>
          <w:p w14:paraId="7C0A683B"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Fresh</w:t>
            </w:r>
          </w:p>
        </w:tc>
        <w:tc>
          <w:tcPr>
            <w:tcW w:w="1431" w:type="dxa"/>
          </w:tcPr>
          <w:p w14:paraId="364D8C15"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Poultry</w:t>
            </w:r>
          </w:p>
        </w:tc>
      </w:tr>
      <w:tr w:rsidR="00C016E8" w:rsidRPr="00702DDD" w14:paraId="0FA1C2A1" w14:textId="77777777" w:rsidTr="00E83386">
        <w:tc>
          <w:tcPr>
            <w:tcW w:w="1130" w:type="dxa"/>
          </w:tcPr>
          <w:p w14:paraId="237B0522"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020735</w:t>
            </w:r>
          </w:p>
        </w:tc>
        <w:tc>
          <w:tcPr>
            <w:tcW w:w="5044" w:type="dxa"/>
          </w:tcPr>
          <w:p w14:paraId="4180C0A5" w14:textId="77777777" w:rsidR="00C016E8" w:rsidRPr="00702DDD" w:rsidRDefault="00C016E8" w:rsidP="00C016E8">
            <w:pPr>
              <w:rPr>
                <w:rFonts w:ascii="Times New Roman" w:hAnsi="Times New Roman" w:cs="Times New Roman"/>
                <w:color w:val="212529"/>
              </w:rPr>
            </w:pPr>
            <w:r w:rsidRPr="00702DDD">
              <w:rPr>
                <w:rFonts w:ascii="Times New Roman" w:hAnsi="Times New Roman" w:cs="Times New Roman"/>
                <w:color w:val="212529"/>
              </w:rPr>
              <w:t>Meat and edible offal; of the poultry of heading no. 0105, of ducks, geese or guinea fowls, fresh or chilled, poultry cuts or offal (excluding fatty livers)</w:t>
            </w:r>
          </w:p>
        </w:tc>
        <w:tc>
          <w:tcPr>
            <w:tcW w:w="3631" w:type="dxa"/>
          </w:tcPr>
          <w:p w14:paraId="036B44E0"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Poultry Fresh/Chilled Other Cuts</w:t>
            </w:r>
          </w:p>
          <w:p w14:paraId="453DEB10" w14:textId="77777777" w:rsidR="00C016E8" w:rsidRPr="00702DDD" w:rsidRDefault="00C016E8" w:rsidP="00C016E8">
            <w:pPr>
              <w:rPr>
                <w:rFonts w:ascii="Times New Roman" w:hAnsi="Times New Roman" w:cs="Times New Roman"/>
              </w:rPr>
            </w:pPr>
          </w:p>
        </w:tc>
        <w:tc>
          <w:tcPr>
            <w:tcW w:w="1724" w:type="dxa"/>
          </w:tcPr>
          <w:p w14:paraId="736FACA9"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Fresh</w:t>
            </w:r>
          </w:p>
        </w:tc>
        <w:tc>
          <w:tcPr>
            <w:tcW w:w="1431" w:type="dxa"/>
          </w:tcPr>
          <w:p w14:paraId="1E3FC629"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Poultry</w:t>
            </w:r>
          </w:p>
        </w:tc>
      </w:tr>
      <w:tr w:rsidR="00C016E8" w:rsidRPr="00702DDD" w14:paraId="4BDCFE1E" w14:textId="77777777" w:rsidTr="00E83386">
        <w:tc>
          <w:tcPr>
            <w:tcW w:w="1130" w:type="dxa"/>
          </w:tcPr>
          <w:p w14:paraId="4BB442A6"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020736</w:t>
            </w:r>
          </w:p>
        </w:tc>
        <w:tc>
          <w:tcPr>
            <w:tcW w:w="5044" w:type="dxa"/>
          </w:tcPr>
          <w:p w14:paraId="5D6DC1EE" w14:textId="77777777" w:rsidR="00C016E8" w:rsidRPr="00702DDD" w:rsidRDefault="00C016E8" w:rsidP="00C016E8">
            <w:pPr>
              <w:rPr>
                <w:rFonts w:ascii="Times New Roman" w:hAnsi="Times New Roman" w:cs="Times New Roman"/>
                <w:color w:val="212529"/>
              </w:rPr>
            </w:pPr>
            <w:r w:rsidRPr="00702DDD">
              <w:rPr>
                <w:rFonts w:ascii="Times New Roman" w:hAnsi="Times New Roman" w:cs="Times New Roman"/>
                <w:color w:val="212529"/>
              </w:rPr>
              <w:t>Meat and edible offal; of the poultry of heading no. 0105, of ducks, geese or guinea fowls, frozen</w:t>
            </w:r>
          </w:p>
        </w:tc>
        <w:tc>
          <w:tcPr>
            <w:tcW w:w="3631" w:type="dxa"/>
          </w:tcPr>
          <w:p w14:paraId="56B5A951"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Poultry Frozen Other Cuts</w:t>
            </w:r>
          </w:p>
          <w:p w14:paraId="122D6ACF" w14:textId="77777777" w:rsidR="00C016E8" w:rsidRPr="00702DDD" w:rsidRDefault="00C016E8" w:rsidP="00C016E8">
            <w:pPr>
              <w:rPr>
                <w:rFonts w:ascii="Times New Roman" w:hAnsi="Times New Roman" w:cs="Times New Roman"/>
              </w:rPr>
            </w:pPr>
          </w:p>
        </w:tc>
        <w:tc>
          <w:tcPr>
            <w:tcW w:w="1724" w:type="dxa"/>
          </w:tcPr>
          <w:p w14:paraId="73674DA1"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Frozen</w:t>
            </w:r>
          </w:p>
        </w:tc>
        <w:tc>
          <w:tcPr>
            <w:tcW w:w="1431" w:type="dxa"/>
          </w:tcPr>
          <w:p w14:paraId="5D1A0FCC"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Poultry</w:t>
            </w:r>
          </w:p>
        </w:tc>
      </w:tr>
      <w:tr w:rsidR="00C016E8" w:rsidRPr="00702DDD" w14:paraId="20754BB9" w14:textId="77777777" w:rsidTr="00E83386">
        <w:tc>
          <w:tcPr>
            <w:tcW w:w="1130" w:type="dxa"/>
          </w:tcPr>
          <w:p w14:paraId="780DAC26"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020739</w:t>
            </w:r>
          </w:p>
        </w:tc>
        <w:tc>
          <w:tcPr>
            <w:tcW w:w="5044" w:type="dxa"/>
          </w:tcPr>
          <w:p w14:paraId="3F92132F" w14:textId="77777777" w:rsidR="00C016E8" w:rsidRPr="00702DDD" w:rsidRDefault="00C016E8" w:rsidP="00C016E8">
            <w:pPr>
              <w:rPr>
                <w:rFonts w:ascii="Times New Roman" w:hAnsi="Times New Roman" w:cs="Times New Roman"/>
                <w:color w:val="212529"/>
              </w:rPr>
            </w:pPr>
            <w:r w:rsidRPr="00702DDD">
              <w:rPr>
                <w:rFonts w:ascii="Times New Roman" w:hAnsi="Times New Roman" w:cs="Times New Roman"/>
                <w:color w:val="212529"/>
              </w:rPr>
              <w:t>Meat and edible offal; poultry cuts and offal (including livers but excluding the fatty livers of geese or ducks), fresh or chilled</w:t>
            </w:r>
          </w:p>
        </w:tc>
        <w:tc>
          <w:tcPr>
            <w:tcW w:w="3631" w:type="dxa"/>
          </w:tcPr>
          <w:p w14:paraId="61F6C2C5"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Poultry Fresh/Chilled Other Cuts</w:t>
            </w:r>
          </w:p>
          <w:p w14:paraId="529AF175" w14:textId="77777777" w:rsidR="00C016E8" w:rsidRPr="00702DDD" w:rsidRDefault="00C016E8" w:rsidP="00C016E8">
            <w:pPr>
              <w:rPr>
                <w:rFonts w:ascii="Times New Roman" w:hAnsi="Times New Roman" w:cs="Times New Roman"/>
              </w:rPr>
            </w:pPr>
          </w:p>
        </w:tc>
        <w:tc>
          <w:tcPr>
            <w:tcW w:w="1724" w:type="dxa"/>
          </w:tcPr>
          <w:p w14:paraId="1D2DF2F1"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Fresh</w:t>
            </w:r>
          </w:p>
        </w:tc>
        <w:tc>
          <w:tcPr>
            <w:tcW w:w="1431" w:type="dxa"/>
          </w:tcPr>
          <w:p w14:paraId="06CDCE70"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Poultry</w:t>
            </w:r>
          </w:p>
        </w:tc>
      </w:tr>
      <w:tr w:rsidR="00C016E8" w:rsidRPr="00702DDD" w14:paraId="0E17C5E7" w14:textId="77777777" w:rsidTr="00E83386">
        <w:tc>
          <w:tcPr>
            <w:tcW w:w="1130" w:type="dxa"/>
          </w:tcPr>
          <w:p w14:paraId="4EE6B20D"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020741</w:t>
            </w:r>
          </w:p>
        </w:tc>
        <w:tc>
          <w:tcPr>
            <w:tcW w:w="5044" w:type="dxa"/>
          </w:tcPr>
          <w:p w14:paraId="03497F42"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Meat and edible offal; of ducks, not cut in pieces, fresh or chilled</w:t>
            </w:r>
          </w:p>
        </w:tc>
        <w:tc>
          <w:tcPr>
            <w:tcW w:w="3631" w:type="dxa"/>
          </w:tcPr>
          <w:p w14:paraId="35A3B4FC"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Poultry Fresh/Chilled Other</w:t>
            </w:r>
          </w:p>
          <w:p w14:paraId="6462EF41" w14:textId="77777777" w:rsidR="00C016E8" w:rsidRPr="00702DDD" w:rsidRDefault="00C016E8" w:rsidP="00C016E8">
            <w:pPr>
              <w:rPr>
                <w:rFonts w:ascii="Times New Roman" w:hAnsi="Times New Roman" w:cs="Times New Roman"/>
              </w:rPr>
            </w:pPr>
          </w:p>
        </w:tc>
        <w:tc>
          <w:tcPr>
            <w:tcW w:w="1724" w:type="dxa"/>
          </w:tcPr>
          <w:p w14:paraId="42817AF0"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Fresh</w:t>
            </w:r>
          </w:p>
        </w:tc>
        <w:tc>
          <w:tcPr>
            <w:tcW w:w="1431" w:type="dxa"/>
          </w:tcPr>
          <w:p w14:paraId="7C56195B"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Poultry</w:t>
            </w:r>
          </w:p>
        </w:tc>
      </w:tr>
      <w:tr w:rsidR="00C016E8" w:rsidRPr="00702DDD" w14:paraId="39D6158C" w14:textId="77777777" w:rsidTr="00E83386">
        <w:tc>
          <w:tcPr>
            <w:tcW w:w="1130" w:type="dxa"/>
          </w:tcPr>
          <w:p w14:paraId="410FDC8D"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020742</w:t>
            </w:r>
          </w:p>
        </w:tc>
        <w:tc>
          <w:tcPr>
            <w:tcW w:w="5044" w:type="dxa"/>
          </w:tcPr>
          <w:p w14:paraId="188CD874"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Meat and edible offal; of ducks, not cut in pieces, frozen</w:t>
            </w:r>
          </w:p>
        </w:tc>
        <w:tc>
          <w:tcPr>
            <w:tcW w:w="3631" w:type="dxa"/>
          </w:tcPr>
          <w:p w14:paraId="6E589BB3"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Poultry Frozen Other</w:t>
            </w:r>
          </w:p>
        </w:tc>
        <w:tc>
          <w:tcPr>
            <w:tcW w:w="1724" w:type="dxa"/>
          </w:tcPr>
          <w:p w14:paraId="585A1FC2"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Frozen</w:t>
            </w:r>
          </w:p>
        </w:tc>
        <w:tc>
          <w:tcPr>
            <w:tcW w:w="1431" w:type="dxa"/>
          </w:tcPr>
          <w:p w14:paraId="14812787"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Poultry</w:t>
            </w:r>
          </w:p>
        </w:tc>
      </w:tr>
      <w:tr w:rsidR="00C016E8" w:rsidRPr="00702DDD" w14:paraId="0944CE0D" w14:textId="77777777" w:rsidTr="00E83386">
        <w:tc>
          <w:tcPr>
            <w:tcW w:w="1130" w:type="dxa"/>
          </w:tcPr>
          <w:p w14:paraId="65057BD7"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020743</w:t>
            </w:r>
          </w:p>
        </w:tc>
        <w:tc>
          <w:tcPr>
            <w:tcW w:w="5044" w:type="dxa"/>
          </w:tcPr>
          <w:p w14:paraId="1E6CDB19"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Meat and edible offal; of ducks, fatty livers (foie gras), fresh or chilled</w:t>
            </w:r>
          </w:p>
        </w:tc>
        <w:tc>
          <w:tcPr>
            <w:tcW w:w="3631" w:type="dxa"/>
          </w:tcPr>
          <w:p w14:paraId="511E0873"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Poultry Fresh/Chilled Other Fatty Livers</w:t>
            </w:r>
          </w:p>
        </w:tc>
        <w:tc>
          <w:tcPr>
            <w:tcW w:w="1724" w:type="dxa"/>
          </w:tcPr>
          <w:p w14:paraId="083710BA"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Fresh</w:t>
            </w:r>
          </w:p>
        </w:tc>
        <w:tc>
          <w:tcPr>
            <w:tcW w:w="1431" w:type="dxa"/>
          </w:tcPr>
          <w:p w14:paraId="43896718"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Poultry</w:t>
            </w:r>
          </w:p>
        </w:tc>
      </w:tr>
    </w:tbl>
    <w:p w14:paraId="4DF2A1DF" w14:textId="1ACDD3AD" w:rsidR="00F201FF" w:rsidRPr="00702DDD" w:rsidRDefault="00F201FF">
      <w:pPr>
        <w:rPr>
          <w:rFonts w:ascii="Times New Roman" w:hAnsi="Times New Roman" w:cs="Times New Roman"/>
          <w:b/>
        </w:rPr>
      </w:pPr>
      <w:r w:rsidRPr="00702DDD">
        <w:rPr>
          <w:rFonts w:ascii="Times New Roman" w:hAnsi="Times New Roman" w:cs="Times New Roman"/>
          <w:b/>
        </w:rPr>
        <w:lastRenderedPageBreak/>
        <w:t>Table 1.1</w:t>
      </w:r>
      <w:r w:rsidR="00C72EA1">
        <w:rPr>
          <w:rFonts w:ascii="Times New Roman" w:hAnsi="Times New Roman" w:cs="Times New Roman"/>
          <w:b/>
        </w:rPr>
        <w:t>:</w:t>
      </w:r>
      <w:r w:rsidRPr="00702DDD">
        <w:rPr>
          <w:rFonts w:ascii="Times New Roman" w:hAnsi="Times New Roman" w:cs="Times New Roman"/>
          <w:b/>
        </w:rPr>
        <w:t xml:space="preserve"> Continued </w:t>
      </w:r>
    </w:p>
    <w:tbl>
      <w:tblPr>
        <w:tblW w:w="12960" w:type="dxa"/>
        <w:tblBorders>
          <w:top w:val="single" w:sz="4" w:space="0" w:color="F7CBAC"/>
          <w:left w:val="single" w:sz="4" w:space="0" w:color="F7CBAC"/>
          <w:bottom w:val="single" w:sz="4" w:space="0" w:color="F7CBAC"/>
          <w:right w:val="single" w:sz="4" w:space="0" w:color="F7CBAC"/>
          <w:insideH w:val="single" w:sz="4" w:space="0" w:color="F7CBAC"/>
          <w:insideV w:val="single" w:sz="4" w:space="0" w:color="F7CBAC"/>
        </w:tblBorders>
        <w:tblLayout w:type="fixed"/>
        <w:tblLook w:val="04A0" w:firstRow="1" w:lastRow="0" w:firstColumn="1" w:lastColumn="0" w:noHBand="0" w:noVBand="1"/>
      </w:tblPr>
      <w:tblGrid>
        <w:gridCol w:w="1130"/>
        <w:gridCol w:w="5044"/>
        <w:gridCol w:w="3631"/>
        <w:gridCol w:w="1724"/>
        <w:gridCol w:w="1431"/>
      </w:tblGrid>
      <w:tr w:rsidR="00C016E8" w:rsidRPr="00702DDD" w14:paraId="11147B51" w14:textId="77777777" w:rsidTr="00E83386">
        <w:tc>
          <w:tcPr>
            <w:tcW w:w="1130" w:type="dxa"/>
          </w:tcPr>
          <w:p w14:paraId="2FA18365"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020744</w:t>
            </w:r>
          </w:p>
        </w:tc>
        <w:tc>
          <w:tcPr>
            <w:tcW w:w="5044" w:type="dxa"/>
          </w:tcPr>
          <w:p w14:paraId="623A75C8" w14:textId="77777777" w:rsidR="00C016E8" w:rsidRPr="00702DDD" w:rsidRDefault="00C016E8" w:rsidP="00C016E8">
            <w:pPr>
              <w:rPr>
                <w:rFonts w:ascii="Times New Roman" w:hAnsi="Times New Roman" w:cs="Times New Roman"/>
                <w:color w:val="212529"/>
              </w:rPr>
            </w:pPr>
            <w:r w:rsidRPr="00702DDD">
              <w:rPr>
                <w:rFonts w:ascii="Times New Roman" w:hAnsi="Times New Roman" w:cs="Times New Roman"/>
                <w:color w:val="212529"/>
              </w:rPr>
              <w:t>Meat and edible offal; of ducks, cuts and offal, excluding fatty livers, fresh or chilled</w:t>
            </w:r>
          </w:p>
        </w:tc>
        <w:tc>
          <w:tcPr>
            <w:tcW w:w="3631" w:type="dxa"/>
          </w:tcPr>
          <w:p w14:paraId="77C56D6B"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Poultry Fresh/Chilled Other Cuts</w:t>
            </w:r>
          </w:p>
        </w:tc>
        <w:tc>
          <w:tcPr>
            <w:tcW w:w="1724" w:type="dxa"/>
          </w:tcPr>
          <w:p w14:paraId="6C03940F"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Fresh</w:t>
            </w:r>
          </w:p>
        </w:tc>
        <w:tc>
          <w:tcPr>
            <w:tcW w:w="1431" w:type="dxa"/>
          </w:tcPr>
          <w:p w14:paraId="6053FCC2"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Poultry</w:t>
            </w:r>
          </w:p>
        </w:tc>
      </w:tr>
      <w:tr w:rsidR="00C016E8" w:rsidRPr="00702DDD" w14:paraId="6DB20FF9" w14:textId="77777777" w:rsidTr="00E83386">
        <w:tc>
          <w:tcPr>
            <w:tcW w:w="1130" w:type="dxa"/>
          </w:tcPr>
          <w:p w14:paraId="59CB87EC"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020745</w:t>
            </w:r>
          </w:p>
        </w:tc>
        <w:tc>
          <w:tcPr>
            <w:tcW w:w="5044" w:type="dxa"/>
          </w:tcPr>
          <w:p w14:paraId="702A5D18" w14:textId="77777777" w:rsidR="00C016E8" w:rsidRPr="00702DDD" w:rsidRDefault="00C016E8" w:rsidP="00C016E8">
            <w:pPr>
              <w:rPr>
                <w:rFonts w:ascii="Times New Roman" w:hAnsi="Times New Roman" w:cs="Times New Roman"/>
                <w:color w:val="212529"/>
              </w:rPr>
            </w:pPr>
            <w:r w:rsidRPr="00702DDD">
              <w:rPr>
                <w:rFonts w:ascii="Times New Roman" w:hAnsi="Times New Roman" w:cs="Times New Roman"/>
                <w:color w:val="212529"/>
              </w:rPr>
              <w:t>Meat and edible offal; of ducks, cuts and offal, excluding fatty livers, frozen</w:t>
            </w:r>
          </w:p>
        </w:tc>
        <w:tc>
          <w:tcPr>
            <w:tcW w:w="3631" w:type="dxa"/>
          </w:tcPr>
          <w:p w14:paraId="2442654B"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Poultry Frozen Other Cuts</w:t>
            </w:r>
          </w:p>
          <w:p w14:paraId="2234C697" w14:textId="77777777" w:rsidR="00C016E8" w:rsidRPr="00702DDD" w:rsidRDefault="00C016E8" w:rsidP="00C016E8">
            <w:pPr>
              <w:rPr>
                <w:rFonts w:ascii="Times New Roman" w:hAnsi="Times New Roman" w:cs="Times New Roman"/>
              </w:rPr>
            </w:pPr>
          </w:p>
        </w:tc>
        <w:tc>
          <w:tcPr>
            <w:tcW w:w="1724" w:type="dxa"/>
          </w:tcPr>
          <w:p w14:paraId="5DB34840"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Frozen</w:t>
            </w:r>
          </w:p>
        </w:tc>
        <w:tc>
          <w:tcPr>
            <w:tcW w:w="1431" w:type="dxa"/>
          </w:tcPr>
          <w:p w14:paraId="41E79E56"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Poultry</w:t>
            </w:r>
          </w:p>
        </w:tc>
      </w:tr>
      <w:tr w:rsidR="00C016E8" w:rsidRPr="00702DDD" w14:paraId="3DA98CA5" w14:textId="77777777" w:rsidTr="00E83386">
        <w:tc>
          <w:tcPr>
            <w:tcW w:w="1130" w:type="dxa"/>
          </w:tcPr>
          <w:p w14:paraId="631BAF47"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020751</w:t>
            </w:r>
          </w:p>
        </w:tc>
        <w:tc>
          <w:tcPr>
            <w:tcW w:w="5044" w:type="dxa"/>
          </w:tcPr>
          <w:p w14:paraId="38201F52"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Meat and edible offal; of geese, not cut in pieces, fresh or chilled</w:t>
            </w:r>
          </w:p>
        </w:tc>
        <w:tc>
          <w:tcPr>
            <w:tcW w:w="3631" w:type="dxa"/>
          </w:tcPr>
          <w:p w14:paraId="435E4F2D"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Poultry Fresh/Chilled Other</w:t>
            </w:r>
          </w:p>
          <w:p w14:paraId="141048A4" w14:textId="77777777" w:rsidR="00C016E8" w:rsidRPr="00702DDD" w:rsidRDefault="00C016E8" w:rsidP="00C016E8">
            <w:pPr>
              <w:rPr>
                <w:rFonts w:ascii="Times New Roman" w:hAnsi="Times New Roman" w:cs="Times New Roman"/>
              </w:rPr>
            </w:pPr>
          </w:p>
        </w:tc>
        <w:tc>
          <w:tcPr>
            <w:tcW w:w="1724" w:type="dxa"/>
          </w:tcPr>
          <w:p w14:paraId="4FBF8681"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Fresh</w:t>
            </w:r>
          </w:p>
        </w:tc>
        <w:tc>
          <w:tcPr>
            <w:tcW w:w="1431" w:type="dxa"/>
          </w:tcPr>
          <w:p w14:paraId="0197F548"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Poultry</w:t>
            </w:r>
          </w:p>
        </w:tc>
      </w:tr>
      <w:tr w:rsidR="00C016E8" w:rsidRPr="00702DDD" w14:paraId="28B71A68" w14:textId="77777777" w:rsidTr="00E83386">
        <w:tc>
          <w:tcPr>
            <w:tcW w:w="1130" w:type="dxa"/>
          </w:tcPr>
          <w:p w14:paraId="2C856658"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020752</w:t>
            </w:r>
          </w:p>
        </w:tc>
        <w:tc>
          <w:tcPr>
            <w:tcW w:w="5044" w:type="dxa"/>
          </w:tcPr>
          <w:p w14:paraId="14B3F917"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Meat and edible offal; of geese, not cut in pieces, frozen</w:t>
            </w:r>
          </w:p>
        </w:tc>
        <w:tc>
          <w:tcPr>
            <w:tcW w:w="3631" w:type="dxa"/>
          </w:tcPr>
          <w:p w14:paraId="5767A6E5"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Poultry Frozen Other</w:t>
            </w:r>
          </w:p>
        </w:tc>
        <w:tc>
          <w:tcPr>
            <w:tcW w:w="1724" w:type="dxa"/>
          </w:tcPr>
          <w:p w14:paraId="3E7A7A3B"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Frozen</w:t>
            </w:r>
          </w:p>
        </w:tc>
        <w:tc>
          <w:tcPr>
            <w:tcW w:w="1431" w:type="dxa"/>
          </w:tcPr>
          <w:p w14:paraId="7BAFF781"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Poultry</w:t>
            </w:r>
          </w:p>
        </w:tc>
      </w:tr>
      <w:tr w:rsidR="00C016E8" w:rsidRPr="00702DDD" w14:paraId="692C4220" w14:textId="77777777" w:rsidTr="00E83386">
        <w:tc>
          <w:tcPr>
            <w:tcW w:w="1130" w:type="dxa"/>
          </w:tcPr>
          <w:p w14:paraId="137CDC14"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020753</w:t>
            </w:r>
          </w:p>
        </w:tc>
        <w:tc>
          <w:tcPr>
            <w:tcW w:w="5044" w:type="dxa"/>
          </w:tcPr>
          <w:p w14:paraId="3813AC01"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Meat and edible offal; of geese, fatty livers (foie gras), fresh or chilled</w:t>
            </w:r>
          </w:p>
        </w:tc>
        <w:tc>
          <w:tcPr>
            <w:tcW w:w="3631" w:type="dxa"/>
          </w:tcPr>
          <w:p w14:paraId="65BA79CD"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Poultry Fresh/Chilled Other Fatty Livers</w:t>
            </w:r>
          </w:p>
        </w:tc>
        <w:tc>
          <w:tcPr>
            <w:tcW w:w="1724" w:type="dxa"/>
          </w:tcPr>
          <w:p w14:paraId="3DDFACB4"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Fresh</w:t>
            </w:r>
          </w:p>
        </w:tc>
        <w:tc>
          <w:tcPr>
            <w:tcW w:w="1431" w:type="dxa"/>
          </w:tcPr>
          <w:p w14:paraId="48F13933"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Poultry</w:t>
            </w:r>
          </w:p>
        </w:tc>
      </w:tr>
      <w:tr w:rsidR="00C016E8" w:rsidRPr="00702DDD" w14:paraId="29AE4ADB" w14:textId="77777777" w:rsidTr="00E83386">
        <w:tc>
          <w:tcPr>
            <w:tcW w:w="1130" w:type="dxa"/>
          </w:tcPr>
          <w:p w14:paraId="61F1B557"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020754</w:t>
            </w:r>
          </w:p>
        </w:tc>
        <w:tc>
          <w:tcPr>
            <w:tcW w:w="5044" w:type="dxa"/>
          </w:tcPr>
          <w:p w14:paraId="10C6C424"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Meat and edible offal; of geese, cuts and offal, excluding fatty livers, fresh or chilled</w:t>
            </w:r>
          </w:p>
        </w:tc>
        <w:tc>
          <w:tcPr>
            <w:tcW w:w="3631" w:type="dxa"/>
          </w:tcPr>
          <w:p w14:paraId="345F6462"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Poultry Fresh/Chilled Other Cuts</w:t>
            </w:r>
          </w:p>
        </w:tc>
        <w:tc>
          <w:tcPr>
            <w:tcW w:w="1724" w:type="dxa"/>
          </w:tcPr>
          <w:p w14:paraId="4A9ACC22"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Fresh</w:t>
            </w:r>
          </w:p>
        </w:tc>
        <w:tc>
          <w:tcPr>
            <w:tcW w:w="1431" w:type="dxa"/>
          </w:tcPr>
          <w:p w14:paraId="2F960799"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Poultry</w:t>
            </w:r>
          </w:p>
        </w:tc>
      </w:tr>
      <w:tr w:rsidR="00C016E8" w:rsidRPr="00702DDD" w14:paraId="757D0B07" w14:textId="77777777" w:rsidTr="00E83386">
        <w:tc>
          <w:tcPr>
            <w:tcW w:w="1130" w:type="dxa"/>
          </w:tcPr>
          <w:p w14:paraId="1E7A77F8"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020755</w:t>
            </w:r>
          </w:p>
        </w:tc>
        <w:tc>
          <w:tcPr>
            <w:tcW w:w="5044" w:type="dxa"/>
          </w:tcPr>
          <w:p w14:paraId="5B5938B6"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Meat and edible offal; of geese, cuts and offal, excluding fatty livers, frozen</w:t>
            </w:r>
          </w:p>
        </w:tc>
        <w:tc>
          <w:tcPr>
            <w:tcW w:w="3631" w:type="dxa"/>
          </w:tcPr>
          <w:p w14:paraId="08E1933C"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color w:val="000000"/>
              </w:rPr>
              <w:t>Poultry Frozen Other Cuts</w:t>
            </w:r>
          </w:p>
          <w:p w14:paraId="50DA149A" w14:textId="77777777" w:rsidR="00C016E8" w:rsidRPr="00702DDD" w:rsidRDefault="00C016E8" w:rsidP="00C016E8">
            <w:pPr>
              <w:ind w:firstLine="720"/>
              <w:rPr>
                <w:rFonts w:ascii="Times New Roman" w:hAnsi="Times New Roman" w:cs="Times New Roman"/>
              </w:rPr>
            </w:pPr>
          </w:p>
        </w:tc>
        <w:tc>
          <w:tcPr>
            <w:tcW w:w="1724" w:type="dxa"/>
          </w:tcPr>
          <w:p w14:paraId="59552D70"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Frozen</w:t>
            </w:r>
          </w:p>
        </w:tc>
        <w:tc>
          <w:tcPr>
            <w:tcW w:w="1431" w:type="dxa"/>
          </w:tcPr>
          <w:p w14:paraId="33BD0531"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Poultry</w:t>
            </w:r>
          </w:p>
        </w:tc>
      </w:tr>
      <w:tr w:rsidR="00C016E8" w:rsidRPr="00702DDD" w14:paraId="2CB74A4D" w14:textId="77777777" w:rsidTr="00E83386">
        <w:tc>
          <w:tcPr>
            <w:tcW w:w="1130" w:type="dxa"/>
          </w:tcPr>
          <w:p w14:paraId="591D10C4" w14:textId="77777777" w:rsidR="00C016E8" w:rsidRPr="00702DDD" w:rsidRDefault="00C016E8" w:rsidP="00C016E8">
            <w:pPr>
              <w:jc w:val="center"/>
              <w:rPr>
                <w:rFonts w:ascii="Times New Roman" w:hAnsi="Times New Roman" w:cs="Times New Roman"/>
                <w:b/>
              </w:rPr>
            </w:pPr>
            <w:r w:rsidRPr="00702DDD">
              <w:rPr>
                <w:rFonts w:ascii="Times New Roman" w:hAnsi="Times New Roman" w:cs="Times New Roman"/>
              </w:rPr>
              <w:t>020760</w:t>
            </w:r>
          </w:p>
        </w:tc>
        <w:tc>
          <w:tcPr>
            <w:tcW w:w="5044" w:type="dxa"/>
          </w:tcPr>
          <w:p w14:paraId="4B19078B"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rPr>
              <w:t>Meat and edible offal; of guinea fowls, fresh, chilled or frozen</w:t>
            </w:r>
          </w:p>
        </w:tc>
        <w:tc>
          <w:tcPr>
            <w:tcW w:w="3631" w:type="dxa"/>
          </w:tcPr>
          <w:p w14:paraId="1A433F42" w14:textId="77777777" w:rsidR="00C016E8" w:rsidRPr="00702DDD" w:rsidRDefault="00C016E8" w:rsidP="00C016E8">
            <w:pPr>
              <w:rPr>
                <w:rFonts w:ascii="Times New Roman" w:hAnsi="Times New Roman" w:cs="Times New Roman"/>
                <w:color w:val="000000"/>
              </w:rPr>
            </w:pPr>
            <w:r w:rsidRPr="00702DDD">
              <w:rPr>
                <w:rFonts w:ascii="Times New Roman" w:hAnsi="Times New Roman" w:cs="Times New Roman"/>
              </w:rPr>
              <w:t xml:space="preserve">Poultry Fresh/Chilled Frozen Other </w:t>
            </w:r>
          </w:p>
        </w:tc>
        <w:tc>
          <w:tcPr>
            <w:tcW w:w="1724" w:type="dxa"/>
          </w:tcPr>
          <w:p w14:paraId="20DE7FB3"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Fresh</w:t>
            </w:r>
          </w:p>
        </w:tc>
        <w:tc>
          <w:tcPr>
            <w:tcW w:w="1431" w:type="dxa"/>
          </w:tcPr>
          <w:p w14:paraId="12D5BCC3" w14:textId="77777777" w:rsidR="00C016E8" w:rsidRPr="00702DDD" w:rsidRDefault="00C016E8" w:rsidP="00C016E8">
            <w:pPr>
              <w:jc w:val="center"/>
              <w:rPr>
                <w:rFonts w:ascii="Times New Roman" w:hAnsi="Times New Roman" w:cs="Times New Roman"/>
              </w:rPr>
            </w:pPr>
            <w:r w:rsidRPr="00702DDD">
              <w:rPr>
                <w:rFonts w:ascii="Times New Roman" w:hAnsi="Times New Roman" w:cs="Times New Roman"/>
              </w:rPr>
              <w:t>Poultry</w:t>
            </w:r>
          </w:p>
        </w:tc>
      </w:tr>
    </w:tbl>
    <w:p w14:paraId="39E060A7" w14:textId="02625717" w:rsidR="00C016E8" w:rsidRPr="00702DDD" w:rsidRDefault="00F201FF" w:rsidP="00C016E8">
      <w:pPr>
        <w:rPr>
          <w:rFonts w:ascii="Times New Roman" w:hAnsi="Times New Roman" w:cs="Times New Roman"/>
        </w:rPr>
      </w:pPr>
      <w:r w:rsidRPr="00702DDD">
        <w:rPr>
          <w:rFonts w:ascii="Times New Roman" w:hAnsi="Times New Roman" w:cs="Times New Roman"/>
        </w:rPr>
        <w:t xml:space="preserve">Source: (UN </w:t>
      </w:r>
      <w:proofErr w:type="spellStart"/>
      <w:r w:rsidRPr="00702DDD">
        <w:rPr>
          <w:rFonts w:ascii="Times New Roman" w:hAnsi="Times New Roman" w:cs="Times New Roman"/>
        </w:rPr>
        <w:t>Comtrade</w:t>
      </w:r>
      <w:proofErr w:type="spellEnd"/>
      <w:r w:rsidRPr="00702DDD">
        <w:rPr>
          <w:rFonts w:ascii="Times New Roman" w:hAnsi="Times New Roman" w:cs="Times New Roman"/>
        </w:rPr>
        <w:t xml:space="preserve"> 2021)</w:t>
      </w:r>
    </w:p>
    <w:p w14:paraId="7BFD1E3C" w14:textId="77777777" w:rsidR="00C016E8" w:rsidRPr="00702DDD" w:rsidRDefault="00C016E8" w:rsidP="00C016E8">
      <w:pPr>
        <w:rPr>
          <w:rFonts w:ascii="Times New Roman" w:hAnsi="Times New Roman" w:cs="Times New Roman"/>
        </w:rPr>
      </w:pPr>
    </w:p>
    <w:p w14:paraId="51361F05" w14:textId="77777777" w:rsidR="009E361F" w:rsidRPr="00702DDD" w:rsidRDefault="009E361F" w:rsidP="00C016E8">
      <w:pPr>
        <w:rPr>
          <w:rFonts w:ascii="Times New Roman" w:hAnsi="Times New Roman" w:cs="Times New Roman"/>
        </w:rPr>
      </w:pPr>
    </w:p>
    <w:p w14:paraId="6FE8C094" w14:textId="387DE7E5" w:rsidR="009E361F" w:rsidRPr="00702DDD" w:rsidRDefault="009E361F" w:rsidP="00C016E8">
      <w:pPr>
        <w:rPr>
          <w:rFonts w:ascii="Times New Roman" w:hAnsi="Times New Roman" w:cs="Times New Roman"/>
        </w:rPr>
        <w:sectPr w:rsidR="009E361F" w:rsidRPr="00702DDD" w:rsidSect="00921C68">
          <w:pgSz w:w="15840" w:h="12240" w:orient="landscape"/>
          <w:pgMar w:top="1440" w:right="1440" w:bottom="1440" w:left="1440" w:header="720" w:footer="720" w:gutter="0"/>
          <w:cols w:space="720"/>
          <w:titlePg/>
          <w:docGrid w:linePitch="326"/>
        </w:sectPr>
      </w:pPr>
    </w:p>
    <w:p w14:paraId="4F30ECC5" w14:textId="77777777" w:rsidR="00C016E8" w:rsidRPr="00702DDD" w:rsidRDefault="00C016E8" w:rsidP="00C016E8">
      <w:pPr>
        <w:widowControl w:val="0"/>
        <w:pBdr>
          <w:top w:val="nil"/>
          <w:left w:val="nil"/>
          <w:bottom w:val="nil"/>
          <w:right w:val="nil"/>
          <w:between w:val="nil"/>
        </w:pBdr>
        <w:spacing w:line="276" w:lineRule="auto"/>
        <w:rPr>
          <w:rFonts w:ascii="Times New Roman" w:hAnsi="Times New Roman" w:cs="Times New Roman"/>
        </w:rPr>
      </w:pPr>
    </w:p>
    <w:tbl>
      <w:tblPr>
        <w:tblW w:w="9360" w:type="dxa"/>
        <w:tblBorders>
          <w:top w:val="nil"/>
          <w:left w:val="nil"/>
          <w:bottom w:val="nil"/>
          <w:right w:val="nil"/>
          <w:insideH w:val="nil"/>
          <w:insideV w:val="nil"/>
        </w:tblBorders>
        <w:tblLayout w:type="fixed"/>
        <w:tblLook w:val="04A0" w:firstRow="1" w:lastRow="0" w:firstColumn="1" w:lastColumn="0" w:noHBand="0" w:noVBand="1"/>
      </w:tblPr>
      <w:tblGrid>
        <w:gridCol w:w="2790"/>
        <w:gridCol w:w="3577"/>
        <w:gridCol w:w="2993"/>
      </w:tblGrid>
      <w:tr w:rsidR="00C016E8" w:rsidRPr="00702DDD" w14:paraId="2293BE37" w14:textId="77777777" w:rsidTr="00E83386">
        <w:trPr>
          <w:trHeight w:val="303"/>
        </w:trPr>
        <w:tc>
          <w:tcPr>
            <w:tcW w:w="9360" w:type="dxa"/>
            <w:gridSpan w:val="3"/>
            <w:tcBorders>
              <w:bottom w:val="single" w:sz="4" w:space="0" w:color="000000"/>
            </w:tcBorders>
            <w:shd w:val="clear" w:color="auto" w:fill="auto"/>
          </w:tcPr>
          <w:p w14:paraId="22F816E9" w14:textId="77777777" w:rsidR="00C016E8" w:rsidRPr="00702DDD" w:rsidRDefault="00C016E8" w:rsidP="00E83386">
            <w:pPr>
              <w:rPr>
                <w:rFonts w:ascii="Times New Roman" w:hAnsi="Times New Roman" w:cs="Times New Roman"/>
                <w:b/>
                <w:bCs/>
              </w:rPr>
            </w:pPr>
            <w:bookmarkStart w:id="77" w:name="OLE_LINK1"/>
            <w:r w:rsidRPr="00702DDD">
              <w:rPr>
                <w:rFonts w:ascii="Times New Roman" w:hAnsi="Times New Roman" w:cs="Times New Roman"/>
                <w:b/>
                <w:bCs/>
              </w:rPr>
              <w:t>Table 1.2: Top Mean Global Meat Exporters from 2000-2019</w:t>
            </w:r>
          </w:p>
        </w:tc>
      </w:tr>
      <w:tr w:rsidR="00C016E8" w:rsidRPr="00702DDD" w14:paraId="01E605E7" w14:textId="77777777" w:rsidTr="00E83386">
        <w:trPr>
          <w:trHeight w:val="303"/>
        </w:trPr>
        <w:tc>
          <w:tcPr>
            <w:tcW w:w="2790" w:type="dxa"/>
            <w:tcBorders>
              <w:top w:val="single" w:sz="4" w:space="0" w:color="000000"/>
              <w:bottom w:val="single" w:sz="4" w:space="0" w:color="000000"/>
            </w:tcBorders>
            <w:shd w:val="clear" w:color="auto" w:fill="auto"/>
          </w:tcPr>
          <w:p w14:paraId="18F50818" w14:textId="77777777" w:rsidR="00C016E8" w:rsidRPr="00702DDD" w:rsidRDefault="00C016E8" w:rsidP="00E83386">
            <w:pPr>
              <w:rPr>
                <w:rFonts w:ascii="Times New Roman" w:hAnsi="Times New Roman" w:cs="Times New Roman"/>
              </w:rPr>
            </w:pPr>
            <w:r w:rsidRPr="00702DDD">
              <w:rPr>
                <w:rFonts w:ascii="Times New Roman" w:hAnsi="Times New Roman" w:cs="Times New Roman"/>
              </w:rPr>
              <w:t>Country</w:t>
            </w:r>
          </w:p>
        </w:tc>
        <w:tc>
          <w:tcPr>
            <w:tcW w:w="3577" w:type="dxa"/>
            <w:tcBorders>
              <w:top w:val="single" w:sz="4" w:space="0" w:color="000000"/>
              <w:bottom w:val="single" w:sz="4" w:space="0" w:color="000000"/>
            </w:tcBorders>
            <w:shd w:val="clear" w:color="auto" w:fill="auto"/>
            <w:vAlign w:val="center"/>
          </w:tcPr>
          <w:p w14:paraId="0B443878" w14:textId="77777777" w:rsidR="00C016E8" w:rsidRPr="00702DDD" w:rsidRDefault="00C016E8" w:rsidP="00E83386">
            <w:pPr>
              <w:jc w:val="center"/>
              <w:rPr>
                <w:rFonts w:ascii="Times New Roman" w:hAnsi="Times New Roman" w:cs="Times New Roman"/>
                <w:b/>
              </w:rPr>
            </w:pPr>
            <w:r w:rsidRPr="00702DDD">
              <w:rPr>
                <w:rFonts w:ascii="Times New Roman" w:hAnsi="Times New Roman" w:cs="Times New Roman"/>
                <w:b/>
              </w:rPr>
              <w:t>Total Trade Value (US $)</w:t>
            </w:r>
          </w:p>
        </w:tc>
        <w:tc>
          <w:tcPr>
            <w:tcW w:w="2993" w:type="dxa"/>
            <w:tcBorders>
              <w:top w:val="single" w:sz="4" w:space="0" w:color="000000"/>
              <w:bottom w:val="single" w:sz="4" w:space="0" w:color="000000"/>
            </w:tcBorders>
            <w:shd w:val="clear" w:color="auto" w:fill="auto"/>
            <w:vAlign w:val="center"/>
          </w:tcPr>
          <w:p w14:paraId="53370C77" w14:textId="77777777" w:rsidR="00C016E8" w:rsidRPr="00702DDD" w:rsidRDefault="00C016E8" w:rsidP="00E83386">
            <w:pPr>
              <w:jc w:val="center"/>
              <w:rPr>
                <w:rFonts w:ascii="Times New Roman" w:hAnsi="Times New Roman" w:cs="Times New Roman"/>
                <w:b/>
              </w:rPr>
            </w:pPr>
            <w:r w:rsidRPr="00702DDD">
              <w:rPr>
                <w:rFonts w:ascii="Times New Roman" w:hAnsi="Times New Roman" w:cs="Times New Roman"/>
                <w:b/>
              </w:rPr>
              <w:t>% of World Trade</w:t>
            </w:r>
          </w:p>
        </w:tc>
      </w:tr>
      <w:tr w:rsidR="00C016E8" w:rsidRPr="00702DDD" w14:paraId="10F2E21A" w14:textId="77777777" w:rsidTr="00E83386">
        <w:trPr>
          <w:trHeight w:val="285"/>
        </w:trPr>
        <w:tc>
          <w:tcPr>
            <w:tcW w:w="2790" w:type="dxa"/>
            <w:tcBorders>
              <w:top w:val="single" w:sz="4" w:space="0" w:color="000000"/>
            </w:tcBorders>
            <w:shd w:val="clear" w:color="auto" w:fill="auto"/>
          </w:tcPr>
          <w:p w14:paraId="707D2C22" w14:textId="77777777" w:rsidR="00C016E8" w:rsidRPr="00702DDD" w:rsidRDefault="00C016E8" w:rsidP="00E83386">
            <w:pPr>
              <w:rPr>
                <w:rFonts w:ascii="Times New Roman" w:hAnsi="Times New Roman" w:cs="Times New Roman"/>
              </w:rPr>
            </w:pPr>
            <w:r w:rsidRPr="00702DDD">
              <w:rPr>
                <w:rFonts w:ascii="Times New Roman" w:hAnsi="Times New Roman" w:cs="Times New Roman"/>
              </w:rPr>
              <w:t>USA</w:t>
            </w:r>
          </w:p>
        </w:tc>
        <w:tc>
          <w:tcPr>
            <w:tcW w:w="3577" w:type="dxa"/>
            <w:tcBorders>
              <w:top w:val="single" w:sz="4" w:space="0" w:color="000000"/>
            </w:tcBorders>
            <w:shd w:val="clear" w:color="auto" w:fill="auto"/>
            <w:vAlign w:val="center"/>
          </w:tcPr>
          <w:p w14:paraId="0D12FD8F"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$231,913,177,113</w:t>
            </w:r>
          </w:p>
        </w:tc>
        <w:tc>
          <w:tcPr>
            <w:tcW w:w="2993" w:type="dxa"/>
            <w:tcBorders>
              <w:top w:val="single" w:sz="4" w:space="0" w:color="000000"/>
            </w:tcBorders>
            <w:shd w:val="clear" w:color="auto" w:fill="auto"/>
            <w:vAlign w:val="center"/>
          </w:tcPr>
          <w:p w14:paraId="2C95FC0A"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14.60%</w:t>
            </w:r>
          </w:p>
        </w:tc>
      </w:tr>
      <w:tr w:rsidR="00C016E8" w:rsidRPr="00702DDD" w14:paraId="4A4F79E1" w14:textId="77777777" w:rsidTr="00E83386">
        <w:trPr>
          <w:trHeight w:val="303"/>
        </w:trPr>
        <w:tc>
          <w:tcPr>
            <w:tcW w:w="2790" w:type="dxa"/>
            <w:shd w:val="clear" w:color="auto" w:fill="auto"/>
          </w:tcPr>
          <w:p w14:paraId="50D8CA73" w14:textId="77777777" w:rsidR="00C016E8" w:rsidRPr="00702DDD" w:rsidRDefault="00C016E8" w:rsidP="00E83386">
            <w:pPr>
              <w:rPr>
                <w:rFonts w:ascii="Times New Roman" w:hAnsi="Times New Roman" w:cs="Times New Roman"/>
              </w:rPr>
            </w:pPr>
            <w:r w:rsidRPr="00702DDD">
              <w:rPr>
                <w:rFonts w:ascii="Times New Roman" w:hAnsi="Times New Roman" w:cs="Times New Roman"/>
              </w:rPr>
              <w:t>Brazil</w:t>
            </w:r>
          </w:p>
        </w:tc>
        <w:tc>
          <w:tcPr>
            <w:tcW w:w="3577" w:type="dxa"/>
            <w:shd w:val="clear" w:color="auto" w:fill="auto"/>
            <w:vAlign w:val="center"/>
          </w:tcPr>
          <w:p w14:paraId="27DB70CD"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$200,208,608,857</w:t>
            </w:r>
          </w:p>
        </w:tc>
        <w:tc>
          <w:tcPr>
            <w:tcW w:w="2993" w:type="dxa"/>
            <w:shd w:val="clear" w:color="auto" w:fill="auto"/>
            <w:vAlign w:val="center"/>
          </w:tcPr>
          <w:p w14:paraId="288325D7" w14:textId="77777777" w:rsidR="00C016E8" w:rsidRPr="00702DDD" w:rsidRDefault="00C016E8" w:rsidP="00E83386">
            <w:pPr>
              <w:jc w:val="center"/>
              <w:rPr>
                <w:rFonts w:ascii="Times New Roman" w:hAnsi="Times New Roman" w:cs="Times New Roman"/>
              </w:rPr>
            </w:pPr>
            <w:r w:rsidRPr="00702DDD">
              <w:rPr>
                <w:rFonts w:ascii="Times New Roman" w:hAnsi="Times New Roman" w:cs="Times New Roman"/>
              </w:rPr>
              <w:t>12.60%</w:t>
            </w:r>
          </w:p>
        </w:tc>
      </w:tr>
      <w:tr w:rsidR="00C016E8" w:rsidRPr="00702DDD" w14:paraId="2E27C89F" w14:textId="77777777" w:rsidTr="00E83386">
        <w:trPr>
          <w:trHeight w:val="321"/>
        </w:trPr>
        <w:tc>
          <w:tcPr>
            <w:tcW w:w="2790" w:type="dxa"/>
            <w:shd w:val="clear" w:color="auto" w:fill="auto"/>
          </w:tcPr>
          <w:p w14:paraId="66037F3B" w14:textId="77777777" w:rsidR="00C016E8" w:rsidRPr="00702DDD" w:rsidRDefault="00C016E8" w:rsidP="00E83386">
            <w:pPr>
              <w:rPr>
                <w:rFonts w:ascii="Times New Roman" w:hAnsi="Times New Roman" w:cs="Times New Roman"/>
              </w:rPr>
            </w:pPr>
            <w:r w:rsidRPr="00702DDD">
              <w:rPr>
                <w:rFonts w:ascii="Times New Roman" w:hAnsi="Times New Roman" w:cs="Times New Roman"/>
              </w:rPr>
              <w:t>Netherlands</w:t>
            </w:r>
          </w:p>
        </w:tc>
        <w:tc>
          <w:tcPr>
            <w:tcW w:w="3577" w:type="dxa"/>
            <w:shd w:val="clear" w:color="auto" w:fill="auto"/>
            <w:vAlign w:val="center"/>
          </w:tcPr>
          <w:p w14:paraId="2F34FA1D"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$149,058,295,926</w:t>
            </w:r>
          </w:p>
        </w:tc>
        <w:tc>
          <w:tcPr>
            <w:tcW w:w="2993" w:type="dxa"/>
            <w:shd w:val="clear" w:color="auto" w:fill="auto"/>
            <w:vAlign w:val="center"/>
          </w:tcPr>
          <w:p w14:paraId="1E6BF1CB"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9.38%</w:t>
            </w:r>
          </w:p>
        </w:tc>
      </w:tr>
      <w:tr w:rsidR="00C016E8" w:rsidRPr="00702DDD" w14:paraId="10C1B116" w14:textId="77777777" w:rsidTr="00E83386">
        <w:trPr>
          <w:trHeight w:val="303"/>
        </w:trPr>
        <w:tc>
          <w:tcPr>
            <w:tcW w:w="2790" w:type="dxa"/>
            <w:shd w:val="clear" w:color="auto" w:fill="auto"/>
          </w:tcPr>
          <w:p w14:paraId="4748475D" w14:textId="77777777" w:rsidR="00C016E8" w:rsidRPr="00702DDD" w:rsidRDefault="00C016E8" w:rsidP="00E83386">
            <w:pPr>
              <w:rPr>
                <w:rFonts w:ascii="Times New Roman" w:hAnsi="Times New Roman" w:cs="Times New Roman"/>
              </w:rPr>
            </w:pPr>
            <w:r w:rsidRPr="00702DDD">
              <w:rPr>
                <w:rFonts w:ascii="Times New Roman" w:hAnsi="Times New Roman" w:cs="Times New Roman"/>
              </w:rPr>
              <w:t>Germany</w:t>
            </w:r>
          </w:p>
        </w:tc>
        <w:tc>
          <w:tcPr>
            <w:tcW w:w="3577" w:type="dxa"/>
            <w:shd w:val="clear" w:color="auto" w:fill="auto"/>
            <w:vAlign w:val="center"/>
          </w:tcPr>
          <w:p w14:paraId="3AE69F31"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$140,325,552,043</w:t>
            </w:r>
          </w:p>
        </w:tc>
        <w:tc>
          <w:tcPr>
            <w:tcW w:w="2993" w:type="dxa"/>
            <w:shd w:val="clear" w:color="auto" w:fill="auto"/>
            <w:vAlign w:val="center"/>
          </w:tcPr>
          <w:p w14:paraId="3C75DD90" w14:textId="77777777" w:rsidR="00C016E8" w:rsidRPr="00702DDD" w:rsidRDefault="00C016E8" w:rsidP="00E83386">
            <w:pPr>
              <w:jc w:val="center"/>
              <w:rPr>
                <w:rFonts w:ascii="Times New Roman" w:hAnsi="Times New Roman" w:cs="Times New Roman"/>
              </w:rPr>
            </w:pPr>
            <w:r w:rsidRPr="00702DDD">
              <w:rPr>
                <w:rFonts w:ascii="Times New Roman" w:hAnsi="Times New Roman" w:cs="Times New Roman"/>
              </w:rPr>
              <w:t>8.83%</w:t>
            </w:r>
          </w:p>
        </w:tc>
      </w:tr>
      <w:tr w:rsidR="00C016E8" w:rsidRPr="00702DDD" w14:paraId="46A761A6" w14:textId="77777777" w:rsidTr="00E83386">
        <w:trPr>
          <w:trHeight w:val="303"/>
        </w:trPr>
        <w:tc>
          <w:tcPr>
            <w:tcW w:w="2790" w:type="dxa"/>
            <w:shd w:val="clear" w:color="auto" w:fill="auto"/>
          </w:tcPr>
          <w:p w14:paraId="71B34F50" w14:textId="77777777" w:rsidR="00C016E8" w:rsidRPr="00702DDD" w:rsidRDefault="00C016E8" w:rsidP="00E83386">
            <w:pPr>
              <w:rPr>
                <w:rFonts w:ascii="Times New Roman" w:hAnsi="Times New Roman" w:cs="Times New Roman"/>
              </w:rPr>
            </w:pPr>
            <w:r w:rsidRPr="00702DDD">
              <w:rPr>
                <w:rFonts w:ascii="Times New Roman" w:hAnsi="Times New Roman" w:cs="Times New Roman"/>
              </w:rPr>
              <w:t>Australia</w:t>
            </w:r>
          </w:p>
        </w:tc>
        <w:tc>
          <w:tcPr>
            <w:tcW w:w="3577" w:type="dxa"/>
            <w:shd w:val="clear" w:color="auto" w:fill="auto"/>
            <w:vAlign w:val="center"/>
          </w:tcPr>
          <w:p w14:paraId="06F6A45B"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$132,367,722,962</w:t>
            </w:r>
          </w:p>
        </w:tc>
        <w:tc>
          <w:tcPr>
            <w:tcW w:w="2993" w:type="dxa"/>
            <w:shd w:val="clear" w:color="auto" w:fill="auto"/>
            <w:vAlign w:val="center"/>
          </w:tcPr>
          <w:p w14:paraId="3F0BE6F0" w14:textId="77777777" w:rsidR="00C016E8" w:rsidRPr="00702DDD" w:rsidRDefault="00C016E8" w:rsidP="00E83386">
            <w:pPr>
              <w:jc w:val="center"/>
              <w:rPr>
                <w:rFonts w:ascii="Times New Roman" w:hAnsi="Times New Roman" w:cs="Times New Roman"/>
              </w:rPr>
            </w:pPr>
            <w:r w:rsidRPr="00702DDD">
              <w:rPr>
                <w:rFonts w:ascii="Times New Roman" w:hAnsi="Times New Roman" w:cs="Times New Roman"/>
              </w:rPr>
              <w:t>8.33%</w:t>
            </w:r>
          </w:p>
        </w:tc>
      </w:tr>
      <w:tr w:rsidR="00C016E8" w:rsidRPr="00702DDD" w14:paraId="1A922668" w14:textId="77777777" w:rsidTr="00E83386">
        <w:trPr>
          <w:trHeight w:val="303"/>
        </w:trPr>
        <w:tc>
          <w:tcPr>
            <w:tcW w:w="2790" w:type="dxa"/>
            <w:shd w:val="clear" w:color="auto" w:fill="auto"/>
          </w:tcPr>
          <w:p w14:paraId="1E59FCB1" w14:textId="77777777" w:rsidR="00C016E8" w:rsidRPr="00702DDD" w:rsidRDefault="00C016E8" w:rsidP="00E83386">
            <w:pPr>
              <w:rPr>
                <w:rFonts w:ascii="Times New Roman" w:hAnsi="Times New Roman" w:cs="Times New Roman"/>
              </w:rPr>
            </w:pPr>
            <w:r w:rsidRPr="00702DDD">
              <w:rPr>
                <w:rFonts w:ascii="Times New Roman" w:hAnsi="Times New Roman" w:cs="Times New Roman"/>
              </w:rPr>
              <w:t>Denmark</w:t>
            </w:r>
          </w:p>
        </w:tc>
        <w:tc>
          <w:tcPr>
            <w:tcW w:w="3577" w:type="dxa"/>
            <w:shd w:val="clear" w:color="auto" w:fill="auto"/>
            <w:vAlign w:val="center"/>
          </w:tcPr>
          <w:p w14:paraId="7D3FCE8A"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$82,362,079,322</w:t>
            </w:r>
          </w:p>
        </w:tc>
        <w:tc>
          <w:tcPr>
            <w:tcW w:w="2993" w:type="dxa"/>
            <w:shd w:val="clear" w:color="auto" w:fill="auto"/>
            <w:vAlign w:val="center"/>
          </w:tcPr>
          <w:p w14:paraId="13E385D6" w14:textId="77777777" w:rsidR="00C016E8" w:rsidRPr="00702DDD" w:rsidRDefault="00C016E8" w:rsidP="00E83386">
            <w:pPr>
              <w:jc w:val="center"/>
              <w:rPr>
                <w:rFonts w:ascii="Times New Roman" w:hAnsi="Times New Roman" w:cs="Times New Roman"/>
              </w:rPr>
            </w:pPr>
            <w:r w:rsidRPr="00702DDD">
              <w:rPr>
                <w:rFonts w:ascii="Times New Roman" w:hAnsi="Times New Roman" w:cs="Times New Roman"/>
              </w:rPr>
              <w:t>5.19%</w:t>
            </w:r>
          </w:p>
        </w:tc>
      </w:tr>
      <w:tr w:rsidR="00C016E8" w:rsidRPr="00702DDD" w14:paraId="534191FD" w14:textId="77777777" w:rsidTr="00E83386">
        <w:trPr>
          <w:trHeight w:val="303"/>
        </w:trPr>
        <w:tc>
          <w:tcPr>
            <w:tcW w:w="2790" w:type="dxa"/>
            <w:shd w:val="clear" w:color="auto" w:fill="auto"/>
          </w:tcPr>
          <w:p w14:paraId="73D81814" w14:textId="77777777" w:rsidR="00C016E8" w:rsidRPr="00702DDD" w:rsidRDefault="00C016E8" w:rsidP="00E83386">
            <w:pPr>
              <w:rPr>
                <w:rFonts w:ascii="Times New Roman" w:hAnsi="Times New Roman" w:cs="Times New Roman"/>
              </w:rPr>
            </w:pPr>
            <w:r w:rsidRPr="00702DDD">
              <w:rPr>
                <w:rFonts w:ascii="Times New Roman" w:hAnsi="Times New Roman" w:cs="Times New Roman"/>
              </w:rPr>
              <w:t>Canada</w:t>
            </w:r>
          </w:p>
        </w:tc>
        <w:tc>
          <w:tcPr>
            <w:tcW w:w="3577" w:type="dxa"/>
            <w:shd w:val="clear" w:color="auto" w:fill="auto"/>
            <w:vAlign w:val="center"/>
          </w:tcPr>
          <w:p w14:paraId="4420AF3A"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$81,564,368,024</w:t>
            </w:r>
          </w:p>
        </w:tc>
        <w:tc>
          <w:tcPr>
            <w:tcW w:w="2993" w:type="dxa"/>
            <w:shd w:val="clear" w:color="auto" w:fill="auto"/>
            <w:vAlign w:val="center"/>
          </w:tcPr>
          <w:p w14:paraId="34EF1691" w14:textId="77777777" w:rsidR="00C016E8" w:rsidRPr="00702DDD" w:rsidRDefault="00C016E8" w:rsidP="00E83386">
            <w:pPr>
              <w:jc w:val="center"/>
              <w:rPr>
                <w:rFonts w:ascii="Times New Roman" w:hAnsi="Times New Roman" w:cs="Times New Roman"/>
              </w:rPr>
            </w:pPr>
            <w:r w:rsidRPr="00702DDD">
              <w:rPr>
                <w:rFonts w:ascii="Times New Roman" w:hAnsi="Times New Roman" w:cs="Times New Roman"/>
              </w:rPr>
              <w:t>5.14%</w:t>
            </w:r>
          </w:p>
        </w:tc>
      </w:tr>
      <w:tr w:rsidR="00C016E8" w:rsidRPr="00702DDD" w14:paraId="3EEA24F5" w14:textId="77777777" w:rsidTr="00E83386">
        <w:trPr>
          <w:trHeight w:val="303"/>
        </w:trPr>
        <w:tc>
          <w:tcPr>
            <w:tcW w:w="2790" w:type="dxa"/>
            <w:shd w:val="clear" w:color="auto" w:fill="auto"/>
          </w:tcPr>
          <w:p w14:paraId="158A8488" w14:textId="77777777" w:rsidR="00C016E8" w:rsidRPr="00702DDD" w:rsidRDefault="00C016E8" w:rsidP="00E83386">
            <w:pPr>
              <w:rPr>
                <w:rFonts w:ascii="Times New Roman" w:hAnsi="Times New Roman" w:cs="Times New Roman"/>
              </w:rPr>
            </w:pPr>
            <w:r w:rsidRPr="00702DDD">
              <w:rPr>
                <w:rFonts w:ascii="Times New Roman" w:hAnsi="Times New Roman" w:cs="Times New Roman"/>
              </w:rPr>
              <w:t>Spain</w:t>
            </w:r>
          </w:p>
        </w:tc>
        <w:tc>
          <w:tcPr>
            <w:tcW w:w="3577" w:type="dxa"/>
            <w:shd w:val="clear" w:color="auto" w:fill="auto"/>
            <w:vAlign w:val="center"/>
          </w:tcPr>
          <w:p w14:paraId="7E0B2547"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$79,526,910,644</w:t>
            </w:r>
          </w:p>
        </w:tc>
        <w:tc>
          <w:tcPr>
            <w:tcW w:w="2993" w:type="dxa"/>
            <w:shd w:val="clear" w:color="auto" w:fill="auto"/>
            <w:vAlign w:val="center"/>
          </w:tcPr>
          <w:p w14:paraId="0CA206C3" w14:textId="77777777" w:rsidR="00C016E8" w:rsidRPr="00702DDD" w:rsidRDefault="00C016E8" w:rsidP="00E83386">
            <w:pPr>
              <w:jc w:val="center"/>
              <w:rPr>
                <w:rFonts w:ascii="Times New Roman" w:hAnsi="Times New Roman" w:cs="Times New Roman"/>
              </w:rPr>
            </w:pPr>
            <w:r w:rsidRPr="00702DDD">
              <w:rPr>
                <w:rFonts w:ascii="Times New Roman" w:hAnsi="Times New Roman" w:cs="Times New Roman"/>
              </w:rPr>
              <w:t>5.01%</w:t>
            </w:r>
          </w:p>
        </w:tc>
      </w:tr>
      <w:tr w:rsidR="00C016E8" w:rsidRPr="00702DDD" w14:paraId="65E1D85F" w14:textId="77777777" w:rsidTr="00E83386">
        <w:trPr>
          <w:trHeight w:val="303"/>
        </w:trPr>
        <w:tc>
          <w:tcPr>
            <w:tcW w:w="2790" w:type="dxa"/>
            <w:shd w:val="clear" w:color="auto" w:fill="auto"/>
          </w:tcPr>
          <w:p w14:paraId="379894BC" w14:textId="77777777" w:rsidR="00C016E8" w:rsidRPr="00702DDD" w:rsidRDefault="00C016E8" w:rsidP="00E83386">
            <w:pPr>
              <w:rPr>
                <w:rFonts w:ascii="Times New Roman" w:hAnsi="Times New Roman" w:cs="Times New Roman"/>
              </w:rPr>
            </w:pPr>
            <w:r w:rsidRPr="00702DDD">
              <w:rPr>
                <w:rFonts w:ascii="Times New Roman" w:hAnsi="Times New Roman" w:cs="Times New Roman"/>
              </w:rPr>
              <w:t>France</w:t>
            </w:r>
          </w:p>
        </w:tc>
        <w:tc>
          <w:tcPr>
            <w:tcW w:w="3577" w:type="dxa"/>
            <w:shd w:val="clear" w:color="auto" w:fill="auto"/>
            <w:vAlign w:val="center"/>
          </w:tcPr>
          <w:p w14:paraId="738EBFF1"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$74,160,817,259</w:t>
            </w:r>
          </w:p>
        </w:tc>
        <w:tc>
          <w:tcPr>
            <w:tcW w:w="2993" w:type="dxa"/>
            <w:shd w:val="clear" w:color="auto" w:fill="auto"/>
            <w:vAlign w:val="center"/>
          </w:tcPr>
          <w:p w14:paraId="466683FA" w14:textId="77777777" w:rsidR="00C016E8" w:rsidRPr="00702DDD" w:rsidRDefault="00C016E8" w:rsidP="00E83386">
            <w:pPr>
              <w:jc w:val="center"/>
              <w:rPr>
                <w:rFonts w:ascii="Times New Roman" w:hAnsi="Times New Roman" w:cs="Times New Roman"/>
              </w:rPr>
            </w:pPr>
            <w:r w:rsidRPr="00702DDD">
              <w:rPr>
                <w:rFonts w:ascii="Times New Roman" w:hAnsi="Times New Roman" w:cs="Times New Roman"/>
              </w:rPr>
              <w:t>4.67%</w:t>
            </w:r>
          </w:p>
        </w:tc>
      </w:tr>
      <w:tr w:rsidR="00C016E8" w:rsidRPr="00702DDD" w14:paraId="0B6BCF66" w14:textId="77777777" w:rsidTr="00E83386">
        <w:trPr>
          <w:trHeight w:val="303"/>
        </w:trPr>
        <w:tc>
          <w:tcPr>
            <w:tcW w:w="2790" w:type="dxa"/>
            <w:shd w:val="clear" w:color="auto" w:fill="auto"/>
          </w:tcPr>
          <w:p w14:paraId="2436AA73" w14:textId="77777777" w:rsidR="00C016E8" w:rsidRPr="00702DDD" w:rsidRDefault="00C016E8" w:rsidP="00E83386">
            <w:pPr>
              <w:rPr>
                <w:rFonts w:ascii="Times New Roman" w:hAnsi="Times New Roman" w:cs="Times New Roman"/>
              </w:rPr>
            </w:pPr>
            <w:r w:rsidRPr="00702DDD">
              <w:rPr>
                <w:rFonts w:ascii="Times New Roman" w:hAnsi="Times New Roman" w:cs="Times New Roman"/>
              </w:rPr>
              <w:t>New Zealand</w:t>
            </w:r>
          </w:p>
        </w:tc>
        <w:tc>
          <w:tcPr>
            <w:tcW w:w="3577" w:type="dxa"/>
            <w:shd w:val="clear" w:color="auto" w:fill="auto"/>
            <w:vAlign w:val="center"/>
          </w:tcPr>
          <w:p w14:paraId="6035D3DE"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$74,041,685,052</w:t>
            </w:r>
          </w:p>
        </w:tc>
        <w:tc>
          <w:tcPr>
            <w:tcW w:w="2993" w:type="dxa"/>
            <w:shd w:val="clear" w:color="auto" w:fill="auto"/>
            <w:vAlign w:val="center"/>
          </w:tcPr>
          <w:p w14:paraId="0C0DE08A" w14:textId="77777777" w:rsidR="00C016E8" w:rsidRPr="00702DDD" w:rsidRDefault="00C016E8" w:rsidP="00E83386">
            <w:pPr>
              <w:jc w:val="center"/>
              <w:rPr>
                <w:rFonts w:ascii="Times New Roman" w:hAnsi="Times New Roman" w:cs="Times New Roman"/>
              </w:rPr>
            </w:pPr>
            <w:r w:rsidRPr="00702DDD">
              <w:rPr>
                <w:rFonts w:ascii="Times New Roman" w:hAnsi="Times New Roman" w:cs="Times New Roman"/>
              </w:rPr>
              <w:t>4.66%</w:t>
            </w:r>
          </w:p>
        </w:tc>
      </w:tr>
      <w:tr w:rsidR="00C016E8" w:rsidRPr="00702DDD" w14:paraId="334DEEF4" w14:textId="77777777" w:rsidTr="00E83386">
        <w:trPr>
          <w:trHeight w:val="303"/>
        </w:trPr>
        <w:tc>
          <w:tcPr>
            <w:tcW w:w="2790" w:type="dxa"/>
            <w:shd w:val="clear" w:color="auto" w:fill="auto"/>
          </w:tcPr>
          <w:p w14:paraId="4200378C" w14:textId="77777777" w:rsidR="00C016E8" w:rsidRPr="00702DDD" w:rsidRDefault="00C016E8" w:rsidP="00E83386">
            <w:pPr>
              <w:rPr>
                <w:rFonts w:ascii="Times New Roman" w:hAnsi="Times New Roman" w:cs="Times New Roman"/>
              </w:rPr>
            </w:pPr>
            <w:r w:rsidRPr="00702DDD">
              <w:rPr>
                <w:rFonts w:ascii="Times New Roman" w:hAnsi="Times New Roman" w:cs="Times New Roman"/>
              </w:rPr>
              <w:t>Belgium</w:t>
            </w:r>
          </w:p>
        </w:tc>
        <w:tc>
          <w:tcPr>
            <w:tcW w:w="3577" w:type="dxa"/>
            <w:shd w:val="clear" w:color="auto" w:fill="auto"/>
            <w:vAlign w:val="center"/>
          </w:tcPr>
          <w:p w14:paraId="1D5FD83E"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$68,314,870,874</w:t>
            </w:r>
          </w:p>
        </w:tc>
        <w:tc>
          <w:tcPr>
            <w:tcW w:w="2993" w:type="dxa"/>
            <w:shd w:val="clear" w:color="auto" w:fill="auto"/>
            <w:vAlign w:val="center"/>
          </w:tcPr>
          <w:p w14:paraId="00F788F6" w14:textId="77777777" w:rsidR="00C016E8" w:rsidRPr="00702DDD" w:rsidRDefault="00C016E8" w:rsidP="00E83386">
            <w:pPr>
              <w:jc w:val="center"/>
              <w:rPr>
                <w:rFonts w:ascii="Times New Roman" w:hAnsi="Times New Roman" w:cs="Times New Roman"/>
              </w:rPr>
            </w:pPr>
            <w:r w:rsidRPr="00702DDD">
              <w:rPr>
                <w:rFonts w:ascii="Times New Roman" w:hAnsi="Times New Roman" w:cs="Times New Roman"/>
              </w:rPr>
              <w:t>4.30%</w:t>
            </w:r>
          </w:p>
        </w:tc>
      </w:tr>
      <w:tr w:rsidR="00C016E8" w:rsidRPr="00702DDD" w14:paraId="5D66407C" w14:textId="77777777" w:rsidTr="00E83386">
        <w:trPr>
          <w:trHeight w:val="303"/>
        </w:trPr>
        <w:tc>
          <w:tcPr>
            <w:tcW w:w="2790" w:type="dxa"/>
            <w:shd w:val="clear" w:color="auto" w:fill="auto"/>
          </w:tcPr>
          <w:p w14:paraId="4FD4D936" w14:textId="77777777" w:rsidR="00C016E8" w:rsidRPr="00702DDD" w:rsidRDefault="00C016E8" w:rsidP="00E83386">
            <w:pPr>
              <w:rPr>
                <w:rFonts w:ascii="Times New Roman" w:hAnsi="Times New Roman" w:cs="Times New Roman"/>
              </w:rPr>
            </w:pPr>
            <w:r w:rsidRPr="00702DDD">
              <w:rPr>
                <w:rFonts w:ascii="Times New Roman" w:hAnsi="Times New Roman" w:cs="Times New Roman"/>
              </w:rPr>
              <w:t>Poland</w:t>
            </w:r>
          </w:p>
        </w:tc>
        <w:tc>
          <w:tcPr>
            <w:tcW w:w="3577" w:type="dxa"/>
            <w:shd w:val="clear" w:color="auto" w:fill="auto"/>
            <w:vAlign w:val="center"/>
          </w:tcPr>
          <w:p w14:paraId="339DD867"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$56,286,544,108</w:t>
            </w:r>
          </w:p>
        </w:tc>
        <w:tc>
          <w:tcPr>
            <w:tcW w:w="2993" w:type="dxa"/>
            <w:shd w:val="clear" w:color="auto" w:fill="auto"/>
            <w:vAlign w:val="center"/>
          </w:tcPr>
          <w:p w14:paraId="4983B93D"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3.54%</w:t>
            </w:r>
          </w:p>
        </w:tc>
      </w:tr>
      <w:tr w:rsidR="00C016E8" w:rsidRPr="00702DDD" w14:paraId="0860601F" w14:textId="77777777" w:rsidTr="00E83386">
        <w:trPr>
          <w:trHeight w:val="303"/>
        </w:trPr>
        <w:tc>
          <w:tcPr>
            <w:tcW w:w="2790" w:type="dxa"/>
            <w:shd w:val="clear" w:color="auto" w:fill="auto"/>
          </w:tcPr>
          <w:p w14:paraId="36C4C165" w14:textId="77777777" w:rsidR="00C016E8" w:rsidRPr="00702DDD" w:rsidRDefault="00C016E8" w:rsidP="00E83386">
            <w:pPr>
              <w:rPr>
                <w:rFonts w:ascii="Times New Roman" w:hAnsi="Times New Roman" w:cs="Times New Roman"/>
              </w:rPr>
            </w:pPr>
            <w:r w:rsidRPr="00702DDD">
              <w:rPr>
                <w:rFonts w:ascii="Times New Roman" w:hAnsi="Times New Roman" w:cs="Times New Roman"/>
              </w:rPr>
              <w:t>Ireland</w:t>
            </w:r>
          </w:p>
        </w:tc>
        <w:tc>
          <w:tcPr>
            <w:tcW w:w="3577" w:type="dxa"/>
            <w:shd w:val="clear" w:color="auto" w:fill="auto"/>
            <w:vAlign w:val="center"/>
          </w:tcPr>
          <w:p w14:paraId="353C0C32"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$52,220,003,080</w:t>
            </w:r>
          </w:p>
        </w:tc>
        <w:tc>
          <w:tcPr>
            <w:tcW w:w="2993" w:type="dxa"/>
            <w:shd w:val="clear" w:color="auto" w:fill="auto"/>
            <w:vAlign w:val="center"/>
          </w:tcPr>
          <w:p w14:paraId="5BAC9F19" w14:textId="77777777" w:rsidR="00C016E8" w:rsidRPr="00702DDD" w:rsidRDefault="00C016E8" w:rsidP="00E83386">
            <w:pPr>
              <w:jc w:val="center"/>
              <w:rPr>
                <w:rFonts w:ascii="Times New Roman" w:hAnsi="Times New Roman" w:cs="Times New Roman"/>
              </w:rPr>
            </w:pPr>
            <w:r w:rsidRPr="00702DDD">
              <w:rPr>
                <w:rFonts w:ascii="Times New Roman" w:hAnsi="Times New Roman" w:cs="Times New Roman"/>
              </w:rPr>
              <w:t>3.29%</w:t>
            </w:r>
          </w:p>
        </w:tc>
      </w:tr>
      <w:tr w:rsidR="00C016E8" w:rsidRPr="00702DDD" w14:paraId="42AD4AE7" w14:textId="77777777" w:rsidTr="00E83386">
        <w:trPr>
          <w:trHeight w:val="303"/>
        </w:trPr>
        <w:tc>
          <w:tcPr>
            <w:tcW w:w="2790" w:type="dxa"/>
            <w:shd w:val="clear" w:color="auto" w:fill="auto"/>
          </w:tcPr>
          <w:p w14:paraId="74543729" w14:textId="77777777" w:rsidR="00C016E8" w:rsidRPr="00702DDD" w:rsidRDefault="00C016E8" w:rsidP="00E83386">
            <w:pPr>
              <w:rPr>
                <w:rFonts w:ascii="Times New Roman" w:hAnsi="Times New Roman" w:cs="Times New Roman"/>
              </w:rPr>
            </w:pPr>
            <w:r w:rsidRPr="00702DDD">
              <w:rPr>
                <w:rFonts w:ascii="Times New Roman" w:hAnsi="Times New Roman" w:cs="Times New Roman"/>
              </w:rPr>
              <w:t>India</w:t>
            </w:r>
          </w:p>
        </w:tc>
        <w:tc>
          <w:tcPr>
            <w:tcW w:w="3577" w:type="dxa"/>
            <w:shd w:val="clear" w:color="auto" w:fill="auto"/>
            <w:vAlign w:val="center"/>
          </w:tcPr>
          <w:p w14:paraId="5DD51F0C"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$43,313,138,310</w:t>
            </w:r>
          </w:p>
        </w:tc>
        <w:tc>
          <w:tcPr>
            <w:tcW w:w="2993" w:type="dxa"/>
            <w:shd w:val="clear" w:color="auto" w:fill="auto"/>
            <w:vAlign w:val="center"/>
          </w:tcPr>
          <w:p w14:paraId="5414F2A3" w14:textId="77777777" w:rsidR="00C016E8" w:rsidRPr="00702DDD" w:rsidRDefault="00C016E8" w:rsidP="00E83386">
            <w:pPr>
              <w:jc w:val="center"/>
              <w:rPr>
                <w:rFonts w:ascii="Times New Roman" w:hAnsi="Times New Roman" w:cs="Times New Roman"/>
              </w:rPr>
            </w:pPr>
            <w:r w:rsidRPr="00702DDD">
              <w:rPr>
                <w:rFonts w:ascii="Times New Roman" w:hAnsi="Times New Roman" w:cs="Times New Roman"/>
              </w:rPr>
              <w:t>2.73%</w:t>
            </w:r>
          </w:p>
        </w:tc>
      </w:tr>
      <w:tr w:rsidR="00C016E8" w:rsidRPr="00702DDD" w14:paraId="25F83B6F" w14:textId="77777777" w:rsidTr="00E83386">
        <w:trPr>
          <w:trHeight w:val="303"/>
        </w:trPr>
        <w:tc>
          <w:tcPr>
            <w:tcW w:w="2790" w:type="dxa"/>
            <w:shd w:val="clear" w:color="auto" w:fill="auto"/>
          </w:tcPr>
          <w:p w14:paraId="0D1F6B25" w14:textId="77777777" w:rsidR="00C016E8" w:rsidRPr="00702DDD" w:rsidRDefault="00C016E8" w:rsidP="00E83386">
            <w:pPr>
              <w:rPr>
                <w:rFonts w:ascii="Times New Roman" w:hAnsi="Times New Roman" w:cs="Times New Roman"/>
              </w:rPr>
            </w:pPr>
            <w:r w:rsidRPr="00702DDD">
              <w:rPr>
                <w:rFonts w:ascii="Times New Roman" w:hAnsi="Times New Roman" w:cs="Times New Roman"/>
              </w:rPr>
              <w:t>Italy</w:t>
            </w:r>
          </w:p>
        </w:tc>
        <w:tc>
          <w:tcPr>
            <w:tcW w:w="3577" w:type="dxa"/>
            <w:shd w:val="clear" w:color="auto" w:fill="auto"/>
            <w:vAlign w:val="center"/>
          </w:tcPr>
          <w:p w14:paraId="095E1B26"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$38,196,052,609</w:t>
            </w:r>
          </w:p>
        </w:tc>
        <w:tc>
          <w:tcPr>
            <w:tcW w:w="2993" w:type="dxa"/>
            <w:shd w:val="clear" w:color="auto" w:fill="auto"/>
            <w:vAlign w:val="center"/>
          </w:tcPr>
          <w:p w14:paraId="7A4436D3" w14:textId="77777777" w:rsidR="00C016E8" w:rsidRPr="00702DDD" w:rsidRDefault="00C016E8" w:rsidP="00E83386">
            <w:pPr>
              <w:jc w:val="center"/>
              <w:rPr>
                <w:rFonts w:ascii="Times New Roman" w:hAnsi="Times New Roman" w:cs="Times New Roman"/>
              </w:rPr>
            </w:pPr>
            <w:r w:rsidRPr="00702DDD">
              <w:rPr>
                <w:rFonts w:ascii="Times New Roman" w:hAnsi="Times New Roman" w:cs="Times New Roman"/>
              </w:rPr>
              <w:t>2.40%</w:t>
            </w:r>
          </w:p>
        </w:tc>
      </w:tr>
      <w:tr w:rsidR="00C016E8" w:rsidRPr="00702DDD" w14:paraId="136A1E7C" w14:textId="77777777" w:rsidTr="00E83386">
        <w:trPr>
          <w:trHeight w:val="303"/>
        </w:trPr>
        <w:tc>
          <w:tcPr>
            <w:tcW w:w="2790" w:type="dxa"/>
            <w:shd w:val="clear" w:color="auto" w:fill="auto"/>
          </w:tcPr>
          <w:p w14:paraId="3F0CD1B0" w14:textId="77777777" w:rsidR="00C016E8" w:rsidRPr="00702DDD" w:rsidRDefault="00C016E8" w:rsidP="00E83386">
            <w:pPr>
              <w:rPr>
                <w:rFonts w:ascii="Times New Roman" w:hAnsi="Times New Roman" w:cs="Times New Roman"/>
              </w:rPr>
            </w:pPr>
            <w:r w:rsidRPr="00702DDD">
              <w:rPr>
                <w:rFonts w:ascii="Times New Roman" w:hAnsi="Times New Roman" w:cs="Times New Roman"/>
              </w:rPr>
              <w:t>United Kingdom</w:t>
            </w:r>
          </w:p>
        </w:tc>
        <w:tc>
          <w:tcPr>
            <w:tcW w:w="3577" w:type="dxa"/>
            <w:shd w:val="clear" w:color="auto" w:fill="auto"/>
            <w:vAlign w:val="center"/>
          </w:tcPr>
          <w:p w14:paraId="69D527E6"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$32,530,448,511</w:t>
            </w:r>
          </w:p>
        </w:tc>
        <w:tc>
          <w:tcPr>
            <w:tcW w:w="2993" w:type="dxa"/>
            <w:shd w:val="clear" w:color="auto" w:fill="auto"/>
            <w:vAlign w:val="center"/>
          </w:tcPr>
          <w:p w14:paraId="31689007" w14:textId="77777777" w:rsidR="00C016E8" w:rsidRPr="00702DDD" w:rsidRDefault="00C016E8" w:rsidP="00E83386">
            <w:pPr>
              <w:jc w:val="center"/>
              <w:rPr>
                <w:rFonts w:ascii="Times New Roman" w:hAnsi="Times New Roman" w:cs="Times New Roman"/>
              </w:rPr>
            </w:pPr>
            <w:r w:rsidRPr="00702DDD">
              <w:rPr>
                <w:rFonts w:ascii="Times New Roman" w:hAnsi="Times New Roman" w:cs="Times New Roman"/>
              </w:rPr>
              <w:t>2.05%</w:t>
            </w:r>
          </w:p>
        </w:tc>
      </w:tr>
      <w:tr w:rsidR="00C016E8" w:rsidRPr="00702DDD" w14:paraId="20BFC400" w14:textId="77777777" w:rsidTr="00E83386">
        <w:trPr>
          <w:trHeight w:val="303"/>
        </w:trPr>
        <w:tc>
          <w:tcPr>
            <w:tcW w:w="2790" w:type="dxa"/>
            <w:shd w:val="clear" w:color="auto" w:fill="auto"/>
          </w:tcPr>
          <w:p w14:paraId="69202887" w14:textId="77777777" w:rsidR="00C016E8" w:rsidRPr="00702DDD" w:rsidRDefault="00C016E8" w:rsidP="00E83386">
            <w:pPr>
              <w:rPr>
                <w:rFonts w:ascii="Times New Roman" w:hAnsi="Times New Roman" w:cs="Times New Roman"/>
              </w:rPr>
            </w:pPr>
            <w:r w:rsidRPr="00702DDD">
              <w:rPr>
                <w:rFonts w:ascii="Times New Roman" w:hAnsi="Times New Roman" w:cs="Times New Roman"/>
              </w:rPr>
              <w:t>Argentina</w:t>
            </w:r>
          </w:p>
        </w:tc>
        <w:tc>
          <w:tcPr>
            <w:tcW w:w="3577" w:type="dxa"/>
            <w:shd w:val="clear" w:color="auto" w:fill="auto"/>
            <w:vAlign w:val="center"/>
          </w:tcPr>
          <w:p w14:paraId="11BFA6B3"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$31,510,773,054</w:t>
            </w:r>
          </w:p>
        </w:tc>
        <w:tc>
          <w:tcPr>
            <w:tcW w:w="2993" w:type="dxa"/>
            <w:shd w:val="clear" w:color="auto" w:fill="auto"/>
            <w:vAlign w:val="center"/>
          </w:tcPr>
          <w:p w14:paraId="006AEAD6" w14:textId="77777777" w:rsidR="00C016E8" w:rsidRPr="00702DDD" w:rsidRDefault="00C016E8" w:rsidP="00E83386">
            <w:pPr>
              <w:jc w:val="center"/>
              <w:rPr>
                <w:rFonts w:ascii="Times New Roman" w:hAnsi="Times New Roman" w:cs="Times New Roman"/>
              </w:rPr>
            </w:pPr>
            <w:r w:rsidRPr="00702DDD">
              <w:rPr>
                <w:rFonts w:ascii="Times New Roman" w:hAnsi="Times New Roman" w:cs="Times New Roman"/>
              </w:rPr>
              <w:t>1.98%</w:t>
            </w:r>
          </w:p>
        </w:tc>
      </w:tr>
      <w:tr w:rsidR="00C016E8" w:rsidRPr="00702DDD" w14:paraId="4B433CB4" w14:textId="77777777" w:rsidTr="00E83386">
        <w:trPr>
          <w:trHeight w:val="303"/>
        </w:trPr>
        <w:tc>
          <w:tcPr>
            <w:tcW w:w="2790" w:type="dxa"/>
            <w:shd w:val="clear" w:color="auto" w:fill="auto"/>
          </w:tcPr>
          <w:p w14:paraId="77CEE693" w14:textId="77777777" w:rsidR="00C016E8" w:rsidRPr="00702DDD" w:rsidRDefault="00C016E8" w:rsidP="00E83386">
            <w:pPr>
              <w:rPr>
                <w:rFonts w:ascii="Times New Roman" w:hAnsi="Times New Roman" w:cs="Times New Roman"/>
              </w:rPr>
            </w:pPr>
            <w:r w:rsidRPr="00702DDD">
              <w:rPr>
                <w:rFonts w:ascii="Times New Roman" w:hAnsi="Times New Roman" w:cs="Times New Roman"/>
              </w:rPr>
              <w:t>Uruguay</w:t>
            </w:r>
          </w:p>
        </w:tc>
        <w:tc>
          <w:tcPr>
            <w:tcW w:w="3577" w:type="dxa"/>
            <w:shd w:val="clear" w:color="auto" w:fill="auto"/>
            <w:vAlign w:val="center"/>
          </w:tcPr>
          <w:p w14:paraId="5770920B"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$23,424,429,775</w:t>
            </w:r>
          </w:p>
        </w:tc>
        <w:tc>
          <w:tcPr>
            <w:tcW w:w="2993" w:type="dxa"/>
            <w:shd w:val="clear" w:color="auto" w:fill="auto"/>
            <w:vAlign w:val="center"/>
          </w:tcPr>
          <w:p w14:paraId="149FA32A"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1.47%</w:t>
            </w:r>
          </w:p>
        </w:tc>
      </w:tr>
      <w:tr w:rsidR="00C016E8" w:rsidRPr="00702DDD" w14:paraId="3AC5CE3E" w14:textId="77777777" w:rsidTr="00E83386">
        <w:trPr>
          <w:trHeight w:val="303"/>
        </w:trPr>
        <w:tc>
          <w:tcPr>
            <w:tcW w:w="2790" w:type="dxa"/>
            <w:shd w:val="clear" w:color="auto" w:fill="auto"/>
          </w:tcPr>
          <w:p w14:paraId="6D7C92F0" w14:textId="77777777" w:rsidR="00C016E8" w:rsidRPr="00702DDD" w:rsidRDefault="00C016E8" w:rsidP="00E83386">
            <w:pPr>
              <w:rPr>
                <w:rFonts w:ascii="Times New Roman" w:hAnsi="Times New Roman" w:cs="Times New Roman"/>
              </w:rPr>
            </w:pPr>
            <w:r w:rsidRPr="00702DDD">
              <w:rPr>
                <w:rFonts w:ascii="Times New Roman" w:hAnsi="Times New Roman" w:cs="Times New Roman"/>
              </w:rPr>
              <w:t>Austria</w:t>
            </w:r>
          </w:p>
        </w:tc>
        <w:tc>
          <w:tcPr>
            <w:tcW w:w="3577" w:type="dxa"/>
            <w:shd w:val="clear" w:color="auto" w:fill="auto"/>
            <w:vAlign w:val="center"/>
          </w:tcPr>
          <w:p w14:paraId="5F1E0150"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$20,948,711,089</w:t>
            </w:r>
          </w:p>
        </w:tc>
        <w:tc>
          <w:tcPr>
            <w:tcW w:w="2993" w:type="dxa"/>
            <w:shd w:val="clear" w:color="auto" w:fill="auto"/>
            <w:vAlign w:val="center"/>
          </w:tcPr>
          <w:p w14:paraId="1D254B48" w14:textId="77777777" w:rsidR="00C016E8" w:rsidRPr="00702DDD" w:rsidRDefault="00C016E8" w:rsidP="00E83386">
            <w:pPr>
              <w:jc w:val="center"/>
              <w:rPr>
                <w:rFonts w:ascii="Times New Roman" w:hAnsi="Times New Roman" w:cs="Times New Roman"/>
              </w:rPr>
            </w:pPr>
            <w:r w:rsidRPr="00702DDD">
              <w:rPr>
                <w:rFonts w:ascii="Times New Roman" w:hAnsi="Times New Roman" w:cs="Times New Roman"/>
              </w:rPr>
              <w:t>1.32%</w:t>
            </w:r>
          </w:p>
        </w:tc>
      </w:tr>
      <w:tr w:rsidR="00C016E8" w:rsidRPr="00702DDD" w14:paraId="558E30AB" w14:textId="77777777" w:rsidTr="00E83386">
        <w:trPr>
          <w:trHeight w:val="303"/>
        </w:trPr>
        <w:tc>
          <w:tcPr>
            <w:tcW w:w="2790" w:type="dxa"/>
            <w:shd w:val="clear" w:color="auto" w:fill="auto"/>
          </w:tcPr>
          <w:p w14:paraId="5185E622" w14:textId="77777777" w:rsidR="00C016E8" w:rsidRPr="00702DDD" w:rsidRDefault="00C016E8" w:rsidP="00E83386">
            <w:pPr>
              <w:rPr>
                <w:rFonts w:ascii="Times New Roman" w:hAnsi="Times New Roman" w:cs="Times New Roman"/>
              </w:rPr>
            </w:pPr>
            <w:r w:rsidRPr="00702DDD">
              <w:rPr>
                <w:rFonts w:ascii="Times New Roman" w:hAnsi="Times New Roman" w:cs="Times New Roman"/>
              </w:rPr>
              <w:t>Hungary</w:t>
            </w:r>
          </w:p>
        </w:tc>
        <w:tc>
          <w:tcPr>
            <w:tcW w:w="3577" w:type="dxa"/>
            <w:shd w:val="clear" w:color="auto" w:fill="auto"/>
            <w:vAlign w:val="center"/>
          </w:tcPr>
          <w:p w14:paraId="18DA7661"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$19,033,579,887</w:t>
            </w:r>
          </w:p>
        </w:tc>
        <w:tc>
          <w:tcPr>
            <w:tcW w:w="2993" w:type="dxa"/>
            <w:shd w:val="clear" w:color="auto" w:fill="auto"/>
            <w:vAlign w:val="center"/>
          </w:tcPr>
          <w:p w14:paraId="0FFC1A6B" w14:textId="77777777" w:rsidR="00C016E8" w:rsidRPr="00702DDD" w:rsidRDefault="00C016E8" w:rsidP="00E83386">
            <w:pPr>
              <w:jc w:val="center"/>
              <w:rPr>
                <w:rFonts w:ascii="Times New Roman" w:hAnsi="Times New Roman" w:cs="Times New Roman"/>
              </w:rPr>
            </w:pPr>
            <w:r w:rsidRPr="00702DDD">
              <w:rPr>
                <w:rFonts w:ascii="Times New Roman" w:hAnsi="Times New Roman" w:cs="Times New Roman"/>
              </w:rPr>
              <w:t>1.20%</w:t>
            </w:r>
          </w:p>
        </w:tc>
      </w:tr>
      <w:tr w:rsidR="00C016E8" w:rsidRPr="00702DDD" w14:paraId="4B2808CC" w14:textId="77777777" w:rsidTr="00E83386">
        <w:trPr>
          <w:trHeight w:val="321"/>
        </w:trPr>
        <w:tc>
          <w:tcPr>
            <w:tcW w:w="2790" w:type="dxa"/>
            <w:shd w:val="clear" w:color="auto" w:fill="auto"/>
          </w:tcPr>
          <w:p w14:paraId="4AEDF9FF" w14:textId="77777777" w:rsidR="00C016E8" w:rsidRPr="00702DDD" w:rsidRDefault="00C016E8" w:rsidP="00E83386">
            <w:pPr>
              <w:rPr>
                <w:rFonts w:ascii="Times New Roman" w:hAnsi="Times New Roman" w:cs="Times New Roman"/>
              </w:rPr>
            </w:pPr>
            <w:r w:rsidRPr="00702DDD">
              <w:rPr>
                <w:rFonts w:ascii="Times New Roman" w:hAnsi="Times New Roman" w:cs="Times New Roman"/>
              </w:rPr>
              <w:t>Mexico</w:t>
            </w:r>
          </w:p>
        </w:tc>
        <w:tc>
          <w:tcPr>
            <w:tcW w:w="3577" w:type="dxa"/>
            <w:shd w:val="clear" w:color="auto" w:fill="auto"/>
            <w:vAlign w:val="center"/>
          </w:tcPr>
          <w:p w14:paraId="269C785D"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$17,595,666,547</w:t>
            </w:r>
          </w:p>
        </w:tc>
        <w:tc>
          <w:tcPr>
            <w:tcW w:w="2993" w:type="dxa"/>
            <w:shd w:val="clear" w:color="auto" w:fill="auto"/>
            <w:vAlign w:val="center"/>
          </w:tcPr>
          <w:p w14:paraId="5BC2619F" w14:textId="77777777" w:rsidR="00C016E8" w:rsidRPr="00702DDD" w:rsidRDefault="00C016E8" w:rsidP="00E83386">
            <w:pPr>
              <w:jc w:val="center"/>
              <w:rPr>
                <w:rFonts w:ascii="Times New Roman" w:hAnsi="Times New Roman" w:cs="Times New Roman"/>
              </w:rPr>
            </w:pPr>
            <w:r w:rsidRPr="00702DDD">
              <w:rPr>
                <w:rFonts w:ascii="Times New Roman" w:hAnsi="Times New Roman" w:cs="Times New Roman"/>
              </w:rPr>
              <w:t>1.11%</w:t>
            </w:r>
          </w:p>
        </w:tc>
      </w:tr>
      <w:tr w:rsidR="00C016E8" w:rsidRPr="00702DDD" w14:paraId="0AC1D635" w14:textId="77777777" w:rsidTr="00E83386">
        <w:trPr>
          <w:trHeight w:val="303"/>
        </w:trPr>
        <w:tc>
          <w:tcPr>
            <w:tcW w:w="2790" w:type="dxa"/>
            <w:tcBorders>
              <w:bottom w:val="single" w:sz="4" w:space="0" w:color="000000"/>
            </w:tcBorders>
            <w:shd w:val="clear" w:color="auto" w:fill="auto"/>
          </w:tcPr>
          <w:p w14:paraId="59E6537F" w14:textId="77777777" w:rsidR="00C016E8" w:rsidRPr="00702DDD" w:rsidRDefault="00C016E8" w:rsidP="00E83386">
            <w:pPr>
              <w:rPr>
                <w:rFonts w:ascii="Times New Roman" w:hAnsi="Times New Roman" w:cs="Times New Roman"/>
              </w:rPr>
            </w:pPr>
            <w:r w:rsidRPr="00702DDD">
              <w:rPr>
                <w:rFonts w:ascii="Times New Roman" w:hAnsi="Times New Roman" w:cs="Times New Roman"/>
              </w:rPr>
              <w:t>China</w:t>
            </w:r>
          </w:p>
        </w:tc>
        <w:tc>
          <w:tcPr>
            <w:tcW w:w="3577" w:type="dxa"/>
            <w:tcBorders>
              <w:bottom w:val="single" w:sz="4" w:space="0" w:color="000000"/>
            </w:tcBorders>
            <w:shd w:val="clear" w:color="auto" w:fill="auto"/>
            <w:vAlign w:val="center"/>
          </w:tcPr>
          <w:p w14:paraId="741E23B9"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$17,199,552,600</w:t>
            </w:r>
          </w:p>
        </w:tc>
        <w:tc>
          <w:tcPr>
            <w:tcW w:w="2993" w:type="dxa"/>
            <w:tcBorders>
              <w:bottom w:val="single" w:sz="4" w:space="0" w:color="000000"/>
            </w:tcBorders>
            <w:shd w:val="clear" w:color="auto" w:fill="auto"/>
            <w:vAlign w:val="center"/>
          </w:tcPr>
          <w:p w14:paraId="434D6253" w14:textId="77777777" w:rsidR="00C016E8" w:rsidRPr="00702DDD" w:rsidRDefault="00C016E8" w:rsidP="00E83386">
            <w:pPr>
              <w:jc w:val="center"/>
              <w:rPr>
                <w:rFonts w:ascii="Times New Roman" w:hAnsi="Times New Roman" w:cs="Times New Roman"/>
              </w:rPr>
            </w:pPr>
            <w:r w:rsidRPr="00702DDD">
              <w:rPr>
                <w:rFonts w:ascii="Times New Roman" w:hAnsi="Times New Roman" w:cs="Times New Roman"/>
              </w:rPr>
              <w:t>1.08%</w:t>
            </w:r>
          </w:p>
        </w:tc>
      </w:tr>
      <w:tr w:rsidR="00C016E8" w:rsidRPr="00702DDD" w14:paraId="3B48F96C" w14:textId="77777777" w:rsidTr="00E83386">
        <w:trPr>
          <w:trHeight w:val="303"/>
        </w:trPr>
        <w:tc>
          <w:tcPr>
            <w:tcW w:w="9360" w:type="dxa"/>
            <w:gridSpan w:val="3"/>
            <w:tcBorders>
              <w:top w:val="single" w:sz="4" w:space="0" w:color="000000"/>
            </w:tcBorders>
            <w:shd w:val="clear" w:color="auto" w:fill="auto"/>
          </w:tcPr>
          <w:p w14:paraId="494370BE" w14:textId="77777777" w:rsidR="00C016E8" w:rsidRPr="00702DDD" w:rsidRDefault="00C016E8" w:rsidP="00E83386">
            <w:pPr>
              <w:rPr>
                <w:rFonts w:ascii="Times New Roman" w:hAnsi="Times New Roman" w:cs="Times New Roman"/>
              </w:rPr>
            </w:pPr>
            <w:r w:rsidRPr="00702DDD">
              <w:rPr>
                <w:rFonts w:ascii="Times New Roman" w:hAnsi="Times New Roman" w:cs="Times New Roman"/>
              </w:rPr>
              <w:t xml:space="preserve">Source: (UN </w:t>
            </w:r>
            <w:proofErr w:type="spellStart"/>
            <w:r w:rsidRPr="00702DDD">
              <w:rPr>
                <w:rFonts w:ascii="Times New Roman" w:hAnsi="Times New Roman" w:cs="Times New Roman"/>
              </w:rPr>
              <w:t>Comtrade</w:t>
            </w:r>
            <w:proofErr w:type="spellEnd"/>
            <w:r w:rsidRPr="00702DDD">
              <w:rPr>
                <w:rFonts w:ascii="Times New Roman" w:hAnsi="Times New Roman" w:cs="Times New Roman"/>
              </w:rPr>
              <w:t xml:space="preserve"> 2021)</w:t>
            </w:r>
          </w:p>
        </w:tc>
      </w:tr>
      <w:bookmarkEnd w:id="77"/>
    </w:tbl>
    <w:p w14:paraId="79957A40" w14:textId="33F25122" w:rsidR="00C016E8" w:rsidRPr="00702DDD" w:rsidRDefault="00C016E8" w:rsidP="00C016E8">
      <w:pPr>
        <w:rPr>
          <w:rFonts w:ascii="Times New Roman" w:hAnsi="Times New Roman" w:cs="Times New Roman"/>
        </w:rPr>
      </w:pPr>
    </w:p>
    <w:p w14:paraId="721F572C" w14:textId="37601A50" w:rsidR="00722F29" w:rsidRPr="00702DDD" w:rsidRDefault="00722F29" w:rsidP="00C016E8">
      <w:pPr>
        <w:rPr>
          <w:rFonts w:ascii="Times New Roman" w:hAnsi="Times New Roman" w:cs="Times New Roman"/>
        </w:rPr>
      </w:pPr>
    </w:p>
    <w:p w14:paraId="7CDE351E" w14:textId="77777777" w:rsidR="00722F29" w:rsidRPr="00702DDD" w:rsidRDefault="00722F29" w:rsidP="00C016E8">
      <w:pPr>
        <w:rPr>
          <w:rFonts w:ascii="Times New Roman" w:hAnsi="Times New Roman" w:cs="Times New Roman"/>
        </w:rPr>
      </w:pPr>
    </w:p>
    <w:tbl>
      <w:tblPr>
        <w:tblW w:w="9360" w:type="dxa"/>
        <w:tblBorders>
          <w:top w:val="nil"/>
          <w:left w:val="nil"/>
          <w:bottom w:val="nil"/>
          <w:right w:val="nil"/>
          <w:insideH w:val="nil"/>
          <w:insideV w:val="nil"/>
        </w:tblBorders>
        <w:tblLayout w:type="fixed"/>
        <w:tblLook w:val="04A0" w:firstRow="1" w:lastRow="0" w:firstColumn="1" w:lastColumn="0" w:noHBand="0" w:noVBand="1"/>
      </w:tblPr>
      <w:tblGrid>
        <w:gridCol w:w="1530"/>
        <w:gridCol w:w="4837"/>
        <w:gridCol w:w="2993"/>
      </w:tblGrid>
      <w:tr w:rsidR="00C016E8" w:rsidRPr="00702DDD" w14:paraId="216E7872" w14:textId="77777777" w:rsidTr="00E83386">
        <w:trPr>
          <w:trHeight w:val="303"/>
        </w:trPr>
        <w:tc>
          <w:tcPr>
            <w:tcW w:w="9360" w:type="dxa"/>
            <w:gridSpan w:val="3"/>
            <w:tcBorders>
              <w:bottom w:val="single" w:sz="4" w:space="0" w:color="000000"/>
            </w:tcBorders>
            <w:shd w:val="clear" w:color="auto" w:fill="auto"/>
          </w:tcPr>
          <w:p w14:paraId="767FD72B" w14:textId="77777777" w:rsidR="00C016E8" w:rsidRPr="00702DDD" w:rsidRDefault="00C016E8" w:rsidP="00E83386">
            <w:pPr>
              <w:rPr>
                <w:rFonts w:ascii="Times New Roman" w:hAnsi="Times New Roman" w:cs="Times New Roman"/>
                <w:b/>
                <w:bCs/>
              </w:rPr>
            </w:pPr>
            <w:r w:rsidRPr="00702DDD">
              <w:rPr>
                <w:rFonts w:ascii="Times New Roman" w:hAnsi="Times New Roman" w:cs="Times New Roman"/>
                <w:b/>
                <w:bCs/>
              </w:rPr>
              <w:t>Table 1.3: Analyzed Pandemic Details</w:t>
            </w:r>
          </w:p>
        </w:tc>
      </w:tr>
      <w:tr w:rsidR="00C016E8" w:rsidRPr="00702DDD" w14:paraId="2A85A7CC" w14:textId="77777777" w:rsidTr="00E83386">
        <w:trPr>
          <w:trHeight w:val="303"/>
        </w:trPr>
        <w:tc>
          <w:tcPr>
            <w:tcW w:w="1530" w:type="dxa"/>
            <w:tcBorders>
              <w:top w:val="single" w:sz="4" w:space="0" w:color="000000"/>
              <w:bottom w:val="single" w:sz="4" w:space="0" w:color="000000"/>
            </w:tcBorders>
            <w:shd w:val="clear" w:color="auto" w:fill="auto"/>
          </w:tcPr>
          <w:p w14:paraId="260F6F94" w14:textId="77777777" w:rsidR="00C016E8" w:rsidRPr="00702DDD" w:rsidRDefault="00C016E8" w:rsidP="00E83386">
            <w:pPr>
              <w:rPr>
                <w:rFonts w:ascii="Times New Roman" w:hAnsi="Times New Roman" w:cs="Times New Roman"/>
                <w:b/>
                <w:bCs/>
              </w:rPr>
            </w:pPr>
            <w:r w:rsidRPr="00702DDD">
              <w:rPr>
                <w:rFonts w:ascii="Times New Roman" w:hAnsi="Times New Roman" w:cs="Times New Roman"/>
                <w:b/>
                <w:bCs/>
              </w:rPr>
              <w:t>Pandemic</w:t>
            </w:r>
          </w:p>
        </w:tc>
        <w:tc>
          <w:tcPr>
            <w:tcW w:w="4837" w:type="dxa"/>
            <w:tcBorders>
              <w:top w:val="single" w:sz="4" w:space="0" w:color="000000"/>
              <w:bottom w:val="single" w:sz="4" w:space="0" w:color="000000"/>
            </w:tcBorders>
            <w:shd w:val="clear" w:color="auto" w:fill="auto"/>
            <w:vAlign w:val="center"/>
          </w:tcPr>
          <w:p w14:paraId="39384327" w14:textId="77777777" w:rsidR="00C016E8" w:rsidRPr="00702DDD" w:rsidRDefault="00C016E8" w:rsidP="00E83386">
            <w:pPr>
              <w:jc w:val="center"/>
              <w:rPr>
                <w:rFonts w:ascii="Times New Roman" w:hAnsi="Times New Roman" w:cs="Times New Roman"/>
                <w:b/>
              </w:rPr>
            </w:pPr>
            <w:r w:rsidRPr="00702DDD">
              <w:rPr>
                <w:rFonts w:ascii="Times New Roman" w:hAnsi="Times New Roman" w:cs="Times New Roman"/>
                <w:b/>
              </w:rPr>
              <w:t>Continents Affected</w:t>
            </w:r>
          </w:p>
        </w:tc>
        <w:tc>
          <w:tcPr>
            <w:tcW w:w="2993" w:type="dxa"/>
            <w:tcBorders>
              <w:top w:val="single" w:sz="4" w:space="0" w:color="000000"/>
              <w:bottom w:val="single" w:sz="4" w:space="0" w:color="000000"/>
            </w:tcBorders>
            <w:shd w:val="clear" w:color="auto" w:fill="auto"/>
            <w:vAlign w:val="center"/>
          </w:tcPr>
          <w:p w14:paraId="3E750676" w14:textId="77777777" w:rsidR="00C016E8" w:rsidRPr="00702DDD" w:rsidRDefault="00C016E8" w:rsidP="00E83386">
            <w:pPr>
              <w:jc w:val="center"/>
              <w:rPr>
                <w:rFonts w:ascii="Times New Roman" w:hAnsi="Times New Roman" w:cs="Times New Roman"/>
                <w:b/>
              </w:rPr>
            </w:pPr>
            <w:r w:rsidRPr="00702DDD">
              <w:rPr>
                <w:rFonts w:ascii="Times New Roman" w:hAnsi="Times New Roman" w:cs="Times New Roman"/>
                <w:b/>
              </w:rPr>
              <w:t>Estimated Infection Rates</w:t>
            </w:r>
          </w:p>
        </w:tc>
      </w:tr>
      <w:tr w:rsidR="00C016E8" w:rsidRPr="00702DDD" w14:paraId="2619E10A" w14:textId="77777777" w:rsidTr="00E83386">
        <w:trPr>
          <w:trHeight w:val="285"/>
        </w:trPr>
        <w:tc>
          <w:tcPr>
            <w:tcW w:w="1530" w:type="dxa"/>
            <w:tcBorders>
              <w:top w:val="single" w:sz="4" w:space="0" w:color="000000"/>
            </w:tcBorders>
            <w:shd w:val="clear" w:color="auto" w:fill="auto"/>
          </w:tcPr>
          <w:p w14:paraId="64830929" w14:textId="77777777" w:rsidR="00C016E8" w:rsidRPr="00702DDD" w:rsidRDefault="00C016E8" w:rsidP="00E83386">
            <w:pPr>
              <w:rPr>
                <w:rFonts w:ascii="Times New Roman" w:hAnsi="Times New Roman" w:cs="Times New Roman"/>
              </w:rPr>
            </w:pPr>
            <w:r w:rsidRPr="00702DDD">
              <w:rPr>
                <w:rFonts w:ascii="Times New Roman" w:hAnsi="Times New Roman" w:cs="Times New Roman"/>
              </w:rPr>
              <w:t>COVID-19</w:t>
            </w:r>
          </w:p>
        </w:tc>
        <w:tc>
          <w:tcPr>
            <w:tcW w:w="4837" w:type="dxa"/>
            <w:tcBorders>
              <w:top w:val="single" w:sz="4" w:space="0" w:color="000000"/>
            </w:tcBorders>
            <w:shd w:val="clear" w:color="auto" w:fill="auto"/>
            <w:vAlign w:val="center"/>
          </w:tcPr>
          <w:p w14:paraId="120351C0"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Asia, Africa, North America, South America, Europe, Australia</w:t>
            </w:r>
          </w:p>
        </w:tc>
        <w:tc>
          <w:tcPr>
            <w:tcW w:w="2993" w:type="dxa"/>
            <w:tcBorders>
              <w:top w:val="single" w:sz="4" w:space="0" w:color="000000"/>
            </w:tcBorders>
            <w:shd w:val="clear" w:color="auto" w:fill="auto"/>
            <w:vAlign w:val="center"/>
          </w:tcPr>
          <w:p w14:paraId="2463DCC9"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 xml:space="preserve">460,280,168 </w:t>
            </w:r>
            <w:r w:rsidRPr="00702DDD">
              <w:rPr>
                <w:rFonts w:ascii="Times New Roman" w:hAnsi="Times New Roman" w:cs="Times New Roman"/>
                <w:color w:val="000000"/>
                <w:sz w:val="18"/>
                <w:szCs w:val="18"/>
              </w:rPr>
              <w:t>(as of March 2022)</w:t>
            </w:r>
          </w:p>
        </w:tc>
      </w:tr>
      <w:tr w:rsidR="00C016E8" w:rsidRPr="00702DDD" w14:paraId="7E01C28F" w14:textId="77777777" w:rsidTr="00E83386">
        <w:trPr>
          <w:trHeight w:val="303"/>
        </w:trPr>
        <w:tc>
          <w:tcPr>
            <w:tcW w:w="1530" w:type="dxa"/>
            <w:shd w:val="clear" w:color="auto" w:fill="auto"/>
          </w:tcPr>
          <w:p w14:paraId="49DB0430" w14:textId="77777777" w:rsidR="00C016E8" w:rsidRPr="00702DDD" w:rsidRDefault="00C016E8" w:rsidP="00E83386">
            <w:pPr>
              <w:rPr>
                <w:rFonts w:ascii="Times New Roman" w:hAnsi="Times New Roman" w:cs="Times New Roman"/>
              </w:rPr>
            </w:pPr>
            <w:r w:rsidRPr="00702DDD">
              <w:rPr>
                <w:rFonts w:ascii="Times New Roman" w:hAnsi="Times New Roman" w:cs="Times New Roman"/>
              </w:rPr>
              <w:t>Ebola</w:t>
            </w:r>
          </w:p>
        </w:tc>
        <w:tc>
          <w:tcPr>
            <w:tcW w:w="4837" w:type="dxa"/>
            <w:shd w:val="clear" w:color="auto" w:fill="auto"/>
            <w:vAlign w:val="center"/>
          </w:tcPr>
          <w:p w14:paraId="723C912F"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Africa, North America, Europe</w:t>
            </w:r>
          </w:p>
        </w:tc>
        <w:tc>
          <w:tcPr>
            <w:tcW w:w="2993" w:type="dxa"/>
            <w:shd w:val="clear" w:color="auto" w:fill="auto"/>
            <w:vAlign w:val="center"/>
          </w:tcPr>
          <w:p w14:paraId="189A998F" w14:textId="77777777" w:rsidR="00C016E8" w:rsidRPr="00702DDD" w:rsidRDefault="00C016E8" w:rsidP="00E83386">
            <w:pPr>
              <w:jc w:val="center"/>
              <w:rPr>
                <w:rFonts w:ascii="Times New Roman" w:hAnsi="Times New Roman" w:cs="Times New Roman"/>
              </w:rPr>
            </w:pPr>
            <w:r w:rsidRPr="00702DDD">
              <w:rPr>
                <w:rFonts w:ascii="Times New Roman" w:hAnsi="Times New Roman" w:cs="Times New Roman"/>
              </w:rPr>
              <w:t>28,652</w:t>
            </w:r>
          </w:p>
        </w:tc>
      </w:tr>
      <w:tr w:rsidR="00C016E8" w:rsidRPr="00702DDD" w14:paraId="1E086277" w14:textId="77777777" w:rsidTr="00E83386">
        <w:trPr>
          <w:trHeight w:val="321"/>
        </w:trPr>
        <w:tc>
          <w:tcPr>
            <w:tcW w:w="1530" w:type="dxa"/>
            <w:shd w:val="clear" w:color="auto" w:fill="auto"/>
          </w:tcPr>
          <w:p w14:paraId="2491F052" w14:textId="77777777" w:rsidR="00C016E8" w:rsidRPr="00702DDD" w:rsidRDefault="00C016E8" w:rsidP="00E83386">
            <w:pPr>
              <w:rPr>
                <w:rFonts w:ascii="Times New Roman" w:hAnsi="Times New Roman" w:cs="Times New Roman"/>
              </w:rPr>
            </w:pPr>
            <w:r w:rsidRPr="00702DDD">
              <w:rPr>
                <w:rFonts w:ascii="Times New Roman" w:hAnsi="Times New Roman" w:cs="Times New Roman"/>
              </w:rPr>
              <w:t>MERS-</w:t>
            </w:r>
            <w:proofErr w:type="spellStart"/>
            <w:r w:rsidRPr="00702DDD">
              <w:rPr>
                <w:rFonts w:ascii="Times New Roman" w:hAnsi="Times New Roman" w:cs="Times New Roman"/>
              </w:rPr>
              <w:t>Cov</w:t>
            </w:r>
            <w:proofErr w:type="spellEnd"/>
          </w:p>
        </w:tc>
        <w:tc>
          <w:tcPr>
            <w:tcW w:w="4837" w:type="dxa"/>
            <w:shd w:val="clear" w:color="auto" w:fill="auto"/>
            <w:vAlign w:val="center"/>
          </w:tcPr>
          <w:p w14:paraId="0DBD43BF"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Asia, Africa, North America, Europe</w:t>
            </w:r>
          </w:p>
        </w:tc>
        <w:tc>
          <w:tcPr>
            <w:tcW w:w="2993" w:type="dxa"/>
            <w:shd w:val="clear" w:color="auto" w:fill="auto"/>
            <w:vAlign w:val="center"/>
          </w:tcPr>
          <w:p w14:paraId="30DCB494"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rPr>
              <w:t>2,519</w:t>
            </w:r>
          </w:p>
        </w:tc>
      </w:tr>
      <w:tr w:rsidR="00C016E8" w:rsidRPr="00702DDD" w14:paraId="28B8E23A" w14:textId="77777777" w:rsidTr="00E83386">
        <w:trPr>
          <w:trHeight w:val="303"/>
        </w:trPr>
        <w:tc>
          <w:tcPr>
            <w:tcW w:w="1530" w:type="dxa"/>
            <w:tcBorders>
              <w:bottom w:val="single" w:sz="4" w:space="0" w:color="000000"/>
            </w:tcBorders>
            <w:shd w:val="clear" w:color="auto" w:fill="auto"/>
          </w:tcPr>
          <w:p w14:paraId="42B63AC2" w14:textId="77777777" w:rsidR="00C016E8" w:rsidRPr="00702DDD" w:rsidRDefault="00C016E8" w:rsidP="00E83386">
            <w:pPr>
              <w:rPr>
                <w:rFonts w:ascii="Times New Roman" w:hAnsi="Times New Roman" w:cs="Times New Roman"/>
              </w:rPr>
            </w:pPr>
            <w:r w:rsidRPr="00702DDD">
              <w:rPr>
                <w:rFonts w:ascii="Times New Roman" w:hAnsi="Times New Roman" w:cs="Times New Roman"/>
              </w:rPr>
              <w:t xml:space="preserve">Zika </w:t>
            </w:r>
          </w:p>
        </w:tc>
        <w:tc>
          <w:tcPr>
            <w:tcW w:w="4837" w:type="dxa"/>
            <w:tcBorders>
              <w:bottom w:val="single" w:sz="4" w:space="0" w:color="000000"/>
            </w:tcBorders>
            <w:shd w:val="clear" w:color="auto" w:fill="auto"/>
            <w:vAlign w:val="center"/>
          </w:tcPr>
          <w:p w14:paraId="63F901E9" w14:textId="77777777" w:rsidR="00C016E8" w:rsidRPr="00702DDD" w:rsidRDefault="00C016E8" w:rsidP="00E83386">
            <w:pPr>
              <w:jc w:val="center"/>
              <w:rPr>
                <w:rFonts w:ascii="Times New Roman" w:hAnsi="Times New Roman" w:cs="Times New Roman"/>
                <w:color w:val="000000"/>
              </w:rPr>
            </w:pPr>
            <w:r w:rsidRPr="00702DDD">
              <w:rPr>
                <w:rFonts w:ascii="Times New Roman" w:hAnsi="Times New Roman" w:cs="Times New Roman"/>
                <w:color w:val="000000"/>
              </w:rPr>
              <w:t>North America, South America</w:t>
            </w:r>
          </w:p>
        </w:tc>
        <w:tc>
          <w:tcPr>
            <w:tcW w:w="2993" w:type="dxa"/>
            <w:tcBorders>
              <w:bottom w:val="single" w:sz="4" w:space="0" w:color="000000"/>
            </w:tcBorders>
            <w:shd w:val="clear" w:color="auto" w:fill="auto"/>
            <w:vAlign w:val="center"/>
          </w:tcPr>
          <w:p w14:paraId="62CB34E3" w14:textId="77777777" w:rsidR="00C016E8" w:rsidRPr="00702DDD" w:rsidRDefault="00C016E8" w:rsidP="00E83386">
            <w:pPr>
              <w:jc w:val="center"/>
              <w:rPr>
                <w:rFonts w:ascii="Times New Roman" w:hAnsi="Times New Roman" w:cs="Times New Roman"/>
              </w:rPr>
            </w:pPr>
            <w:r w:rsidRPr="00702DDD">
              <w:rPr>
                <w:rFonts w:ascii="Times New Roman" w:hAnsi="Times New Roman" w:cs="Times New Roman"/>
              </w:rPr>
              <w:t>707,133</w:t>
            </w:r>
          </w:p>
        </w:tc>
      </w:tr>
      <w:tr w:rsidR="00C016E8" w:rsidRPr="0073597E" w14:paraId="35B6E78A" w14:textId="77777777" w:rsidTr="00E83386">
        <w:trPr>
          <w:trHeight w:val="303"/>
        </w:trPr>
        <w:tc>
          <w:tcPr>
            <w:tcW w:w="9360" w:type="dxa"/>
            <w:gridSpan w:val="3"/>
            <w:tcBorders>
              <w:top w:val="single" w:sz="4" w:space="0" w:color="000000"/>
            </w:tcBorders>
            <w:shd w:val="clear" w:color="auto" w:fill="auto"/>
          </w:tcPr>
          <w:p w14:paraId="57CB84EA" w14:textId="1E9F85D5" w:rsidR="00C016E8" w:rsidRPr="0073597E" w:rsidRDefault="00C016E8" w:rsidP="00E83386">
            <w:pPr>
              <w:rPr>
                <w:rFonts w:ascii="Times New Roman" w:hAnsi="Times New Roman" w:cs="Times New Roman"/>
                <w:lang w:val="fr-FR"/>
              </w:rPr>
            </w:pPr>
            <w:r w:rsidRPr="0073597E">
              <w:rPr>
                <w:rFonts w:ascii="Times New Roman" w:hAnsi="Times New Roman" w:cs="Times New Roman"/>
                <w:lang w:val="fr-FR"/>
              </w:rPr>
              <w:t xml:space="preserve">Source: </w:t>
            </w:r>
            <w:r w:rsidRPr="00702DDD">
              <w:rPr>
                <w:rFonts w:ascii="Times New Roman" w:hAnsi="Times New Roman" w:cs="Times New Roman"/>
              </w:rPr>
              <w:fldChar w:fldCharType="begin"/>
            </w:r>
            <w:r w:rsidR="00947934" w:rsidRPr="0073597E">
              <w:rPr>
                <w:rFonts w:ascii="Times New Roman" w:hAnsi="Times New Roman" w:cs="Times New Roman"/>
                <w:lang w:val="fr-FR"/>
              </w:rPr>
              <w:instrText xml:space="preserve"> ADDIN ZOTERO_ITEM CSL_CITATION {"citationID":"wqALAMUW","properties":{"formattedCitation":"(CDC 2020; V. G. da Costa et al., 2020; Ikejezie, 2017; WHO 2021b)","plainCitation":"(CDC 2020; V. G. da Costa et al., 2020; Ikejezie, 2017; WHO 2021b)","noteIndex":0},"citationItems":[{"id":3215,"uris":["http://zotero.org/groups/2546976/items/Q94WLWVI"],"uri":["http://zotero.org/groups/2546976/items/Q94WLWVI"],"itemData":{"id":3215,"type":"webpage","abstract":"Information on COVID-19, the infectious disease caused by the most recently discovered coronavirus.","language":"en","title":"Coronavirus disease (COVID-19) pandemic","URL":"https://www.who.int/emergencies/diseases/novel-coronavirus-2019","author":[{"literal":"World Health Organization"}],"accessed":{"date-parts":[["2021",8,24]]},"issued":{"date-parts":[["2021",8,23]]}},"label":"page","suppress-author":true,"prefix":"WHO"},{"id":3454,"uris":["http://zotero.org/groups/2546976/items/VGZX43GG"],"uri":["http://zotero.org/groups/2546976/items/VGZX43GG"],"itemData":{"id":3454,"type":"article-journal","abstract":"At the beginning of the 21st century, a new deadly infectious disease known as severe acute respiratory syndrome (SARS) was recognized as a global public health threat. Subsequently, ten years after the initial SARS cases occurred in 2002, new cases of another atypical respiratory disease caused worldwide concern. This disease became known as Middle East respiratory syndrome (MERS) and was even more lethal than SARS. Currently, history has repeated itself with the emergence of a new Chinese epidemic at the end of 2019. For this respiratory disease, called COVID-19, a novel coronavirus (SARS-CoV-2) was identified as the etiologic agent. In sum, SARS, MERS and COVID-19 are caused by recently discovered coronaviruses that cause flu-like illnesses, but with a clinical outcome that tends to be more severe. As a result of the current importance of coronaviruses in global public health, we conducted a review to summarize and update, above all, the epidemiological historical aspects of the three major diseases in humans caused by coronaviral infection.","container-title":"Archives of Virology","DOI":"10.1007/s00705-020-04628-0","ISSN":"0304-8608","issue":"7","journalAbbreviation":"Arch Virol","note":"PMID: 32322993\nPMCID: PMC7176030","page":"1517-1526","source":"PubMed Central","title":"The emergence of SARS, MERS and novel SARS-2 coronaviruses in the 21st century","volume":"165","author":[{"family":"Costa","given":"Vivaldo Gomes","non-dropping-particle":"da"},{"family":"Moreli","given":"Marcos Lázaro"},{"family":"Saivish","given":"Marielena Vogel"}],"issued":{"date-parts":[["2020"]]}},"label":"page"},{"id":3453,"uris":["http://zotero.org/groups/2546976/items/UKJJZRG7"],"uri":["http://zotero.org/groups/2546976/items/UKJJZRG7"],"itemData":{"id":3453,"type":"article-journal","abstract":"Zika virus was transmitted in 48 countries during reporting period.","container-title":"MMWR. Morbidity and Mortality Weekly Report","DOI":"10.15585/mmwr.mm6612a4","ISSN":"0149-21951545-861X","journalAbbreviation":"MMWR Morb Mortal Wkly Rep","language":"en-us","source":"www.cdc.gov","title":"Zika Virus Transmission — Region of the Americas, May 15, 2015–December 15, 2016","URL":"https://www.cdc.gov/mmwr/volumes/66/wr/mm6612a4.htm","volume":"66","author":[{"family":"Ikejezie","given":"Juniorcaius"}],"accessed":{"date-parts":[["2022",3,17]]},"issued":{"date-parts":[["2017"]]}},"label":"page"},{"id":3450,"uris":["http://zotero.org/groups/2546976/items/RGZF64KA"],"uri":["http://zotero.org/groups/2546976/items/RGZF64KA"],"itemData":{"id":3450,"type":"webpage","abstract":"On March 23, 2014, the World Health Organization (WHO) reported cases of Ebola Virus Disease (EVD) in the forested rural region of southeastern Guinea. The identification of these early cases marked the beginning of the West Africa Ebola epidemic, the largest in history.","language":"en-us","title":"2014-2016 Ebola Outbreak in West Africa","URL":"https://www.cdc.gov/vhf/ebola/history/2014-2016-outbreak/index.html","author":[{"literal":"Center for Disease Control"}],"accessed":{"date-parts":[["2022",3,17]]},"issued":{"date-parts":[["2020",3,17]]}},"label":"page","suppress-author":true,"prefix":"CDC"}],"schema":"https://github.com/citation-style-language/schema/raw/master/csl-citation.json"} </w:instrText>
            </w:r>
            <w:r w:rsidRPr="00702DDD">
              <w:rPr>
                <w:rFonts w:ascii="Times New Roman" w:hAnsi="Times New Roman" w:cs="Times New Roman"/>
              </w:rPr>
              <w:fldChar w:fldCharType="separate"/>
            </w:r>
            <w:r w:rsidR="00947934" w:rsidRPr="0073597E">
              <w:rPr>
                <w:rFonts w:ascii="Times New Roman" w:hAnsi="Times New Roman" w:cs="Times New Roman"/>
                <w:noProof/>
                <w:lang w:val="fr-FR"/>
              </w:rPr>
              <w:t>(CDC 2020; V. G. da Costa et al., 2020; Ikejezie, 2017; WHO 2021b)</w:t>
            </w:r>
            <w:r w:rsidRPr="00702DDD">
              <w:rPr>
                <w:rFonts w:ascii="Times New Roman" w:hAnsi="Times New Roman" w:cs="Times New Roman"/>
              </w:rPr>
              <w:fldChar w:fldCharType="end"/>
            </w:r>
          </w:p>
        </w:tc>
      </w:tr>
    </w:tbl>
    <w:p w14:paraId="44DD6D81" w14:textId="77777777" w:rsidR="00C016E8" w:rsidRPr="0073597E" w:rsidRDefault="00C016E8" w:rsidP="00C016E8">
      <w:pPr>
        <w:rPr>
          <w:rFonts w:ascii="Times New Roman" w:hAnsi="Times New Roman" w:cs="Times New Roman"/>
          <w:b/>
          <w:lang w:val="fr-FR"/>
        </w:rPr>
      </w:pPr>
    </w:p>
    <w:p w14:paraId="7DBEB591" w14:textId="77777777" w:rsidR="00C016E8" w:rsidRPr="0073597E" w:rsidRDefault="00C016E8" w:rsidP="00C016E8">
      <w:pPr>
        <w:rPr>
          <w:rFonts w:ascii="Times New Roman" w:hAnsi="Times New Roman" w:cs="Times New Roman"/>
          <w:b/>
          <w:lang w:val="fr-FR"/>
        </w:rPr>
      </w:pPr>
    </w:p>
    <w:p w14:paraId="1848755D" w14:textId="77777777" w:rsidR="00C016E8" w:rsidRPr="0073597E" w:rsidRDefault="00C016E8" w:rsidP="00C016E8">
      <w:pPr>
        <w:rPr>
          <w:rFonts w:ascii="Times New Roman" w:hAnsi="Times New Roman" w:cs="Times New Roman"/>
          <w:b/>
          <w:lang w:val="fr-FR"/>
        </w:rPr>
      </w:pPr>
    </w:p>
    <w:p w14:paraId="2ECB23AA" w14:textId="77777777" w:rsidR="00C016E8" w:rsidRPr="0073597E" w:rsidRDefault="00C016E8" w:rsidP="00C016E8">
      <w:pPr>
        <w:rPr>
          <w:rFonts w:ascii="Times New Roman" w:hAnsi="Times New Roman" w:cs="Times New Roman"/>
          <w:b/>
          <w:lang w:val="fr-FR"/>
        </w:rPr>
      </w:pPr>
    </w:p>
    <w:p w14:paraId="4223F10C" w14:textId="77777777" w:rsidR="00C016E8" w:rsidRPr="0073597E" w:rsidRDefault="00C016E8" w:rsidP="00C016E8">
      <w:pPr>
        <w:rPr>
          <w:rFonts w:ascii="Times New Roman" w:hAnsi="Times New Roman" w:cs="Times New Roman"/>
          <w:b/>
          <w:lang w:val="fr-FR"/>
        </w:rPr>
      </w:pPr>
    </w:p>
    <w:p w14:paraId="64CD6C84" w14:textId="244F1276" w:rsidR="00C016E8" w:rsidRPr="0073597E" w:rsidRDefault="00C016E8" w:rsidP="00C016E8">
      <w:pPr>
        <w:rPr>
          <w:rFonts w:ascii="Times New Roman" w:hAnsi="Times New Roman" w:cs="Times New Roman"/>
          <w:lang w:val="fr-FR"/>
        </w:rPr>
      </w:pPr>
    </w:p>
    <w:tbl>
      <w:tblPr>
        <w:tblW w:w="9360" w:type="dxa"/>
        <w:tblBorders>
          <w:top w:val="single" w:sz="4" w:space="0" w:color="F7CBAC"/>
          <w:left w:val="single" w:sz="4" w:space="0" w:color="F7CBAC"/>
          <w:bottom w:val="single" w:sz="4" w:space="0" w:color="F7CBAC"/>
          <w:right w:val="single" w:sz="4" w:space="0" w:color="F7CBAC"/>
          <w:insideH w:val="single" w:sz="4" w:space="0" w:color="F7CBAC"/>
          <w:insideV w:val="single" w:sz="4" w:space="0" w:color="F7CBAC"/>
        </w:tblBorders>
        <w:tblLayout w:type="fixed"/>
        <w:tblLook w:val="0400" w:firstRow="0" w:lastRow="0" w:firstColumn="0" w:lastColumn="0" w:noHBand="0" w:noVBand="1"/>
      </w:tblPr>
      <w:tblGrid>
        <w:gridCol w:w="1710"/>
        <w:gridCol w:w="2070"/>
        <w:gridCol w:w="1720"/>
        <w:gridCol w:w="1930"/>
        <w:gridCol w:w="1930"/>
      </w:tblGrid>
      <w:tr w:rsidR="00C016E8" w:rsidRPr="00702DDD" w14:paraId="32196D97" w14:textId="77777777" w:rsidTr="00E83386">
        <w:tc>
          <w:tcPr>
            <w:tcW w:w="9360" w:type="dxa"/>
            <w:gridSpan w:val="5"/>
            <w:tcBorders>
              <w:top w:val="nil"/>
              <w:left w:val="nil"/>
              <w:bottom w:val="single" w:sz="4" w:space="0" w:color="000000"/>
              <w:right w:val="nil"/>
            </w:tcBorders>
            <w:shd w:val="clear" w:color="auto" w:fill="auto"/>
          </w:tcPr>
          <w:p w14:paraId="37C8EC2E" w14:textId="14C6FBE1" w:rsidR="00C016E8" w:rsidRPr="00702DDD" w:rsidRDefault="00C016E8" w:rsidP="00E83386">
            <w:pPr>
              <w:rPr>
                <w:rFonts w:ascii="Times New Roman" w:hAnsi="Times New Roman" w:cs="Times New Roman"/>
                <w:b/>
                <w:sz w:val="22"/>
                <w:szCs w:val="22"/>
              </w:rPr>
            </w:pPr>
            <w:r w:rsidRPr="00702DDD">
              <w:rPr>
                <w:rFonts w:ascii="Times New Roman" w:hAnsi="Times New Roman" w:cs="Times New Roman"/>
                <w:b/>
                <w:bCs/>
              </w:rPr>
              <w:lastRenderedPageBreak/>
              <w:t>Table 1.</w:t>
            </w:r>
            <w:r w:rsidR="00C72EA1">
              <w:rPr>
                <w:rFonts w:ascii="Times New Roman" w:hAnsi="Times New Roman" w:cs="Times New Roman"/>
                <w:b/>
                <w:bCs/>
              </w:rPr>
              <w:t>4</w:t>
            </w:r>
            <w:r w:rsidRPr="00702DDD">
              <w:rPr>
                <w:rFonts w:ascii="Times New Roman" w:hAnsi="Times New Roman" w:cs="Times New Roman"/>
                <w:b/>
                <w:bCs/>
              </w:rPr>
              <w:t>: Estimated and Transformed Elasticities for the Effects of Human Health Events on Meat Trade by Protein, 2010-2020</w:t>
            </w:r>
          </w:p>
        </w:tc>
      </w:tr>
      <w:tr w:rsidR="00C016E8" w:rsidRPr="00702DDD" w14:paraId="1E1DB54C" w14:textId="77777777" w:rsidTr="00E83386">
        <w:trPr>
          <w:trHeight w:val="242"/>
        </w:trPr>
        <w:tc>
          <w:tcPr>
            <w:tcW w:w="1710" w:type="dxa"/>
            <w:tcBorders>
              <w:top w:val="single" w:sz="4" w:space="0" w:color="000000"/>
              <w:left w:val="nil"/>
              <w:bottom w:val="single" w:sz="4" w:space="0" w:color="000000"/>
              <w:right w:val="nil"/>
            </w:tcBorders>
            <w:shd w:val="clear" w:color="auto" w:fill="auto"/>
          </w:tcPr>
          <w:p w14:paraId="148DFB45" w14:textId="77777777" w:rsidR="00C016E8" w:rsidRPr="00702DDD" w:rsidRDefault="00C016E8" w:rsidP="00E83386">
            <w:pPr>
              <w:rPr>
                <w:rFonts w:ascii="Times New Roman" w:hAnsi="Times New Roman" w:cs="Times New Roman"/>
                <w:sz w:val="22"/>
                <w:szCs w:val="22"/>
              </w:rPr>
            </w:pPr>
          </w:p>
        </w:tc>
        <w:tc>
          <w:tcPr>
            <w:tcW w:w="2070" w:type="dxa"/>
            <w:tcBorders>
              <w:top w:val="single" w:sz="4" w:space="0" w:color="000000"/>
              <w:left w:val="nil"/>
              <w:bottom w:val="single" w:sz="4" w:space="0" w:color="000000"/>
              <w:right w:val="nil"/>
            </w:tcBorders>
            <w:shd w:val="clear" w:color="auto" w:fill="auto"/>
          </w:tcPr>
          <w:p w14:paraId="25ED4F80" w14:textId="77777777" w:rsidR="00C016E8" w:rsidRPr="00702DDD" w:rsidRDefault="00C016E8" w:rsidP="00E83386">
            <w:pPr>
              <w:jc w:val="center"/>
              <w:rPr>
                <w:rFonts w:ascii="Times New Roman" w:hAnsi="Times New Roman" w:cs="Times New Roman"/>
                <w:b/>
                <w:sz w:val="22"/>
                <w:szCs w:val="22"/>
              </w:rPr>
            </w:pPr>
            <w:r w:rsidRPr="00702DDD">
              <w:rPr>
                <w:rFonts w:ascii="Times New Roman" w:hAnsi="Times New Roman" w:cs="Times New Roman"/>
                <w:b/>
                <w:sz w:val="22"/>
                <w:szCs w:val="22"/>
              </w:rPr>
              <w:t>Beef</w:t>
            </w:r>
          </w:p>
        </w:tc>
        <w:tc>
          <w:tcPr>
            <w:tcW w:w="1720" w:type="dxa"/>
            <w:tcBorders>
              <w:top w:val="single" w:sz="4" w:space="0" w:color="000000"/>
              <w:left w:val="nil"/>
              <w:bottom w:val="single" w:sz="4" w:space="0" w:color="000000"/>
              <w:right w:val="nil"/>
            </w:tcBorders>
            <w:shd w:val="clear" w:color="auto" w:fill="auto"/>
          </w:tcPr>
          <w:p w14:paraId="1C0F9547" w14:textId="77777777" w:rsidR="00C016E8" w:rsidRPr="00702DDD" w:rsidRDefault="00C016E8" w:rsidP="00E83386">
            <w:pPr>
              <w:jc w:val="center"/>
              <w:rPr>
                <w:rFonts w:ascii="Times New Roman" w:hAnsi="Times New Roman" w:cs="Times New Roman"/>
                <w:b/>
                <w:sz w:val="22"/>
                <w:szCs w:val="22"/>
              </w:rPr>
            </w:pPr>
            <w:r w:rsidRPr="00702DDD">
              <w:rPr>
                <w:rFonts w:ascii="Times New Roman" w:hAnsi="Times New Roman" w:cs="Times New Roman"/>
                <w:b/>
                <w:sz w:val="22"/>
                <w:szCs w:val="22"/>
              </w:rPr>
              <w:t>Swine</w:t>
            </w:r>
          </w:p>
        </w:tc>
        <w:tc>
          <w:tcPr>
            <w:tcW w:w="1930" w:type="dxa"/>
            <w:tcBorders>
              <w:top w:val="single" w:sz="4" w:space="0" w:color="000000"/>
              <w:left w:val="nil"/>
              <w:bottom w:val="single" w:sz="4" w:space="0" w:color="000000"/>
              <w:right w:val="nil"/>
            </w:tcBorders>
            <w:shd w:val="clear" w:color="auto" w:fill="auto"/>
          </w:tcPr>
          <w:p w14:paraId="1CDE8BFA" w14:textId="77777777" w:rsidR="00C016E8" w:rsidRPr="00702DDD" w:rsidRDefault="00C016E8" w:rsidP="00E83386">
            <w:pPr>
              <w:jc w:val="center"/>
              <w:rPr>
                <w:rFonts w:ascii="Times New Roman" w:hAnsi="Times New Roman" w:cs="Times New Roman"/>
                <w:b/>
                <w:sz w:val="22"/>
                <w:szCs w:val="22"/>
              </w:rPr>
            </w:pPr>
            <w:r w:rsidRPr="00702DDD">
              <w:rPr>
                <w:rFonts w:ascii="Times New Roman" w:hAnsi="Times New Roman" w:cs="Times New Roman"/>
                <w:b/>
                <w:sz w:val="22"/>
                <w:szCs w:val="22"/>
              </w:rPr>
              <w:t>Poultry</w:t>
            </w:r>
          </w:p>
        </w:tc>
        <w:tc>
          <w:tcPr>
            <w:tcW w:w="1930" w:type="dxa"/>
            <w:tcBorders>
              <w:top w:val="single" w:sz="4" w:space="0" w:color="000000"/>
              <w:left w:val="nil"/>
              <w:bottom w:val="single" w:sz="4" w:space="0" w:color="000000"/>
              <w:right w:val="nil"/>
            </w:tcBorders>
            <w:shd w:val="clear" w:color="auto" w:fill="auto"/>
          </w:tcPr>
          <w:p w14:paraId="20ACBEBA" w14:textId="77777777" w:rsidR="00C016E8" w:rsidRPr="00702DDD" w:rsidRDefault="00C016E8" w:rsidP="00E83386">
            <w:pPr>
              <w:jc w:val="center"/>
              <w:rPr>
                <w:rFonts w:ascii="Times New Roman" w:hAnsi="Times New Roman" w:cs="Times New Roman"/>
                <w:b/>
                <w:sz w:val="22"/>
                <w:szCs w:val="22"/>
              </w:rPr>
            </w:pPr>
            <w:r w:rsidRPr="00702DDD">
              <w:rPr>
                <w:rFonts w:ascii="Times New Roman" w:hAnsi="Times New Roman" w:cs="Times New Roman"/>
                <w:b/>
                <w:sz w:val="22"/>
                <w:szCs w:val="22"/>
              </w:rPr>
              <w:t>Other</w:t>
            </w:r>
          </w:p>
        </w:tc>
      </w:tr>
      <w:tr w:rsidR="00C016E8" w:rsidRPr="00702DDD" w14:paraId="6C3E47F9" w14:textId="77777777" w:rsidTr="00E83386">
        <w:tc>
          <w:tcPr>
            <w:tcW w:w="1710" w:type="dxa"/>
            <w:tcBorders>
              <w:top w:val="single" w:sz="4" w:space="0" w:color="000000"/>
              <w:left w:val="nil"/>
              <w:bottom w:val="single" w:sz="4" w:space="0" w:color="000000"/>
              <w:right w:val="nil"/>
            </w:tcBorders>
            <w:shd w:val="clear" w:color="auto" w:fill="auto"/>
          </w:tcPr>
          <w:p w14:paraId="74C0E246" w14:textId="77777777" w:rsidR="00C016E8" w:rsidRPr="00702DDD" w:rsidRDefault="00C016E8" w:rsidP="00E83386">
            <w:pPr>
              <w:rPr>
                <w:rFonts w:ascii="Times New Roman" w:hAnsi="Times New Roman" w:cs="Times New Roman"/>
                <w:i/>
                <w:sz w:val="22"/>
                <w:szCs w:val="22"/>
              </w:rPr>
            </w:pPr>
            <w:r w:rsidRPr="00702DDD">
              <w:rPr>
                <w:rFonts w:ascii="Times New Roman" w:hAnsi="Times New Roman" w:cs="Times New Roman"/>
                <w:i/>
                <w:sz w:val="22"/>
                <w:szCs w:val="22"/>
              </w:rPr>
              <w:t>COVID-19</w:t>
            </w:r>
          </w:p>
          <w:p w14:paraId="26B58414"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Fresh</w:t>
            </w:r>
          </w:p>
          <w:p w14:paraId="1C98B56E"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Frozen</w:t>
            </w:r>
          </w:p>
          <w:p w14:paraId="2974FF59"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Other</w:t>
            </w:r>
          </w:p>
        </w:tc>
        <w:tc>
          <w:tcPr>
            <w:tcW w:w="2070" w:type="dxa"/>
            <w:tcBorders>
              <w:top w:val="single" w:sz="4" w:space="0" w:color="000000"/>
              <w:left w:val="nil"/>
              <w:bottom w:val="single" w:sz="4" w:space="0" w:color="000000"/>
              <w:right w:val="nil"/>
            </w:tcBorders>
            <w:shd w:val="clear" w:color="auto" w:fill="auto"/>
          </w:tcPr>
          <w:p w14:paraId="0874D0A1" w14:textId="77777777" w:rsidR="00C016E8" w:rsidRPr="00702DDD" w:rsidRDefault="00C016E8" w:rsidP="00E83386">
            <w:pPr>
              <w:jc w:val="center"/>
              <w:rPr>
                <w:rFonts w:ascii="Times New Roman" w:hAnsi="Times New Roman" w:cs="Times New Roman"/>
                <w:sz w:val="22"/>
                <w:szCs w:val="22"/>
              </w:rPr>
            </w:pPr>
          </w:p>
          <w:p w14:paraId="0474550F"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-28.82***(0.07)</w:t>
            </w:r>
          </w:p>
          <w:p w14:paraId="7DEFC622"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-2.96 (0.13)</w:t>
            </w:r>
          </w:p>
        </w:tc>
        <w:tc>
          <w:tcPr>
            <w:tcW w:w="1720" w:type="dxa"/>
            <w:tcBorders>
              <w:top w:val="single" w:sz="4" w:space="0" w:color="000000"/>
              <w:left w:val="nil"/>
              <w:bottom w:val="single" w:sz="4" w:space="0" w:color="000000"/>
              <w:right w:val="nil"/>
            </w:tcBorders>
            <w:shd w:val="clear" w:color="auto" w:fill="auto"/>
          </w:tcPr>
          <w:p w14:paraId="72911490" w14:textId="77777777" w:rsidR="00C016E8" w:rsidRPr="00702DDD" w:rsidRDefault="00C016E8" w:rsidP="00E83386">
            <w:pPr>
              <w:jc w:val="center"/>
              <w:rPr>
                <w:rFonts w:ascii="Times New Roman" w:hAnsi="Times New Roman" w:cs="Times New Roman"/>
                <w:sz w:val="22"/>
                <w:szCs w:val="22"/>
              </w:rPr>
            </w:pPr>
          </w:p>
          <w:p w14:paraId="42CECF39"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-5.82 (0.09)</w:t>
            </w:r>
          </w:p>
          <w:p w14:paraId="12F0A1BD"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44.77**(0.15)</w:t>
            </w:r>
          </w:p>
        </w:tc>
        <w:tc>
          <w:tcPr>
            <w:tcW w:w="1930" w:type="dxa"/>
            <w:tcBorders>
              <w:top w:val="single" w:sz="4" w:space="0" w:color="000000"/>
              <w:left w:val="nil"/>
              <w:bottom w:val="single" w:sz="4" w:space="0" w:color="000000"/>
              <w:right w:val="nil"/>
            </w:tcBorders>
            <w:shd w:val="clear" w:color="auto" w:fill="auto"/>
          </w:tcPr>
          <w:p w14:paraId="347995F2" w14:textId="77777777" w:rsidR="00C016E8" w:rsidRPr="00702DDD" w:rsidRDefault="00C016E8" w:rsidP="00E83386">
            <w:pPr>
              <w:jc w:val="center"/>
              <w:rPr>
                <w:rFonts w:ascii="Times New Roman" w:hAnsi="Times New Roman" w:cs="Times New Roman"/>
                <w:sz w:val="22"/>
                <w:szCs w:val="22"/>
              </w:rPr>
            </w:pPr>
          </w:p>
          <w:p w14:paraId="377A26ED"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 xml:space="preserve">  -26.66***(0.08)</w:t>
            </w:r>
          </w:p>
          <w:p w14:paraId="64342CE9"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-38.12***(0.07)</w:t>
            </w:r>
          </w:p>
        </w:tc>
        <w:tc>
          <w:tcPr>
            <w:tcW w:w="1930" w:type="dxa"/>
            <w:tcBorders>
              <w:top w:val="single" w:sz="4" w:space="0" w:color="000000"/>
              <w:left w:val="nil"/>
              <w:bottom w:val="single" w:sz="4" w:space="0" w:color="000000"/>
              <w:right w:val="nil"/>
            </w:tcBorders>
            <w:shd w:val="clear" w:color="auto" w:fill="auto"/>
          </w:tcPr>
          <w:p w14:paraId="40ABC62E" w14:textId="77777777" w:rsidR="00C016E8" w:rsidRPr="00702DDD" w:rsidRDefault="00C016E8" w:rsidP="00E83386">
            <w:pPr>
              <w:jc w:val="center"/>
              <w:rPr>
                <w:rFonts w:ascii="Times New Roman" w:hAnsi="Times New Roman" w:cs="Times New Roman"/>
                <w:sz w:val="22"/>
                <w:szCs w:val="22"/>
              </w:rPr>
            </w:pPr>
          </w:p>
          <w:p w14:paraId="18DE9CE5"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-12.19 (0.12)</w:t>
            </w:r>
          </w:p>
          <w:p w14:paraId="2F35A9ED"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-22.12*(0.13)</w:t>
            </w:r>
          </w:p>
          <w:p w14:paraId="38C4AD6F"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-14.79 (0.32)</w:t>
            </w:r>
          </w:p>
        </w:tc>
      </w:tr>
      <w:tr w:rsidR="00C016E8" w:rsidRPr="00702DDD" w14:paraId="71590466" w14:textId="77777777" w:rsidTr="00E83386">
        <w:tc>
          <w:tcPr>
            <w:tcW w:w="1710" w:type="dxa"/>
            <w:tcBorders>
              <w:top w:val="single" w:sz="4" w:space="0" w:color="000000"/>
              <w:left w:val="nil"/>
              <w:bottom w:val="single" w:sz="4" w:space="0" w:color="000000"/>
              <w:right w:val="nil"/>
            </w:tcBorders>
            <w:shd w:val="clear" w:color="auto" w:fill="auto"/>
          </w:tcPr>
          <w:p w14:paraId="2C5C14B1" w14:textId="77777777" w:rsidR="00C016E8" w:rsidRPr="00702DDD" w:rsidRDefault="00C016E8" w:rsidP="00E83386">
            <w:pPr>
              <w:rPr>
                <w:rFonts w:ascii="Times New Roman" w:hAnsi="Times New Roman" w:cs="Times New Roman"/>
                <w:i/>
                <w:sz w:val="22"/>
                <w:szCs w:val="22"/>
              </w:rPr>
            </w:pPr>
            <w:r w:rsidRPr="00702DDD">
              <w:rPr>
                <w:rFonts w:ascii="Times New Roman" w:hAnsi="Times New Roman" w:cs="Times New Roman"/>
                <w:i/>
                <w:sz w:val="22"/>
                <w:szCs w:val="22"/>
              </w:rPr>
              <w:t>MERS-</w:t>
            </w:r>
            <w:proofErr w:type="spellStart"/>
            <w:r w:rsidRPr="00702DDD">
              <w:rPr>
                <w:rFonts w:ascii="Times New Roman" w:hAnsi="Times New Roman" w:cs="Times New Roman"/>
                <w:i/>
                <w:sz w:val="22"/>
                <w:szCs w:val="22"/>
              </w:rPr>
              <w:t>Cov</w:t>
            </w:r>
            <w:proofErr w:type="spellEnd"/>
          </w:p>
          <w:p w14:paraId="6392A03E"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 xml:space="preserve">Fresh </w:t>
            </w:r>
          </w:p>
          <w:p w14:paraId="0B1A517A"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Frozen</w:t>
            </w:r>
          </w:p>
          <w:p w14:paraId="0BB47ED4"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 xml:space="preserve">Other </w:t>
            </w:r>
          </w:p>
        </w:tc>
        <w:tc>
          <w:tcPr>
            <w:tcW w:w="2070" w:type="dxa"/>
            <w:tcBorders>
              <w:top w:val="single" w:sz="4" w:space="0" w:color="000000"/>
              <w:left w:val="nil"/>
              <w:bottom w:val="single" w:sz="4" w:space="0" w:color="000000"/>
              <w:right w:val="nil"/>
            </w:tcBorders>
            <w:shd w:val="clear" w:color="auto" w:fill="auto"/>
          </w:tcPr>
          <w:p w14:paraId="267245C3" w14:textId="77777777" w:rsidR="00C016E8" w:rsidRPr="00702DDD" w:rsidRDefault="00C016E8" w:rsidP="00E83386">
            <w:pPr>
              <w:jc w:val="center"/>
              <w:rPr>
                <w:rFonts w:ascii="Times New Roman" w:hAnsi="Times New Roman" w:cs="Times New Roman"/>
                <w:sz w:val="22"/>
                <w:szCs w:val="22"/>
              </w:rPr>
            </w:pPr>
          </w:p>
          <w:p w14:paraId="08EB0CE8"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0.00 (0.03)</w:t>
            </w:r>
          </w:p>
          <w:p w14:paraId="3C5AC333"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4.08 (0.07)</w:t>
            </w:r>
          </w:p>
        </w:tc>
        <w:tc>
          <w:tcPr>
            <w:tcW w:w="1720" w:type="dxa"/>
            <w:tcBorders>
              <w:top w:val="single" w:sz="4" w:space="0" w:color="000000"/>
              <w:left w:val="nil"/>
              <w:bottom w:val="single" w:sz="4" w:space="0" w:color="000000"/>
              <w:right w:val="nil"/>
            </w:tcBorders>
            <w:shd w:val="clear" w:color="auto" w:fill="auto"/>
          </w:tcPr>
          <w:p w14:paraId="00FF47BC" w14:textId="77777777" w:rsidR="00C016E8" w:rsidRPr="00702DDD" w:rsidRDefault="00C016E8" w:rsidP="00E83386">
            <w:pPr>
              <w:jc w:val="center"/>
              <w:rPr>
                <w:rFonts w:ascii="Times New Roman" w:hAnsi="Times New Roman" w:cs="Times New Roman"/>
                <w:sz w:val="22"/>
                <w:szCs w:val="22"/>
              </w:rPr>
            </w:pPr>
          </w:p>
          <w:p w14:paraId="5C6FA05B"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2.02 (0.06)</w:t>
            </w:r>
          </w:p>
          <w:p w14:paraId="4167B194"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 xml:space="preserve">-10.42 (0.08)        </w:t>
            </w:r>
          </w:p>
        </w:tc>
        <w:tc>
          <w:tcPr>
            <w:tcW w:w="1930" w:type="dxa"/>
            <w:tcBorders>
              <w:top w:val="single" w:sz="4" w:space="0" w:color="000000"/>
              <w:left w:val="nil"/>
              <w:bottom w:val="single" w:sz="4" w:space="0" w:color="000000"/>
              <w:right w:val="nil"/>
            </w:tcBorders>
            <w:shd w:val="clear" w:color="auto" w:fill="auto"/>
          </w:tcPr>
          <w:p w14:paraId="42145CFF" w14:textId="77777777" w:rsidR="00C016E8" w:rsidRPr="00702DDD" w:rsidRDefault="00C016E8" w:rsidP="00E83386">
            <w:pPr>
              <w:jc w:val="center"/>
              <w:rPr>
                <w:rFonts w:ascii="Times New Roman" w:hAnsi="Times New Roman" w:cs="Times New Roman"/>
                <w:sz w:val="22"/>
                <w:szCs w:val="22"/>
              </w:rPr>
            </w:pPr>
          </w:p>
          <w:p w14:paraId="22408180"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-4.88 (0.06)</w:t>
            </w:r>
          </w:p>
          <w:p w14:paraId="1FB4BD54"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 xml:space="preserve">3.05 (0.06)     </w:t>
            </w:r>
          </w:p>
        </w:tc>
        <w:tc>
          <w:tcPr>
            <w:tcW w:w="1930" w:type="dxa"/>
            <w:tcBorders>
              <w:top w:val="single" w:sz="4" w:space="0" w:color="000000"/>
              <w:left w:val="nil"/>
              <w:bottom w:val="single" w:sz="4" w:space="0" w:color="000000"/>
              <w:right w:val="nil"/>
            </w:tcBorders>
            <w:shd w:val="clear" w:color="auto" w:fill="auto"/>
          </w:tcPr>
          <w:p w14:paraId="73D01156" w14:textId="77777777" w:rsidR="00C016E8" w:rsidRPr="00702DDD" w:rsidRDefault="00C016E8" w:rsidP="00E83386">
            <w:pPr>
              <w:jc w:val="center"/>
              <w:rPr>
                <w:rFonts w:ascii="Times New Roman" w:hAnsi="Times New Roman" w:cs="Times New Roman"/>
                <w:sz w:val="22"/>
                <w:szCs w:val="22"/>
              </w:rPr>
            </w:pPr>
          </w:p>
          <w:p w14:paraId="1035F792"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4.08 (0.08)</w:t>
            </w:r>
          </w:p>
          <w:p w14:paraId="0167621A"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1.01 (0.09)</w:t>
            </w:r>
          </w:p>
          <w:p w14:paraId="762B2C8D"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-25.17 (0.27)</w:t>
            </w:r>
          </w:p>
        </w:tc>
      </w:tr>
      <w:tr w:rsidR="00C016E8" w:rsidRPr="00702DDD" w14:paraId="119EE709" w14:textId="77777777" w:rsidTr="00E83386">
        <w:tc>
          <w:tcPr>
            <w:tcW w:w="1710" w:type="dxa"/>
            <w:tcBorders>
              <w:top w:val="single" w:sz="4" w:space="0" w:color="000000"/>
              <w:left w:val="nil"/>
              <w:bottom w:val="single" w:sz="4" w:space="0" w:color="000000"/>
              <w:right w:val="nil"/>
            </w:tcBorders>
            <w:shd w:val="clear" w:color="auto" w:fill="auto"/>
          </w:tcPr>
          <w:p w14:paraId="7F0AA713" w14:textId="77777777" w:rsidR="00C016E8" w:rsidRPr="00702DDD" w:rsidRDefault="00C016E8" w:rsidP="00E83386">
            <w:pPr>
              <w:rPr>
                <w:rFonts w:ascii="Times New Roman" w:hAnsi="Times New Roman" w:cs="Times New Roman"/>
                <w:i/>
                <w:sz w:val="22"/>
                <w:szCs w:val="22"/>
              </w:rPr>
            </w:pPr>
            <w:r w:rsidRPr="00702DDD">
              <w:rPr>
                <w:rFonts w:ascii="Times New Roman" w:hAnsi="Times New Roman" w:cs="Times New Roman"/>
                <w:i/>
                <w:sz w:val="22"/>
                <w:szCs w:val="22"/>
              </w:rPr>
              <w:t>Ebola</w:t>
            </w:r>
          </w:p>
          <w:p w14:paraId="56B88501"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Fresh</w:t>
            </w:r>
          </w:p>
          <w:p w14:paraId="7FD35000"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 xml:space="preserve">Frozen </w:t>
            </w:r>
          </w:p>
          <w:p w14:paraId="68B10BA1"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Other</w:t>
            </w:r>
          </w:p>
        </w:tc>
        <w:tc>
          <w:tcPr>
            <w:tcW w:w="2070" w:type="dxa"/>
            <w:tcBorders>
              <w:top w:val="single" w:sz="4" w:space="0" w:color="000000"/>
              <w:left w:val="nil"/>
              <w:bottom w:val="single" w:sz="4" w:space="0" w:color="000000"/>
              <w:right w:val="nil"/>
            </w:tcBorders>
            <w:shd w:val="clear" w:color="auto" w:fill="auto"/>
          </w:tcPr>
          <w:p w14:paraId="6B181499" w14:textId="77777777" w:rsidR="00C016E8" w:rsidRPr="00702DDD" w:rsidRDefault="00C016E8" w:rsidP="00E83386">
            <w:pPr>
              <w:jc w:val="center"/>
              <w:rPr>
                <w:rFonts w:ascii="Times New Roman" w:hAnsi="Times New Roman" w:cs="Times New Roman"/>
                <w:sz w:val="22"/>
                <w:szCs w:val="22"/>
              </w:rPr>
            </w:pPr>
          </w:p>
          <w:p w14:paraId="15DB2E1E"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2.02 (0.06)</w:t>
            </w:r>
          </w:p>
          <w:p w14:paraId="1484E42E"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7.25 (0.11)</w:t>
            </w:r>
          </w:p>
        </w:tc>
        <w:tc>
          <w:tcPr>
            <w:tcW w:w="1720" w:type="dxa"/>
            <w:tcBorders>
              <w:top w:val="single" w:sz="4" w:space="0" w:color="000000"/>
              <w:left w:val="nil"/>
              <w:bottom w:val="single" w:sz="4" w:space="0" w:color="000000"/>
              <w:right w:val="nil"/>
            </w:tcBorders>
            <w:shd w:val="clear" w:color="auto" w:fill="auto"/>
          </w:tcPr>
          <w:p w14:paraId="493283CA" w14:textId="77777777" w:rsidR="00C016E8" w:rsidRPr="00702DDD" w:rsidRDefault="00C016E8" w:rsidP="00E83386">
            <w:pPr>
              <w:jc w:val="center"/>
              <w:rPr>
                <w:rFonts w:ascii="Times New Roman" w:hAnsi="Times New Roman" w:cs="Times New Roman"/>
                <w:sz w:val="22"/>
                <w:szCs w:val="22"/>
              </w:rPr>
            </w:pPr>
          </w:p>
          <w:p w14:paraId="31F6B65F"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2.02 (0.06)</w:t>
            </w:r>
          </w:p>
          <w:p w14:paraId="60BF3A1E"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 xml:space="preserve">-1.00 (0.08)        </w:t>
            </w:r>
          </w:p>
        </w:tc>
        <w:tc>
          <w:tcPr>
            <w:tcW w:w="1930" w:type="dxa"/>
            <w:tcBorders>
              <w:top w:val="single" w:sz="4" w:space="0" w:color="000000"/>
              <w:left w:val="nil"/>
              <w:bottom w:val="single" w:sz="4" w:space="0" w:color="000000"/>
              <w:right w:val="nil"/>
            </w:tcBorders>
            <w:shd w:val="clear" w:color="auto" w:fill="auto"/>
          </w:tcPr>
          <w:p w14:paraId="23258869" w14:textId="77777777" w:rsidR="00C016E8" w:rsidRPr="00702DDD" w:rsidRDefault="00C016E8" w:rsidP="00E83386">
            <w:pPr>
              <w:jc w:val="center"/>
              <w:rPr>
                <w:rFonts w:ascii="Times New Roman" w:hAnsi="Times New Roman" w:cs="Times New Roman"/>
                <w:sz w:val="22"/>
                <w:szCs w:val="22"/>
              </w:rPr>
            </w:pPr>
          </w:p>
          <w:p w14:paraId="71EEF31E"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 xml:space="preserve">-3.92 (0.07)  </w:t>
            </w:r>
          </w:p>
          <w:p w14:paraId="76F1B0F8"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 xml:space="preserve">13.88*(0.07)    </w:t>
            </w:r>
          </w:p>
        </w:tc>
        <w:tc>
          <w:tcPr>
            <w:tcW w:w="1930" w:type="dxa"/>
            <w:tcBorders>
              <w:top w:val="single" w:sz="4" w:space="0" w:color="000000"/>
              <w:left w:val="nil"/>
              <w:bottom w:val="single" w:sz="4" w:space="0" w:color="000000"/>
              <w:right w:val="nil"/>
            </w:tcBorders>
            <w:shd w:val="clear" w:color="auto" w:fill="auto"/>
          </w:tcPr>
          <w:p w14:paraId="311F09AA" w14:textId="77777777" w:rsidR="00C016E8" w:rsidRPr="00702DDD" w:rsidRDefault="00C016E8" w:rsidP="00E83386">
            <w:pPr>
              <w:jc w:val="center"/>
              <w:rPr>
                <w:rFonts w:ascii="Times New Roman" w:hAnsi="Times New Roman" w:cs="Times New Roman"/>
                <w:sz w:val="22"/>
                <w:szCs w:val="22"/>
              </w:rPr>
            </w:pPr>
          </w:p>
          <w:p w14:paraId="0EC28412"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5.13 (0.10)</w:t>
            </w:r>
          </w:p>
          <w:p w14:paraId="57515AB0"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23.37**(0.10)</w:t>
            </w:r>
          </w:p>
          <w:p w14:paraId="6710FBF5"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11.63 (0.20)</w:t>
            </w:r>
          </w:p>
        </w:tc>
      </w:tr>
      <w:tr w:rsidR="00C016E8" w:rsidRPr="00702DDD" w14:paraId="29B9340B" w14:textId="77777777" w:rsidTr="00E83386">
        <w:tc>
          <w:tcPr>
            <w:tcW w:w="1710" w:type="dxa"/>
            <w:tcBorders>
              <w:top w:val="single" w:sz="4" w:space="0" w:color="000000"/>
              <w:left w:val="nil"/>
              <w:bottom w:val="single" w:sz="4" w:space="0" w:color="000000"/>
              <w:right w:val="nil"/>
            </w:tcBorders>
            <w:shd w:val="clear" w:color="auto" w:fill="auto"/>
          </w:tcPr>
          <w:p w14:paraId="1811EF82"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i/>
                <w:sz w:val="22"/>
                <w:szCs w:val="22"/>
              </w:rPr>
              <w:t>Zika</w:t>
            </w:r>
          </w:p>
          <w:p w14:paraId="031DFA4A"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Fresh</w:t>
            </w:r>
          </w:p>
          <w:p w14:paraId="301794DE"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Frozen</w:t>
            </w:r>
          </w:p>
          <w:p w14:paraId="13B6D408" w14:textId="77777777" w:rsidR="00C016E8" w:rsidRPr="00702DDD" w:rsidRDefault="00C016E8" w:rsidP="00E83386">
            <w:pPr>
              <w:rPr>
                <w:rFonts w:ascii="Times New Roman" w:hAnsi="Times New Roman" w:cs="Times New Roman"/>
                <w:i/>
                <w:sz w:val="22"/>
                <w:szCs w:val="22"/>
              </w:rPr>
            </w:pPr>
            <w:r w:rsidRPr="00702DDD">
              <w:rPr>
                <w:rFonts w:ascii="Times New Roman" w:hAnsi="Times New Roman" w:cs="Times New Roman"/>
                <w:sz w:val="22"/>
                <w:szCs w:val="22"/>
              </w:rPr>
              <w:t xml:space="preserve">Other </w:t>
            </w:r>
          </w:p>
        </w:tc>
        <w:tc>
          <w:tcPr>
            <w:tcW w:w="2070" w:type="dxa"/>
            <w:tcBorders>
              <w:top w:val="single" w:sz="4" w:space="0" w:color="000000"/>
              <w:left w:val="nil"/>
              <w:bottom w:val="single" w:sz="4" w:space="0" w:color="000000"/>
              <w:right w:val="nil"/>
            </w:tcBorders>
            <w:shd w:val="clear" w:color="auto" w:fill="auto"/>
          </w:tcPr>
          <w:p w14:paraId="67F0F70B" w14:textId="77777777" w:rsidR="00C016E8" w:rsidRPr="00702DDD" w:rsidRDefault="00C016E8" w:rsidP="00E83386">
            <w:pPr>
              <w:jc w:val="center"/>
              <w:rPr>
                <w:rFonts w:ascii="Times New Roman" w:hAnsi="Times New Roman" w:cs="Times New Roman"/>
                <w:sz w:val="22"/>
                <w:szCs w:val="22"/>
              </w:rPr>
            </w:pPr>
          </w:p>
          <w:p w14:paraId="22424D6B"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-5.82*(0.03)</w:t>
            </w:r>
          </w:p>
          <w:p w14:paraId="64A0D557"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-6.76 (0.10)</w:t>
            </w:r>
          </w:p>
        </w:tc>
        <w:tc>
          <w:tcPr>
            <w:tcW w:w="1720" w:type="dxa"/>
            <w:tcBorders>
              <w:top w:val="single" w:sz="4" w:space="0" w:color="000000"/>
              <w:left w:val="nil"/>
              <w:bottom w:val="single" w:sz="4" w:space="0" w:color="000000"/>
              <w:right w:val="nil"/>
            </w:tcBorders>
            <w:shd w:val="clear" w:color="auto" w:fill="auto"/>
          </w:tcPr>
          <w:p w14:paraId="092551C9" w14:textId="77777777" w:rsidR="00C016E8" w:rsidRPr="00702DDD" w:rsidRDefault="00C016E8" w:rsidP="00E83386">
            <w:pPr>
              <w:jc w:val="center"/>
              <w:rPr>
                <w:rFonts w:ascii="Times New Roman" w:hAnsi="Times New Roman" w:cs="Times New Roman"/>
                <w:sz w:val="22"/>
                <w:szCs w:val="22"/>
              </w:rPr>
            </w:pPr>
          </w:p>
          <w:p w14:paraId="77BF4410"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1.01 (0.07)</w:t>
            </w:r>
          </w:p>
          <w:p w14:paraId="7FA314EB"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-2.96 (0.08)</w:t>
            </w:r>
          </w:p>
        </w:tc>
        <w:tc>
          <w:tcPr>
            <w:tcW w:w="1930" w:type="dxa"/>
            <w:tcBorders>
              <w:top w:val="single" w:sz="4" w:space="0" w:color="000000"/>
              <w:left w:val="nil"/>
              <w:bottom w:val="single" w:sz="4" w:space="0" w:color="000000"/>
              <w:right w:val="nil"/>
            </w:tcBorders>
            <w:shd w:val="clear" w:color="auto" w:fill="auto"/>
          </w:tcPr>
          <w:p w14:paraId="2E6665FF" w14:textId="77777777" w:rsidR="00C016E8" w:rsidRPr="00702DDD" w:rsidRDefault="00C016E8" w:rsidP="00E83386">
            <w:pPr>
              <w:jc w:val="center"/>
              <w:rPr>
                <w:rFonts w:ascii="Times New Roman" w:hAnsi="Times New Roman" w:cs="Times New Roman"/>
                <w:sz w:val="22"/>
                <w:szCs w:val="22"/>
              </w:rPr>
            </w:pPr>
          </w:p>
          <w:p w14:paraId="2963AD66"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 xml:space="preserve">-12.19* (0.07) </w:t>
            </w:r>
          </w:p>
          <w:p w14:paraId="6FFFD9A6"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-6.76 (0.05)</w:t>
            </w:r>
          </w:p>
        </w:tc>
        <w:tc>
          <w:tcPr>
            <w:tcW w:w="1930" w:type="dxa"/>
            <w:tcBorders>
              <w:top w:val="single" w:sz="4" w:space="0" w:color="000000"/>
              <w:left w:val="nil"/>
              <w:bottom w:val="single" w:sz="4" w:space="0" w:color="000000"/>
              <w:right w:val="nil"/>
            </w:tcBorders>
            <w:shd w:val="clear" w:color="auto" w:fill="auto"/>
          </w:tcPr>
          <w:p w14:paraId="454DACF7" w14:textId="77777777" w:rsidR="00C016E8" w:rsidRPr="00702DDD" w:rsidRDefault="00C016E8" w:rsidP="00E83386">
            <w:pPr>
              <w:jc w:val="center"/>
              <w:rPr>
                <w:rFonts w:ascii="Times New Roman" w:hAnsi="Times New Roman" w:cs="Times New Roman"/>
                <w:sz w:val="22"/>
                <w:szCs w:val="22"/>
              </w:rPr>
            </w:pPr>
          </w:p>
          <w:p w14:paraId="4FF15CB7"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-10.42(0.10)</w:t>
            </w:r>
          </w:p>
          <w:p w14:paraId="797EC247"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-20.55***(0.08)</w:t>
            </w:r>
          </w:p>
          <w:p w14:paraId="0EF009EB"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-11.31(0.12)</w:t>
            </w:r>
          </w:p>
        </w:tc>
      </w:tr>
      <w:tr w:rsidR="00C016E8" w:rsidRPr="00702DDD" w14:paraId="3570120D" w14:textId="77777777" w:rsidTr="00E83386">
        <w:tc>
          <w:tcPr>
            <w:tcW w:w="1710" w:type="dxa"/>
            <w:tcBorders>
              <w:top w:val="single" w:sz="4" w:space="0" w:color="000000"/>
              <w:left w:val="nil"/>
              <w:bottom w:val="nil"/>
              <w:right w:val="nil"/>
            </w:tcBorders>
            <w:shd w:val="clear" w:color="auto" w:fill="auto"/>
          </w:tcPr>
          <w:p w14:paraId="410E6243" w14:textId="77777777" w:rsidR="00C016E8" w:rsidRPr="00702DDD" w:rsidRDefault="00C016E8" w:rsidP="00E83386">
            <w:pPr>
              <w:rPr>
                <w:rFonts w:ascii="Times New Roman" w:hAnsi="Times New Roman" w:cs="Times New Roman"/>
                <w:i/>
                <w:sz w:val="22"/>
                <w:lang w:val="es-ES"/>
              </w:rPr>
            </w:pPr>
            <w:proofErr w:type="spellStart"/>
            <w:r w:rsidRPr="00702DDD">
              <w:rPr>
                <w:rFonts w:ascii="Times New Roman" w:hAnsi="Times New Roman" w:cs="Times New Roman"/>
                <w:i/>
                <w:sz w:val="22"/>
                <w:lang w:val="es-ES"/>
              </w:rPr>
              <w:t>Reporter</w:t>
            </w:r>
            <w:proofErr w:type="spellEnd"/>
          </w:p>
          <w:p w14:paraId="5FDC7D21" w14:textId="77777777" w:rsidR="00C016E8" w:rsidRPr="00702DDD" w:rsidRDefault="00C016E8" w:rsidP="00E83386">
            <w:pPr>
              <w:rPr>
                <w:rFonts w:ascii="Times New Roman" w:hAnsi="Times New Roman" w:cs="Times New Roman"/>
                <w:sz w:val="22"/>
                <w:lang w:val="es-ES"/>
              </w:rPr>
            </w:pPr>
            <w:r w:rsidRPr="00702DDD">
              <w:rPr>
                <w:rFonts w:ascii="Times New Roman" w:hAnsi="Times New Roman" w:cs="Times New Roman"/>
                <w:sz w:val="22"/>
                <w:lang w:val="es-ES"/>
              </w:rPr>
              <w:t>Australia</w:t>
            </w:r>
            <w:r w:rsidRPr="00702DDD">
              <w:rPr>
                <w:rFonts w:ascii="Times New Roman" w:hAnsi="Times New Roman" w:cs="Times New Roman"/>
                <w:sz w:val="22"/>
                <w:lang w:val="es-ES"/>
              </w:rPr>
              <w:tab/>
            </w:r>
          </w:p>
          <w:p w14:paraId="28B93E32" w14:textId="77777777" w:rsidR="00C016E8" w:rsidRPr="00702DDD" w:rsidRDefault="00C016E8" w:rsidP="00E83386">
            <w:pPr>
              <w:rPr>
                <w:rFonts w:ascii="Times New Roman" w:hAnsi="Times New Roman" w:cs="Times New Roman"/>
                <w:sz w:val="22"/>
                <w:lang w:val="es-ES"/>
              </w:rPr>
            </w:pPr>
            <w:r w:rsidRPr="00702DDD">
              <w:rPr>
                <w:rFonts w:ascii="Times New Roman" w:hAnsi="Times New Roman" w:cs="Times New Roman"/>
                <w:sz w:val="22"/>
                <w:lang w:val="es-ES"/>
              </w:rPr>
              <w:t>Austria</w:t>
            </w:r>
          </w:p>
          <w:p w14:paraId="6593CA85" w14:textId="77777777" w:rsidR="00C016E8" w:rsidRPr="00702DDD" w:rsidRDefault="00C016E8" w:rsidP="00E83386">
            <w:pPr>
              <w:rPr>
                <w:rFonts w:ascii="Times New Roman" w:hAnsi="Times New Roman" w:cs="Times New Roman"/>
                <w:sz w:val="22"/>
                <w:lang w:val="es-ES"/>
              </w:rPr>
            </w:pPr>
            <w:proofErr w:type="spellStart"/>
            <w:r w:rsidRPr="00702DDD">
              <w:rPr>
                <w:rFonts w:ascii="Times New Roman" w:hAnsi="Times New Roman" w:cs="Times New Roman"/>
                <w:sz w:val="22"/>
                <w:lang w:val="es-ES"/>
              </w:rPr>
              <w:t>Belgium</w:t>
            </w:r>
            <w:proofErr w:type="spellEnd"/>
          </w:p>
          <w:p w14:paraId="71CD3FA8" w14:textId="77777777" w:rsidR="00C016E8" w:rsidRPr="00702DDD" w:rsidRDefault="00C016E8" w:rsidP="00E83386">
            <w:pPr>
              <w:rPr>
                <w:rFonts w:ascii="Times New Roman" w:hAnsi="Times New Roman" w:cs="Times New Roman"/>
                <w:sz w:val="22"/>
                <w:lang w:val="es-ES"/>
              </w:rPr>
            </w:pPr>
            <w:proofErr w:type="spellStart"/>
            <w:r w:rsidRPr="00702DDD">
              <w:rPr>
                <w:rFonts w:ascii="Times New Roman" w:hAnsi="Times New Roman" w:cs="Times New Roman"/>
                <w:sz w:val="22"/>
                <w:lang w:val="es-ES"/>
              </w:rPr>
              <w:t>Brazil</w:t>
            </w:r>
            <w:proofErr w:type="spellEnd"/>
          </w:p>
          <w:p w14:paraId="6A100D16" w14:textId="77777777" w:rsidR="00C016E8" w:rsidRPr="00702DDD" w:rsidRDefault="00C016E8" w:rsidP="00E83386">
            <w:pPr>
              <w:rPr>
                <w:rFonts w:ascii="Times New Roman" w:hAnsi="Times New Roman" w:cs="Times New Roman"/>
                <w:sz w:val="22"/>
                <w:lang w:val="es-ES"/>
              </w:rPr>
            </w:pPr>
            <w:proofErr w:type="spellStart"/>
            <w:r w:rsidRPr="00702DDD">
              <w:rPr>
                <w:rFonts w:ascii="Times New Roman" w:hAnsi="Times New Roman" w:cs="Times New Roman"/>
                <w:sz w:val="22"/>
                <w:lang w:val="es-ES"/>
              </w:rPr>
              <w:t>Canada</w:t>
            </w:r>
            <w:proofErr w:type="spellEnd"/>
          </w:p>
          <w:p w14:paraId="04D2E4FB"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China</w:t>
            </w:r>
          </w:p>
          <w:p w14:paraId="29A71873"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Denmark</w:t>
            </w:r>
          </w:p>
          <w:p w14:paraId="0A61AE26"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France</w:t>
            </w:r>
          </w:p>
          <w:p w14:paraId="6062AE63"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Germany</w:t>
            </w:r>
          </w:p>
          <w:p w14:paraId="44C8E9DA"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Hungary</w:t>
            </w:r>
          </w:p>
        </w:tc>
        <w:tc>
          <w:tcPr>
            <w:tcW w:w="2070" w:type="dxa"/>
            <w:tcBorders>
              <w:top w:val="single" w:sz="4" w:space="0" w:color="000000"/>
              <w:left w:val="nil"/>
              <w:bottom w:val="nil"/>
              <w:right w:val="nil"/>
            </w:tcBorders>
            <w:shd w:val="clear" w:color="auto" w:fill="auto"/>
          </w:tcPr>
          <w:p w14:paraId="6AC01A86" w14:textId="77777777" w:rsidR="00C016E8" w:rsidRPr="00702DDD" w:rsidRDefault="00C016E8" w:rsidP="00E83386">
            <w:pPr>
              <w:jc w:val="center"/>
              <w:rPr>
                <w:rFonts w:ascii="Times New Roman" w:hAnsi="Times New Roman" w:cs="Times New Roman"/>
                <w:sz w:val="22"/>
                <w:szCs w:val="22"/>
              </w:rPr>
            </w:pPr>
          </w:p>
          <w:p w14:paraId="66C667B6"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-18.94 (2.40)</w:t>
            </w:r>
          </w:p>
          <w:p w14:paraId="64859392"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-47.27(2.21)</w:t>
            </w:r>
          </w:p>
          <w:p w14:paraId="737B3BCD"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-100.00 (2.22)</w:t>
            </w:r>
          </w:p>
          <w:p w14:paraId="59B219AA"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-98.33 (3.01)</w:t>
            </w:r>
          </w:p>
          <w:p w14:paraId="208F61B5"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-4.88 (2.15)</w:t>
            </w:r>
          </w:p>
          <w:p w14:paraId="37A41327"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-87.00 (2.19)</w:t>
            </w:r>
          </w:p>
          <w:p w14:paraId="2C7F9410"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-59.34 (2.20)</w:t>
            </w:r>
          </w:p>
          <w:p w14:paraId="355FFBEF"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-47.80 (2.14)</w:t>
            </w:r>
          </w:p>
          <w:p w14:paraId="3E50DCA9"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-71.92 (2.50)</w:t>
            </w:r>
          </w:p>
          <w:p w14:paraId="3F2E1B42"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-78.55 (2.21)</w:t>
            </w:r>
          </w:p>
        </w:tc>
        <w:tc>
          <w:tcPr>
            <w:tcW w:w="1720" w:type="dxa"/>
            <w:tcBorders>
              <w:top w:val="single" w:sz="4" w:space="0" w:color="000000"/>
              <w:left w:val="nil"/>
              <w:bottom w:val="nil"/>
              <w:right w:val="nil"/>
            </w:tcBorders>
            <w:shd w:val="clear" w:color="auto" w:fill="auto"/>
          </w:tcPr>
          <w:p w14:paraId="66D880FA" w14:textId="77777777" w:rsidR="00C016E8" w:rsidRPr="00702DDD" w:rsidRDefault="00C016E8" w:rsidP="00E83386">
            <w:pPr>
              <w:jc w:val="center"/>
              <w:rPr>
                <w:rFonts w:ascii="Times New Roman" w:hAnsi="Times New Roman" w:cs="Times New Roman"/>
                <w:sz w:val="22"/>
                <w:szCs w:val="22"/>
              </w:rPr>
            </w:pPr>
          </w:p>
          <w:p w14:paraId="1AD8D409"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-86.67**(0.80)</w:t>
            </w:r>
          </w:p>
          <w:p w14:paraId="0B4B0F40"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-84.28 (1.16)</w:t>
            </w:r>
          </w:p>
          <w:p w14:paraId="5994C3A5"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-73.02 (1.28)</w:t>
            </w:r>
          </w:p>
          <w:p w14:paraId="3B227007"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-98.56***(1.59)</w:t>
            </w:r>
          </w:p>
          <w:p w14:paraId="33308347"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-88.81 (1.46)</w:t>
            </w:r>
          </w:p>
          <w:p w14:paraId="67290040"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-84.12 (1.28)</w:t>
            </w:r>
          </w:p>
          <w:p w14:paraId="2AFB7FB4"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-81.18 (1.74)</w:t>
            </w:r>
          </w:p>
          <w:p w14:paraId="0D5ED7D0"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-59.75 (0.99)</w:t>
            </w:r>
          </w:p>
          <w:p w14:paraId="0A89FB9E"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-36.24 (1.12)</w:t>
            </w:r>
          </w:p>
          <w:p w14:paraId="6A868096"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 xml:space="preserve">-72.47 (1.26) </w:t>
            </w:r>
          </w:p>
        </w:tc>
        <w:tc>
          <w:tcPr>
            <w:tcW w:w="1930" w:type="dxa"/>
            <w:tcBorders>
              <w:top w:val="single" w:sz="4" w:space="0" w:color="000000"/>
              <w:left w:val="nil"/>
              <w:bottom w:val="nil"/>
              <w:right w:val="nil"/>
            </w:tcBorders>
            <w:shd w:val="clear" w:color="auto" w:fill="auto"/>
          </w:tcPr>
          <w:p w14:paraId="44FFF06E" w14:textId="77777777" w:rsidR="00C016E8" w:rsidRPr="00702DDD" w:rsidRDefault="00C016E8" w:rsidP="00E83386">
            <w:pPr>
              <w:jc w:val="center"/>
              <w:rPr>
                <w:rFonts w:ascii="Times New Roman" w:hAnsi="Times New Roman" w:cs="Times New Roman"/>
                <w:sz w:val="22"/>
                <w:szCs w:val="22"/>
              </w:rPr>
            </w:pPr>
          </w:p>
          <w:p w14:paraId="29B7820E"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-91.63*(1.36)</w:t>
            </w:r>
          </w:p>
          <w:p w14:paraId="0005219D"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-97.89***(1.33)</w:t>
            </w:r>
          </w:p>
          <w:p w14:paraId="5FE7454C"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-93.48*(1.43)</w:t>
            </w:r>
          </w:p>
          <w:p w14:paraId="465A5678"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-99.32***(1.60)</w:t>
            </w:r>
          </w:p>
          <w:p w14:paraId="12B4037A"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-82.45 (1.32)</w:t>
            </w:r>
          </w:p>
          <w:p w14:paraId="1EF6168B"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-91.87*(1.45)</w:t>
            </w:r>
          </w:p>
          <w:p w14:paraId="61CBA750"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-97.74***(1.38)</w:t>
            </w:r>
          </w:p>
          <w:p w14:paraId="5CDE9994"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-62.09 (1.34)</w:t>
            </w:r>
          </w:p>
          <w:p w14:paraId="62B6A3B9"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-94.55**(1.37)</w:t>
            </w:r>
          </w:p>
          <w:p w14:paraId="13B3CBB3"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-70.18(1.33)</w:t>
            </w:r>
          </w:p>
        </w:tc>
        <w:tc>
          <w:tcPr>
            <w:tcW w:w="1930" w:type="dxa"/>
            <w:tcBorders>
              <w:top w:val="single" w:sz="4" w:space="0" w:color="000000"/>
              <w:left w:val="nil"/>
              <w:bottom w:val="nil"/>
              <w:right w:val="nil"/>
            </w:tcBorders>
            <w:shd w:val="clear" w:color="auto" w:fill="auto"/>
          </w:tcPr>
          <w:p w14:paraId="739A3D2F" w14:textId="77777777" w:rsidR="00C016E8" w:rsidRPr="00702DDD" w:rsidRDefault="00C016E8" w:rsidP="00E83386">
            <w:pPr>
              <w:jc w:val="center"/>
              <w:rPr>
                <w:rFonts w:ascii="Times New Roman" w:hAnsi="Times New Roman" w:cs="Times New Roman"/>
                <w:sz w:val="22"/>
                <w:szCs w:val="22"/>
              </w:rPr>
            </w:pPr>
          </w:p>
          <w:p w14:paraId="7F2A25E3"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2164.64***(.99)</w:t>
            </w:r>
          </w:p>
          <w:p w14:paraId="0EFC7260"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-89.87***(0.75)</w:t>
            </w:r>
          </w:p>
          <w:p w14:paraId="05BC7890"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-62.47 (1.09)</w:t>
            </w:r>
          </w:p>
          <w:p w14:paraId="2A69DBD2"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-97.07***(1.11)</w:t>
            </w:r>
          </w:p>
          <w:p w14:paraId="3A22C0E9"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-84.89***(0.67)</w:t>
            </w:r>
          </w:p>
          <w:p w14:paraId="624F7845"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263.28 (1.28)</w:t>
            </w:r>
          </w:p>
          <w:p w14:paraId="1DC5CFCD"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-75.59*(0.74)</w:t>
            </w:r>
          </w:p>
          <w:p w14:paraId="48C1B20E"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-29.53 (0.93)</w:t>
            </w:r>
          </w:p>
          <w:p w14:paraId="49D8A0F9"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-63.35 (1.10)</w:t>
            </w:r>
          </w:p>
          <w:p w14:paraId="16A43ACA"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-95.58***(0.90)</w:t>
            </w:r>
          </w:p>
        </w:tc>
      </w:tr>
      <w:tr w:rsidR="00C016E8" w:rsidRPr="00702DDD" w14:paraId="6FCE354F" w14:textId="77777777" w:rsidTr="00E83386">
        <w:tc>
          <w:tcPr>
            <w:tcW w:w="1710" w:type="dxa"/>
            <w:tcBorders>
              <w:top w:val="nil"/>
              <w:left w:val="nil"/>
              <w:bottom w:val="single" w:sz="4" w:space="0" w:color="000000"/>
              <w:right w:val="nil"/>
            </w:tcBorders>
            <w:shd w:val="clear" w:color="auto" w:fill="auto"/>
          </w:tcPr>
          <w:p w14:paraId="27715F2E"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India</w:t>
            </w:r>
          </w:p>
          <w:p w14:paraId="435D351D"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Ireland</w:t>
            </w:r>
            <w:r w:rsidRPr="00702DDD">
              <w:rPr>
                <w:rFonts w:ascii="Times New Roman" w:hAnsi="Times New Roman" w:cs="Times New Roman"/>
                <w:sz w:val="22"/>
                <w:szCs w:val="22"/>
              </w:rPr>
              <w:tab/>
            </w:r>
          </w:p>
          <w:p w14:paraId="69CB655C"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Italy</w:t>
            </w:r>
            <w:r w:rsidRPr="00702DDD">
              <w:rPr>
                <w:rFonts w:ascii="Times New Roman" w:hAnsi="Times New Roman" w:cs="Times New Roman"/>
                <w:sz w:val="22"/>
                <w:szCs w:val="22"/>
              </w:rPr>
              <w:tab/>
            </w:r>
          </w:p>
          <w:p w14:paraId="3AFC73BB"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Mexico</w:t>
            </w:r>
            <w:r w:rsidRPr="00702DDD">
              <w:rPr>
                <w:rFonts w:ascii="Times New Roman" w:hAnsi="Times New Roman" w:cs="Times New Roman"/>
                <w:sz w:val="22"/>
                <w:szCs w:val="22"/>
              </w:rPr>
              <w:tab/>
              <w:t xml:space="preserve"> </w:t>
            </w:r>
          </w:p>
          <w:p w14:paraId="01F0A9B3"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Netherlands</w:t>
            </w:r>
          </w:p>
          <w:p w14:paraId="08AAE690"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New Zealand</w:t>
            </w:r>
          </w:p>
          <w:p w14:paraId="1F5BCE13"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Poland</w:t>
            </w:r>
          </w:p>
          <w:p w14:paraId="1FFD7C5F"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Spain</w:t>
            </w:r>
          </w:p>
          <w:p w14:paraId="5A990C0F"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USA</w:t>
            </w:r>
          </w:p>
          <w:p w14:paraId="3C707ED8" w14:textId="77777777" w:rsidR="00C016E8" w:rsidRPr="00702DDD" w:rsidRDefault="00C016E8" w:rsidP="00E83386">
            <w:pPr>
              <w:rPr>
                <w:rFonts w:ascii="Times New Roman" w:hAnsi="Times New Roman" w:cs="Times New Roman"/>
                <w:sz w:val="21"/>
                <w:szCs w:val="21"/>
              </w:rPr>
            </w:pPr>
            <w:r w:rsidRPr="00702DDD">
              <w:rPr>
                <w:rFonts w:ascii="Times New Roman" w:hAnsi="Times New Roman" w:cs="Times New Roman"/>
                <w:sz w:val="21"/>
                <w:szCs w:val="21"/>
              </w:rPr>
              <w:t>United Kingdom</w:t>
            </w:r>
          </w:p>
          <w:p w14:paraId="42BEE91A"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Uruguay</w:t>
            </w:r>
          </w:p>
        </w:tc>
        <w:tc>
          <w:tcPr>
            <w:tcW w:w="2070" w:type="dxa"/>
            <w:tcBorders>
              <w:top w:val="nil"/>
              <w:left w:val="nil"/>
              <w:bottom w:val="single" w:sz="4" w:space="0" w:color="000000"/>
              <w:right w:val="nil"/>
            </w:tcBorders>
            <w:shd w:val="clear" w:color="auto" w:fill="auto"/>
          </w:tcPr>
          <w:p w14:paraId="310172F9"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-92.72 (3.21)</w:t>
            </w:r>
          </w:p>
          <w:p w14:paraId="1FA47CD9"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-18.94 (2.14)</w:t>
            </w:r>
          </w:p>
          <w:p w14:paraId="045641C4"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10.52 (2.07)</w:t>
            </w:r>
          </w:p>
          <w:p w14:paraId="7C25A0C4"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206.49 (2.11)</w:t>
            </w:r>
          </w:p>
          <w:p w14:paraId="4A95719E"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-64.30 (2.42)</w:t>
            </w:r>
          </w:p>
          <w:p w14:paraId="6234A252"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122.55 (2.36)</w:t>
            </w:r>
          </w:p>
          <w:p w14:paraId="18442185"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43.33 (2.07)</w:t>
            </w:r>
          </w:p>
          <w:p w14:paraId="08C6BD37"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-10.42 (2.06)</w:t>
            </w:r>
          </w:p>
          <w:p w14:paraId="4B55AEE9"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-36.24 (2.36)</w:t>
            </w:r>
          </w:p>
          <w:p w14:paraId="312408DF"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-8.61 (2.04)</w:t>
            </w:r>
          </w:p>
          <w:p w14:paraId="4E751FE3"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661.41 (2.31)</w:t>
            </w:r>
          </w:p>
        </w:tc>
        <w:tc>
          <w:tcPr>
            <w:tcW w:w="1720" w:type="dxa"/>
            <w:tcBorders>
              <w:top w:val="nil"/>
              <w:left w:val="nil"/>
              <w:bottom w:val="single" w:sz="4" w:space="0" w:color="000000"/>
              <w:right w:val="nil"/>
            </w:tcBorders>
            <w:shd w:val="clear" w:color="auto" w:fill="auto"/>
          </w:tcPr>
          <w:p w14:paraId="7E552F3D"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 xml:space="preserve">-99.18***(1.28) </w:t>
            </w:r>
          </w:p>
          <w:p w14:paraId="250226F5"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-76.07 (0.91)</w:t>
            </w:r>
          </w:p>
          <w:p w14:paraId="5E9D38C7"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-73.02 (0.77)</w:t>
            </w:r>
          </w:p>
          <w:p w14:paraId="509817D6"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 xml:space="preserve">-95.45*(1.86)  </w:t>
            </w:r>
          </w:p>
          <w:p w14:paraId="75D75C02"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-53.23 (1.09)</w:t>
            </w:r>
          </w:p>
          <w:p w14:paraId="61F1AED0"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 xml:space="preserve">-98.36**(0.85)  </w:t>
            </w:r>
          </w:p>
          <w:p w14:paraId="0FCC4598"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-66.04 (0.86)</w:t>
            </w:r>
          </w:p>
          <w:p w14:paraId="2A969E81"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-28.11 (1.13)</w:t>
            </w:r>
          </w:p>
          <w:p w14:paraId="6F4B7CDF"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-63.58 (1.19)</w:t>
            </w:r>
          </w:p>
          <w:p w14:paraId="3E027830"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-72.20 (1.02)</w:t>
            </w:r>
          </w:p>
          <w:p w14:paraId="7FC9A8F8"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 xml:space="preserve">                                               </w:t>
            </w:r>
          </w:p>
        </w:tc>
        <w:tc>
          <w:tcPr>
            <w:tcW w:w="1930" w:type="dxa"/>
            <w:tcBorders>
              <w:top w:val="nil"/>
              <w:left w:val="nil"/>
              <w:bottom w:val="single" w:sz="4" w:space="0" w:color="000000"/>
              <w:right w:val="nil"/>
            </w:tcBorders>
            <w:shd w:val="clear" w:color="auto" w:fill="auto"/>
          </w:tcPr>
          <w:p w14:paraId="766422A2"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-54.62 (1.46)</w:t>
            </w:r>
          </w:p>
          <w:p w14:paraId="7A919A75"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 xml:space="preserve">-92.19*(1.34) </w:t>
            </w:r>
          </w:p>
          <w:p w14:paraId="3EDF7337"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 xml:space="preserve">-98.59***(1.39)   </w:t>
            </w:r>
          </w:p>
          <w:p w14:paraId="1D53D070"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-61.71 (1.69)</w:t>
            </w:r>
          </w:p>
          <w:p w14:paraId="337008CB"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 xml:space="preserve">-98.11**(1.55)   </w:t>
            </w:r>
          </w:p>
          <w:p w14:paraId="6C0E1EBF"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 xml:space="preserve">-96.83**(1.36)   </w:t>
            </w:r>
          </w:p>
          <w:p w14:paraId="74BE7EC5"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 xml:space="preserve">-91.95*(1.32)    </w:t>
            </w:r>
          </w:p>
          <w:p w14:paraId="4B122F4C"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 xml:space="preserve">-94.61**(1.43) </w:t>
            </w:r>
          </w:p>
          <w:p w14:paraId="13AD4776"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-97.45**(1.46)</w:t>
            </w:r>
          </w:p>
          <w:p w14:paraId="799B2CF7"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-92.79**(1.31)</w:t>
            </w:r>
          </w:p>
          <w:p w14:paraId="5118FB49"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 xml:space="preserve">93.48 (1.63)                </w:t>
            </w:r>
          </w:p>
        </w:tc>
        <w:tc>
          <w:tcPr>
            <w:tcW w:w="1930" w:type="dxa"/>
            <w:tcBorders>
              <w:top w:val="nil"/>
              <w:left w:val="nil"/>
              <w:bottom w:val="single" w:sz="4" w:space="0" w:color="000000"/>
              <w:right w:val="nil"/>
            </w:tcBorders>
            <w:shd w:val="clear" w:color="auto" w:fill="auto"/>
          </w:tcPr>
          <w:p w14:paraId="466D0D97"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-53.70 (1.10)</w:t>
            </w:r>
          </w:p>
          <w:p w14:paraId="60AF2D2D"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206.49 (0.95)</w:t>
            </w:r>
          </w:p>
          <w:p w14:paraId="3B64F096"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-79.20**(0.75)</w:t>
            </w:r>
          </w:p>
          <w:p w14:paraId="2A6E9125"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87.76 (1.64)</w:t>
            </w:r>
          </w:p>
          <w:p w14:paraId="6EC30C6F"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-32.97 (1.08)</w:t>
            </w:r>
          </w:p>
          <w:p w14:paraId="4BC0EFEA"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661.41*(1.12)</w:t>
            </w:r>
          </w:p>
          <w:p w14:paraId="43C0CBEF"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-94.33***(0.96)</w:t>
            </w:r>
          </w:p>
          <w:p w14:paraId="565C6731"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101.38(0.89)</w:t>
            </w:r>
          </w:p>
          <w:p w14:paraId="31EF94B3"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-76.07 (0.92)</w:t>
            </w:r>
          </w:p>
          <w:p w14:paraId="4F285EF5"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76.83 (1.12)</w:t>
            </w:r>
          </w:p>
          <w:p w14:paraId="5ACFC53A"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278.10 (0.95)</w:t>
            </w:r>
          </w:p>
        </w:tc>
      </w:tr>
      <w:tr w:rsidR="00C016E8" w:rsidRPr="00702DDD" w14:paraId="3FBFD133" w14:textId="77777777" w:rsidTr="00E83386">
        <w:tc>
          <w:tcPr>
            <w:tcW w:w="3780" w:type="dxa"/>
            <w:gridSpan w:val="2"/>
            <w:tcBorders>
              <w:top w:val="single" w:sz="4" w:space="0" w:color="000000"/>
              <w:left w:val="nil"/>
              <w:bottom w:val="nil"/>
              <w:right w:val="nil"/>
            </w:tcBorders>
            <w:shd w:val="clear" w:color="auto" w:fill="auto"/>
          </w:tcPr>
          <w:p w14:paraId="54DFFF79" w14:textId="77777777" w:rsidR="00C016E8" w:rsidRPr="00702DDD" w:rsidRDefault="00C016E8" w:rsidP="00E83386">
            <w:pPr>
              <w:rPr>
                <w:rFonts w:ascii="Times New Roman" w:hAnsi="Times New Roman" w:cs="Times New Roman"/>
                <w:i/>
                <w:sz w:val="22"/>
                <w:szCs w:val="22"/>
              </w:rPr>
            </w:pPr>
            <w:r w:rsidRPr="00702DDD">
              <w:rPr>
                <w:rFonts w:ascii="Times New Roman" w:hAnsi="Times New Roman" w:cs="Times New Roman"/>
                <w:i/>
                <w:sz w:val="22"/>
                <w:szCs w:val="22"/>
              </w:rPr>
              <w:t>Meat Commodity Shares</w:t>
            </w:r>
          </w:p>
        </w:tc>
        <w:tc>
          <w:tcPr>
            <w:tcW w:w="1720" w:type="dxa"/>
            <w:tcBorders>
              <w:top w:val="single" w:sz="4" w:space="0" w:color="000000"/>
              <w:left w:val="nil"/>
              <w:bottom w:val="nil"/>
              <w:right w:val="nil"/>
            </w:tcBorders>
            <w:shd w:val="clear" w:color="auto" w:fill="auto"/>
          </w:tcPr>
          <w:p w14:paraId="3058B4D4" w14:textId="77777777" w:rsidR="00C016E8" w:rsidRPr="00702DDD" w:rsidRDefault="00C016E8" w:rsidP="00E83386">
            <w:pPr>
              <w:jc w:val="center"/>
              <w:rPr>
                <w:rFonts w:ascii="Times New Roman" w:hAnsi="Times New Roman" w:cs="Times New Roman"/>
                <w:sz w:val="22"/>
                <w:szCs w:val="22"/>
              </w:rPr>
            </w:pPr>
          </w:p>
        </w:tc>
        <w:tc>
          <w:tcPr>
            <w:tcW w:w="1930" w:type="dxa"/>
            <w:tcBorders>
              <w:top w:val="single" w:sz="4" w:space="0" w:color="000000"/>
              <w:left w:val="nil"/>
              <w:bottom w:val="nil"/>
              <w:right w:val="nil"/>
            </w:tcBorders>
            <w:shd w:val="clear" w:color="auto" w:fill="auto"/>
          </w:tcPr>
          <w:p w14:paraId="561DE3C2" w14:textId="77777777" w:rsidR="00C016E8" w:rsidRPr="00702DDD" w:rsidRDefault="00C016E8" w:rsidP="00E83386">
            <w:pPr>
              <w:jc w:val="center"/>
              <w:rPr>
                <w:rFonts w:ascii="Times New Roman" w:hAnsi="Times New Roman" w:cs="Times New Roman"/>
                <w:sz w:val="22"/>
                <w:szCs w:val="22"/>
              </w:rPr>
            </w:pPr>
          </w:p>
        </w:tc>
        <w:tc>
          <w:tcPr>
            <w:tcW w:w="1930" w:type="dxa"/>
            <w:tcBorders>
              <w:top w:val="single" w:sz="4" w:space="0" w:color="000000"/>
              <w:left w:val="nil"/>
              <w:bottom w:val="nil"/>
              <w:right w:val="nil"/>
            </w:tcBorders>
            <w:shd w:val="clear" w:color="auto" w:fill="auto"/>
          </w:tcPr>
          <w:p w14:paraId="53B772E6" w14:textId="77777777" w:rsidR="00C016E8" w:rsidRPr="00702DDD" w:rsidRDefault="00C016E8" w:rsidP="00E83386">
            <w:pPr>
              <w:jc w:val="center"/>
              <w:rPr>
                <w:rFonts w:ascii="Times New Roman" w:hAnsi="Times New Roman" w:cs="Times New Roman"/>
                <w:sz w:val="22"/>
                <w:szCs w:val="22"/>
              </w:rPr>
            </w:pPr>
          </w:p>
        </w:tc>
      </w:tr>
      <w:tr w:rsidR="00C016E8" w:rsidRPr="00702DDD" w14:paraId="1928B5EC" w14:textId="77777777" w:rsidTr="00E83386">
        <w:tc>
          <w:tcPr>
            <w:tcW w:w="1710" w:type="dxa"/>
            <w:tcBorders>
              <w:top w:val="nil"/>
              <w:left w:val="nil"/>
              <w:bottom w:val="single" w:sz="4" w:space="0" w:color="000000"/>
              <w:right w:val="nil"/>
            </w:tcBorders>
            <w:shd w:val="clear" w:color="auto" w:fill="auto"/>
          </w:tcPr>
          <w:p w14:paraId="3CC95DBB"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201-202 Share</w:t>
            </w:r>
          </w:p>
          <w:p w14:paraId="141D9E5C"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203 Share</w:t>
            </w:r>
          </w:p>
          <w:p w14:paraId="4F50F794"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204 Share</w:t>
            </w:r>
          </w:p>
          <w:p w14:paraId="7036BF88"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207 Share</w:t>
            </w:r>
          </w:p>
        </w:tc>
        <w:tc>
          <w:tcPr>
            <w:tcW w:w="2070" w:type="dxa"/>
            <w:tcBorders>
              <w:top w:val="nil"/>
              <w:left w:val="nil"/>
              <w:bottom w:val="single" w:sz="4" w:space="0" w:color="000000"/>
              <w:right w:val="nil"/>
            </w:tcBorders>
            <w:shd w:val="clear" w:color="auto" w:fill="auto"/>
          </w:tcPr>
          <w:p w14:paraId="7F5EAB47"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58.00***(0.18)</w:t>
            </w:r>
          </w:p>
          <w:p w14:paraId="6DDDD221"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13.00 (0.07)</w:t>
            </w:r>
          </w:p>
          <w:p w14:paraId="71D32842"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3.00 (0.04)</w:t>
            </w:r>
          </w:p>
          <w:p w14:paraId="4CBC57F3"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12.00 (0.09)</w:t>
            </w:r>
          </w:p>
        </w:tc>
        <w:tc>
          <w:tcPr>
            <w:tcW w:w="1720" w:type="dxa"/>
            <w:tcBorders>
              <w:top w:val="nil"/>
              <w:left w:val="nil"/>
              <w:bottom w:val="single" w:sz="4" w:space="0" w:color="000000"/>
              <w:right w:val="nil"/>
            </w:tcBorders>
            <w:shd w:val="clear" w:color="auto" w:fill="auto"/>
          </w:tcPr>
          <w:p w14:paraId="7086D560"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18.00 (0.15)</w:t>
            </w:r>
          </w:p>
          <w:p w14:paraId="7FB4A461"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58.00***(0.11)</w:t>
            </w:r>
          </w:p>
          <w:p w14:paraId="50131BA4"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-7.00(0.04)</w:t>
            </w:r>
          </w:p>
          <w:p w14:paraId="08184CE8"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-4.00 (0.09)</w:t>
            </w:r>
          </w:p>
        </w:tc>
        <w:tc>
          <w:tcPr>
            <w:tcW w:w="1930" w:type="dxa"/>
            <w:tcBorders>
              <w:top w:val="nil"/>
              <w:left w:val="nil"/>
              <w:bottom w:val="single" w:sz="4" w:space="0" w:color="000000"/>
              <w:right w:val="nil"/>
            </w:tcBorders>
            <w:shd w:val="clear" w:color="auto" w:fill="auto"/>
          </w:tcPr>
          <w:p w14:paraId="274B0A18"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-4.00 (.08)</w:t>
            </w:r>
          </w:p>
          <w:p w14:paraId="04CEFBD6"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4.00 (.08)</w:t>
            </w:r>
          </w:p>
          <w:p w14:paraId="139FEE4D"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-2.00 (.03)</w:t>
            </w:r>
          </w:p>
          <w:p w14:paraId="7985C43B"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77.00***(0.16)</w:t>
            </w:r>
          </w:p>
        </w:tc>
        <w:tc>
          <w:tcPr>
            <w:tcW w:w="1930" w:type="dxa"/>
            <w:tcBorders>
              <w:top w:val="nil"/>
              <w:left w:val="nil"/>
              <w:bottom w:val="single" w:sz="4" w:space="0" w:color="000000"/>
              <w:right w:val="nil"/>
            </w:tcBorders>
            <w:shd w:val="clear" w:color="auto" w:fill="auto"/>
          </w:tcPr>
          <w:p w14:paraId="1BC5F77C"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6.00 (0.11)</w:t>
            </w:r>
          </w:p>
          <w:p w14:paraId="14B400D4"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0.00 (0.05)</w:t>
            </w:r>
          </w:p>
          <w:p w14:paraId="58908202"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37.00***(0.13)</w:t>
            </w:r>
          </w:p>
          <w:p w14:paraId="3AD85B06"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32.00*(0.18)</w:t>
            </w:r>
          </w:p>
        </w:tc>
      </w:tr>
      <w:tr w:rsidR="00C016E8" w:rsidRPr="00702DDD" w14:paraId="7448947F" w14:textId="77777777" w:rsidTr="00E83386">
        <w:tc>
          <w:tcPr>
            <w:tcW w:w="1710" w:type="dxa"/>
            <w:tcBorders>
              <w:top w:val="single" w:sz="4" w:space="0" w:color="000000"/>
              <w:left w:val="nil"/>
              <w:bottom w:val="single" w:sz="4" w:space="0" w:color="000000"/>
              <w:right w:val="nil"/>
            </w:tcBorders>
            <w:shd w:val="clear" w:color="auto" w:fill="auto"/>
          </w:tcPr>
          <w:p w14:paraId="49D7CFD0" w14:textId="77777777" w:rsidR="00C016E8" w:rsidRPr="00702DDD" w:rsidRDefault="00C016E8" w:rsidP="00E83386">
            <w:pPr>
              <w:rPr>
                <w:rFonts w:ascii="Times New Roman" w:hAnsi="Times New Roman" w:cs="Times New Roman"/>
                <w:i/>
                <w:sz w:val="22"/>
                <w:szCs w:val="22"/>
              </w:rPr>
            </w:pPr>
            <w:r w:rsidRPr="00702DDD">
              <w:rPr>
                <w:rFonts w:ascii="Times New Roman" w:hAnsi="Times New Roman" w:cs="Times New Roman"/>
                <w:i/>
                <w:sz w:val="22"/>
                <w:szCs w:val="22"/>
              </w:rPr>
              <w:t>Fresh/Frozen</w:t>
            </w:r>
          </w:p>
          <w:p w14:paraId="774C376D" w14:textId="77777777" w:rsidR="00C016E8" w:rsidRPr="00702DDD" w:rsidRDefault="00C016E8" w:rsidP="00E83386">
            <w:pPr>
              <w:rPr>
                <w:rFonts w:ascii="Times New Roman" w:hAnsi="Times New Roman" w:cs="Times New Roman"/>
                <w:sz w:val="22"/>
                <w:szCs w:val="22"/>
              </w:rPr>
            </w:pPr>
            <w:r w:rsidRPr="00702DDD">
              <w:rPr>
                <w:rFonts w:ascii="Times New Roman" w:hAnsi="Times New Roman" w:cs="Times New Roman"/>
                <w:sz w:val="22"/>
                <w:szCs w:val="22"/>
              </w:rPr>
              <w:t>Frozen</w:t>
            </w:r>
          </w:p>
          <w:p w14:paraId="41F73AC5" w14:textId="77777777" w:rsidR="00C016E8" w:rsidRPr="00702DDD" w:rsidRDefault="00C016E8" w:rsidP="00E83386">
            <w:pPr>
              <w:rPr>
                <w:rFonts w:ascii="Times New Roman" w:hAnsi="Times New Roman" w:cs="Times New Roman"/>
                <w:i/>
                <w:sz w:val="22"/>
                <w:szCs w:val="22"/>
              </w:rPr>
            </w:pPr>
            <w:r w:rsidRPr="00702DDD">
              <w:rPr>
                <w:rFonts w:ascii="Times New Roman" w:hAnsi="Times New Roman" w:cs="Times New Roman"/>
                <w:sz w:val="22"/>
                <w:szCs w:val="22"/>
              </w:rPr>
              <w:t>Other</w:t>
            </w:r>
            <w:r w:rsidRPr="00702DDD">
              <w:rPr>
                <w:rFonts w:ascii="Times New Roman" w:hAnsi="Times New Roman" w:cs="Times New Roman"/>
                <w:i/>
                <w:sz w:val="22"/>
                <w:szCs w:val="22"/>
              </w:rPr>
              <w:t xml:space="preserve">  </w:t>
            </w:r>
          </w:p>
        </w:tc>
        <w:tc>
          <w:tcPr>
            <w:tcW w:w="2070" w:type="dxa"/>
            <w:tcBorders>
              <w:top w:val="single" w:sz="4" w:space="0" w:color="000000"/>
              <w:left w:val="nil"/>
              <w:bottom w:val="single" w:sz="4" w:space="0" w:color="000000"/>
              <w:right w:val="nil"/>
            </w:tcBorders>
            <w:shd w:val="clear" w:color="auto" w:fill="auto"/>
          </w:tcPr>
          <w:p w14:paraId="4496803E" w14:textId="77777777" w:rsidR="00C016E8" w:rsidRPr="00702DDD" w:rsidRDefault="00C016E8" w:rsidP="00E83386">
            <w:pPr>
              <w:jc w:val="center"/>
              <w:rPr>
                <w:rFonts w:ascii="Times New Roman" w:hAnsi="Times New Roman" w:cs="Times New Roman"/>
                <w:sz w:val="22"/>
                <w:szCs w:val="22"/>
              </w:rPr>
            </w:pPr>
          </w:p>
          <w:p w14:paraId="5CC29AD8"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-83.80***(0.51)</w:t>
            </w:r>
          </w:p>
          <w:p w14:paraId="30BB45E2" w14:textId="77777777" w:rsidR="00C016E8" w:rsidRPr="00702DDD" w:rsidRDefault="00C016E8" w:rsidP="00E83386">
            <w:pPr>
              <w:jc w:val="center"/>
              <w:rPr>
                <w:rFonts w:ascii="Times New Roman" w:hAnsi="Times New Roman" w:cs="Times New Roman"/>
                <w:sz w:val="22"/>
                <w:szCs w:val="22"/>
              </w:rPr>
            </w:pPr>
          </w:p>
        </w:tc>
        <w:tc>
          <w:tcPr>
            <w:tcW w:w="1720" w:type="dxa"/>
            <w:tcBorders>
              <w:top w:val="single" w:sz="4" w:space="0" w:color="000000"/>
              <w:left w:val="nil"/>
              <w:bottom w:val="single" w:sz="4" w:space="0" w:color="000000"/>
              <w:right w:val="nil"/>
            </w:tcBorders>
            <w:shd w:val="clear" w:color="auto" w:fill="auto"/>
          </w:tcPr>
          <w:p w14:paraId="1B74BAC8" w14:textId="77777777" w:rsidR="00C016E8" w:rsidRPr="00702DDD" w:rsidRDefault="00C016E8" w:rsidP="00E83386">
            <w:pPr>
              <w:jc w:val="center"/>
              <w:rPr>
                <w:rFonts w:ascii="Times New Roman" w:hAnsi="Times New Roman" w:cs="Times New Roman"/>
                <w:sz w:val="22"/>
                <w:szCs w:val="22"/>
              </w:rPr>
            </w:pPr>
          </w:p>
          <w:p w14:paraId="682E4FAA"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-53.70*(0.40)</w:t>
            </w:r>
          </w:p>
          <w:p w14:paraId="53B311C3"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 xml:space="preserve">   </w:t>
            </w:r>
          </w:p>
        </w:tc>
        <w:tc>
          <w:tcPr>
            <w:tcW w:w="1930" w:type="dxa"/>
            <w:tcBorders>
              <w:top w:val="single" w:sz="4" w:space="0" w:color="000000"/>
              <w:left w:val="nil"/>
              <w:bottom w:val="single" w:sz="4" w:space="0" w:color="000000"/>
              <w:right w:val="nil"/>
            </w:tcBorders>
            <w:shd w:val="clear" w:color="auto" w:fill="auto"/>
          </w:tcPr>
          <w:p w14:paraId="17BD39FD" w14:textId="77777777" w:rsidR="00C016E8" w:rsidRPr="00702DDD" w:rsidRDefault="00C016E8" w:rsidP="00E83386">
            <w:pPr>
              <w:jc w:val="center"/>
              <w:rPr>
                <w:rFonts w:ascii="Times New Roman" w:hAnsi="Times New Roman" w:cs="Times New Roman"/>
                <w:sz w:val="22"/>
                <w:szCs w:val="22"/>
              </w:rPr>
            </w:pPr>
          </w:p>
          <w:p w14:paraId="516651B6"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716.62***(0.40)</w:t>
            </w:r>
          </w:p>
          <w:p w14:paraId="5D5992CD" w14:textId="77777777" w:rsidR="00C016E8" w:rsidRPr="00702DDD" w:rsidRDefault="00C016E8" w:rsidP="00E83386">
            <w:pPr>
              <w:jc w:val="center"/>
              <w:rPr>
                <w:rFonts w:ascii="Times New Roman" w:hAnsi="Times New Roman" w:cs="Times New Roman"/>
                <w:sz w:val="22"/>
                <w:szCs w:val="22"/>
              </w:rPr>
            </w:pPr>
          </w:p>
        </w:tc>
        <w:tc>
          <w:tcPr>
            <w:tcW w:w="1930" w:type="dxa"/>
            <w:tcBorders>
              <w:top w:val="single" w:sz="4" w:space="0" w:color="000000"/>
              <w:left w:val="nil"/>
              <w:bottom w:val="single" w:sz="4" w:space="0" w:color="000000"/>
              <w:right w:val="nil"/>
            </w:tcBorders>
            <w:shd w:val="clear" w:color="auto" w:fill="auto"/>
          </w:tcPr>
          <w:p w14:paraId="50619A96" w14:textId="77777777" w:rsidR="00C016E8" w:rsidRPr="00702DDD" w:rsidRDefault="00C016E8" w:rsidP="00E83386">
            <w:pPr>
              <w:jc w:val="center"/>
              <w:rPr>
                <w:rFonts w:ascii="Times New Roman" w:hAnsi="Times New Roman" w:cs="Times New Roman"/>
                <w:sz w:val="22"/>
                <w:szCs w:val="22"/>
              </w:rPr>
            </w:pPr>
          </w:p>
          <w:p w14:paraId="4B745DB5"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8.33 (0.32)</w:t>
            </w:r>
          </w:p>
          <w:p w14:paraId="4A3BD433"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-58.52**(0.40)</w:t>
            </w:r>
          </w:p>
        </w:tc>
      </w:tr>
    </w:tbl>
    <w:p w14:paraId="3635698B" w14:textId="452A9E58" w:rsidR="00C016E8" w:rsidRPr="00702DDD" w:rsidRDefault="00C016E8" w:rsidP="00C016E8">
      <w:pPr>
        <w:rPr>
          <w:rFonts w:ascii="Times New Roman" w:hAnsi="Times New Roman" w:cs="Times New Roman"/>
        </w:rPr>
      </w:pPr>
    </w:p>
    <w:p w14:paraId="0F096240" w14:textId="089D07E1" w:rsidR="002E7B86" w:rsidRPr="00702DDD" w:rsidRDefault="002E7B86" w:rsidP="00C016E8">
      <w:pPr>
        <w:rPr>
          <w:rFonts w:ascii="Times New Roman" w:hAnsi="Times New Roman" w:cs="Times New Roman"/>
          <w:b/>
          <w:bCs/>
        </w:rPr>
      </w:pPr>
      <w:r w:rsidRPr="00702DDD">
        <w:rPr>
          <w:rFonts w:ascii="Times New Roman" w:hAnsi="Times New Roman" w:cs="Times New Roman"/>
          <w:b/>
          <w:bCs/>
        </w:rPr>
        <w:lastRenderedPageBreak/>
        <w:t>Table 1.</w:t>
      </w:r>
      <w:r w:rsidR="00C72EA1">
        <w:rPr>
          <w:rFonts w:ascii="Times New Roman" w:hAnsi="Times New Roman" w:cs="Times New Roman"/>
          <w:b/>
          <w:bCs/>
        </w:rPr>
        <w:t>4:</w:t>
      </w:r>
      <w:r w:rsidRPr="00702DDD">
        <w:rPr>
          <w:rFonts w:ascii="Times New Roman" w:hAnsi="Times New Roman" w:cs="Times New Roman"/>
          <w:b/>
          <w:bCs/>
        </w:rPr>
        <w:t xml:space="preserve"> Continued</w:t>
      </w:r>
    </w:p>
    <w:tbl>
      <w:tblPr>
        <w:tblW w:w="9360" w:type="dxa"/>
        <w:tblBorders>
          <w:top w:val="single" w:sz="4" w:space="0" w:color="F7CBAC"/>
          <w:left w:val="single" w:sz="4" w:space="0" w:color="F7CBAC"/>
          <w:bottom w:val="single" w:sz="4" w:space="0" w:color="F7CBAC"/>
          <w:right w:val="single" w:sz="4" w:space="0" w:color="F7CBAC"/>
          <w:insideH w:val="single" w:sz="4" w:space="0" w:color="F7CBAC"/>
          <w:insideV w:val="single" w:sz="4" w:space="0" w:color="F7CBAC"/>
        </w:tblBorders>
        <w:tblLayout w:type="fixed"/>
        <w:tblLook w:val="0400" w:firstRow="0" w:lastRow="0" w:firstColumn="0" w:lastColumn="0" w:noHBand="0" w:noVBand="1"/>
      </w:tblPr>
      <w:tblGrid>
        <w:gridCol w:w="1710"/>
        <w:gridCol w:w="2070"/>
        <w:gridCol w:w="1720"/>
        <w:gridCol w:w="1930"/>
        <w:gridCol w:w="1930"/>
      </w:tblGrid>
      <w:tr w:rsidR="002E7B86" w:rsidRPr="00702DDD" w14:paraId="5B5DB872" w14:textId="77777777" w:rsidTr="00E25679">
        <w:tc>
          <w:tcPr>
            <w:tcW w:w="1710" w:type="dxa"/>
            <w:tcBorders>
              <w:top w:val="single" w:sz="4" w:space="0" w:color="000000"/>
              <w:left w:val="nil"/>
              <w:bottom w:val="nil"/>
              <w:right w:val="nil"/>
            </w:tcBorders>
            <w:shd w:val="clear" w:color="auto" w:fill="auto"/>
          </w:tcPr>
          <w:p w14:paraId="1E6856B3" w14:textId="77777777" w:rsidR="002E7B86" w:rsidRPr="00702DDD" w:rsidRDefault="002E7B86" w:rsidP="00E25679">
            <w:pPr>
              <w:rPr>
                <w:rFonts w:ascii="Times New Roman" w:hAnsi="Times New Roman" w:cs="Times New Roman"/>
                <w:sz w:val="22"/>
                <w:szCs w:val="22"/>
              </w:rPr>
            </w:pPr>
            <w:r w:rsidRPr="00702DDD">
              <w:rPr>
                <w:rFonts w:ascii="Times New Roman" w:hAnsi="Times New Roman" w:cs="Times New Roman"/>
                <w:i/>
                <w:sz w:val="22"/>
                <w:szCs w:val="22"/>
              </w:rPr>
              <w:t>Month</w:t>
            </w:r>
          </w:p>
          <w:p w14:paraId="23D2E03B" w14:textId="77777777" w:rsidR="002E7B86" w:rsidRPr="00702DDD" w:rsidRDefault="002E7B86" w:rsidP="00E25679">
            <w:pPr>
              <w:rPr>
                <w:rFonts w:ascii="Times New Roman" w:hAnsi="Times New Roman" w:cs="Times New Roman"/>
                <w:sz w:val="22"/>
                <w:szCs w:val="22"/>
              </w:rPr>
            </w:pPr>
            <w:r w:rsidRPr="00702DDD">
              <w:rPr>
                <w:rFonts w:ascii="Times New Roman" w:hAnsi="Times New Roman" w:cs="Times New Roman"/>
                <w:sz w:val="22"/>
                <w:szCs w:val="22"/>
              </w:rPr>
              <w:t xml:space="preserve">February  </w:t>
            </w:r>
          </w:p>
          <w:p w14:paraId="6BF0EAAF" w14:textId="77777777" w:rsidR="002E7B86" w:rsidRPr="00702DDD" w:rsidRDefault="002E7B86" w:rsidP="00E25679">
            <w:pPr>
              <w:rPr>
                <w:rFonts w:ascii="Times New Roman" w:hAnsi="Times New Roman" w:cs="Times New Roman"/>
                <w:sz w:val="22"/>
                <w:szCs w:val="22"/>
              </w:rPr>
            </w:pPr>
            <w:r w:rsidRPr="00702DDD">
              <w:rPr>
                <w:rFonts w:ascii="Times New Roman" w:hAnsi="Times New Roman" w:cs="Times New Roman"/>
                <w:sz w:val="22"/>
                <w:szCs w:val="22"/>
              </w:rPr>
              <w:t>March</w:t>
            </w:r>
          </w:p>
          <w:p w14:paraId="14681EB5" w14:textId="77777777" w:rsidR="002E7B86" w:rsidRPr="00702DDD" w:rsidRDefault="002E7B86" w:rsidP="00E25679">
            <w:pPr>
              <w:rPr>
                <w:rFonts w:ascii="Times New Roman" w:hAnsi="Times New Roman" w:cs="Times New Roman"/>
                <w:sz w:val="22"/>
                <w:szCs w:val="22"/>
              </w:rPr>
            </w:pPr>
            <w:r w:rsidRPr="00702DDD">
              <w:rPr>
                <w:rFonts w:ascii="Times New Roman" w:hAnsi="Times New Roman" w:cs="Times New Roman"/>
                <w:sz w:val="22"/>
                <w:szCs w:val="22"/>
              </w:rPr>
              <w:t>April</w:t>
            </w:r>
          </w:p>
          <w:p w14:paraId="796EC537" w14:textId="77777777" w:rsidR="002E7B86" w:rsidRPr="00702DDD" w:rsidRDefault="002E7B86" w:rsidP="00E25679">
            <w:pPr>
              <w:rPr>
                <w:rFonts w:ascii="Times New Roman" w:hAnsi="Times New Roman" w:cs="Times New Roman"/>
                <w:sz w:val="22"/>
                <w:szCs w:val="22"/>
              </w:rPr>
            </w:pPr>
            <w:r w:rsidRPr="00702DDD">
              <w:rPr>
                <w:rFonts w:ascii="Times New Roman" w:hAnsi="Times New Roman" w:cs="Times New Roman"/>
                <w:sz w:val="22"/>
                <w:szCs w:val="22"/>
              </w:rPr>
              <w:t>May</w:t>
            </w:r>
          </w:p>
          <w:p w14:paraId="2990C96A" w14:textId="77777777" w:rsidR="002E7B86" w:rsidRPr="00702DDD" w:rsidRDefault="002E7B86" w:rsidP="00E25679">
            <w:pPr>
              <w:rPr>
                <w:rFonts w:ascii="Times New Roman" w:hAnsi="Times New Roman" w:cs="Times New Roman"/>
                <w:sz w:val="22"/>
                <w:szCs w:val="22"/>
              </w:rPr>
            </w:pPr>
            <w:r w:rsidRPr="00702DDD">
              <w:rPr>
                <w:rFonts w:ascii="Times New Roman" w:hAnsi="Times New Roman" w:cs="Times New Roman"/>
                <w:sz w:val="22"/>
                <w:szCs w:val="22"/>
              </w:rPr>
              <w:t>June</w:t>
            </w:r>
          </w:p>
          <w:p w14:paraId="328BB9DB" w14:textId="77777777" w:rsidR="002E7B86" w:rsidRPr="00702DDD" w:rsidRDefault="002E7B86" w:rsidP="00E25679">
            <w:pPr>
              <w:rPr>
                <w:rFonts w:ascii="Times New Roman" w:hAnsi="Times New Roman" w:cs="Times New Roman"/>
                <w:sz w:val="22"/>
                <w:szCs w:val="22"/>
              </w:rPr>
            </w:pPr>
            <w:r w:rsidRPr="00702DDD">
              <w:rPr>
                <w:rFonts w:ascii="Times New Roman" w:hAnsi="Times New Roman" w:cs="Times New Roman"/>
                <w:sz w:val="22"/>
                <w:szCs w:val="22"/>
              </w:rPr>
              <w:t>July</w:t>
            </w:r>
          </w:p>
          <w:p w14:paraId="3565D1F0" w14:textId="77777777" w:rsidR="002E7B86" w:rsidRPr="00702DDD" w:rsidRDefault="002E7B86" w:rsidP="00E25679">
            <w:pPr>
              <w:rPr>
                <w:rFonts w:ascii="Times New Roman" w:hAnsi="Times New Roman" w:cs="Times New Roman"/>
                <w:sz w:val="22"/>
                <w:szCs w:val="22"/>
              </w:rPr>
            </w:pPr>
            <w:r w:rsidRPr="00702DDD">
              <w:rPr>
                <w:rFonts w:ascii="Times New Roman" w:hAnsi="Times New Roman" w:cs="Times New Roman"/>
                <w:sz w:val="22"/>
                <w:szCs w:val="22"/>
              </w:rPr>
              <w:t>August</w:t>
            </w:r>
          </w:p>
          <w:p w14:paraId="1E33B3B0" w14:textId="77777777" w:rsidR="002E7B86" w:rsidRPr="00702DDD" w:rsidRDefault="002E7B86" w:rsidP="00E25679">
            <w:pPr>
              <w:rPr>
                <w:rFonts w:ascii="Times New Roman" w:hAnsi="Times New Roman" w:cs="Times New Roman"/>
                <w:sz w:val="22"/>
                <w:szCs w:val="22"/>
              </w:rPr>
            </w:pPr>
            <w:r w:rsidRPr="00702DDD">
              <w:rPr>
                <w:rFonts w:ascii="Times New Roman" w:hAnsi="Times New Roman" w:cs="Times New Roman"/>
                <w:sz w:val="22"/>
                <w:szCs w:val="22"/>
              </w:rPr>
              <w:t>September</w:t>
            </w:r>
          </w:p>
          <w:p w14:paraId="40813610" w14:textId="77777777" w:rsidR="002E7B86" w:rsidRPr="00702DDD" w:rsidRDefault="002E7B86" w:rsidP="00E25679">
            <w:pPr>
              <w:rPr>
                <w:rFonts w:ascii="Times New Roman" w:hAnsi="Times New Roman" w:cs="Times New Roman"/>
                <w:sz w:val="22"/>
                <w:szCs w:val="22"/>
              </w:rPr>
            </w:pPr>
            <w:r w:rsidRPr="00702DDD">
              <w:rPr>
                <w:rFonts w:ascii="Times New Roman" w:hAnsi="Times New Roman" w:cs="Times New Roman"/>
                <w:sz w:val="22"/>
                <w:szCs w:val="22"/>
              </w:rPr>
              <w:t>October</w:t>
            </w:r>
          </w:p>
          <w:p w14:paraId="3803D676" w14:textId="77777777" w:rsidR="002E7B86" w:rsidRPr="00702DDD" w:rsidRDefault="002E7B86" w:rsidP="00E25679">
            <w:pPr>
              <w:rPr>
                <w:rFonts w:ascii="Times New Roman" w:hAnsi="Times New Roman" w:cs="Times New Roman"/>
                <w:sz w:val="22"/>
                <w:szCs w:val="22"/>
              </w:rPr>
            </w:pPr>
            <w:r w:rsidRPr="00702DDD">
              <w:rPr>
                <w:rFonts w:ascii="Times New Roman" w:hAnsi="Times New Roman" w:cs="Times New Roman"/>
                <w:sz w:val="22"/>
                <w:szCs w:val="22"/>
              </w:rPr>
              <w:t>November</w:t>
            </w:r>
          </w:p>
          <w:p w14:paraId="06472DC2" w14:textId="77777777" w:rsidR="002E7B86" w:rsidRPr="00702DDD" w:rsidRDefault="002E7B86" w:rsidP="00E25679">
            <w:pPr>
              <w:rPr>
                <w:rFonts w:ascii="Times New Roman" w:hAnsi="Times New Roman" w:cs="Times New Roman"/>
                <w:sz w:val="22"/>
                <w:szCs w:val="22"/>
              </w:rPr>
            </w:pPr>
            <w:r w:rsidRPr="00702DDD">
              <w:rPr>
                <w:rFonts w:ascii="Times New Roman" w:hAnsi="Times New Roman" w:cs="Times New Roman"/>
                <w:sz w:val="22"/>
                <w:szCs w:val="22"/>
              </w:rPr>
              <w:t>December</w:t>
            </w:r>
          </w:p>
        </w:tc>
        <w:tc>
          <w:tcPr>
            <w:tcW w:w="2070" w:type="dxa"/>
            <w:tcBorders>
              <w:top w:val="single" w:sz="4" w:space="0" w:color="000000"/>
              <w:left w:val="nil"/>
              <w:bottom w:val="nil"/>
              <w:right w:val="nil"/>
            </w:tcBorders>
            <w:shd w:val="clear" w:color="auto" w:fill="auto"/>
          </w:tcPr>
          <w:p w14:paraId="73B32A7D" w14:textId="77777777" w:rsidR="002E7B86" w:rsidRPr="00702DDD" w:rsidRDefault="002E7B86" w:rsidP="002E7B86">
            <w:pPr>
              <w:rPr>
                <w:rFonts w:ascii="Times New Roman" w:hAnsi="Times New Roman" w:cs="Times New Roman"/>
                <w:sz w:val="22"/>
                <w:szCs w:val="22"/>
              </w:rPr>
            </w:pPr>
          </w:p>
          <w:p w14:paraId="1DB9B19E" w14:textId="77777777" w:rsidR="002E7B86" w:rsidRPr="00702DDD" w:rsidRDefault="002E7B86" w:rsidP="002E7B86">
            <w:pPr>
              <w:jc w:val="center"/>
              <w:rPr>
                <w:rFonts w:ascii="Times New Roman" w:hAnsi="Times New Roman" w:cs="Times New Roman"/>
                <w:sz w:val="22"/>
                <w:szCs w:val="22"/>
              </w:rPr>
            </w:pPr>
            <w:r w:rsidRPr="00702DDD">
              <w:rPr>
                <w:rFonts w:ascii="Times New Roman" w:hAnsi="Times New Roman" w:cs="Times New Roman"/>
                <w:sz w:val="22"/>
                <w:szCs w:val="22"/>
              </w:rPr>
              <w:t>2.02 (0.03)</w:t>
            </w:r>
          </w:p>
          <w:p w14:paraId="77DFB597"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13.88***(0.04)</w:t>
            </w:r>
          </w:p>
          <w:p w14:paraId="5C464EBA"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11.63***(0.03)</w:t>
            </w:r>
          </w:p>
          <w:p w14:paraId="10470C91"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16.18***(0.03)</w:t>
            </w:r>
          </w:p>
          <w:p w14:paraId="10B9C5BC"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16.18***(0.03)</w:t>
            </w:r>
          </w:p>
          <w:p w14:paraId="41E37378"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16.18***(0.03)</w:t>
            </w:r>
          </w:p>
          <w:p w14:paraId="4DD1A8F2"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15.03***(0.05)</w:t>
            </w:r>
          </w:p>
          <w:p w14:paraId="7F4B2A65"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23.37***(0.05)</w:t>
            </w:r>
          </w:p>
          <w:p w14:paraId="01A666C5"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24.61***(0.04)</w:t>
            </w:r>
          </w:p>
          <w:p w14:paraId="67C153A1"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18.53***(0.04)</w:t>
            </w:r>
          </w:p>
          <w:p w14:paraId="7EB22CF0"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15.03***(0.03)</w:t>
            </w:r>
          </w:p>
        </w:tc>
        <w:tc>
          <w:tcPr>
            <w:tcW w:w="1720" w:type="dxa"/>
            <w:tcBorders>
              <w:top w:val="single" w:sz="4" w:space="0" w:color="000000"/>
              <w:left w:val="nil"/>
              <w:bottom w:val="nil"/>
              <w:right w:val="nil"/>
            </w:tcBorders>
            <w:shd w:val="clear" w:color="auto" w:fill="auto"/>
          </w:tcPr>
          <w:p w14:paraId="1A51A53F" w14:textId="77777777" w:rsidR="002E7B86" w:rsidRPr="00702DDD" w:rsidRDefault="002E7B86" w:rsidP="002E7B86">
            <w:pPr>
              <w:rPr>
                <w:rFonts w:ascii="Times New Roman" w:hAnsi="Times New Roman" w:cs="Times New Roman"/>
                <w:sz w:val="22"/>
                <w:szCs w:val="22"/>
              </w:rPr>
            </w:pPr>
          </w:p>
          <w:p w14:paraId="493D1AAF"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 xml:space="preserve">-1.98 (0.03)  </w:t>
            </w:r>
          </w:p>
          <w:p w14:paraId="48357946"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 xml:space="preserve">6.18*(0.03) </w:t>
            </w:r>
          </w:p>
          <w:p w14:paraId="467A5A21"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7.25**(0.03)</w:t>
            </w:r>
          </w:p>
          <w:p w14:paraId="5EE08CD0"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7.25***(0.03)</w:t>
            </w:r>
          </w:p>
          <w:p w14:paraId="6786E5D2"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10.52***(0.04)</w:t>
            </w:r>
          </w:p>
          <w:p w14:paraId="3D2B9676"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8.33**(0.03)</w:t>
            </w:r>
          </w:p>
          <w:p w14:paraId="4C37F94B"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12.75***(0.03)</w:t>
            </w:r>
          </w:p>
          <w:p w14:paraId="1A639694"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16.18***(0.03)</w:t>
            </w:r>
          </w:p>
          <w:p w14:paraId="7994678E"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18.53***(0.04)</w:t>
            </w:r>
          </w:p>
          <w:p w14:paraId="4D55B0D7"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17.35***(0.04)</w:t>
            </w:r>
          </w:p>
          <w:p w14:paraId="6B6E047D"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 xml:space="preserve">  8.33**(0.03)                                                      </w:t>
            </w:r>
          </w:p>
        </w:tc>
        <w:tc>
          <w:tcPr>
            <w:tcW w:w="1930" w:type="dxa"/>
            <w:tcBorders>
              <w:top w:val="single" w:sz="4" w:space="0" w:color="000000"/>
              <w:left w:val="nil"/>
              <w:bottom w:val="nil"/>
              <w:right w:val="nil"/>
            </w:tcBorders>
            <w:shd w:val="clear" w:color="auto" w:fill="auto"/>
          </w:tcPr>
          <w:p w14:paraId="398BCE2A" w14:textId="77777777" w:rsidR="002E7B86" w:rsidRPr="00702DDD" w:rsidRDefault="002E7B86" w:rsidP="002E7B86">
            <w:pPr>
              <w:rPr>
                <w:rFonts w:ascii="Times New Roman" w:hAnsi="Times New Roman" w:cs="Times New Roman"/>
                <w:sz w:val="22"/>
                <w:szCs w:val="22"/>
              </w:rPr>
            </w:pPr>
          </w:p>
          <w:p w14:paraId="4370FC4C"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 xml:space="preserve">6.18**(0.03) </w:t>
            </w:r>
          </w:p>
          <w:p w14:paraId="608BBDAF"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 xml:space="preserve">22.14***(0.03) </w:t>
            </w:r>
          </w:p>
          <w:p w14:paraId="6BF8C6C0"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 xml:space="preserve">6.18*(0.03)  </w:t>
            </w:r>
          </w:p>
          <w:p w14:paraId="41EDAE55"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9.42***(0.03)</w:t>
            </w:r>
          </w:p>
          <w:p w14:paraId="5645D303"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 xml:space="preserve">8.33**(0.04)   </w:t>
            </w:r>
          </w:p>
          <w:p w14:paraId="4FBCF5A7"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 xml:space="preserve">8.33**(0.03)   </w:t>
            </w:r>
          </w:p>
          <w:p w14:paraId="1F28E029"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 xml:space="preserve">22.14***(0.04)   </w:t>
            </w:r>
          </w:p>
          <w:p w14:paraId="7E2C4C39"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55.20***(0.04)</w:t>
            </w:r>
          </w:p>
          <w:p w14:paraId="047523EB"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 xml:space="preserve">85.89***(0.06) </w:t>
            </w:r>
          </w:p>
          <w:p w14:paraId="1CEF8F91"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95.42***(0.06)</w:t>
            </w:r>
          </w:p>
          <w:p w14:paraId="2D637310"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 xml:space="preserve">103.40***(0.07)   </w:t>
            </w:r>
          </w:p>
        </w:tc>
        <w:tc>
          <w:tcPr>
            <w:tcW w:w="1930" w:type="dxa"/>
            <w:tcBorders>
              <w:top w:val="single" w:sz="4" w:space="0" w:color="000000"/>
              <w:left w:val="nil"/>
              <w:bottom w:val="nil"/>
              <w:right w:val="nil"/>
            </w:tcBorders>
            <w:shd w:val="clear" w:color="auto" w:fill="auto"/>
          </w:tcPr>
          <w:p w14:paraId="5B41E7EE" w14:textId="77777777" w:rsidR="002E7B86" w:rsidRPr="00702DDD" w:rsidRDefault="002E7B86" w:rsidP="002E7B86">
            <w:pPr>
              <w:rPr>
                <w:rFonts w:ascii="Times New Roman" w:hAnsi="Times New Roman" w:cs="Times New Roman"/>
                <w:sz w:val="22"/>
                <w:szCs w:val="22"/>
              </w:rPr>
            </w:pPr>
          </w:p>
          <w:p w14:paraId="586879D2" w14:textId="77777777" w:rsidR="002E7B86" w:rsidRPr="00702DDD" w:rsidRDefault="002E7B86" w:rsidP="002E7B86">
            <w:pPr>
              <w:jc w:val="center"/>
              <w:rPr>
                <w:rFonts w:ascii="Times New Roman" w:hAnsi="Times New Roman" w:cs="Times New Roman"/>
                <w:sz w:val="22"/>
                <w:szCs w:val="22"/>
              </w:rPr>
            </w:pPr>
            <w:r w:rsidRPr="00702DDD">
              <w:rPr>
                <w:rFonts w:ascii="Times New Roman" w:hAnsi="Times New Roman" w:cs="Times New Roman"/>
                <w:sz w:val="22"/>
                <w:szCs w:val="22"/>
              </w:rPr>
              <w:t>10.52**(0.04)</w:t>
            </w:r>
          </w:p>
          <w:p w14:paraId="3B1661BA"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44.77***(0.06)</w:t>
            </w:r>
          </w:p>
          <w:p w14:paraId="64B000BF"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41.91***(0.06)</w:t>
            </w:r>
          </w:p>
          <w:p w14:paraId="4F1999F8"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34.99***(0.06)</w:t>
            </w:r>
          </w:p>
          <w:p w14:paraId="24349F3B"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27.12***(0.06)</w:t>
            </w:r>
          </w:p>
          <w:p w14:paraId="11CD4FA3"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22.14***(0.06)</w:t>
            </w:r>
          </w:p>
          <w:p w14:paraId="0C74D258"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12.75**(0.06)</w:t>
            </w:r>
          </w:p>
          <w:p w14:paraId="78B6414C"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13.88**(0.06)</w:t>
            </w:r>
          </w:p>
          <w:p w14:paraId="02F3FDD2"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11.63**(0.05)</w:t>
            </w:r>
          </w:p>
          <w:p w14:paraId="655D027B"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18.53***(0.04)</w:t>
            </w:r>
          </w:p>
          <w:p w14:paraId="3C35146F"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33.64***(0.05)</w:t>
            </w:r>
          </w:p>
        </w:tc>
      </w:tr>
      <w:tr w:rsidR="002E7B86" w:rsidRPr="00702DDD" w14:paraId="0C959C71" w14:textId="77777777" w:rsidTr="00E25679">
        <w:tc>
          <w:tcPr>
            <w:tcW w:w="1710" w:type="dxa"/>
            <w:tcBorders>
              <w:top w:val="nil"/>
              <w:left w:val="nil"/>
              <w:bottom w:val="single" w:sz="4" w:space="0" w:color="000000"/>
              <w:right w:val="nil"/>
            </w:tcBorders>
            <w:shd w:val="clear" w:color="auto" w:fill="auto"/>
          </w:tcPr>
          <w:p w14:paraId="3579CA40" w14:textId="77777777" w:rsidR="002E7B86" w:rsidRPr="00702DDD" w:rsidRDefault="002E7B86" w:rsidP="00E25679">
            <w:pPr>
              <w:rPr>
                <w:rFonts w:ascii="Times New Roman" w:hAnsi="Times New Roman" w:cs="Times New Roman"/>
                <w:sz w:val="22"/>
                <w:szCs w:val="22"/>
              </w:rPr>
            </w:pPr>
            <w:r w:rsidRPr="00702DDD">
              <w:rPr>
                <w:rFonts w:ascii="Times New Roman" w:hAnsi="Times New Roman" w:cs="Times New Roman"/>
                <w:sz w:val="22"/>
                <w:szCs w:val="22"/>
              </w:rPr>
              <w:t>Year</w:t>
            </w:r>
          </w:p>
        </w:tc>
        <w:tc>
          <w:tcPr>
            <w:tcW w:w="2070" w:type="dxa"/>
            <w:tcBorders>
              <w:top w:val="nil"/>
              <w:left w:val="nil"/>
              <w:bottom w:val="single" w:sz="4" w:space="0" w:color="000000"/>
              <w:right w:val="nil"/>
            </w:tcBorders>
            <w:shd w:val="clear" w:color="auto" w:fill="auto"/>
          </w:tcPr>
          <w:p w14:paraId="1C50D51D"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3.05***(0.01)</w:t>
            </w:r>
          </w:p>
        </w:tc>
        <w:tc>
          <w:tcPr>
            <w:tcW w:w="1720" w:type="dxa"/>
            <w:tcBorders>
              <w:top w:val="nil"/>
              <w:left w:val="nil"/>
              <w:bottom w:val="single" w:sz="4" w:space="0" w:color="000000"/>
              <w:right w:val="nil"/>
            </w:tcBorders>
            <w:shd w:val="clear" w:color="auto" w:fill="auto"/>
          </w:tcPr>
          <w:p w14:paraId="640C8789"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-1.00 (0.01)</w:t>
            </w:r>
          </w:p>
        </w:tc>
        <w:tc>
          <w:tcPr>
            <w:tcW w:w="1930" w:type="dxa"/>
            <w:tcBorders>
              <w:top w:val="nil"/>
              <w:left w:val="nil"/>
              <w:bottom w:val="single" w:sz="4" w:space="0" w:color="000000"/>
              <w:right w:val="nil"/>
            </w:tcBorders>
            <w:shd w:val="clear" w:color="auto" w:fill="auto"/>
          </w:tcPr>
          <w:p w14:paraId="4FB86FFB"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 xml:space="preserve">0.00 (0.01)  </w:t>
            </w:r>
          </w:p>
        </w:tc>
        <w:tc>
          <w:tcPr>
            <w:tcW w:w="1930" w:type="dxa"/>
            <w:tcBorders>
              <w:top w:val="nil"/>
              <w:left w:val="nil"/>
              <w:bottom w:val="single" w:sz="4" w:space="0" w:color="000000"/>
              <w:right w:val="nil"/>
            </w:tcBorders>
            <w:shd w:val="clear" w:color="auto" w:fill="auto"/>
          </w:tcPr>
          <w:p w14:paraId="71ACC885"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2.02(0.01)</w:t>
            </w:r>
          </w:p>
        </w:tc>
      </w:tr>
      <w:tr w:rsidR="002E7B86" w:rsidRPr="00702DDD" w14:paraId="2C079D40" w14:textId="77777777" w:rsidTr="00E25679">
        <w:tc>
          <w:tcPr>
            <w:tcW w:w="1710" w:type="dxa"/>
            <w:tcBorders>
              <w:top w:val="single" w:sz="4" w:space="0" w:color="000000"/>
              <w:left w:val="nil"/>
              <w:bottom w:val="single" w:sz="4" w:space="0" w:color="000000"/>
              <w:right w:val="nil"/>
            </w:tcBorders>
            <w:shd w:val="clear" w:color="auto" w:fill="auto"/>
          </w:tcPr>
          <w:p w14:paraId="629F53EB" w14:textId="77777777" w:rsidR="002E7B86" w:rsidRPr="00702DDD" w:rsidRDefault="002E7B86" w:rsidP="00E25679">
            <w:pPr>
              <w:rPr>
                <w:rFonts w:ascii="Times New Roman" w:hAnsi="Times New Roman" w:cs="Times New Roman"/>
                <w:sz w:val="22"/>
                <w:szCs w:val="22"/>
              </w:rPr>
            </w:pPr>
            <w:r w:rsidRPr="00702DDD">
              <w:rPr>
                <w:rFonts w:ascii="Times New Roman" w:hAnsi="Times New Roman" w:cs="Times New Roman"/>
                <w:sz w:val="22"/>
                <w:szCs w:val="22"/>
              </w:rPr>
              <w:t>Observations</w:t>
            </w:r>
          </w:p>
        </w:tc>
        <w:tc>
          <w:tcPr>
            <w:tcW w:w="2070" w:type="dxa"/>
            <w:tcBorders>
              <w:top w:val="single" w:sz="4" w:space="0" w:color="000000"/>
              <w:left w:val="nil"/>
              <w:bottom w:val="single" w:sz="4" w:space="0" w:color="000000"/>
              <w:right w:val="nil"/>
            </w:tcBorders>
            <w:shd w:val="clear" w:color="auto" w:fill="auto"/>
          </w:tcPr>
          <w:p w14:paraId="15635968"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13,453</w:t>
            </w:r>
          </w:p>
        </w:tc>
        <w:tc>
          <w:tcPr>
            <w:tcW w:w="1720" w:type="dxa"/>
            <w:tcBorders>
              <w:top w:val="single" w:sz="4" w:space="0" w:color="000000"/>
              <w:left w:val="nil"/>
              <w:bottom w:val="single" w:sz="4" w:space="0" w:color="000000"/>
              <w:right w:val="nil"/>
            </w:tcBorders>
            <w:shd w:val="clear" w:color="auto" w:fill="auto"/>
          </w:tcPr>
          <w:p w14:paraId="1F69A800"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13,236</w:t>
            </w:r>
          </w:p>
        </w:tc>
        <w:tc>
          <w:tcPr>
            <w:tcW w:w="1930" w:type="dxa"/>
            <w:tcBorders>
              <w:top w:val="single" w:sz="4" w:space="0" w:color="000000"/>
              <w:left w:val="nil"/>
              <w:bottom w:val="single" w:sz="4" w:space="0" w:color="000000"/>
              <w:right w:val="nil"/>
            </w:tcBorders>
            <w:shd w:val="clear" w:color="auto" w:fill="auto"/>
          </w:tcPr>
          <w:p w14:paraId="335ECAD6"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30,563</w:t>
            </w:r>
          </w:p>
        </w:tc>
        <w:tc>
          <w:tcPr>
            <w:tcW w:w="1930" w:type="dxa"/>
            <w:tcBorders>
              <w:top w:val="single" w:sz="4" w:space="0" w:color="000000"/>
              <w:left w:val="nil"/>
              <w:bottom w:val="single" w:sz="4" w:space="0" w:color="000000"/>
              <w:right w:val="nil"/>
            </w:tcBorders>
            <w:shd w:val="clear" w:color="auto" w:fill="auto"/>
          </w:tcPr>
          <w:p w14:paraId="56984E7B" w14:textId="77777777" w:rsidR="002E7B86" w:rsidRPr="00702DDD" w:rsidRDefault="002E7B86" w:rsidP="00E25679">
            <w:pPr>
              <w:jc w:val="center"/>
              <w:rPr>
                <w:rFonts w:ascii="Times New Roman" w:hAnsi="Times New Roman" w:cs="Times New Roman"/>
                <w:sz w:val="22"/>
                <w:szCs w:val="22"/>
              </w:rPr>
            </w:pPr>
            <w:r w:rsidRPr="00702DDD">
              <w:rPr>
                <w:rFonts w:ascii="Times New Roman" w:hAnsi="Times New Roman" w:cs="Times New Roman"/>
                <w:sz w:val="22"/>
                <w:szCs w:val="22"/>
              </w:rPr>
              <w:t>17,016</w:t>
            </w:r>
          </w:p>
        </w:tc>
      </w:tr>
      <w:tr w:rsidR="002E7B86" w:rsidRPr="00702DDD" w14:paraId="1925E9F2" w14:textId="77777777" w:rsidTr="00E25679">
        <w:tc>
          <w:tcPr>
            <w:tcW w:w="9360" w:type="dxa"/>
            <w:gridSpan w:val="5"/>
            <w:tcBorders>
              <w:top w:val="single" w:sz="4" w:space="0" w:color="000000"/>
              <w:left w:val="nil"/>
              <w:bottom w:val="nil"/>
              <w:right w:val="nil"/>
            </w:tcBorders>
            <w:shd w:val="clear" w:color="auto" w:fill="auto"/>
          </w:tcPr>
          <w:p w14:paraId="3B286E8D" w14:textId="77777777" w:rsidR="002E7B86" w:rsidRPr="00702DDD" w:rsidRDefault="002E7B86" w:rsidP="00E25679">
            <w:pPr>
              <w:rPr>
                <w:rFonts w:ascii="Times New Roman" w:hAnsi="Times New Roman" w:cs="Times New Roman"/>
                <w:sz w:val="22"/>
                <w:szCs w:val="22"/>
              </w:rPr>
            </w:pPr>
            <w:r w:rsidRPr="00702DDD">
              <w:rPr>
                <w:rFonts w:ascii="Times New Roman" w:hAnsi="Times New Roman" w:cs="Times New Roman"/>
                <w:color w:val="000000"/>
                <w:sz w:val="22"/>
                <w:szCs w:val="22"/>
              </w:rPr>
              <w:t>Notes: Standard errors in parentheses; * p&lt;0.1; ** p&lt;0.05; *** p&lt;0.01</w:t>
            </w:r>
          </w:p>
        </w:tc>
      </w:tr>
    </w:tbl>
    <w:p w14:paraId="5E8CB0C5" w14:textId="77777777" w:rsidR="002E7B86" w:rsidRPr="00702DDD" w:rsidRDefault="002E7B86" w:rsidP="002E7B86">
      <w:pPr>
        <w:rPr>
          <w:rFonts w:ascii="Times New Roman" w:hAnsi="Times New Roman" w:cs="Times New Roman"/>
        </w:rPr>
      </w:pPr>
    </w:p>
    <w:p w14:paraId="38A68F24" w14:textId="77777777" w:rsidR="002E7B86" w:rsidRPr="00702DDD" w:rsidRDefault="002E7B86" w:rsidP="00C016E8">
      <w:pPr>
        <w:rPr>
          <w:rFonts w:ascii="Times New Roman" w:hAnsi="Times New Roman" w:cs="Times New Roman"/>
        </w:rPr>
      </w:pPr>
    </w:p>
    <w:p w14:paraId="5D26C1C9" w14:textId="77777777" w:rsidR="00DF4EE5" w:rsidRPr="00702DDD" w:rsidRDefault="00DF4EE5" w:rsidP="00C016E8">
      <w:pPr>
        <w:rPr>
          <w:rFonts w:ascii="Times New Roman" w:hAnsi="Times New Roman" w:cs="Times New Roman"/>
        </w:rPr>
      </w:pPr>
    </w:p>
    <w:p w14:paraId="48D47BF7" w14:textId="1C5C4DB7" w:rsidR="00C016E8" w:rsidRPr="00702DDD" w:rsidRDefault="00C016E8" w:rsidP="00C016E8">
      <w:pPr>
        <w:rPr>
          <w:rFonts w:ascii="Times New Roman" w:hAnsi="Times New Roman" w:cs="Times New Roman"/>
          <w:b/>
        </w:rPr>
      </w:pPr>
      <w:r w:rsidRPr="00702DDD">
        <w:rPr>
          <w:rFonts w:ascii="Times New Roman" w:hAnsi="Times New Roman" w:cs="Times New Roman"/>
          <w:b/>
        </w:rPr>
        <w:t xml:space="preserve">Table </w:t>
      </w:r>
      <w:r w:rsidR="00C72EA1">
        <w:rPr>
          <w:rFonts w:ascii="Times New Roman" w:hAnsi="Times New Roman" w:cs="Times New Roman"/>
          <w:b/>
        </w:rPr>
        <w:t>2.1:</w:t>
      </w:r>
      <w:r w:rsidRPr="00702DDD">
        <w:rPr>
          <w:rFonts w:ascii="Times New Roman" w:hAnsi="Times New Roman" w:cs="Times New Roman"/>
          <w:b/>
        </w:rPr>
        <w:t xml:space="preserve"> 2019 County Affordability Scores and Bins for MHI, Simple Average, and Negative Scaled Average Methods</w:t>
      </w:r>
    </w:p>
    <w:tbl>
      <w:tblPr>
        <w:tblW w:w="91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1460"/>
        <w:gridCol w:w="1140"/>
        <w:gridCol w:w="1300"/>
        <w:gridCol w:w="1520"/>
        <w:gridCol w:w="1080"/>
        <w:gridCol w:w="1800"/>
        <w:gridCol w:w="800"/>
      </w:tblGrid>
      <w:tr w:rsidR="00C016E8" w:rsidRPr="00702DDD" w14:paraId="34D0ECF7" w14:textId="77777777" w:rsidTr="00E83386">
        <w:trPr>
          <w:trHeight w:val="280"/>
        </w:trPr>
        <w:tc>
          <w:tcPr>
            <w:tcW w:w="1460" w:type="dxa"/>
            <w:shd w:val="clear" w:color="auto" w:fill="ED7D31" w:themeFill="accent2"/>
          </w:tcPr>
          <w:p w14:paraId="1AA47F16" w14:textId="77777777" w:rsidR="00C016E8" w:rsidRPr="00702DDD" w:rsidRDefault="00C016E8" w:rsidP="00E83386">
            <w:pPr>
              <w:rPr>
                <w:rFonts w:ascii="Times New Roman" w:hAnsi="Times New Roman" w:cs="Times New Roman"/>
                <w:b/>
                <w:bCs/>
                <w:i/>
                <w:iCs/>
                <w:color w:val="000000"/>
                <w:sz w:val="22"/>
                <w:szCs w:val="22"/>
              </w:rPr>
            </w:pPr>
            <w:r w:rsidRPr="00702DDD">
              <w:rPr>
                <w:rFonts w:ascii="Times New Roman" w:hAnsi="Times New Roman" w:cs="Times New Roman"/>
                <w:b/>
                <w:bCs/>
                <w:i/>
                <w:iCs/>
                <w:color w:val="000000"/>
                <w:sz w:val="22"/>
                <w:szCs w:val="22"/>
              </w:rPr>
              <w:t>County</w:t>
            </w:r>
          </w:p>
        </w:tc>
        <w:tc>
          <w:tcPr>
            <w:tcW w:w="1140" w:type="dxa"/>
            <w:tcBorders>
              <w:right w:val="nil"/>
            </w:tcBorders>
            <w:shd w:val="clear" w:color="auto" w:fill="ED7D31" w:themeFill="accent2"/>
          </w:tcPr>
          <w:p w14:paraId="33AC25FE" w14:textId="77777777" w:rsidR="00C016E8" w:rsidRPr="00702DDD" w:rsidRDefault="00C016E8" w:rsidP="00E83386">
            <w:pPr>
              <w:jc w:val="center"/>
              <w:rPr>
                <w:rFonts w:ascii="Times New Roman" w:hAnsi="Times New Roman" w:cs="Times New Roman"/>
                <w:b/>
                <w:bCs/>
                <w:i/>
                <w:iCs/>
                <w:color w:val="000000"/>
                <w:sz w:val="22"/>
                <w:szCs w:val="22"/>
              </w:rPr>
            </w:pPr>
            <w:r w:rsidRPr="00702DDD">
              <w:rPr>
                <w:rFonts w:ascii="Times New Roman" w:hAnsi="Times New Roman" w:cs="Times New Roman"/>
                <w:b/>
                <w:bCs/>
                <w:i/>
                <w:iCs/>
                <w:color w:val="000000"/>
                <w:sz w:val="22"/>
                <w:szCs w:val="22"/>
              </w:rPr>
              <w:t>MHI</w:t>
            </w:r>
          </w:p>
        </w:tc>
        <w:tc>
          <w:tcPr>
            <w:tcW w:w="1300" w:type="dxa"/>
            <w:tcBorders>
              <w:left w:val="nil"/>
            </w:tcBorders>
            <w:shd w:val="clear" w:color="auto" w:fill="ED7D31" w:themeFill="accent2"/>
          </w:tcPr>
          <w:p w14:paraId="6E3A412F" w14:textId="77777777" w:rsidR="00C016E8" w:rsidRPr="00702DDD" w:rsidRDefault="00C016E8" w:rsidP="00E83386">
            <w:pPr>
              <w:jc w:val="center"/>
              <w:rPr>
                <w:rFonts w:ascii="Times New Roman" w:hAnsi="Times New Roman" w:cs="Times New Roman"/>
                <w:b/>
                <w:bCs/>
                <w:i/>
                <w:iCs/>
                <w:color w:val="000000"/>
                <w:sz w:val="22"/>
                <w:szCs w:val="22"/>
              </w:rPr>
            </w:pPr>
            <w:r w:rsidRPr="00702DDD">
              <w:rPr>
                <w:rFonts w:ascii="Times New Roman" w:hAnsi="Times New Roman" w:cs="Times New Roman"/>
                <w:b/>
                <w:bCs/>
                <w:i/>
                <w:iCs/>
                <w:color w:val="000000"/>
                <w:sz w:val="22"/>
                <w:szCs w:val="22"/>
              </w:rPr>
              <w:t>Bin</w:t>
            </w:r>
          </w:p>
        </w:tc>
        <w:tc>
          <w:tcPr>
            <w:tcW w:w="1520" w:type="dxa"/>
            <w:tcBorders>
              <w:right w:val="nil"/>
            </w:tcBorders>
            <w:shd w:val="clear" w:color="auto" w:fill="ED7D31" w:themeFill="accent2"/>
          </w:tcPr>
          <w:p w14:paraId="4BE3A5F4" w14:textId="77777777" w:rsidR="00C016E8" w:rsidRPr="00702DDD" w:rsidRDefault="00C016E8" w:rsidP="00E83386">
            <w:pPr>
              <w:jc w:val="center"/>
              <w:rPr>
                <w:rFonts w:ascii="Times New Roman" w:hAnsi="Times New Roman" w:cs="Times New Roman"/>
                <w:b/>
                <w:bCs/>
                <w:i/>
                <w:iCs/>
                <w:color w:val="000000"/>
                <w:sz w:val="22"/>
                <w:szCs w:val="22"/>
              </w:rPr>
            </w:pPr>
            <w:r w:rsidRPr="00702DDD">
              <w:rPr>
                <w:rFonts w:ascii="Times New Roman" w:hAnsi="Times New Roman" w:cs="Times New Roman"/>
                <w:b/>
                <w:bCs/>
                <w:i/>
                <w:iCs/>
                <w:color w:val="000000"/>
                <w:sz w:val="22"/>
                <w:szCs w:val="22"/>
              </w:rPr>
              <w:t>Simple Avg Score</w:t>
            </w:r>
          </w:p>
        </w:tc>
        <w:tc>
          <w:tcPr>
            <w:tcW w:w="1080" w:type="dxa"/>
            <w:tcBorders>
              <w:left w:val="nil"/>
            </w:tcBorders>
            <w:shd w:val="clear" w:color="auto" w:fill="ED7D31" w:themeFill="accent2"/>
          </w:tcPr>
          <w:p w14:paraId="77626179" w14:textId="77777777" w:rsidR="00C016E8" w:rsidRPr="00702DDD" w:rsidRDefault="00C016E8" w:rsidP="00E83386">
            <w:pPr>
              <w:jc w:val="center"/>
              <w:rPr>
                <w:rFonts w:ascii="Times New Roman" w:hAnsi="Times New Roman" w:cs="Times New Roman"/>
                <w:b/>
                <w:bCs/>
                <w:i/>
                <w:iCs/>
                <w:color w:val="000000"/>
                <w:sz w:val="22"/>
                <w:szCs w:val="22"/>
              </w:rPr>
            </w:pPr>
            <w:r w:rsidRPr="00702DDD">
              <w:rPr>
                <w:rFonts w:ascii="Times New Roman" w:hAnsi="Times New Roman" w:cs="Times New Roman"/>
                <w:b/>
                <w:bCs/>
                <w:i/>
                <w:iCs/>
                <w:color w:val="000000"/>
                <w:sz w:val="22"/>
                <w:szCs w:val="22"/>
              </w:rPr>
              <w:t>Bin</w:t>
            </w:r>
          </w:p>
        </w:tc>
        <w:tc>
          <w:tcPr>
            <w:tcW w:w="1800" w:type="dxa"/>
            <w:tcBorders>
              <w:right w:val="nil"/>
            </w:tcBorders>
            <w:shd w:val="clear" w:color="auto" w:fill="ED7D31" w:themeFill="accent2"/>
          </w:tcPr>
          <w:p w14:paraId="14424503" w14:textId="77777777" w:rsidR="00C016E8" w:rsidRPr="00702DDD" w:rsidRDefault="00C016E8" w:rsidP="00E83386">
            <w:pPr>
              <w:jc w:val="center"/>
              <w:rPr>
                <w:rFonts w:ascii="Times New Roman" w:hAnsi="Times New Roman" w:cs="Times New Roman"/>
                <w:b/>
                <w:bCs/>
                <w:i/>
                <w:iCs/>
                <w:color w:val="000000"/>
                <w:sz w:val="22"/>
                <w:szCs w:val="22"/>
              </w:rPr>
            </w:pPr>
            <w:r w:rsidRPr="00702DDD">
              <w:rPr>
                <w:rFonts w:ascii="Times New Roman" w:hAnsi="Times New Roman" w:cs="Times New Roman"/>
                <w:b/>
                <w:bCs/>
                <w:i/>
                <w:iCs/>
                <w:color w:val="000000"/>
                <w:sz w:val="22"/>
                <w:szCs w:val="22"/>
              </w:rPr>
              <w:t>Neg Scaled Avg Score</w:t>
            </w:r>
          </w:p>
        </w:tc>
        <w:tc>
          <w:tcPr>
            <w:tcW w:w="800" w:type="dxa"/>
            <w:tcBorders>
              <w:left w:val="nil"/>
            </w:tcBorders>
            <w:shd w:val="clear" w:color="auto" w:fill="ED7D31" w:themeFill="accent2"/>
          </w:tcPr>
          <w:p w14:paraId="4D5E46DA" w14:textId="77777777" w:rsidR="00C016E8" w:rsidRPr="00702DDD" w:rsidRDefault="00C016E8" w:rsidP="00E83386">
            <w:pPr>
              <w:jc w:val="center"/>
              <w:rPr>
                <w:rFonts w:ascii="Times New Roman" w:hAnsi="Times New Roman" w:cs="Times New Roman"/>
                <w:b/>
                <w:bCs/>
                <w:i/>
                <w:iCs/>
                <w:color w:val="000000"/>
                <w:sz w:val="22"/>
                <w:szCs w:val="22"/>
              </w:rPr>
            </w:pPr>
            <w:r w:rsidRPr="00702DDD">
              <w:rPr>
                <w:rFonts w:ascii="Times New Roman" w:hAnsi="Times New Roman" w:cs="Times New Roman"/>
                <w:b/>
                <w:bCs/>
                <w:i/>
                <w:iCs/>
                <w:color w:val="000000"/>
                <w:sz w:val="22"/>
                <w:szCs w:val="22"/>
              </w:rPr>
              <w:t>Bin</w:t>
            </w:r>
          </w:p>
        </w:tc>
      </w:tr>
      <w:tr w:rsidR="00C016E8" w:rsidRPr="00702DDD" w14:paraId="4085E95A" w14:textId="77777777" w:rsidTr="00E83386">
        <w:trPr>
          <w:trHeight w:val="280"/>
        </w:trPr>
        <w:tc>
          <w:tcPr>
            <w:tcW w:w="1460" w:type="dxa"/>
            <w:shd w:val="clear" w:color="auto" w:fill="auto"/>
          </w:tcPr>
          <w:p w14:paraId="4E1F9C6B"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Anderson</w:t>
            </w:r>
          </w:p>
        </w:tc>
        <w:tc>
          <w:tcPr>
            <w:tcW w:w="1140" w:type="dxa"/>
            <w:tcBorders>
              <w:right w:val="nil"/>
            </w:tcBorders>
            <w:shd w:val="clear" w:color="auto" w:fill="auto"/>
          </w:tcPr>
          <w:p w14:paraId="2DC082CC"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52,368</w:t>
            </w:r>
          </w:p>
        </w:tc>
        <w:tc>
          <w:tcPr>
            <w:tcW w:w="1300" w:type="dxa"/>
            <w:tcBorders>
              <w:left w:val="nil"/>
            </w:tcBorders>
            <w:shd w:val="clear" w:color="auto" w:fill="auto"/>
          </w:tcPr>
          <w:p w14:paraId="4D66A25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c>
          <w:tcPr>
            <w:tcW w:w="1520" w:type="dxa"/>
            <w:tcBorders>
              <w:right w:val="nil"/>
            </w:tcBorders>
            <w:shd w:val="clear" w:color="auto" w:fill="auto"/>
          </w:tcPr>
          <w:p w14:paraId="756F332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0.7</w:t>
            </w:r>
          </w:p>
        </w:tc>
        <w:tc>
          <w:tcPr>
            <w:tcW w:w="1080" w:type="dxa"/>
            <w:tcBorders>
              <w:left w:val="nil"/>
            </w:tcBorders>
            <w:shd w:val="clear" w:color="auto" w:fill="auto"/>
          </w:tcPr>
          <w:p w14:paraId="460A64E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10</w:t>
            </w:r>
          </w:p>
        </w:tc>
        <w:tc>
          <w:tcPr>
            <w:tcW w:w="1800" w:type="dxa"/>
            <w:tcBorders>
              <w:right w:val="nil"/>
            </w:tcBorders>
            <w:shd w:val="clear" w:color="auto" w:fill="auto"/>
          </w:tcPr>
          <w:p w14:paraId="17CE47B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45.2</w:t>
            </w:r>
          </w:p>
        </w:tc>
        <w:tc>
          <w:tcPr>
            <w:tcW w:w="800" w:type="dxa"/>
            <w:tcBorders>
              <w:left w:val="nil"/>
            </w:tcBorders>
            <w:shd w:val="clear" w:color="auto" w:fill="auto"/>
          </w:tcPr>
          <w:p w14:paraId="5FA10D3E"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50</w:t>
            </w:r>
          </w:p>
        </w:tc>
      </w:tr>
      <w:tr w:rsidR="00C016E8" w:rsidRPr="00702DDD" w14:paraId="2FCC5679" w14:textId="77777777" w:rsidTr="00E83386">
        <w:trPr>
          <w:trHeight w:val="280"/>
        </w:trPr>
        <w:tc>
          <w:tcPr>
            <w:tcW w:w="1460" w:type="dxa"/>
            <w:shd w:val="clear" w:color="auto" w:fill="auto"/>
          </w:tcPr>
          <w:p w14:paraId="6C55F5C3"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Bedford</w:t>
            </w:r>
          </w:p>
        </w:tc>
        <w:tc>
          <w:tcPr>
            <w:tcW w:w="1140" w:type="dxa"/>
            <w:tcBorders>
              <w:right w:val="nil"/>
            </w:tcBorders>
            <w:shd w:val="clear" w:color="auto" w:fill="auto"/>
          </w:tcPr>
          <w:p w14:paraId="38C23266"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52,392</w:t>
            </w:r>
          </w:p>
        </w:tc>
        <w:tc>
          <w:tcPr>
            <w:tcW w:w="1300" w:type="dxa"/>
            <w:tcBorders>
              <w:left w:val="nil"/>
            </w:tcBorders>
            <w:shd w:val="clear" w:color="auto" w:fill="auto"/>
          </w:tcPr>
          <w:p w14:paraId="0D1456F0"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c>
          <w:tcPr>
            <w:tcW w:w="1520" w:type="dxa"/>
            <w:tcBorders>
              <w:right w:val="nil"/>
            </w:tcBorders>
            <w:shd w:val="clear" w:color="auto" w:fill="auto"/>
          </w:tcPr>
          <w:p w14:paraId="6057ED88"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0.94</w:t>
            </w:r>
          </w:p>
        </w:tc>
        <w:tc>
          <w:tcPr>
            <w:tcW w:w="1080" w:type="dxa"/>
            <w:tcBorders>
              <w:left w:val="nil"/>
            </w:tcBorders>
            <w:shd w:val="clear" w:color="auto" w:fill="auto"/>
          </w:tcPr>
          <w:p w14:paraId="28406B06"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c>
          <w:tcPr>
            <w:tcW w:w="1800" w:type="dxa"/>
            <w:tcBorders>
              <w:right w:val="nil"/>
            </w:tcBorders>
            <w:shd w:val="clear" w:color="auto" w:fill="auto"/>
          </w:tcPr>
          <w:p w14:paraId="4A569F3E"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49.2</w:t>
            </w:r>
          </w:p>
        </w:tc>
        <w:tc>
          <w:tcPr>
            <w:tcW w:w="800" w:type="dxa"/>
            <w:tcBorders>
              <w:left w:val="nil"/>
            </w:tcBorders>
            <w:shd w:val="clear" w:color="auto" w:fill="auto"/>
          </w:tcPr>
          <w:p w14:paraId="7827F41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r>
      <w:tr w:rsidR="00C016E8" w:rsidRPr="00702DDD" w14:paraId="06AE4DFC" w14:textId="77777777" w:rsidTr="00E83386">
        <w:trPr>
          <w:trHeight w:val="280"/>
        </w:trPr>
        <w:tc>
          <w:tcPr>
            <w:tcW w:w="1460" w:type="dxa"/>
            <w:shd w:val="clear" w:color="auto" w:fill="auto"/>
          </w:tcPr>
          <w:p w14:paraId="4D1E2F4E"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Benton</w:t>
            </w:r>
          </w:p>
        </w:tc>
        <w:tc>
          <w:tcPr>
            <w:tcW w:w="1140" w:type="dxa"/>
            <w:tcBorders>
              <w:right w:val="nil"/>
            </w:tcBorders>
            <w:shd w:val="clear" w:color="auto" w:fill="auto"/>
          </w:tcPr>
          <w:p w14:paraId="1A09AAE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38,983</w:t>
            </w:r>
          </w:p>
        </w:tc>
        <w:tc>
          <w:tcPr>
            <w:tcW w:w="1300" w:type="dxa"/>
            <w:tcBorders>
              <w:left w:val="nil"/>
            </w:tcBorders>
            <w:shd w:val="clear" w:color="auto" w:fill="auto"/>
          </w:tcPr>
          <w:p w14:paraId="7FEDA15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10</w:t>
            </w:r>
          </w:p>
        </w:tc>
        <w:tc>
          <w:tcPr>
            <w:tcW w:w="1520" w:type="dxa"/>
            <w:tcBorders>
              <w:right w:val="nil"/>
            </w:tcBorders>
            <w:shd w:val="clear" w:color="auto" w:fill="auto"/>
          </w:tcPr>
          <w:p w14:paraId="5A53E03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0.91</w:t>
            </w:r>
          </w:p>
        </w:tc>
        <w:tc>
          <w:tcPr>
            <w:tcW w:w="1080" w:type="dxa"/>
            <w:tcBorders>
              <w:left w:val="nil"/>
            </w:tcBorders>
            <w:shd w:val="clear" w:color="auto" w:fill="auto"/>
          </w:tcPr>
          <w:p w14:paraId="5ECCCA9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c>
          <w:tcPr>
            <w:tcW w:w="1800" w:type="dxa"/>
            <w:tcBorders>
              <w:right w:val="nil"/>
            </w:tcBorders>
            <w:shd w:val="clear" w:color="auto" w:fill="auto"/>
          </w:tcPr>
          <w:p w14:paraId="7184AFF6"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39.1</w:t>
            </w:r>
          </w:p>
        </w:tc>
        <w:tc>
          <w:tcPr>
            <w:tcW w:w="800" w:type="dxa"/>
            <w:tcBorders>
              <w:left w:val="nil"/>
            </w:tcBorders>
            <w:shd w:val="clear" w:color="auto" w:fill="auto"/>
          </w:tcPr>
          <w:p w14:paraId="0A5F578C"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30</w:t>
            </w:r>
          </w:p>
        </w:tc>
      </w:tr>
      <w:tr w:rsidR="00C016E8" w:rsidRPr="00702DDD" w14:paraId="7EED1AF9" w14:textId="77777777" w:rsidTr="00E83386">
        <w:trPr>
          <w:trHeight w:val="280"/>
        </w:trPr>
        <w:tc>
          <w:tcPr>
            <w:tcW w:w="1460" w:type="dxa"/>
            <w:shd w:val="clear" w:color="auto" w:fill="auto"/>
          </w:tcPr>
          <w:p w14:paraId="67F271E5"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Bledsoe</w:t>
            </w:r>
          </w:p>
        </w:tc>
        <w:tc>
          <w:tcPr>
            <w:tcW w:w="1140" w:type="dxa"/>
            <w:tcBorders>
              <w:right w:val="nil"/>
            </w:tcBorders>
            <w:shd w:val="clear" w:color="auto" w:fill="auto"/>
          </w:tcPr>
          <w:p w14:paraId="5B08449E"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45,852</w:t>
            </w:r>
          </w:p>
        </w:tc>
        <w:tc>
          <w:tcPr>
            <w:tcW w:w="1300" w:type="dxa"/>
            <w:tcBorders>
              <w:left w:val="nil"/>
            </w:tcBorders>
            <w:shd w:val="clear" w:color="auto" w:fill="auto"/>
          </w:tcPr>
          <w:p w14:paraId="673D46D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50</w:t>
            </w:r>
          </w:p>
        </w:tc>
        <w:tc>
          <w:tcPr>
            <w:tcW w:w="1520" w:type="dxa"/>
            <w:tcBorders>
              <w:right w:val="nil"/>
            </w:tcBorders>
            <w:shd w:val="clear" w:color="auto" w:fill="auto"/>
          </w:tcPr>
          <w:p w14:paraId="34D3F0C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1.16</w:t>
            </w:r>
          </w:p>
        </w:tc>
        <w:tc>
          <w:tcPr>
            <w:tcW w:w="1080" w:type="dxa"/>
            <w:tcBorders>
              <w:left w:val="nil"/>
            </w:tcBorders>
            <w:shd w:val="clear" w:color="auto" w:fill="auto"/>
          </w:tcPr>
          <w:p w14:paraId="41C935D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c>
          <w:tcPr>
            <w:tcW w:w="1800" w:type="dxa"/>
            <w:tcBorders>
              <w:right w:val="nil"/>
            </w:tcBorders>
            <w:shd w:val="clear" w:color="auto" w:fill="auto"/>
          </w:tcPr>
          <w:p w14:paraId="5F229B38"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33.1</w:t>
            </w:r>
          </w:p>
        </w:tc>
        <w:tc>
          <w:tcPr>
            <w:tcW w:w="800" w:type="dxa"/>
            <w:tcBorders>
              <w:left w:val="nil"/>
            </w:tcBorders>
            <w:shd w:val="clear" w:color="auto" w:fill="auto"/>
          </w:tcPr>
          <w:p w14:paraId="4DA99CB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20</w:t>
            </w:r>
          </w:p>
        </w:tc>
      </w:tr>
      <w:tr w:rsidR="00C016E8" w:rsidRPr="00702DDD" w14:paraId="2FBB8309" w14:textId="77777777" w:rsidTr="00E83386">
        <w:trPr>
          <w:trHeight w:val="280"/>
        </w:trPr>
        <w:tc>
          <w:tcPr>
            <w:tcW w:w="1460" w:type="dxa"/>
            <w:shd w:val="clear" w:color="auto" w:fill="auto"/>
          </w:tcPr>
          <w:p w14:paraId="6930B924"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Blount</w:t>
            </w:r>
          </w:p>
        </w:tc>
        <w:tc>
          <w:tcPr>
            <w:tcW w:w="1140" w:type="dxa"/>
            <w:tcBorders>
              <w:right w:val="nil"/>
            </w:tcBorders>
            <w:shd w:val="clear" w:color="auto" w:fill="auto"/>
          </w:tcPr>
          <w:p w14:paraId="0D3B8F7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58,889</w:t>
            </w:r>
          </w:p>
        </w:tc>
        <w:tc>
          <w:tcPr>
            <w:tcW w:w="1300" w:type="dxa"/>
            <w:tcBorders>
              <w:left w:val="nil"/>
            </w:tcBorders>
            <w:shd w:val="clear" w:color="auto" w:fill="auto"/>
          </w:tcPr>
          <w:p w14:paraId="40FCA07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c>
          <w:tcPr>
            <w:tcW w:w="1520" w:type="dxa"/>
            <w:tcBorders>
              <w:right w:val="nil"/>
            </w:tcBorders>
            <w:shd w:val="clear" w:color="auto" w:fill="auto"/>
          </w:tcPr>
          <w:p w14:paraId="36A4472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w:t>
            </w:r>
          </w:p>
        </w:tc>
        <w:tc>
          <w:tcPr>
            <w:tcW w:w="1080" w:type="dxa"/>
            <w:tcBorders>
              <w:left w:val="nil"/>
            </w:tcBorders>
            <w:shd w:val="clear" w:color="auto" w:fill="auto"/>
          </w:tcPr>
          <w:p w14:paraId="574A61CF"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30</w:t>
            </w:r>
          </w:p>
        </w:tc>
        <w:tc>
          <w:tcPr>
            <w:tcW w:w="1800" w:type="dxa"/>
            <w:tcBorders>
              <w:right w:val="nil"/>
            </w:tcBorders>
            <w:shd w:val="clear" w:color="auto" w:fill="auto"/>
          </w:tcPr>
          <w:p w14:paraId="5B971658"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56.1</w:t>
            </w:r>
          </w:p>
        </w:tc>
        <w:tc>
          <w:tcPr>
            <w:tcW w:w="800" w:type="dxa"/>
            <w:tcBorders>
              <w:left w:val="nil"/>
            </w:tcBorders>
            <w:shd w:val="clear" w:color="auto" w:fill="auto"/>
          </w:tcPr>
          <w:p w14:paraId="4E41072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r>
      <w:tr w:rsidR="00C016E8" w:rsidRPr="00702DDD" w14:paraId="05ECDC7A" w14:textId="77777777" w:rsidTr="00E83386">
        <w:trPr>
          <w:trHeight w:val="280"/>
        </w:trPr>
        <w:tc>
          <w:tcPr>
            <w:tcW w:w="1460" w:type="dxa"/>
            <w:shd w:val="clear" w:color="auto" w:fill="auto"/>
          </w:tcPr>
          <w:p w14:paraId="479EC863"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Bradley</w:t>
            </w:r>
          </w:p>
        </w:tc>
        <w:tc>
          <w:tcPr>
            <w:tcW w:w="1140" w:type="dxa"/>
            <w:tcBorders>
              <w:right w:val="nil"/>
            </w:tcBorders>
            <w:shd w:val="clear" w:color="auto" w:fill="auto"/>
          </w:tcPr>
          <w:p w14:paraId="317A48D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53,344</w:t>
            </w:r>
          </w:p>
        </w:tc>
        <w:tc>
          <w:tcPr>
            <w:tcW w:w="1300" w:type="dxa"/>
            <w:tcBorders>
              <w:left w:val="nil"/>
            </w:tcBorders>
            <w:shd w:val="clear" w:color="auto" w:fill="auto"/>
          </w:tcPr>
          <w:p w14:paraId="3B486560"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c>
          <w:tcPr>
            <w:tcW w:w="1520" w:type="dxa"/>
            <w:tcBorders>
              <w:right w:val="nil"/>
            </w:tcBorders>
            <w:shd w:val="clear" w:color="auto" w:fill="auto"/>
          </w:tcPr>
          <w:p w14:paraId="6365D97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0.81</w:t>
            </w:r>
          </w:p>
        </w:tc>
        <w:tc>
          <w:tcPr>
            <w:tcW w:w="1080" w:type="dxa"/>
            <w:tcBorders>
              <w:left w:val="nil"/>
            </w:tcBorders>
            <w:shd w:val="clear" w:color="auto" w:fill="auto"/>
          </w:tcPr>
          <w:p w14:paraId="55553A12"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30</w:t>
            </w:r>
          </w:p>
        </w:tc>
        <w:tc>
          <w:tcPr>
            <w:tcW w:w="1800" w:type="dxa"/>
            <w:tcBorders>
              <w:right w:val="nil"/>
            </w:tcBorders>
            <w:shd w:val="clear" w:color="auto" w:fill="auto"/>
          </w:tcPr>
          <w:p w14:paraId="41A19E1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48.7</w:t>
            </w:r>
          </w:p>
        </w:tc>
        <w:tc>
          <w:tcPr>
            <w:tcW w:w="800" w:type="dxa"/>
            <w:tcBorders>
              <w:left w:val="nil"/>
            </w:tcBorders>
            <w:shd w:val="clear" w:color="auto" w:fill="auto"/>
          </w:tcPr>
          <w:p w14:paraId="703A416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r>
      <w:tr w:rsidR="00C016E8" w:rsidRPr="00702DDD" w14:paraId="401D9C85" w14:textId="77777777" w:rsidTr="00E83386">
        <w:trPr>
          <w:trHeight w:val="280"/>
        </w:trPr>
        <w:tc>
          <w:tcPr>
            <w:tcW w:w="1460" w:type="dxa"/>
            <w:shd w:val="clear" w:color="auto" w:fill="auto"/>
          </w:tcPr>
          <w:p w14:paraId="6AD2DAC2"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Campbell</w:t>
            </w:r>
          </w:p>
        </w:tc>
        <w:tc>
          <w:tcPr>
            <w:tcW w:w="1140" w:type="dxa"/>
            <w:tcBorders>
              <w:right w:val="nil"/>
            </w:tcBorders>
            <w:shd w:val="clear" w:color="auto" w:fill="auto"/>
          </w:tcPr>
          <w:p w14:paraId="361F254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41,364</w:t>
            </w:r>
          </w:p>
        </w:tc>
        <w:tc>
          <w:tcPr>
            <w:tcW w:w="1300" w:type="dxa"/>
            <w:tcBorders>
              <w:left w:val="nil"/>
            </w:tcBorders>
            <w:shd w:val="clear" w:color="auto" w:fill="auto"/>
          </w:tcPr>
          <w:p w14:paraId="63E62F12"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c>
          <w:tcPr>
            <w:tcW w:w="1520" w:type="dxa"/>
            <w:tcBorders>
              <w:right w:val="nil"/>
            </w:tcBorders>
            <w:shd w:val="clear" w:color="auto" w:fill="auto"/>
          </w:tcPr>
          <w:p w14:paraId="10A89F4E"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0.86</w:t>
            </w:r>
          </w:p>
        </w:tc>
        <w:tc>
          <w:tcPr>
            <w:tcW w:w="1080" w:type="dxa"/>
            <w:tcBorders>
              <w:left w:val="nil"/>
            </w:tcBorders>
            <w:shd w:val="clear" w:color="auto" w:fill="auto"/>
          </w:tcPr>
          <w:p w14:paraId="2FF43E0A"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c>
          <w:tcPr>
            <w:tcW w:w="1800" w:type="dxa"/>
            <w:tcBorders>
              <w:right w:val="nil"/>
            </w:tcBorders>
            <w:shd w:val="clear" w:color="auto" w:fill="auto"/>
          </w:tcPr>
          <w:p w14:paraId="47FCE32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35.1</w:t>
            </w:r>
          </w:p>
        </w:tc>
        <w:tc>
          <w:tcPr>
            <w:tcW w:w="800" w:type="dxa"/>
            <w:tcBorders>
              <w:left w:val="nil"/>
            </w:tcBorders>
            <w:shd w:val="clear" w:color="auto" w:fill="auto"/>
          </w:tcPr>
          <w:p w14:paraId="4BA2D04B"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r>
      <w:tr w:rsidR="00C016E8" w:rsidRPr="00702DDD" w14:paraId="21C7AF24" w14:textId="77777777" w:rsidTr="00E83386">
        <w:trPr>
          <w:trHeight w:val="280"/>
        </w:trPr>
        <w:tc>
          <w:tcPr>
            <w:tcW w:w="1460" w:type="dxa"/>
            <w:shd w:val="clear" w:color="auto" w:fill="auto"/>
          </w:tcPr>
          <w:p w14:paraId="4B0A7AE6"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Cannon</w:t>
            </w:r>
          </w:p>
        </w:tc>
        <w:tc>
          <w:tcPr>
            <w:tcW w:w="1140" w:type="dxa"/>
            <w:tcBorders>
              <w:right w:val="nil"/>
            </w:tcBorders>
            <w:shd w:val="clear" w:color="auto" w:fill="auto"/>
          </w:tcPr>
          <w:p w14:paraId="6C19A890"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57,500</w:t>
            </w:r>
          </w:p>
        </w:tc>
        <w:tc>
          <w:tcPr>
            <w:tcW w:w="1300" w:type="dxa"/>
            <w:tcBorders>
              <w:left w:val="nil"/>
            </w:tcBorders>
            <w:shd w:val="clear" w:color="auto" w:fill="auto"/>
          </w:tcPr>
          <w:p w14:paraId="2F64827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c>
          <w:tcPr>
            <w:tcW w:w="1520" w:type="dxa"/>
            <w:tcBorders>
              <w:right w:val="nil"/>
            </w:tcBorders>
            <w:shd w:val="clear" w:color="auto" w:fill="auto"/>
          </w:tcPr>
          <w:p w14:paraId="3DECF2B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w:t>
            </w:r>
          </w:p>
        </w:tc>
        <w:tc>
          <w:tcPr>
            <w:tcW w:w="1080" w:type="dxa"/>
            <w:tcBorders>
              <w:left w:val="nil"/>
            </w:tcBorders>
            <w:shd w:val="clear" w:color="auto" w:fill="auto"/>
          </w:tcPr>
          <w:p w14:paraId="4627D26F"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30</w:t>
            </w:r>
          </w:p>
        </w:tc>
        <w:tc>
          <w:tcPr>
            <w:tcW w:w="1800" w:type="dxa"/>
            <w:tcBorders>
              <w:right w:val="nil"/>
            </w:tcBorders>
            <w:shd w:val="clear" w:color="auto" w:fill="auto"/>
          </w:tcPr>
          <w:p w14:paraId="00C0CD83"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50.9</w:t>
            </w:r>
          </w:p>
        </w:tc>
        <w:tc>
          <w:tcPr>
            <w:tcW w:w="800" w:type="dxa"/>
            <w:tcBorders>
              <w:left w:val="nil"/>
            </w:tcBorders>
            <w:shd w:val="clear" w:color="auto" w:fill="auto"/>
          </w:tcPr>
          <w:p w14:paraId="7F98BE4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r>
      <w:tr w:rsidR="00C016E8" w:rsidRPr="00702DDD" w14:paraId="518295E4" w14:textId="77777777" w:rsidTr="00E83386">
        <w:trPr>
          <w:trHeight w:val="280"/>
        </w:trPr>
        <w:tc>
          <w:tcPr>
            <w:tcW w:w="1460" w:type="dxa"/>
            <w:shd w:val="clear" w:color="auto" w:fill="auto"/>
          </w:tcPr>
          <w:p w14:paraId="0496A9E9"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Carroll</w:t>
            </w:r>
          </w:p>
        </w:tc>
        <w:tc>
          <w:tcPr>
            <w:tcW w:w="1140" w:type="dxa"/>
            <w:tcBorders>
              <w:right w:val="nil"/>
            </w:tcBorders>
            <w:shd w:val="clear" w:color="auto" w:fill="auto"/>
          </w:tcPr>
          <w:p w14:paraId="2300FB1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44,309</w:t>
            </w:r>
          </w:p>
        </w:tc>
        <w:tc>
          <w:tcPr>
            <w:tcW w:w="1300" w:type="dxa"/>
            <w:tcBorders>
              <w:left w:val="nil"/>
            </w:tcBorders>
            <w:shd w:val="clear" w:color="auto" w:fill="auto"/>
          </w:tcPr>
          <w:p w14:paraId="77ADFBC5"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40</w:t>
            </w:r>
          </w:p>
        </w:tc>
        <w:tc>
          <w:tcPr>
            <w:tcW w:w="1520" w:type="dxa"/>
            <w:tcBorders>
              <w:right w:val="nil"/>
            </w:tcBorders>
            <w:shd w:val="clear" w:color="auto" w:fill="auto"/>
          </w:tcPr>
          <w:p w14:paraId="68A0A0E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0.69</w:t>
            </w:r>
          </w:p>
        </w:tc>
        <w:tc>
          <w:tcPr>
            <w:tcW w:w="1080" w:type="dxa"/>
            <w:tcBorders>
              <w:left w:val="nil"/>
            </w:tcBorders>
            <w:shd w:val="clear" w:color="auto" w:fill="auto"/>
          </w:tcPr>
          <w:p w14:paraId="7549FDA8"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10</w:t>
            </w:r>
          </w:p>
        </w:tc>
        <w:tc>
          <w:tcPr>
            <w:tcW w:w="1800" w:type="dxa"/>
            <w:tcBorders>
              <w:right w:val="nil"/>
            </w:tcBorders>
            <w:shd w:val="clear" w:color="auto" w:fill="auto"/>
          </w:tcPr>
          <w:p w14:paraId="32950F4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40.9</w:t>
            </w:r>
          </w:p>
        </w:tc>
        <w:tc>
          <w:tcPr>
            <w:tcW w:w="800" w:type="dxa"/>
            <w:tcBorders>
              <w:left w:val="nil"/>
            </w:tcBorders>
            <w:shd w:val="clear" w:color="auto" w:fill="auto"/>
          </w:tcPr>
          <w:p w14:paraId="1B7779A6"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40</w:t>
            </w:r>
          </w:p>
        </w:tc>
      </w:tr>
      <w:tr w:rsidR="00C016E8" w:rsidRPr="00702DDD" w14:paraId="2FDDEA97" w14:textId="77777777" w:rsidTr="00E83386">
        <w:trPr>
          <w:trHeight w:val="280"/>
        </w:trPr>
        <w:tc>
          <w:tcPr>
            <w:tcW w:w="1460" w:type="dxa"/>
            <w:shd w:val="clear" w:color="auto" w:fill="auto"/>
          </w:tcPr>
          <w:p w14:paraId="19BD3BB3"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Carter</w:t>
            </w:r>
          </w:p>
        </w:tc>
        <w:tc>
          <w:tcPr>
            <w:tcW w:w="1140" w:type="dxa"/>
            <w:tcBorders>
              <w:right w:val="nil"/>
            </w:tcBorders>
            <w:shd w:val="clear" w:color="auto" w:fill="auto"/>
          </w:tcPr>
          <w:p w14:paraId="0BA7FCC6"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39,586</w:t>
            </w:r>
          </w:p>
        </w:tc>
        <w:tc>
          <w:tcPr>
            <w:tcW w:w="1300" w:type="dxa"/>
            <w:tcBorders>
              <w:left w:val="nil"/>
            </w:tcBorders>
            <w:shd w:val="clear" w:color="auto" w:fill="auto"/>
          </w:tcPr>
          <w:p w14:paraId="4698FAFE"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10</w:t>
            </w:r>
          </w:p>
        </w:tc>
        <w:tc>
          <w:tcPr>
            <w:tcW w:w="1520" w:type="dxa"/>
            <w:tcBorders>
              <w:right w:val="nil"/>
            </w:tcBorders>
            <w:shd w:val="clear" w:color="auto" w:fill="auto"/>
          </w:tcPr>
          <w:p w14:paraId="75E1AB8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0.66</w:t>
            </w:r>
          </w:p>
        </w:tc>
        <w:tc>
          <w:tcPr>
            <w:tcW w:w="1080" w:type="dxa"/>
            <w:tcBorders>
              <w:left w:val="nil"/>
            </w:tcBorders>
            <w:shd w:val="clear" w:color="auto" w:fill="auto"/>
          </w:tcPr>
          <w:p w14:paraId="6D7F32C9"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10</w:t>
            </w:r>
          </w:p>
        </w:tc>
        <w:tc>
          <w:tcPr>
            <w:tcW w:w="1800" w:type="dxa"/>
            <w:tcBorders>
              <w:right w:val="nil"/>
            </w:tcBorders>
            <w:shd w:val="clear" w:color="auto" w:fill="auto"/>
          </w:tcPr>
          <w:p w14:paraId="43CC3EE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37.1</w:t>
            </w:r>
          </w:p>
        </w:tc>
        <w:tc>
          <w:tcPr>
            <w:tcW w:w="800" w:type="dxa"/>
            <w:tcBorders>
              <w:left w:val="nil"/>
            </w:tcBorders>
            <w:shd w:val="clear" w:color="auto" w:fill="auto"/>
          </w:tcPr>
          <w:p w14:paraId="0D95334E"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30</w:t>
            </w:r>
          </w:p>
        </w:tc>
      </w:tr>
      <w:tr w:rsidR="00C016E8" w:rsidRPr="00702DDD" w14:paraId="60C0C5BB" w14:textId="77777777" w:rsidTr="00E83386">
        <w:trPr>
          <w:trHeight w:val="280"/>
        </w:trPr>
        <w:tc>
          <w:tcPr>
            <w:tcW w:w="1460" w:type="dxa"/>
            <w:shd w:val="clear" w:color="auto" w:fill="auto"/>
          </w:tcPr>
          <w:p w14:paraId="6F7D5F9F"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Cheatham</w:t>
            </w:r>
          </w:p>
        </w:tc>
        <w:tc>
          <w:tcPr>
            <w:tcW w:w="1140" w:type="dxa"/>
            <w:tcBorders>
              <w:right w:val="nil"/>
            </w:tcBorders>
            <w:shd w:val="clear" w:color="auto" w:fill="auto"/>
          </w:tcPr>
          <w:p w14:paraId="37CA3C8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64,341</w:t>
            </w:r>
          </w:p>
        </w:tc>
        <w:tc>
          <w:tcPr>
            <w:tcW w:w="1300" w:type="dxa"/>
            <w:tcBorders>
              <w:left w:val="nil"/>
            </w:tcBorders>
            <w:shd w:val="clear" w:color="auto" w:fill="auto"/>
          </w:tcPr>
          <w:p w14:paraId="6480613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c>
          <w:tcPr>
            <w:tcW w:w="1520" w:type="dxa"/>
            <w:tcBorders>
              <w:right w:val="nil"/>
            </w:tcBorders>
            <w:shd w:val="clear" w:color="auto" w:fill="auto"/>
          </w:tcPr>
          <w:p w14:paraId="2C1DEC2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0.69</w:t>
            </w:r>
          </w:p>
        </w:tc>
        <w:tc>
          <w:tcPr>
            <w:tcW w:w="1080" w:type="dxa"/>
            <w:tcBorders>
              <w:left w:val="nil"/>
            </w:tcBorders>
            <w:shd w:val="clear" w:color="auto" w:fill="auto"/>
          </w:tcPr>
          <w:p w14:paraId="12F922A2"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10</w:t>
            </w:r>
          </w:p>
        </w:tc>
        <w:tc>
          <w:tcPr>
            <w:tcW w:w="1800" w:type="dxa"/>
            <w:tcBorders>
              <w:right w:val="nil"/>
            </w:tcBorders>
            <w:shd w:val="clear" w:color="auto" w:fill="auto"/>
          </w:tcPr>
          <w:p w14:paraId="7AB2567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59</w:t>
            </w:r>
          </w:p>
        </w:tc>
        <w:tc>
          <w:tcPr>
            <w:tcW w:w="800" w:type="dxa"/>
            <w:tcBorders>
              <w:left w:val="nil"/>
            </w:tcBorders>
            <w:shd w:val="clear" w:color="auto" w:fill="auto"/>
          </w:tcPr>
          <w:p w14:paraId="26AD4870"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r>
      <w:tr w:rsidR="00C016E8" w:rsidRPr="00702DDD" w14:paraId="1CE19845" w14:textId="77777777" w:rsidTr="00E83386">
        <w:trPr>
          <w:trHeight w:val="280"/>
        </w:trPr>
        <w:tc>
          <w:tcPr>
            <w:tcW w:w="1460" w:type="dxa"/>
            <w:shd w:val="clear" w:color="auto" w:fill="auto"/>
          </w:tcPr>
          <w:p w14:paraId="5E6E76FD"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Chester</w:t>
            </w:r>
          </w:p>
        </w:tc>
        <w:tc>
          <w:tcPr>
            <w:tcW w:w="1140" w:type="dxa"/>
            <w:tcBorders>
              <w:right w:val="nil"/>
            </w:tcBorders>
            <w:shd w:val="clear" w:color="auto" w:fill="auto"/>
          </w:tcPr>
          <w:p w14:paraId="4ED7C2DE"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53,983</w:t>
            </w:r>
          </w:p>
        </w:tc>
        <w:tc>
          <w:tcPr>
            <w:tcW w:w="1300" w:type="dxa"/>
            <w:tcBorders>
              <w:left w:val="nil"/>
            </w:tcBorders>
            <w:shd w:val="clear" w:color="auto" w:fill="auto"/>
          </w:tcPr>
          <w:p w14:paraId="465B9B4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c>
          <w:tcPr>
            <w:tcW w:w="1520" w:type="dxa"/>
            <w:tcBorders>
              <w:right w:val="nil"/>
            </w:tcBorders>
            <w:shd w:val="clear" w:color="auto" w:fill="auto"/>
          </w:tcPr>
          <w:p w14:paraId="4360204C"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0.69</w:t>
            </w:r>
          </w:p>
        </w:tc>
        <w:tc>
          <w:tcPr>
            <w:tcW w:w="1080" w:type="dxa"/>
            <w:tcBorders>
              <w:left w:val="nil"/>
            </w:tcBorders>
            <w:shd w:val="clear" w:color="auto" w:fill="auto"/>
          </w:tcPr>
          <w:p w14:paraId="59C3DDF9"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10</w:t>
            </w:r>
          </w:p>
        </w:tc>
        <w:tc>
          <w:tcPr>
            <w:tcW w:w="1800" w:type="dxa"/>
            <w:tcBorders>
              <w:right w:val="nil"/>
            </w:tcBorders>
            <w:shd w:val="clear" w:color="auto" w:fill="auto"/>
          </w:tcPr>
          <w:p w14:paraId="4A27758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52.2</w:t>
            </w:r>
          </w:p>
        </w:tc>
        <w:tc>
          <w:tcPr>
            <w:tcW w:w="800" w:type="dxa"/>
            <w:tcBorders>
              <w:left w:val="nil"/>
            </w:tcBorders>
            <w:shd w:val="clear" w:color="auto" w:fill="auto"/>
          </w:tcPr>
          <w:p w14:paraId="66D53866"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r>
      <w:tr w:rsidR="00C016E8" w:rsidRPr="00702DDD" w14:paraId="13A34E21" w14:textId="77777777" w:rsidTr="00E83386">
        <w:trPr>
          <w:trHeight w:val="280"/>
        </w:trPr>
        <w:tc>
          <w:tcPr>
            <w:tcW w:w="1460" w:type="dxa"/>
            <w:shd w:val="clear" w:color="auto" w:fill="auto"/>
          </w:tcPr>
          <w:p w14:paraId="159B422C"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Claiborne</w:t>
            </w:r>
          </w:p>
        </w:tc>
        <w:tc>
          <w:tcPr>
            <w:tcW w:w="1140" w:type="dxa"/>
            <w:tcBorders>
              <w:right w:val="nil"/>
            </w:tcBorders>
            <w:shd w:val="clear" w:color="auto" w:fill="auto"/>
          </w:tcPr>
          <w:p w14:paraId="004640D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38,279</w:t>
            </w:r>
          </w:p>
        </w:tc>
        <w:tc>
          <w:tcPr>
            <w:tcW w:w="1300" w:type="dxa"/>
            <w:tcBorders>
              <w:left w:val="nil"/>
            </w:tcBorders>
            <w:shd w:val="clear" w:color="auto" w:fill="auto"/>
          </w:tcPr>
          <w:p w14:paraId="2231598F"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10</w:t>
            </w:r>
          </w:p>
        </w:tc>
        <w:tc>
          <w:tcPr>
            <w:tcW w:w="1520" w:type="dxa"/>
            <w:tcBorders>
              <w:right w:val="nil"/>
            </w:tcBorders>
            <w:shd w:val="clear" w:color="auto" w:fill="auto"/>
          </w:tcPr>
          <w:p w14:paraId="5A458F4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0.77</w:t>
            </w:r>
          </w:p>
        </w:tc>
        <w:tc>
          <w:tcPr>
            <w:tcW w:w="1080" w:type="dxa"/>
            <w:tcBorders>
              <w:left w:val="nil"/>
            </w:tcBorders>
            <w:shd w:val="clear" w:color="auto" w:fill="auto"/>
          </w:tcPr>
          <w:p w14:paraId="399768B8"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c>
          <w:tcPr>
            <w:tcW w:w="1800" w:type="dxa"/>
            <w:tcBorders>
              <w:right w:val="nil"/>
            </w:tcBorders>
            <w:shd w:val="clear" w:color="auto" w:fill="auto"/>
          </w:tcPr>
          <w:p w14:paraId="00993C5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36.7</w:t>
            </w:r>
          </w:p>
        </w:tc>
        <w:tc>
          <w:tcPr>
            <w:tcW w:w="800" w:type="dxa"/>
            <w:tcBorders>
              <w:left w:val="nil"/>
            </w:tcBorders>
            <w:shd w:val="clear" w:color="auto" w:fill="auto"/>
          </w:tcPr>
          <w:p w14:paraId="11AC220F"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30</w:t>
            </w:r>
          </w:p>
        </w:tc>
      </w:tr>
      <w:tr w:rsidR="00C016E8" w:rsidRPr="00702DDD" w14:paraId="36590E5F" w14:textId="77777777" w:rsidTr="00E83386">
        <w:trPr>
          <w:trHeight w:val="280"/>
        </w:trPr>
        <w:tc>
          <w:tcPr>
            <w:tcW w:w="1460" w:type="dxa"/>
            <w:shd w:val="clear" w:color="auto" w:fill="auto"/>
          </w:tcPr>
          <w:p w14:paraId="7AF8FB33"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Clay</w:t>
            </w:r>
          </w:p>
        </w:tc>
        <w:tc>
          <w:tcPr>
            <w:tcW w:w="1140" w:type="dxa"/>
            <w:tcBorders>
              <w:right w:val="nil"/>
            </w:tcBorders>
            <w:shd w:val="clear" w:color="auto" w:fill="auto"/>
          </w:tcPr>
          <w:p w14:paraId="3CC9C65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33,428</w:t>
            </w:r>
          </w:p>
        </w:tc>
        <w:tc>
          <w:tcPr>
            <w:tcW w:w="1300" w:type="dxa"/>
            <w:tcBorders>
              <w:left w:val="nil"/>
            </w:tcBorders>
            <w:shd w:val="clear" w:color="auto" w:fill="auto"/>
          </w:tcPr>
          <w:p w14:paraId="23CB65CE"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0</w:t>
            </w:r>
          </w:p>
        </w:tc>
        <w:tc>
          <w:tcPr>
            <w:tcW w:w="1520" w:type="dxa"/>
            <w:tcBorders>
              <w:right w:val="nil"/>
            </w:tcBorders>
            <w:shd w:val="clear" w:color="auto" w:fill="auto"/>
          </w:tcPr>
          <w:p w14:paraId="4D0D540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0.88</w:t>
            </w:r>
          </w:p>
        </w:tc>
        <w:tc>
          <w:tcPr>
            <w:tcW w:w="1080" w:type="dxa"/>
            <w:tcBorders>
              <w:left w:val="nil"/>
            </w:tcBorders>
            <w:shd w:val="clear" w:color="auto" w:fill="auto"/>
          </w:tcPr>
          <w:p w14:paraId="135D28E6"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c>
          <w:tcPr>
            <w:tcW w:w="1800" w:type="dxa"/>
            <w:tcBorders>
              <w:right w:val="nil"/>
            </w:tcBorders>
            <w:shd w:val="clear" w:color="auto" w:fill="auto"/>
          </w:tcPr>
          <w:p w14:paraId="77F6B44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32.8</w:t>
            </w:r>
          </w:p>
        </w:tc>
        <w:tc>
          <w:tcPr>
            <w:tcW w:w="800" w:type="dxa"/>
            <w:tcBorders>
              <w:left w:val="nil"/>
            </w:tcBorders>
            <w:shd w:val="clear" w:color="auto" w:fill="auto"/>
          </w:tcPr>
          <w:p w14:paraId="4E6FE961"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r>
      <w:tr w:rsidR="00C016E8" w:rsidRPr="00702DDD" w14:paraId="74492004" w14:textId="77777777" w:rsidTr="00E83386">
        <w:trPr>
          <w:trHeight w:val="280"/>
        </w:trPr>
        <w:tc>
          <w:tcPr>
            <w:tcW w:w="1460" w:type="dxa"/>
            <w:shd w:val="clear" w:color="auto" w:fill="auto"/>
          </w:tcPr>
          <w:p w14:paraId="11892E14" w14:textId="77777777" w:rsidR="00C016E8" w:rsidRPr="00702DDD" w:rsidRDefault="00C016E8" w:rsidP="00E83386">
            <w:pPr>
              <w:rPr>
                <w:rFonts w:ascii="Times New Roman" w:hAnsi="Times New Roman" w:cs="Times New Roman"/>
                <w:color w:val="000000"/>
                <w:sz w:val="22"/>
                <w:szCs w:val="22"/>
              </w:rPr>
            </w:pPr>
            <w:proofErr w:type="spellStart"/>
            <w:r w:rsidRPr="00702DDD">
              <w:rPr>
                <w:rFonts w:ascii="Times New Roman" w:hAnsi="Times New Roman" w:cs="Times New Roman"/>
                <w:color w:val="000000"/>
                <w:sz w:val="22"/>
                <w:szCs w:val="22"/>
              </w:rPr>
              <w:t>Cocke</w:t>
            </w:r>
            <w:proofErr w:type="spellEnd"/>
          </w:p>
        </w:tc>
        <w:tc>
          <w:tcPr>
            <w:tcW w:w="1140" w:type="dxa"/>
            <w:tcBorders>
              <w:right w:val="nil"/>
            </w:tcBorders>
            <w:shd w:val="clear" w:color="auto" w:fill="auto"/>
          </w:tcPr>
          <w:p w14:paraId="56B9676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38,156</w:t>
            </w:r>
          </w:p>
        </w:tc>
        <w:tc>
          <w:tcPr>
            <w:tcW w:w="1300" w:type="dxa"/>
            <w:tcBorders>
              <w:left w:val="nil"/>
            </w:tcBorders>
            <w:shd w:val="clear" w:color="auto" w:fill="auto"/>
          </w:tcPr>
          <w:p w14:paraId="21C05506"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10</w:t>
            </w:r>
          </w:p>
        </w:tc>
        <w:tc>
          <w:tcPr>
            <w:tcW w:w="1520" w:type="dxa"/>
            <w:tcBorders>
              <w:right w:val="nil"/>
            </w:tcBorders>
            <w:shd w:val="clear" w:color="auto" w:fill="auto"/>
          </w:tcPr>
          <w:p w14:paraId="6A8A9E0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0.79</w:t>
            </w:r>
          </w:p>
        </w:tc>
        <w:tc>
          <w:tcPr>
            <w:tcW w:w="1080" w:type="dxa"/>
            <w:tcBorders>
              <w:left w:val="nil"/>
            </w:tcBorders>
            <w:shd w:val="clear" w:color="auto" w:fill="auto"/>
          </w:tcPr>
          <w:p w14:paraId="62DD13A9" w14:textId="77777777" w:rsidR="00C016E8" w:rsidRPr="00702DDD" w:rsidRDefault="00C016E8" w:rsidP="00E83386">
            <w:pPr>
              <w:pBdr>
                <w:top w:val="nil"/>
                <w:left w:val="nil"/>
                <w:bottom w:val="nil"/>
                <w:right w:val="nil"/>
                <w:between w:val="nil"/>
              </w:pBdr>
              <w:jc w:val="center"/>
              <w:rPr>
                <w:rFonts w:ascii="Times New Roman" w:hAnsi="Times New Roman" w:cs="Times New Roman"/>
                <w:sz w:val="22"/>
                <w:szCs w:val="22"/>
              </w:rPr>
            </w:pPr>
            <w:r w:rsidRPr="00702DDD">
              <w:rPr>
                <w:rFonts w:ascii="Times New Roman" w:hAnsi="Times New Roman" w:cs="Times New Roman"/>
                <w:sz w:val="22"/>
                <w:szCs w:val="22"/>
              </w:rPr>
              <w:t>30</w:t>
            </w:r>
          </w:p>
        </w:tc>
        <w:tc>
          <w:tcPr>
            <w:tcW w:w="1800" w:type="dxa"/>
            <w:tcBorders>
              <w:right w:val="nil"/>
            </w:tcBorders>
            <w:shd w:val="clear" w:color="auto" w:fill="auto"/>
          </w:tcPr>
          <w:p w14:paraId="56481F2C"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34</w:t>
            </w:r>
          </w:p>
        </w:tc>
        <w:tc>
          <w:tcPr>
            <w:tcW w:w="800" w:type="dxa"/>
            <w:tcBorders>
              <w:left w:val="nil"/>
            </w:tcBorders>
            <w:shd w:val="clear" w:color="auto" w:fill="auto"/>
          </w:tcPr>
          <w:p w14:paraId="27E0C097"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r>
      <w:tr w:rsidR="00C016E8" w:rsidRPr="00702DDD" w14:paraId="67C71EDA" w14:textId="77777777" w:rsidTr="00E83386">
        <w:trPr>
          <w:trHeight w:val="280"/>
        </w:trPr>
        <w:tc>
          <w:tcPr>
            <w:tcW w:w="1460" w:type="dxa"/>
            <w:shd w:val="clear" w:color="auto" w:fill="auto"/>
          </w:tcPr>
          <w:p w14:paraId="345E3E61"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Coffee</w:t>
            </w:r>
          </w:p>
        </w:tc>
        <w:tc>
          <w:tcPr>
            <w:tcW w:w="1140" w:type="dxa"/>
            <w:tcBorders>
              <w:right w:val="nil"/>
            </w:tcBorders>
            <w:shd w:val="clear" w:color="auto" w:fill="auto"/>
          </w:tcPr>
          <w:p w14:paraId="1E8BCBB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52,325</w:t>
            </w:r>
          </w:p>
        </w:tc>
        <w:tc>
          <w:tcPr>
            <w:tcW w:w="1300" w:type="dxa"/>
            <w:tcBorders>
              <w:left w:val="nil"/>
            </w:tcBorders>
            <w:shd w:val="clear" w:color="auto" w:fill="auto"/>
          </w:tcPr>
          <w:p w14:paraId="7412A8A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c>
          <w:tcPr>
            <w:tcW w:w="1520" w:type="dxa"/>
            <w:tcBorders>
              <w:right w:val="nil"/>
            </w:tcBorders>
            <w:shd w:val="clear" w:color="auto" w:fill="auto"/>
          </w:tcPr>
          <w:p w14:paraId="0ADC2C7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0.78</w:t>
            </w:r>
          </w:p>
        </w:tc>
        <w:tc>
          <w:tcPr>
            <w:tcW w:w="1080" w:type="dxa"/>
            <w:tcBorders>
              <w:left w:val="nil"/>
            </w:tcBorders>
            <w:shd w:val="clear" w:color="auto" w:fill="auto"/>
          </w:tcPr>
          <w:p w14:paraId="3BA19995"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c>
          <w:tcPr>
            <w:tcW w:w="1800" w:type="dxa"/>
            <w:tcBorders>
              <w:right w:val="nil"/>
            </w:tcBorders>
            <w:shd w:val="clear" w:color="auto" w:fill="auto"/>
          </w:tcPr>
          <w:p w14:paraId="418DBB40"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50.2</w:t>
            </w:r>
          </w:p>
        </w:tc>
        <w:tc>
          <w:tcPr>
            <w:tcW w:w="800" w:type="dxa"/>
            <w:tcBorders>
              <w:left w:val="nil"/>
            </w:tcBorders>
            <w:shd w:val="clear" w:color="auto" w:fill="auto"/>
          </w:tcPr>
          <w:p w14:paraId="7555631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r>
      <w:tr w:rsidR="00C016E8" w:rsidRPr="00702DDD" w14:paraId="2B9034C5" w14:textId="77777777" w:rsidTr="00E83386">
        <w:trPr>
          <w:trHeight w:val="280"/>
        </w:trPr>
        <w:tc>
          <w:tcPr>
            <w:tcW w:w="1460" w:type="dxa"/>
            <w:shd w:val="clear" w:color="auto" w:fill="auto"/>
          </w:tcPr>
          <w:p w14:paraId="5CF785B5"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Crockett</w:t>
            </w:r>
          </w:p>
        </w:tc>
        <w:tc>
          <w:tcPr>
            <w:tcW w:w="1140" w:type="dxa"/>
            <w:tcBorders>
              <w:right w:val="nil"/>
            </w:tcBorders>
            <w:shd w:val="clear" w:color="auto" w:fill="auto"/>
          </w:tcPr>
          <w:p w14:paraId="1ED15BE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46,470</w:t>
            </w:r>
          </w:p>
        </w:tc>
        <w:tc>
          <w:tcPr>
            <w:tcW w:w="1300" w:type="dxa"/>
            <w:tcBorders>
              <w:left w:val="nil"/>
            </w:tcBorders>
            <w:shd w:val="clear" w:color="auto" w:fill="auto"/>
          </w:tcPr>
          <w:p w14:paraId="60BF7D04"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c>
          <w:tcPr>
            <w:tcW w:w="1520" w:type="dxa"/>
            <w:tcBorders>
              <w:right w:val="nil"/>
            </w:tcBorders>
            <w:shd w:val="clear" w:color="auto" w:fill="auto"/>
          </w:tcPr>
          <w:p w14:paraId="2D2BE2F6"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0.75</w:t>
            </w:r>
          </w:p>
        </w:tc>
        <w:tc>
          <w:tcPr>
            <w:tcW w:w="1080" w:type="dxa"/>
            <w:tcBorders>
              <w:left w:val="nil"/>
            </w:tcBorders>
            <w:shd w:val="clear" w:color="auto" w:fill="auto"/>
          </w:tcPr>
          <w:p w14:paraId="07AECF69"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c>
          <w:tcPr>
            <w:tcW w:w="1800" w:type="dxa"/>
            <w:tcBorders>
              <w:right w:val="nil"/>
            </w:tcBorders>
            <w:shd w:val="clear" w:color="auto" w:fill="auto"/>
          </w:tcPr>
          <w:p w14:paraId="5857B30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43.8</w:t>
            </w:r>
          </w:p>
        </w:tc>
        <w:tc>
          <w:tcPr>
            <w:tcW w:w="800" w:type="dxa"/>
            <w:tcBorders>
              <w:left w:val="nil"/>
            </w:tcBorders>
            <w:shd w:val="clear" w:color="auto" w:fill="auto"/>
          </w:tcPr>
          <w:p w14:paraId="377C031D"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r>
      <w:tr w:rsidR="00C016E8" w:rsidRPr="00702DDD" w14:paraId="768D7949" w14:textId="77777777" w:rsidTr="00E83386">
        <w:trPr>
          <w:trHeight w:val="280"/>
        </w:trPr>
        <w:tc>
          <w:tcPr>
            <w:tcW w:w="1460" w:type="dxa"/>
            <w:shd w:val="clear" w:color="auto" w:fill="auto"/>
          </w:tcPr>
          <w:p w14:paraId="56453D1C"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Cumberland</w:t>
            </w:r>
          </w:p>
        </w:tc>
        <w:tc>
          <w:tcPr>
            <w:tcW w:w="1140" w:type="dxa"/>
            <w:tcBorders>
              <w:right w:val="nil"/>
            </w:tcBorders>
            <w:shd w:val="clear" w:color="auto" w:fill="auto"/>
          </w:tcPr>
          <w:p w14:paraId="3946495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47,760</w:t>
            </w:r>
          </w:p>
        </w:tc>
        <w:tc>
          <w:tcPr>
            <w:tcW w:w="1300" w:type="dxa"/>
            <w:tcBorders>
              <w:left w:val="nil"/>
            </w:tcBorders>
            <w:shd w:val="clear" w:color="auto" w:fill="auto"/>
          </w:tcPr>
          <w:p w14:paraId="587782B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c>
          <w:tcPr>
            <w:tcW w:w="1520" w:type="dxa"/>
            <w:tcBorders>
              <w:right w:val="nil"/>
            </w:tcBorders>
            <w:shd w:val="clear" w:color="auto" w:fill="auto"/>
          </w:tcPr>
          <w:p w14:paraId="7BDE7B98"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0.83</w:t>
            </w:r>
          </w:p>
        </w:tc>
        <w:tc>
          <w:tcPr>
            <w:tcW w:w="1080" w:type="dxa"/>
            <w:tcBorders>
              <w:left w:val="nil"/>
            </w:tcBorders>
            <w:shd w:val="clear" w:color="auto" w:fill="auto"/>
          </w:tcPr>
          <w:p w14:paraId="2138839C"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40</w:t>
            </w:r>
          </w:p>
        </w:tc>
        <w:tc>
          <w:tcPr>
            <w:tcW w:w="1800" w:type="dxa"/>
            <w:tcBorders>
              <w:right w:val="nil"/>
            </w:tcBorders>
            <w:shd w:val="clear" w:color="auto" w:fill="auto"/>
          </w:tcPr>
          <w:p w14:paraId="101DC83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44.4</w:t>
            </w:r>
          </w:p>
        </w:tc>
        <w:tc>
          <w:tcPr>
            <w:tcW w:w="800" w:type="dxa"/>
            <w:tcBorders>
              <w:left w:val="nil"/>
            </w:tcBorders>
            <w:shd w:val="clear" w:color="auto" w:fill="auto"/>
          </w:tcPr>
          <w:p w14:paraId="6196F04C"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r>
      <w:tr w:rsidR="00C016E8" w:rsidRPr="00702DDD" w14:paraId="54A675CE" w14:textId="77777777" w:rsidTr="00E83386">
        <w:trPr>
          <w:trHeight w:val="280"/>
        </w:trPr>
        <w:tc>
          <w:tcPr>
            <w:tcW w:w="1460" w:type="dxa"/>
            <w:shd w:val="clear" w:color="auto" w:fill="auto"/>
          </w:tcPr>
          <w:p w14:paraId="2C72D204"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Davidson</w:t>
            </w:r>
          </w:p>
        </w:tc>
        <w:tc>
          <w:tcPr>
            <w:tcW w:w="1140" w:type="dxa"/>
            <w:tcBorders>
              <w:right w:val="nil"/>
            </w:tcBorders>
            <w:shd w:val="clear" w:color="auto" w:fill="auto"/>
          </w:tcPr>
          <w:p w14:paraId="4BEFBDE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62,756</w:t>
            </w:r>
          </w:p>
        </w:tc>
        <w:tc>
          <w:tcPr>
            <w:tcW w:w="1300" w:type="dxa"/>
            <w:tcBorders>
              <w:left w:val="nil"/>
            </w:tcBorders>
            <w:shd w:val="clear" w:color="auto" w:fill="auto"/>
          </w:tcPr>
          <w:p w14:paraId="4754B6E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c>
          <w:tcPr>
            <w:tcW w:w="1520" w:type="dxa"/>
            <w:tcBorders>
              <w:right w:val="nil"/>
            </w:tcBorders>
            <w:shd w:val="clear" w:color="auto" w:fill="auto"/>
          </w:tcPr>
          <w:p w14:paraId="17F8DAE3"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1.99</w:t>
            </w:r>
          </w:p>
        </w:tc>
        <w:tc>
          <w:tcPr>
            <w:tcW w:w="1080" w:type="dxa"/>
            <w:tcBorders>
              <w:left w:val="nil"/>
            </w:tcBorders>
            <w:shd w:val="clear" w:color="auto" w:fill="auto"/>
          </w:tcPr>
          <w:p w14:paraId="40F207B0"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100</w:t>
            </w:r>
          </w:p>
        </w:tc>
        <w:tc>
          <w:tcPr>
            <w:tcW w:w="1800" w:type="dxa"/>
            <w:tcBorders>
              <w:right w:val="nil"/>
            </w:tcBorders>
            <w:shd w:val="clear" w:color="auto" w:fill="auto"/>
          </w:tcPr>
          <w:p w14:paraId="201DC0E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62.4</w:t>
            </w:r>
          </w:p>
        </w:tc>
        <w:tc>
          <w:tcPr>
            <w:tcW w:w="800" w:type="dxa"/>
            <w:tcBorders>
              <w:left w:val="nil"/>
            </w:tcBorders>
            <w:shd w:val="clear" w:color="auto" w:fill="auto"/>
          </w:tcPr>
          <w:p w14:paraId="307D5EB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90</w:t>
            </w:r>
          </w:p>
        </w:tc>
      </w:tr>
      <w:tr w:rsidR="00C016E8" w:rsidRPr="00702DDD" w14:paraId="6B5BD123" w14:textId="77777777" w:rsidTr="00E83386">
        <w:trPr>
          <w:trHeight w:val="280"/>
        </w:trPr>
        <w:tc>
          <w:tcPr>
            <w:tcW w:w="1460" w:type="dxa"/>
            <w:shd w:val="clear" w:color="auto" w:fill="auto"/>
          </w:tcPr>
          <w:p w14:paraId="110240F2"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Decatur</w:t>
            </w:r>
          </w:p>
        </w:tc>
        <w:tc>
          <w:tcPr>
            <w:tcW w:w="1140" w:type="dxa"/>
            <w:tcBorders>
              <w:right w:val="nil"/>
            </w:tcBorders>
            <w:shd w:val="clear" w:color="auto" w:fill="auto"/>
          </w:tcPr>
          <w:p w14:paraId="1E8246F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43,679</w:t>
            </w:r>
          </w:p>
        </w:tc>
        <w:tc>
          <w:tcPr>
            <w:tcW w:w="1300" w:type="dxa"/>
            <w:tcBorders>
              <w:left w:val="nil"/>
            </w:tcBorders>
            <w:shd w:val="clear" w:color="auto" w:fill="auto"/>
          </w:tcPr>
          <w:p w14:paraId="06E9AE1B" w14:textId="77777777" w:rsidR="00C016E8" w:rsidRPr="00702DDD" w:rsidRDefault="00C016E8" w:rsidP="00E83386">
            <w:pPr>
              <w:pBdr>
                <w:top w:val="nil"/>
                <w:left w:val="nil"/>
                <w:bottom w:val="nil"/>
                <w:right w:val="nil"/>
                <w:between w:val="nil"/>
              </w:pBdr>
              <w:jc w:val="center"/>
              <w:rPr>
                <w:rFonts w:ascii="Times New Roman" w:hAnsi="Times New Roman" w:cs="Times New Roman"/>
                <w:sz w:val="22"/>
                <w:szCs w:val="22"/>
              </w:rPr>
            </w:pPr>
            <w:r w:rsidRPr="00702DDD">
              <w:rPr>
                <w:rFonts w:ascii="Times New Roman" w:hAnsi="Times New Roman" w:cs="Times New Roman"/>
                <w:sz w:val="22"/>
                <w:szCs w:val="22"/>
              </w:rPr>
              <w:t>30</w:t>
            </w:r>
          </w:p>
        </w:tc>
        <w:tc>
          <w:tcPr>
            <w:tcW w:w="1520" w:type="dxa"/>
            <w:tcBorders>
              <w:right w:val="nil"/>
            </w:tcBorders>
            <w:shd w:val="clear" w:color="auto" w:fill="auto"/>
          </w:tcPr>
          <w:p w14:paraId="4DC8E7A6"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0.97</w:t>
            </w:r>
          </w:p>
        </w:tc>
        <w:tc>
          <w:tcPr>
            <w:tcW w:w="1080" w:type="dxa"/>
            <w:tcBorders>
              <w:left w:val="nil"/>
            </w:tcBorders>
            <w:shd w:val="clear" w:color="auto" w:fill="auto"/>
          </w:tcPr>
          <w:p w14:paraId="2F6B9AB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c>
          <w:tcPr>
            <w:tcW w:w="1800" w:type="dxa"/>
            <w:tcBorders>
              <w:right w:val="nil"/>
            </w:tcBorders>
            <w:shd w:val="clear" w:color="auto" w:fill="auto"/>
          </w:tcPr>
          <w:p w14:paraId="4E1BC01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36.8</w:t>
            </w:r>
          </w:p>
        </w:tc>
        <w:tc>
          <w:tcPr>
            <w:tcW w:w="800" w:type="dxa"/>
            <w:tcBorders>
              <w:left w:val="nil"/>
            </w:tcBorders>
            <w:shd w:val="clear" w:color="auto" w:fill="auto"/>
          </w:tcPr>
          <w:p w14:paraId="19A50920"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30</w:t>
            </w:r>
          </w:p>
        </w:tc>
      </w:tr>
      <w:tr w:rsidR="00C016E8" w:rsidRPr="00702DDD" w14:paraId="426539C0" w14:textId="77777777" w:rsidTr="00E83386">
        <w:trPr>
          <w:trHeight w:val="280"/>
        </w:trPr>
        <w:tc>
          <w:tcPr>
            <w:tcW w:w="1460" w:type="dxa"/>
            <w:shd w:val="clear" w:color="auto" w:fill="auto"/>
          </w:tcPr>
          <w:p w14:paraId="3C73149D"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DeKalb</w:t>
            </w:r>
          </w:p>
        </w:tc>
        <w:tc>
          <w:tcPr>
            <w:tcW w:w="1140" w:type="dxa"/>
            <w:tcBorders>
              <w:right w:val="nil"/>
            </w:tcBorders>
            <w:shd w:val="clear" w:color="auto" w:fill="auto"/>
          </w:tcPr>
          <w:p w14:paraId="25EAB04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47,296</w:t>
            </w:r>
          </w:p>
        </w:tc>
        <w:tc>
          <w:tcPr>
            <w:tcW w:w="1300" w:type="dxa"/>
            <w:tcBorders>
              <w:left w:val="nil"/>
            </w:tcBorders>
            <w:shd w:val="clear" w:color="auto" w:fill="auto"/>
          </w:tcPr>
          <w:p w14:paraId="3778E36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c>
          <w:tcPr>
            <w:tcW w:w="1520" w:type="dxa"/>
            <w:tcBorders>
              <w:right w:val="nil"/>
            </w:tcBorders>
            <w:shd w:val="clear" w:color="auto" w:fill="auto"/>
          </w:tcPr>
          <w:p w14:paraId="33B8402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0.87</w:t>
            </w:r>
          </w:p>
        </w:tc>
        <w:tc>
          <w:tcPr>
            <w:tcW w:w="1080" w:type="dxa"/>
            <w:tcBorders>
              <w:left w:val="nil"/>
            </w:tcBorders>
            <w:shd w:val="clear" w:color="auto" w:fill="auto"/>
          </w:tcPr>
          <w:p w14:paraId="3E8112CC"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c>
          <w:tcPr>
            <w:tcW w:w="1800" w:type="dxa"/>
            <w:tcBorders>
              <w:right w:val="nil"/>
            </w:tcBorders>
            <w:shd w:val="clear" w:color="auto" w:fill="auto"/>
          </w:tcPr>
          <w:p w14:paraId="78BAE9A8"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41.7</w:t>
            </w:r>
          </w:p>
        </w:tc>
        <w:tc>
          <w:tcPr>
            <w:tcW w:w="800" w:type="dxa"/>
            <w:tcBorders>
              <w:left w:val="nil"/>
            </w:tcBorders>
            <w:shd w:val="clear" w:color="auto" w:fill="auto"/>
          </w:tcPr>
          <w:p w14:paraId="35A2D229"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40</w:t>
            </w:r>
          </w:p>
        </w:tc>
      </w:tr>
      <w:tr w:rsidR="00C016E8" w:rsidRPr="00702DDD" w14:paraId="1B775530" w14:textId="77777777" w:rsidTr="00E83386">
        <w:trPr>
          <w:trHeight w:val="280"/>
        </w:trPr>
        <w:tc>
          <w:tcPr>
            <w:tcW w:w="1460" w:type="dxa"/>
            <w:shd w:val="clear" w:color="auto" w:fill="auto"/>
          </w:tcPr>
          <w:p w14:paraId="40653FD6"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Dickson</w:t>
            </w:r>
          </w:p>
        </w:tc>
        <w:tc>
          <w:tcPr>
            <w:tcW w:w="1140" w:type="dxa"/>
            <w:tcBorders>
              <w:right w:val="nil"/>
            </w:tcBorders>
            <w:shd w:val="clear" w:color="auto" w:fill="auto"/>
          </w:tcPr>
          <w:p w14:paraId="074EBA5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55,157</w:t>
            </w:r>
          </w:p>
        </w:tc>
        <w:tc>
          <w:tcPr>
            <w:tcW w:w="1300" w:type="dxa"/>
            <w:tcBorders>
              <w:left w:val="nil"/>
            </w:tcBorders>
            <w:shd w:val="clear" w:color="auto" w:fill="auto"/>
          </w:tcPr>
          <w:p w14:paraId="724FDEB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c>
          <w:tcPr>
            <w:tcW w:w="1520" w:type="dxa"/>
            <w:tcBorders>
              <w:right w:val="nil"/>
            </w:tcBorders>
            <w:shd w:val="clear" w:color="auto" w:fill="auto"/>
          </w:tcPr>
          <w:p w14:paraId="7D20126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0.96</w:t>
            </w:r>
          </w:p>
        </w:tc>
        <w:tc>
          <w:tcPr>
            <w:tcW w:w="1080" w:type="dxa"/>
            <w:tcBorders>
              <w:left w:val="nil"/>
            </w:tcBorders>
            <w:shd w:val="clear" w:color="auto" w:fill="auto"/>
          </w:tcPr>
          <w:p w14:paraId="526E15D6"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c>
          <w:tcPr>
            <w:tcW w:w="1800" w:type="dxa"/>
            <w:tcBorders>
              <w:right w:val="nil"/>
            </w:tcBorders>
            <w:shd w:val="clear" w:color="auto" w:fill="auto"/>
          </w:tcPr>
          <w:p w14:paraId="6448A3A8"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54.9</w:t>
            </w:r>
          </w:p>
        </w:tc>
        <w:tc>
          <w:tcPr>
            <w:tcW w:w="800" w:type="dxa"/>
            <w:tcBorders>
              <w:left w:val="nil"/>
            </w:tcBorders>
            <w:shd w:val="clear" w:color="auto" w:fill="auto"/>
          </w:tcPr>
          <w:p w14:paraId="51BB59F8"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r>
      <w:tr w:rsidR="00C016E8" w:rsidRPr="00702DDD" w14:paraId="11A93787" w14:textId="77777777" w:rsidTr="00E83386">
        <w:trPr>
          <w:trHeight w:val="280"/>
        </w:trPr>
        <w:tc>
          <w:tcPr>
            <w:tcW w:w="1460" w:type="dxa"/>
            <w:shd w:val="clear" w:color="auto" w:fill="auto"/>
          </w:tcPr>
          <w:p w14:paraId="4C0BE0F6" w14:textId="3D9DC6E9"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Dyer</w:t>
            </w:r>
          </w:p>
        </w:tc>
        <w:tc>
          <w:tcPr>
            <w:tcW w:w="1140" w:type="dxa"/>
            <w:tcBorders>
              <w:right w:val="nil"/>
            </w:tcBorders>
            <w:shd w:val="clear" w:color="auto" w:fill="auto"/>
          </w:tcPr>
          <w:p w14:paraId="7EC224F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45,918</w:t>
            </w:r>
          </w:p>
        </w:tc>
        <w:tc>
          <w:tcPr>
            <w:tcW w:w="1300" w:type="dxa"/>
            <w:tcBorders>
              <w:left w:val="nil"/>
            </w:tcBorders>
            <w:shd w:val="clear" w:color="auto" w:fill="auto"/>
          </w:tcPr>
          <w:p w14:paraId="79120620"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c>
          <w:tcPr>
            <w:tcW w:w="1520" w:type="dxa"/>
            <w:tcBorders>
              <w:right w:val="nil"/>
            </w:tcBorders>
            <w:shd w:val="clear" w:color="auto" w:fill="auto"/>
          </w:tcPr>
          <w:p w14:paraId="4382028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0.71</w:t>
            </w:r>
          </w:p>
        </w:tc>
        <w:tc>
          <w:tcPr>
            <w:tcW w:w="1080" w:type="dxa"/>
            <w:tcBorders>
              <w:left w:val="nil"/>
            </w:tcBorders>
            <w:shd w:val="clear" w:color="auto" w:fill="auto"/>
          </w:tcPr>
          <w:p w14:paraId="6DA77CC2"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10</w:t>
            </w:r>
          </w:p>
        </w:tc>
        <w:tc>
          <w:tcPr>
            <w:tcW w:w="1800" w:type="dxa"/>
            <w:tcBorders>
              <w:right w:val="nil"/>
            </w:tcBorders>
            <w:shd w:val="clear" w:color="auto" w:fill="auto"/>
          </w:tcPr>
          <w:p w14:paraId="4D6A138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40.9</w:t>
            </w:r>
          </w:p>
        </w:tc>
        <w:tc>
          <w:tcPr>
            <w:tcW w:w="800" w:type="dxa"/>
            <w:tcBorders>
              <w:left w:val="nil"/>
            </w:tcBorders>
            <w:shd w:val="clear" w:color="auto" w:fill="auto"/>
          </w:tcPr>
          <w:p w14:paraId="797B7E4D"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40</w:t>
            </w:r>
          </w:p>
        </w:tc>
      </w:tr>
    </w:tbl>
    <w:p w14:paraId="6694068A" w14:textId="476BB979" w:rsidR="00052BDB" w:rsidRPr="00702DDD" w:rsidRDefault="00052BDB">
      <w:pPr>
        <w:rPr>
          <w:rFonts w:ascii="Times New Roman" w:hAnsi="Times New Roman" w:cs="Times New Roman"/>
        </w:rPr>
      </w:pPr>
    </w:p>
    <w:p w14:paraId="0AB72AE1" w14:textId="2653139A" w:rsidR="00052BDB" w:rsidRPr="00702DDD" w:rsidRDefault="00052BDB">
      <w:pPr>
        <w:rPr>
          <w:rFonts w:ascii="Times New Roman" w:hAnsi="Times New Roman" w:cs="Times New Roman"/>
          <w:b/>
        </w:rPr>
      </w:pPr>
      <w:r w:rsidRPr="00702DDD">
        <w:rPr>
          <w:rFonts w:ascii="Times New Roman" w:hAnsi="Times New Roman" w:cs="Times New Roman"/>
          <w:b/>
        </w:rPr>
        <w:lastRenderedPageBreak/>
        <w:t xml:space="preserve">Table </w:t>
      </w:r>
      <w:r w:rsidR="00C72EA1">
        <w:rPr>
          <w:rFonts w:ascii="Times New Roman" w:hAnsi="Times New Roman" w:cs="Times New Roman"/>
          <w:b/>
        </w:rPr>
        <w:t>2.1:</w:t>
      </w:r>
      <w:r w:rsidRPr="00702DDD">
        <w:rPr>
          <w:rFonts w:ascii="Times New Roman" w:hAnsi="Times New Roman" w:cs="Times New Roman"/>
          <w:b/>
        </w:rPr>
        <w:t xml:space="preserve"> Continued </w:t>
      </w:r>
    </w:p>
    <w:tbl>
      <w:tblPr>
        <w:tblW w:w="91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1460"/>
        <w:gridCol w:w="1140"/>
        <w:gridCol w:w="1300"/>
        <w:gridCol w:w="1520"/>
        <w:gridCol w:w="1080"/>
        <w:gridCol w:w="1800"/>
        <w:gridCol w:w="800"/>
      </w:tblGrid>
      <w:tr w:rsidR="00C016E8" w:rsidRPr="00702DDD" w14:paraId="0047DB2C" w14:textId="77777777" w:rsidTr="00E83386">
        <w:trPr>
          <w:trHeight w:val="280"/>
        </w:trPr>
        <w:tc>
          <w:tcPr>
            <w:tcW w:w="1460" w:type="dxa"/>
            <w:shd w:val="clear" w:color="auto" w:fill="auto"/>
          </w:tcPr>
          <w:p w14:paraId="23C3EAB8" w14:textId="172BBFEF"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Fayette</w:t>
            </w:r>
          </w:p>
        </w:tc>
        <w:tc>
          <w:tcPr>
            <w:tcW w:w="1140" w:type="dxa"/>
            <w:tcBorders>
              <w:right w:val="nil"/>
            </w:tcBorders>
            <w:shd w:val="clear" w:color="auto" w:fill="auto"/>
          </w:tcPr>
          <w:p w14:paraId="2E1062EC"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63,092</w:t>
            </w:r>
          </w:p>
        </w:tc>
        <w:tc>
          <w:tcPr>
            <w:tcW w:w="1300" w:type="dxa"/>
            <w:tcBorders>
              <w:left w:val="nil"/>
            </w:tcBorders>
            <w:shd w:val="clear" w:color="auto" w:fill="auto"/>
          </w:tcPr>
          <w:p w14:paraId="45AFB58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c>
          <w:tcPr>
            <w:tcW w:w="1520" w:type="dxa"/>
            <w:tcBorders>
              <w:right w:val="nil"/>
            </w:tcBorders>
            <w:shd w:val="clear" w:color="auto" w:fill="auto"/>
          </w:tcPr>
          <w:p w14:paraId="00D4B67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0.81</w:t>
            </w:r>
          </w:p>
        </w:tc>
        <w:tc>
          <w:tcPr>
            <w:tcW w:w="1080" w:type="dxa"/>
            <w:tcBorders>
              <w:left w:val="nil"/>
            </w:tcBorders>
            <w:shd w:val="clear" w:color="auto" w:fill="auto"/>
          </w:tcPr>
          <w:p w14:paraId="7B67ED2E"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30</w:t>
            </w:r>
          </w:p>
        </w:tc>
        <w:tc>
          <w:tcPr>
            <w:tcW w:w="1800" w:type="dxa"/>
            <w:tcBorders>
              <w:right w:val="nil"/>
            </w:tcBorders>
            <w:shd w:val="clear" w:color="auto" w:fill="auto"/>
          </w:tcPr>
          <w:p w14:paraId="5D02FFA3"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52.8</w:t>
            </w:r>
          </w:p>
        </w:tc>
        <w:tc>
          <w:tcPr>
            <w:tcW w:w="800" w:type="dxa"/>
            <w:tcBorders>
              <w:left w:val="nil"/>
            </w:tcBorders>
            <w:shd w:val="clear" w:color="auto" w:fill="auto"/>
          </w:tcPr>
          <w:p w14:paraId="5715F43E"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r>
      <w:tr w:rsidR="00C016E8" w:rsidRPr="00702DDD" w14:paraId="4DFB9393" w14:textId="77777777" w:rsidTr="00E83386">
        <w:trPr>
          <w:trHeight w:val="280"/>
        </w:trPr>
        <w:tc>
          <w:tcPr>
            <w:tcW w:w="1460" w:type="dxa"/>
            <w:shd w:val="clear" w:color="auto" w:fill="auto"/>
          </w:tcPr>
          <w:p w14:paraId="5FAFE8FF"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Fentress</w:t>
            </w:r>
          </w:p>
        </w:tc>
        <w:tc>
          <w:tcPr>
            <w:tcW w:w="1140" w:type="dxa"/>
            <w:tcBorders>
              <w:right w:val="nil"/>
            </w:tcBorders>
            <w:shd w:val="clear" w:color="auto" w:fill="auto"/>
          </w:tcPr>
          <w:p w14:paraId="7A8A5973"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37,952</w:t>
            </w:r>
          </w:p>
        </w:tc>
        <w:tc>
          <w:tcPr>
            <w:tcW w:w="1300" w:type="dxa"/>
            <w:tcBorders>
              <w:left w:val="nil"/>
            </w:tcBorders>
            <w:shd w:val="clear" w:color="auto" w:fill="auto"/>
          </w:tcPr>
          <w:p w14:paraId="28967EB3"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10</w:t>
            </w:r>
          </w:p>
        </w:tc>
        <w:tc>
          <w:tcPr>
            <w:tcW w:w="1520" w:type="dxa"/>
            <w:tcBorders>
              <w:right w:val="nil"/>
            </w:tcBorders>
            <w:shd w:val="clear" w:color="auto" w:fill="auto"/>
          </w:tcPr>
          <w:p w14:paraId="30875E7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0.94</w:t>
            </w:r>
          </w:p>
        </w:tc>
        <w:tc>
          <w:tcPr>
            <w:tcW w:w="1080" w:type="dxa"/>
            <w:tcBorders>
              <w:left w:val="nil"/>
            </w:tcBorders>
            <w:shd w:val="clear" w:color="auto" w:fill="auto"/>
          </w:tcPr>
          <w:p w14:paraId="5440A37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c>
          <w:tcPr>
            <w:tcW w:w="1800" w:type="dxa"/>
            <w:tcBorders>
              <w:right w:val="nil"/>
            </w:tcBorders>
            <w:shd w:val="clear" w:color="auto" w:fill="auto"/>
          </w:tcPr>
          <w:p w14:paraId="4ECD20E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35.6</w:t>
            </w:r>
          </w:p>
        </w:tc>
        <w:tc>
          <w:tcPr>
            <w:tcW w:w="800" w:type="dxa"/>
            <w:tcBorders>
              <w:left w:val="nil"/>
            </w:tcBorders>
            <w:shd w:val="clear" w:color="auto" w:fill="auto"/>
          </w:tcPr>
          <w:p w14:paraId="2E74B2C9"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r>
      <w:tr w:rsidR="00C016E8" w:rsidRPr="00702DDD" w14:paraId="232AB207" w14:textId="77777777" w:rsidTr="00E83386">
        <w:trPr>
          <w:trHeight w:val="280"/>
        </w:trPr>
        <w:tc>
          <w:tcPr>
            <w:tcW w:w="1460" w:type="dxa"/>
            <w:shd w:val="clear" w:color="auto" w:fill="auto"/>
          </w:tcPr>
          <w:p w14:paraId="47593DFA"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Franklin</w:t>
            </w:r>
          </w:p>
        </w:tc>
        <w:tc>
          <w:tcPr>
            <w:tcW w:w="1140" w:type="dxa"/>
            <w:tcBorders>
              <w:right w:val="nil"/>
            </w:tcBorders>
            <w:shd w:val="clear" w:color="auto" w:fill="auto"/>
          </w:tcPr>
          <w:p w14:paraId="45AB75E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53,608</w:t>
            </w:r>
          </w:p>
        </w:tc>
        <w:tc>
          <w:tcPr>
            <w:tcW w:w="1300" w:type="dxa"/>
            <w:tcBorders>
              <w:left w:val="nil"/>
            </w:tcBorders>
            <w:shd w:val="clear" w:color="auto" w:fill="auto"/>
          </w:tcPr>
          <w:p w14:paraId="5DD76088"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c>
          <w:tcPr>
            <w:tcW w:w="1520" w:type="dxa"/>
            <w:tcBorders>
              <w:right w:val="nil"/>
            </w:tcBorders>
            <w:shd w:val="clear" w:color="auto" w:fill="auto"/>
          </w:tcPr>
          <w:p w14:paraId="2A9F290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0.84</w:t>
            </w:r>
          </w:p>
        </w:tc>
        <w:tc>
          <w:tcPr>
            <w:tcW w:w="1080" w:type="dxa"/>
            <w:tcBorders>
              <w:left w:val="nil"/>
            </w:tcBorders>
            <w:shd w:val="clear" w:color="auto" w:fill="auto"/>
          </w:tcPr>
          <w:p w14:paraId="36F5F9C3"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40</w:t>
            </w:r>
          </w:p>
        </w:tc>
        <w:tc>
          <w:tcPr>
            <w:tcW w:w="1800" w:type="dxa"/>
            <w:tcBorders>
              <w:right w:val="nil"/>
            </w:tcBorders>
            <w:shd w:val="clear" w:color="auto" w:fill="auto"/>
          </w:tcPr>
          <w:p w14:paraId="157B903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51.8</w:t>
            </w:r>
          </w:p>
        </w:tc>
        <w:tc>
          <w:tcPr>
            <w:tcW w:w="800" w:type="dxa"/>
            <w:tcBorders>
              <w:left w:val="nil"/>
            </w:tcBorders>
            <w:shd w:val="clear" w:color="auto" w:fill="auto"/>
          </w:tcPr>
          <w:p w14:paraId="4058A12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r>
      <w:tr w:rsidR="00C016E8" w:rsidRPr="00702DDD" w14:paraId="5445BDE7" w14:textId="77777777" w:rsidTr="00E83386">
        <w:trPr>
          <w:trHeight w:val="280"/>
        </w:trPr>
        <w:tc>
          <w:tcPr>
            <w:tcW w:w="1460" w:type="dxa"/>
            <w:shd w:val="clear" w:color="auto" w:fill="auto"/>
          </w:tcPr>
          <w:p w14:paraId="37FC891D"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Gibson</w:t>
            </w:r>
          </w:p>
        </w:tc>
        <w:tc>
          <w:tcPr>
            <w:tcW w:w="1140" w:type="dxa"/>
            <w:tcBorders>
              <w:right w:val="nil"/>
            </w:tcBorders>
            <w:shd w:val="clear" w:color="auto" w:fill="auto"/>
          </w:tcPr>
          <w:p w14:paraId="6E24FDD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44,864</w:t>
            </w:r>
          </w:p>
        </w:tc>
        <w:tc>
          <w:tcPr>
            <w:tcW w:w="1300" w:type="dxa"/>
            <w:tcBorders>
              <w:left w:val="nil"/>
            </w:tcBorders>
            <w:shd w:val="clear" w:color="auto" w:fill="auto"/>
          </w:tcPr>
          <w:p w14:paraId="1C2A246D"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40</w:t>
            </w:r>
          </w:p>
        </w:tc>
        <w:tc>
          <w:tcPr>
            <w:tcW w:w="1520" w:type="dxa"/>
            <w:tcBorders>
              <w:right w:val="nil"/>
            </w:tcBorders>
            <w:shd w:val="clear" w:color="auto" w:fill="auto"/>
          </w:tcPr>
          <w:p w14:paraId="17C439D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0.67</w:t>
            </w:r>
          </w:p>
        </w:tc>
        <w:tc>
          <w:tcPr>
            <w:tcW w:w="1080" w:type="dxa"/>
            <w:tcBorders>
              <w:left w:val="nil"/>
            </w:tcBorders>
            <w:shd w:val="clear" w:color="auto" w:fill="auto"/>
          </w:tcPr>
          <w:p w14:paraId="5DEC01E9"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10</w:t>
            </w:r>
          </w:p>
        </w:tc>
        <w:tc>
          <w:tcPr>
            <w:tcW w:w="1800" w:type="dxa"/>
            <w:tcBorders>
              <w:right w:val="nil"/>
            </w:tcBorders>
            <w:shd w:val="clear" w:color="auto" w:fill="auto"/>
          </w:tcPr>
          <w:p w14:paraId="42123DC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42.9</w:t>
            </w:r>
          </w:p>
        </w:tc>
        <w:tc>
          <w:tcPr>
            <w:tcW w:w="800" w:type="dxa"/>
            <w:tcBorders>
              <w:left w:val="nil"/>
            </w:tcBorders>
            <w:shd w:val="clear" w:color="auto" w:fill="auto"/>
          </w:tcPr>
          <w:p w14:paraId="50D9F2D5"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r>
      <w:tr w:rsidR="00C016E8" w:rsidRPr="00702DDD" w14:paraId="16997739" w14:textId="77777777" w:rsidTr="00E83386">
        <w:trPr>
          <w:trHeight w:val="280"/>
        </w:trPr>
        <w:tc>
          <w:tcPr>
            <w:tcW w:w="1460" w:type="dxa"/>
            <w:shd w:val="clear" w:color="auto" w:fill="auto"/>
          </w:tcPr>
          <w:p w14:paraId="12932FAC"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Giles</w:t>
            </w:r>
          </w:p>
        </w:tc>
        <w:tc>
          <w:tcPr>
            <w:tcW w:w="1140" w:type="dxa"/>
            <w:tcBorders>
              <w:right w:val="nil"/>
            </w:tcBorders>
            <w:shd w:val="clear" w:color="auto" w:fill="auto"/>
          </w:tcPr>
          <w:p w14:paraId="33988A6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51,559</w:t>
            </w:r>
          </w:p>
        </w:tc>
        <w:tc>
          <w:tcPr>
            <w:tcW w:w="1300" w:type="dxa"/>
            <w:tcBorders>
              <w:left w:val="nil"/>
            </w:tcBorders>
            <w:shd w:val="clear" w:color="auto" w:fill="auto"/>
          </w:tcPr>
          <w:p w14:paraId="7E02CF6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c>
          <w:tcPr>
            <w:tcW w:w="1520" w:type="dxa"/>
            <w:tcBorders>
              <w:right w:val="nil"/>
            </w:tcBorders>
            <w:shd w:val="clear" w:color="auto" w:fill="auto"/>
          </w:tcPr>
          <w:p w14:paraId="4CDCC7B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0.75</w:t>
            </w:r>
          </w:p>
        </w:tc>
        <w:tc>
          <w:tcPr>
            <w:tcW w:w="1080" w:type="dxa"/>
            <w:tcBorders>
              <w:left w:val="nil"/>
            </w:tcBorders>
            <w:shd w:val="clear" w:color="auto" w:fill="auto"/>
          </w:tcPr>
          <w:p w14:paraId="4CE78596"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c>
          <w:tcPr>
            <w:tcW w:w="1800" w:type="dxa"/>
            <w:tcBorders>
              <w:right w:val="nil"/>
            </w:tcBorders>
            <w:shd w:val="clear" w:color="auto" w:fill="auto"/>
          </w:tcPr>
          <w:p w14:paraId="68FCA2D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49.1</w:t>
            </w:r>
          </w:p>
        </w:tc>
        <w:tc>
          <w:tcPr>
            <w:tcW w:w="800" w:type="dxa"/>
            <w:tcBorders>
              <w:left w:val="nil"/>
            </w:tcBorders>
            <w:shd w:val="clear" w:color="auto" w:fill="auto"/>
          </w:tcPr>
          <w:p w14:paraId="3F00A3D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r>
      <w:tr w:rsidR="00C016E8" w:rsidRPr="00702DDD" w14:paraId="23AD27DE" w14:textId="77777777" w:rsidTr="00E83386">
        <w:trPr>
          <w:trHeight w:val="280"/>
        </w:trPr>
        <w:tc>
          <w:tcPr>
            <w:tcW w:w="1460" w:type="dxa"/>
            <w:shd w:val="clear" w:color="auto" w:fill="auto"/>
          </w:tcPr>
          <w:p w14:paraId="187F8792"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Grainger</w:t>
            </w:r>
          </w:p>
        </w:tc>
        <w:tc>
          <w:tcPr>
            <w:tcW w:w="1140" w:type="dxa"/>
            <w:tcBorders>
              <w:right w:val="nil"/>
            </w:tcBorders>
            <w:shd w:val="clear" w:color="auto" w:fill="auto"/>
          </w:tcPr>
          <w:p w14:paraId="6F80B8E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45,792</w:t>
            </w:r>
          </w:p>
        </w:tc>
        <w:tc>
          <w:tcPr>
            <w:tcW w:w="1300" w:type="dxa"/>
            <w:tcBorders>
              <w:left w:val="nil"/>
            </w:tcBorders>
            <w:shd w:val="clear" w:color="auto" w:fill="auto"/>
          </w:tcPr>
          <w:p w14:paraId="3842D0C9"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c>
          <w:tcPr>
            <w:tcW w:w="1520" w:type="dxa"/>
            <w:tcBorders>
              <w:right w:val="nil"/>
            </w:tcBorders>
            <w:shd w:val="clear" w:color="auto" w:fill="auto"/>
          </w:tcPr>
          <w:p w14:paraId="7650788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w:t>
            </w:r>
          </w:p>
        </w:tc>
        <w:tc>
          <w:tcPr>
            <w:tcW w:w="1080" w:type="dxa"/>
            <w:tcBorders>
              <w:left w:val="nil"/>
            </w:tcBorders>
            <w:shd w:val="clear" w:color="auto" w:fill="auto"/>
          </w:tcPr>
          <w:p w14:paraId="082C8DCA"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30</w:t>
            </w:r>
          </w:p>
        </w:tc>
        <w:tc>
          <w:tcPr>
            <w:tcW w:w="1800" w:type="dxa"/>
            <w:tcBorders>
              <w:right w:val="nil"/>
            </w:tcBorders>
            <w:shd w:val="clear" w:color="auto" w:fill="auto"/>
          </w:tcPr>
          <w:p w14:paraId="3048417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40.6</w:t>
            </w:r>
          </w:p>
        </w:tc>
        <w:tc>
          <w:tcPr>
            <w:tcW w:w="800" w:type="dxa"/>
            <w:tcBorders>
              <w:left w:val="nil"/>
            </w:tcBorders>
            <w:shd w:val="clear" w:color="auto" w:fill="auto"/>
          </w:tcPr>
          <w:p w14:paraId="5F037BB1"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40</w:t>
            </w:r>
          </w:p>
        </w:tc>
      </w:tr>
      <w:tr w:rsidR="00C016E8" w:rsidRPr="00702DDD" w14:paraId="69EBE37F" w14:textId="77777777" w:rsidTr="00E83386">
        <w:trPr>
          <w:trHeight w:val="280"/>
        </w:trPr>
        <w:tc>
          <w:tcPr>
            <w:tcW w:w="1460" w:type="dxa"/>
            <w:shd w:val="clear" w:color="auto" w:fill="auto"/>
          </w:tcPr>
          <w:p w14:paraId="44DF3F13"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Greene</w:t>
            </w:r>
          </w:p>
        </w:tc>
        <w:tc>
          <w:tcPr>
            <w:tcW w:w="1140" w:type="dxa"/>
            <w:tcBorders>
              <w:right w:val="nil"/>
            </w:tcBorders>
            <w:shd w:val="clear" w:color="auto" w:fill="auto"/>
          </w:tcPr>
          <w:p w14:paraId="4383840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44,265</w:t>
            </w:r>
          </w:p>
        </w:tc>
        <w:tc>
          <w:tcPr>
            <w:tcW w:w="1300" w:type="dxa"/>
            <w:tcBorders>
              <w:left w:val="nil"/>
            </w:tcBorders>
            <w:shd w:val="clear" w:color="auto" w:fill="auto"/>
          </w:tcPr>
          <w:p w14:paraId="276E0A38"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40</w:t>
            </w:r>
          </w:p>
        </w:tc>
        <w:tc>
          <w:tcPr>
            <w:tcW w:w="1520" w:type="dxa"/>
            <w:tcBorders>
              <w:right w:val="nil"/>
            </w:tcBorders>
            <w:shd w:val="clear" w:color="auto" w:fill="auto"/>
          </w:tcPr>
          <w:p w14:paraId="438AC6D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0.69</w:t>
            </w:r>
          </w:p>
        </w:tc>
        <w:tc>
          <w:tcPr>
            <w:tcW w:w="1080" w:type="dxa"/>
            <w:tcBorders>
              <w:left w:val="nil"/>
            </w:tcBorders>
            <w:shd w:val="clear" w:color="auto" w:fill="auto"/>
          </w:tcPr>
          <w:p w14:paraId="3DFBA875"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10</w:t>
            </w:r>
          </w:p>
        </w:tc>
        <w:tc>
          <w:tcPr>
            <w:tcW w:w="1800" w:type="dxa"/>
            <w:tcBorders>
              <w:right w:val="nil"/>
            </w:tcBorders>
            <w:shd w:val="clear" w:color="auto" w:fill="auto"/>
          </w:tcPr>
          <w:p w14:paraId="7A7A75B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41.7</w:t>
            </w:r>
          </w:p>
        </w:tc>
        <w:tc>
          <w:tcPr>
            <w:tcW w:w="800" w:type="dxa"/>
            <w:tcBorders>
              <w:left w:val="nil"/>
            </w:tcBorders>
            <w:shd w:val="clear" w:color="auto" w:fill="auto"/>
          </w:tcPr>
          <w:p w14:paraId="47036FFC"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40</w:t>
            </w:r>
          </w:p>
        </w:tc>
      </w:tr>
      <w:tr w:rsidR="00C016E8" w:rsidRPr="00702DDD" w14:paraId="4F411575" w14:textId="77777777" w:rsidTr="00E83386">
        <w:trPr>
          <w:trHeight w:val="280"/>
        </w:trPr>
        <w:tc>
          <w:tcPr>
            <w:tcW w:w="1460" w:type="dxa"/>
            <w:shd w:val="clear" w:color="auto" w:fill="auto"/>
          </w:tcPr>
          <w:p w14:paraId="19836DE2"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Grundy</w:t>
            </w:r>
          </w:p>
        </w:tc>
        <w:tc>
          <w:tcPr>
            <w:tcW w:w="1140" w:type="dxa"/>
            <w:tcBorders>
              <w:right w:val="nil"/>
            </w:tcBorders>
            <w:shd w:val="clear" w:color="auto" w:fill="auto"/>
          </w:tcPr>
          <w:p w14:paraId="621B3C6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42,105</w:t>
            </w:r>
          </w:p>
        </w:tc>
        <w:tc>
          <w:tcPr>
            <w:tcW w:w="1300" w:type="dxa"/>
            <w:tcBorders>
              <w:left w:val="nil"/>
            </w:tcBorders>
            <w:shd w:val="clear" w:color="auto" w:fill="auto"/>
          </w:tcPr>
          <w:p w14:paraId="49E962A8"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c>
          <w:tcPr>
            <w:tcW w:w="1520" w:type="dxa"/>
            <w:tcBorders>
              <w:right w:val="nil"/>
            </w:tcBorders>
            <w:shd w:val="clear" w:color="auto" w:fill="auto"/>
          </w:tcPr>
          <w:p w14:paraId="197AB10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0.82</w:t>
            </w:r>
          </w:p>
        </w:tc>
        <w:tc>
          <w:tcPr>
            <w:tcW w:w="1080" w:type="dxa"/>
            <w:tcBorders>
              <w:left w:val="nil"/>
            </w:tcBorders>
            <w:shd w:val="clear" w:color="auto" w:fill="auto"/>
          </w:tcPr>
          <w:p w14:paraId="12E740C1"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40</w:t>
            </w:r>
          </w:p>
        </w:tc>
        <w:tc>
          <w:tcPr>
            <w:tcW w:w="1800" w:type="dxa"/>
            <w:tcBorders>
              <w:right w:val="nil"/>
            </w:tcBorders>
            <w:shd w:val="clear" w:color="auto" w:fill="auto"/>
          </w:tcPr>
          <w:p w14:paraId="4CABD75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31.8</w:t>
            </w:r>
          </w:p>
        </w:tc>
        <w:tc>
          <w:tcPr>
            <w:tcW w:w="800" w:type="dxa"/>
            <w:tcBorders>
              <w:left w:val="nil"/>
            </w:tcBorders>
            <w:shd w:val="clear" w:color="auto" w:fill="auto"/>
          </w:tcPr>
          <w:p w14:paraId="777143C0"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r>
      <w:tr w:rsidR="00C016E8" w:rsidRPr="00702DDD" w14:paraId="20A97A56" w14:textId="77777777" w:rsidTr="00E83386">
        <w:trPr>
          <w:trHeight w:val="280"/>
        </w:trPr>
        <w:tc>
          <w:tcPr>
            <w:tcW w:w="1460" w:type="dxa"/>
            <w:shd w:val="clear" w:color="auto" w:fill="auto"/>
          </w:tcPr>
          <w:p w14:paraId="0EE11B53"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Hamblen</w:t>
            </w:r>
          </w:p>
        </w:tc>
        <w:tc>
          <w:tcPr>
            <w:tcW w:w="1140" w:type="dxa"/>
            <w:tcBorders>
              <w:right w:val="nil"/>
            </w:tcBorders>
            <w:shd w:val="clear" w:color="auto" w:fill="auto"/>
          </w:tcPr>
          <w:p w14:paraId="6CE1EF4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45,329</w:t>
            </w:r>
          </w:p>
        </w:tc>
        <w:tc>
          <w:tcPr>
            <w:tcW w:w="1300" w:type="dxa"/>
            <w:tcBorders>
              <w:left w:val="nil"/>
            </w:tcBorders>
            <w:shd w:val="clear" w:color="auto" w:fill="auto"/>
          </w:tcPr>
          <w:p w14:paraId="32A481FB" w14:textId="77777777" w:rsidR="00C016E8" w:rsidRPr="00702DDD" w:rsidRDefault="00C016E8" w:rsidP="00E83386">
            <w:pPr>
              <w:pBdr>
                <w:top w:val="nil"/>
                <w:left w:val="nil"/>
                <w:bottom w:val="nil"/>
                <w:right w:val="nil"/>
                <w:between w:val="nil"/>
              </w:pBdr>
              <w:jc w:val="center"/>
              <w:rPr>
                <w:rFonts w:ascii="Times New Roman" w:hAnsi="Times New Roman" w:cs="Times New Roman"/>
                <w:sz w:val="22"/>
                <w:szCs w:val="22"/>
              </w:rPr>
            </w:pPr>
            <w:r w:rsidRPr="00702DDD">
              <w:rPr>
                <w:rFonts w:ascii="Times New Roman" w:hAnsi="Times New Roman" w:cs="Times New Roman"/>
                <w:color w:val="000000"/>
                <w:sz w:val="22"/>
                <w:szCs w:val="22"/>
              </w:rPr>
              <w:t>50</w:t>
            </w:r>
          </w:p>
        </w:tc>
        <w:tc>
          <w:tcPr>
            <w:tcW w:w="1520" w:type="dxa"/>
            <w:tcBorders>
              <w:right w:val="nil"/>
            </w:tcBorders>
            <w:shd w:val="clear" w:color="auto" w:fill="auto"/>
          </w:tcPr>
          <w:p w14:paraId="6C1B4D4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0.71</w:t>
            </w:r>
          </w:p>
        </w:tc>
        <w:tc>
          <w:tcPr>
            <w:tcW w:w="1080" w:type="dxa"/>
            <w:tcBorders>
              <w:left w:val="nil"/>
            </w:tcBorders>
            <w:shd w:val="clear" w:color="auto" w:fill="auto"/>
          </w:tcPr>
          <w:p w14:paraId="6E70877D"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10</w:t>
            </w:r>
          </w:p>
        </w:tc>
        <w:tc>
          <w:tcPr>
            <w:tcW w:w="1800" w:type="dxa"/>
            <w:tcBorders>
              <w:right w:val="nil"/>
            </w:tcBorders>
            <w:shd w:val="clear" w:color="auto" w:fill="auto"/>
          </w:tcPr>
          <w:p w14:paraId="6E0AB96C"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46</w:t>
            </w:r>
          </w:p>
        </w:tc>
        <w:tc>
          <w:tcPr>
            <w:tcW w:w="800" w:type="dxa"/>
            <w:tcBorders>
              <w:left w:val="nil"/>
            </w:tcBorders>
            <w:shd w:val="clear" w:color="auto" w:fill="auto"/>
          </w:tcPr>
          <w:p w14:paraId="2C785D8B"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r>
      <w:tr w:rsidR="00C016E8" w:rsidRPr="00702DDD" w14:paraId="2AB9496D" w14:textId="77777777" w:rsidTr="00E83386">
        <w:trPr>
          <w:trHeight w:val="280"/>
        </w:trPr>
        <w:tc>
          <w:tcPr>
            <w:tcW w:w="1460" w:type="dxa"/>
            <w:shd w:val="clear" w:color="auto" w:fill="auto"/>
          </w:tcPr>
          <w:p w14:paraId="20C6EABE"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Hamilton</w:t>
            </w:r>
          </w:p>
        </w:tc>
        <w:tc>
          <w:tcPr>
            <w:tcW w:w="1140" w:type="dxa"/>
            <w:tcBorders>
              <w:right w:val="nil"/>
            </w:tcBorders>
            <w:shd w:val="clear" w:color="auto" w:fill="auto"/>
          </w:tcPr>
          <w:p w14:paraId="0A28490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57,229</w:t>
            </w:r>
          </w:p>
        </w:tc>
        <w:tc>
          <w:tcPr>
            <w:tcW w:w="1300" w:type="dxa"/>
            <w:tcBorders>
              <w:left w:val="nil"/>
            </w:tcBorders>
            <w:shd w:val="clear" w:color="auto" w:fill="auto"/>
          </w:tcPr>
          <w:p w14:paraId="4686486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c>
          <w:tcPr>
            <w:tcW w:w="1520" w:type="dxa"/>
            <w:tcBorders>
              <w:right w:val="nil"/>
            </w:tcBorders>
            <w:shd w:val="clear" w:color="auto" w:fill="auto"/>
          </w:tcPr>
          <w:p w14:paraId="2893FCAC"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0.82</w:t>
            </w:r>
          </w:p>
        </w:tc>
        <w:tc>
          <w:tcPr>
            <w:tcW w:w="1080" w:type="dxa"/>
            <w:tcBorders>
              <w:left w:val="nil"/>
            </w:tcBorders>
            <w:shd w:val="clear" w:color="auto" w:fill="auto"/>
          </w:tcPr>
          <w:p w14:paraId="50510BE1"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40</w:t>
            </w:r>
          </w:p>
        </w:tc>
        <w:tc>
          <w:tcPr>
            <w:tcW w:w="1800" w:type="dxa"/>
            <w:tcBorders>
              <w:right w:val="nil"/>
            </w:tcBorders>
            <w:shd w:val="clear" w:color="auto" w:fill="auto"/>
          </w:tcPr>
          <w:p w14:paraId="504195D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54.1</w:t>
            </w:r>
          </w:p>
        </w:tc>
        <w:tc>
          <w:tcPr>
            <w:tcW w:w="800" w:type="dxa"/>
            <w:tcBorders>
              <w:left w:val="nil"/>
            </w:tcBorders>
            <w:shd w:val="clear" w:color="auto" w:fill="auto"/>
          </w:tcPr>
          <w:p w14:paraId="7F1D866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r>
      <w:tr w:rsidR="00C016E8" w:rsidRPr="00702DDD" w14:paraId="190480C9" w14:textId="77777777" w:rsidTr="00E83386">
        <w:trPr>
          <w:trHeight w:val="280"/>
        </w:trPr>
        <w:tc>
          <w:tcPr>
            <w:tcW w:w="1460" w:type="dxa"/>
            <w:shd w:val="clear" w:color="auto" w:fill="auto"/>
          </w:tcPr>
          <w:p w14:paraId="21429CC3"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Hancock</w:t>
            </w:r>
          </w:p>
        </w:tc>
        <w:tc>
          <w:tcPr>
            <w:tcW w:w="1140" w:type="dxa"/>
            <w:tcBorders>
              <w:right w:val="nil"/>
            </w:tcBorders>
            <w:shd w:val="clear" w:color="auto" w:fill="auto"/>
          </w:tcPr>
          <w:p w14:paraId="1384A73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31,318</w:t>
            </w:r>
          </w:p>
        </w:tc>
        <w:tc>
          <w:tcPr>
            <w:tcW w:w="1300" w:type="dxa"/>
            <w:tcBorders>
              <w:left w:val="nil"/>
            </w:tcBorders>
            <w:shd w:val="clear" w:color="auto" w:fill="auto"/>
          </w:tcPr>
          <w:p w14:paraId="6310335C"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0</w:t>
            </w:r>
          </w:p>
        </w:tc>
        <w:tc>
          <w:tcPr>
            <w:tcW w:w="1520" w:type="dxa"/>
            <w:tcBorders>
              <w:right w:val="nil"/>
            </w:tcBorders>
            <w:shd w:val="clear" w:color="auto" w:fill="auto"/>
          </w:tcPr>
          <w:p w14:paraId="7F8F41B6"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1.19</w:t>
            </w:r>
          </w:p>
        </w:tc>
        <w:tc>
          <w:tcPr>
            <w:tcW w:w="1080" w:type="dxa"/>
            <w:tcBorders>
              <w:left w:val="nil"/>
            </w:tcBorders>
            <w:shd w:val="clear" w:color="auto" w:fill="auto"/>
          </w:tcPr>
          <w:p w14:paraId="35D8D58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c>
          <w:tcPr>
            <w:tcW w:w="1800" w:type="dxa"/>
            <w:tcBorders>
              <w:right w:val="nil"/>
            </w:tcBorders>
            <w:shd w:val="clear" w:color="auto" w:fill="auto"/>
          </w:tcPr>
          <w:p w14:paraId="5A84AA5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23.2</w:t>
            </w:r>
          </w:p>
        </w:tc>
        <w:tc>
          <w:tcPr>
            <w:tcW w:w="800" w:type="dxa"/>
            <w:tcBorders>
              <w:left w:val="nil"/>
            </w:tcBorders>
            <w:shd w:val="clear" w:color="auto" w:fill="auto"/>
          </w:tcPr>
          <w:p w14:paraId="2E87563F"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10</w:t>
            </w:r>
          </w:p>
        </w:tc>
      </w:tr>
      <w:tr w:rsidR="00C016E8" w:rsidRPr="00702DDD" w14:paraId="75748AD4" w14:textId="77777777" w:rsidTr="00E83386">
        <w:trPr>
          <w:trHeight w:val="280"/>
        </w:trPr>
        <w:tc>
          <w:tcPr>
            <w:tcW w:w="1460" w:type="dxa"/>
            <w:shd w:val="clear" w:color="auto" w:fill="auto"/>
          </w:tcPr>
          <w:p w14:paraId="5CCD66F3"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Hardeman</w:t>
            </w:r>
          </w:p>
        </w:tc>
        <w:tc>
          <w:tcPr>
            <w:tcW w:w="1140" w:type="dxa"/>
            <w:tcBorders>
              <w:right w:val="nil"/>
            </w:tcBorders>
            <w:shd w:val="clear" w:color="auto" w:fill="auto"/>
          </w:tcPr>
          <w:p w14:paraId="4EF3608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41,884</w:t>
            </w:r>
          </w:p>
        </w:tc>
        <w:tc>
          <w:tcPr>
            <w:tcW w:w="1300" w:type="dxa"/>
            <w:tcBorders>
              <w:left w:val="nil"/>
            </w:tcBorders>
            <w:shd w:val="clear" w:color="auto" w:fill="auto"/>
          </w:tcPr>
          <w:p w14:paraId="69CA01BD"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c>
          <w:tcPr>
            <w:tcW w:w="1520" w:type="dxa"/>
            <w:tcBorders>
              <w:right w:val="nil"/>
            </w:tcBorders>
            <w:shd w:val="clear" w:color="auto" w:fill="auto"/>
          </w:tcPr>
          <w:p w14:paraId="05B1977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0.65</w:t>
            </w:r>
          </w:p>
        </w:tc>
        <w:tc>
          <w:tcPr>
            <w:tcW w:w="1080" w:type="dxa"/>
            <w:tcBorders>
              <w:left w:val="nil"/>
            </w:tcBorders>
            <w:shd w:val="clear" w:color="auto" w:fill="auto"/>
          </w:tcPr>
          <w:p w14:paraId="090B6D1F" w14:textId="77777777" w:rsidR="00C016E8" w:rsidRPr="00702DDD" w:rsidRDefault="00C016E8" w:rsidP="00E83386">
            <w:pPr>
              <w:pBdr>
                <w:top w:val="nil"/>
                <w:left w:val="nil"/>
                <w:bottom w:val="nil"/>
                <w:right w:val="nil"/>
                <w:between w:val="nil"/>
              </w:pBdr>
              <w:jc w:val="center"/>
              <w:rPr>
                <w:rFonts w:ascii="Times New Roman" w:hAnsi="Times New Roman" w:cs="Times New Roman"/>
                <w:sz w:val="22"/>
                <w:szCs w:val="22"/>
              </w:rPr>
            </w:pPr>
            <w:r w:rsidRPr="00702DDD">
              <w:rPr>
                <w:rFonts w:ascii="Times New Roman" w:hAnsi="Times New Roman" w:cs="Times New Roman"/>
                <w:sz w:val="22"/>
                <w:szCs w:val="22"/>
              </w:rPr>
              <w:t>10</w:t>
            </w:r>
          </w:p>
        </w:tc>
        <w:tc>
          <w:tcPr>
            <w:tcW w:w="1800" w:type="dxa"/>
            <w:tcBorders>
              <w:right w:val="nil"/>
            </w:tcBorders>
            <w:shd w:val="clear" w:color="auto" w:fill="auto"/>
          </w:tcPr>
          <w:p w14:paraId="1665F20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36.6</w:t>
            </w:r>
          </w:p>
        </w:tc>
        <w:tc>
          <w:tcPr>
            <w:tcW w:w="800" w:type="dxa"/>
            <w:tcBorders>
              <w:left w:val="nil"/>
            </w:tcBorders>
            <w:shd w:val="clear" w:color="auto" w:fill="auto"/>
          </w:tcPr>
          <w:p w14:paraId="600330D0"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30</w:t>
            </w:r>
          </w:p>
        </w:tc>
      </w:tr>
      <w:tr w:rsidR="00C016E8" w:rsidRPr="00702DDD" w14:paraId="10F21C41" w14:textId="77777777" w:rsidTr="00E83386">
        <w:trPr>
          <w:trHeight w:val="280"/>
        </w:trPr>
        <w:tc>
          <w:tcPr>
            <w:tcW w:w="1460" w:type="dxa"/>
            <w:shd w:val="clear" w:color="auto" w:fill="auto"/>
          </w:tcPr>
          <w:p w14:paraId="12FEDD1B"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Hardin</w:t>
            </w:r>
          </w:p>
        </w:tc>
        <w:tc>
          <w:tcPr>
            <w:tcW w:w="1140" w:type="dxa"/>
            <w:tcBorders>
              <w:right w:val="nil"/>
            </w:tcBorders>
            <w:shd w:val="clear" w:color="auto" w:fill="auto"/>
          </w:tcPr>
          <w:p w14:paraId="5675127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42,277</w:t>
            </w:r>
          </w:p>
        </w:tc>
        <w:tc>
          <w:tcPr>
            <w:tcW w:w="1300" w:type="dxa"/>
            <w:tcBorders>
              <w:left w:val="nil"/>
            </w:tcBorders>
            <w:shd w:val="clear" w:color="auto" w:fill="auto"/>
          </w:tcPr>
          <w:p w14:paraId="6452989A"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c>
          <w:tcPr>
            <w:tcW w:w="1520" w:type="dxa"/>
            <w:tcBorders>
              <w:right w:val="nil"/>
            </w:tcBorders>
            <w:shd w:val="clear" w:color="auto" w:fill="auto"/>
          </w:tcPr>
          <w:p w14:paraId="4FB5345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0.85</w:t>
            </w:r>
          </w:p>
        </w:tc>
        <w:tc>
          <w:tcPr>
            <w:tcW w:w="1080" w:type="dxa"/>
            <w:tcBorders>
              <w:left w:val="nil"/>
            </w:tcBorders>
            <w:shd w:val="clear" w:color="auto" w:fill="auto"/>
          </w:tcPr>
          <w:p w14:paraId="75A50899"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c>
          <w:tcPr>
            <w:tcW w:w="1800" w:type="dxa"/>
            <w:tcBorders>
              <w:right w:val="nil"/>
            </w:tcBorders>
            <w:shd w:val="clear" w:color="auto" w:fill="auto"/>
          </w:tcPr>
          <w:p w14:paraId="5747DB7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37.7</w:t>
            </w:r>
          </w:p>
        </w:tc>
        <w:tc>
          <w:tcPr>
            <w:tcW w:w="800" w:type="dxa"/>
            <w:tcBorders>
              <w:left w:val="nil"/>
            </w:tcBorders>
            <w:shd w:val="clear" w:color="auto" w:fill="auto"/>
          </w:tcPr>
          <w:p w14:paraId="7ABBC7EF"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30</w:t>
            </w:r>
          </w:p>
        </w:tc>
      </w:tr>
      <w:tr w:rsidR="00C016E8" w:rsidRPr="00702DDD" w14:paraId="54995811" w14:textId="77777777" w:rsidTr="00E83386">
        <w:trPr>
          <w:trHeight w:val="280"/>
        </w:trPr>
        <w:tc>
          <w:tcPr>
            <w:tcW w:w="1460" w:type="dxa"/>
            <w:shd w:val="clear" w:color="auto" w:fill="auto"/>
          </w:tcPr>
          <w:p w14:paraId="3332A9FA"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Hawkins</w:t>
            </w:r>
          </w:p>
        </w:tc>
        <w:tc>
          <w:tcPr>
            <w:tcW w:w="1140" w:type="dxa"/>
            <w:tcBorders>
              <w:right w:val="nil"/>
            </w:tcBorders>
            <w:shd w:val="clear" w:color="auto" w:fill="auto"/>
          </w:tcPr>
          <w:p w14:paraId="39AFB6C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43,568</w:t>
            </w:r>
          </w:p>
        </w:tc>
        <w:tc>
          <w:tcPr>
            <w:tcW w:w="1300" w:type="dxa"/>
            <w:tcBorders>
              <w:left w:val="nil"/>
            </w:tcBorders>
            <w:shd w:val="clear" w:color="auto" w:fill="auto"/>
          </w:tcPr>
          <w:p w14:paraId="25040421"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30</w:t>
            </w:r>
          </w:p>
        </w:tc>
        <w:tc>
          <w:tcPr>
            <w:tcW w:w="1520" w:type="dxa"/>
            <w:tcBorders>
              <w:right w:val="nil"/>
            </w:tcBorders>
            <w:shd w:val="clear" w:color="auto" w:fill="auto"/>
          </w:tcPr>
          <w:p w14:paraId="261F27E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0.75</w:t>
            </w:r>
          </w:p>
        </w:tc>
        <w:tc>
          <w:tcPr>
            <w:tcW w:w="1080" w:type="dxa"/>
            <w:tcBorders>
              <w:left w:val="nil"/>
            </w:tcBorders>
            <w:shd w:val="clear" w:color="auto" w:fill="auto"/>
          </w:tcPr>
          <w:p w14:paraId="144B82F2"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c>
          <w:tcPr>
            <w:tcW w:w="1800" w:type="dxa"/>
            <w:tcBorders>
              <w:right w:val="nil"/>
            </w:tcBorders>
            <w:shd w:val="clear" w:color="auto" w:fill="auto"/>
          </w:tcPr>
          <w:p w14:paraId="2FEB3B3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39.7</w:t>
            </w:r>
          </w:p>
        </w:tc>
        <w:tc>
          <w:tcPr>
            <w:tcW w:w="800" w:type="dxa"/>
            <w:tcBorders>
              <w:left w:val="nil"/>
            </w:tcBorders>
            <w:shd w:val="clear" w:color="auto" w:fill="auto"/>
          </w:tcPr>
          <w:p w14:paraId="6E4B2A0E"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40</w:t>
            </w:r>
          </w:p>
        </w:tc>
      </w:tr>
      <w:tr w:rsidR="00C016E8" w:rsidRPr="00702DDD" w14:paraId="1A7942DA" w14:textId="77777777" w:rsidTr="00E83386">
        <w:trPr>
          <w:trHeight w:val="280"/>
        </w:trPr>
        <w:tc>
          <w:tcPr>
            <w:tcW w:w="1460" w:type="dxa"/>
            <w:shd w:val="clear" w:color="auto" w:fill="auto"/>
          </w:tcPr>
          <w:p w14:paraId="19D45D1E"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Haywood</w:t>
            </w:r>
          </w:p>
        </w:tc>
        <w:tc>
          <w:tcPr>
            <w:tcW w:w="1140" w:type="dxa"/>
            <w:tcBorders>
              <w:right w:val="nil"/>
            </w:tcBorders>
            <w:shd w:val="clear" w:color="auto" w:fill="auto"/>
          </w:tcPr>
          <w:p w14:paraId="030512AE"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39,391</w:t>
            </w:r>
          </w:p>
        </w:tc>
        <w:tc>
          <w:tcPr>
            <w:tcW w:w="1300" w:type="dxa"/>
            <w:tcBorders>
              <w:left w:val="nil"/>
            </w:tcBorders>
            <w:shd w:val="clear" w:color="auto" w:fill="auto"/>
          </w:tcPr>
          <w:p w14:paraId="74AA5B53"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10</w:t>
            </w:r>
          </w:p>
        </w:tc>
        <w:tc>
          <w:tcPr>
            <w:tcW w:w="1520" w:type="dxa"/>
            <w:tcBorders>
              <w:right w:val="nil"/>
            </w:tcBorders>
            <w:shd w:val="clear" w:color="auto" w:fill="auto"/>
          </w:tcPr>
          <w:p w14:paraId="467E6F3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0.9</w:t>
            </w:r>
          </w:p>
        </w:tc>
        <w:tc>
          <w:tcPr>
            <w:tcW w:w="1080" w:type="dxa"/>
            <w:tcBorders>
              <w:left w:val="nil"/>
            </w:tcBorders>
            <w:shd w:val="clear" w:color="auto" w:fill="auto"/>
          </w:tcPr>
          <w:p w14:paraId="7B7EAA9C"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c>
          <w:tcPr>
            <w:tcW w:w="1800" w:type="dxa"/>
            <w:tcBorders>
              <w:right w:val="nil"/>
            </w:tcBorders>
            <w:shd w:val="clear" w:color="auto" w:fill="auto"/>
          </w:tcPr>
          <w:p w14:paraId="45642400"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32.8</w:t>
            </w:r>
          </w:p>
        </w:tc>
        <w:tc>
          <w:tcPr>
            <w:tcW w:w="800" w:type="dxa"/>
            <w:tcBorders>
              <w:left w:val="nil"/>
            </w:tcBorders>
            <w:shd w:val="clear" w:color="auto" w:fill="auto"/>
          </w:tcPr>
          <w:p w14:paraId="2DC5DB42"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r>
      <w:tr w:rsidR="00C016E8" w:rsidRPr="00702DDD" w14:paraId="488A08C1" w14:textId="77777777" w:rsidTr="00E83386">
        <w:trPr>
          <w:trHeight w:val="280"/>
        </w:trPr>
        <w:tc>
          <w:tcPr>
            <w:tcW w:w="1460" w:type="dxa"/>
            <w:shd w:val="clear" w:color="auto" w:fill="auto"/>
          </w:tcPr>
          <w:p w14:paraId="390670CC"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Henderson</w:t>
            </w:r>
          </w:p>
        </w:tc>
        <w:tc>
          <w:tcPr>
            <w:tcW w:w="1140" w:type="dxa"/>
            <w:tcBorders>
              <w:right w:val="nil"/>
            </w:tcBorders>
            <w:shd w:val="clear" w:color="auto" w:fill="auto"/>
          </w:tcPr>
          <w:p w14:paraId="47222683"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45,003</w:t>
            </w:r>
          </w:p>
        </w:tc>
        <w:tc>
          <w:tcPr>
            <w:tcW w:w="1300" w:type="dxa"/>
            <w:tcBorders>
              <w:left w:val="nil"/>
            </w:tcBorders>
            <w:shd w:val="clear" w:color="auto" w:fill="auto"/>
          </w:tcPr>
          <w:p w14:paraId="042C58B8"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40</w:t>
            </w:r>
          </w:p>
        </w:tc>
        <w:tc>
          <w:tcPr>
            <w:tcW w:w="1520" w:type="dxa"/>
            <w:tcBorders>
              <w:right w:val="nil"/>
            </w:tcBorders>
            <w:shd w:val="clear" w:color="auto" w:fill="auto"/>
          </w:tcPr>
          <w:p w14:paraId="34543840"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0.76</w:t>
            </w:r>
          </w:p>
        </w:tc>
        <w:tc>
          <w:tcPr>
            <w:tcW w:w="1080" w:type="dxa"/>
            <w:tcBorders>
              <w:left w:val="nil"/>
            </w:tcBorders>
            <w:shd w:val="clear" w:color="auto" w:fill="auto"/>
          </w:tcPr>
          <w:p w14:paraId="1DFECBF0"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20</w:t>
            </w:r>
          </w:p>
        </w:tc>
        <w:tc>
          <w:tcPr>
            <w:tcW w:w="1800" w:type="dxa"/>
            <w:tcBorders>
              <w:right w:val="nil"/>
            </w:tcBorders>
            <w:shd w:val="clear" w:color="auto" w:fill="auto"/>
          </w:tcPr>
          <w:p w14:paraId="52E2841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40.6</w:t>
            </w:r>
          </w:p>
        </w:tc>
        <w:tc>
          <w:tcPr>
            <w:tcW w:w="800" w:type="dxa"/>
            <w:tcBorders>
              <w:left w:val="nil"/>
            </w:tcBorders>
            <w:shd w:val="clear" w:color="auto" w:fill="auto"/>
          </w:tcPr>
          <w:p w14:paraId="56F322C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40</w:t>
            </w:r>
          </w:p>
        </w:tc>
      </w:tr>
      <w:tr w:rsidR="00C016E8" w:rsidRPr="00702DDD" w14:paraId="0B0EE8FC" w14:textId="77777777" w:rsidTr="00E83386">
        <w:trPr>
          <w:trHeight w:val="280"/>
        </w:trPr>
        <w:tc>
          <w:tcPr>
            <w:tcW w:w="1460" w:type="dxa"/>
            <w:shd w:val="clear" w:color="auto" w:fill="auto"/>
          </w:tcPr>
          <w:p w14:paraId="727EB37F"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Henry</w:t>
            </w:r>
          </w:p>
        </w:tc>
        <w:tc>
          <w:tcPr>
            <w:tcW w:w="1140" w:type="dxa"/>
            <w:tcBorders>
              <w:right w:val="nil"/>
            </w:tcBorders>
            <w:shd w:val="clear" w:color="auto" w:fill="auto"/>
          </w:tcPr>
          <w:p w14:paraId="01B8F1B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42,090</w:t>
            </w:r>
          </w:p>
        </w:tc>
        <w:tc>
          <w:tcPr>
            <w:tcW w:w="1300" w:type="dxa"/>
            <w:tcBorders>
              <w:left w:val="nil"/>
            </w:tcBorders>
            <w:shd w:val="clear" w:color="auto" w:fill="auto"/>
          </w:tcPr>
          <w:p w14:paraId="2F1EE15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c>
          <w:tcPr>
            <w:tcW w:w="1520" w:type="dxa"/>
            <w:tcBorders>
              <w:right w:val="nil"/>
            </w:tcBorders>
            <w:shd w:val="clear" w:color="auto" w:fill="auto"/>
          </w:tcPr>
          <w:p w14:paraId="4EB8705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0.75</w:t>
            </w:r>
          </w:p>
        </w:tc>
        <w:tc>
          <w:tcPr>
            <w:tcW w:w="1080" w:type="dxa"/>
            <w:tcBorders>
              <w:left w:val="nil"/>
            </w:tcBorders>
            <w:shd w:val="clear" w:color="auto" w:fill="auto"/>
          </w:tcPr>
          <w:p w14:paraId="14BBD736"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c>
          <w:tcPr>
            <w:tcW w:w="1800" w:type="dxa"/>
            <w:tcBorders>
              <w:right w:val="nil"/>
            </w:tcBorders>
            <w:shd w:val="clear" w:color="auto" w:fill="auto"/>
          </w:tcPr>
          <w:p w14:paraId="053BFF46"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38.3</w:t>
            </w:r>
          </w:p>
        </w:tc>
        <w:tc>
          <w:tcPr>
            <w:tcW w:w="800" w:type="dxa"/>
            <w:tcBorders>
              <w:left w:val="nil"/>
            </w:tcBorders>
            <w:shd w:val="clear" w:color="auto" w:fill="auto"/>
          </w:tcPr>
          <w:p w14:paraId="69BCCCE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30</w:t>
            </w:r>
          </w:p>
        </w:tc>
      </w:tr>
      <w:tr w:rsidR="00C016E8" w:rsidRPr="00702DDD" w14:paraId="174244BF" w14:textId="77777777" w:rsidTr="00E83386">
        <w:trPr>
          <w:trHeight w:val="280"/>
        </w:trPr>
        <w:tc>
          <w:tcPr>
            <w:tcW w:w="1460" w:type="dxa"/>
            <w:shd w:val="clear" w:color="auto" w:fill="auto"/>
          </w:tcPr>
          <w:p w14:paraId="560CBE33"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Hickman</w:t>
            </w:r>
          </w:p>
        </w:tc>
        <w:tc>
          <w:tcPr>
            <w:tcW w:w="1140" w:type="dxa"/>
            <w:tcBorders>
              <w:right w:val="nil"/>
            </w:tcBorders>
            <w:shd w:val="clear" w:color="auto" w:fill="auto"/>
          </w:tcPr>
          <w:p w14:paraId="41E97C46"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45,305</w:t>
            </w:r>
          </w:p>
        </w:tc>
        <w:tc>
          <w:tcPr>
            <w:tcW w:w="1300" w:type="dxa"/>
            <w:tcBorders>
              <w:left w:val="nil"/>
            </w:tcBorders>
            <w:shd w:val="clear" w:color="auto" w:fill="auto"/>
          </w:tcPr>
          <w:p w14:paraId="355169C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c>
          <w:tcPr>
            <w:tcW w:w="1520" w:type="dxa"/>
            <w:tcBorders>
              <w:right w:val="nil"/>
            </w:tcBorders>
            <w:shd w:val="clear" w:color="auto" w:fill="auto"/>
          </w:tcPr>
          <w:p w14:paraId="0F54347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0.78</w:t>
            </w:r>
          </w:p>
        </w:tc>
        <w:tc>
          <w:tcPr>
            <w:tcW w:w="1080" w:type="dxa"/>
            <w:tcBorders>
              <w:left w:val="nil"/>
            </w:tcBorders>
            <w:shd w:val="clear" w:color="auto" w:fill="auto"/>
          </w:tcPr>
          <w:p w14:paraId="2C6E6B8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c>
          <w:tcPr>
            <w:tcW w:w="1800" w:type="dxa"/>
            <w:tcBorders>
              <w:right w:val="nil"/>
            </w:tcBorders>
            <w:shd w:val="clear" w:color="auto" w:fill="auto"/>
          </w:tcPr>
          <w:p w14:paraId="2320559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46.9</w:t>
            </w:r>
          </w:p>
        </w:tc>
        <w:tc>
          <w:tcPr>
            <w:tcW w:w="800" w:type="dxa"/>
            <w:tcBorders>
              <w:left w:val="nil"/>
            </w:tcBorders>
            <w:shd w:val="clear" w:color="auto" w:fill="auto"/>
          </w:tcPr>
          <w:p w14:paraId="2A804E2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r>
      <w:tr w:rsidR="00C016E8" w:rsidRPr="00702DDD" w14:paraId="22FB388B" w14:textId="77777777" w:rsidTr="00E83386">
        <w:trPr>
          <w:trHeight w:val="280"/>
        </w:trPr>
        <w:tc>
          <w:tcPr>
            <w:tcW w:w="1460" w:type="dxa"/>
            <w:shd w:val="clear" w:color="auto" w:fill="auto"/>
          </w:tcPr>
          <w:p w14:paraId="6454176B"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Houston</w:t>
            </w:r>
          </w:p>
        </w:tc>
        <w:tc>
          <w:tcPr>
            <w:tcW w:w="1140" w:type="dxa"/>
            <w:tcBorders>
              <w:right w:val="nil"/>
            </w:tcBorders>
            <w:shd w:val="clear" w:color="auto" w:fill="auto"/>
          </w:tcPr>
          <w:p w14:paraId="0913616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44,386</w:t>
            </w:r>
          </w:p>
        </w:tc>
        <w:tc>
          <w:tcPr>
            <w:tcW w:w="1300" w:type="dxa"/>
            <w:tcBorders>
              <w:left w:val="nil"/>
            </w:tcBorders>
            <w:shd w:val="clear" w:color="auto" w:fill="auto"/>
          </w:tcPr>
          <w:p w14:paraId="478B833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40</w:t>
            </w:r>
          </w:p>
        </w:tc>
        <w:tc>
          <w:tcPr>
            <w:tcW w:w="1520" w:type="dxa"/>
            <w:tcBorders>
              <w:right w:val="nil"/>
            </w:tcBorders>
            <w:shd w:val="clear" w:color="auto" w:fill="auto"/>
          </w:tcPr>
          <w:p w14:paraId="4E3642B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0.76</w:t>
            </w:r>
          </w:p>
        </w:tc>
        <w:tc>
          <w:tcPr>
            <w:tcW w:w="1080" w:type="dxa"/>
            <w:tcBorders>
              <w:left w:val="nil"/>
            </w:tcBorders>
            <w:shd w:val="clear" w:color="auto" w:fill="auto"/>
          </w:tcPr>
          <w:p w14:paraId="12AAC0A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c>
          <w:tcPr>
            <w:tcW w:w="1800" w:type="dxa"/>
            <w:tcBorders>
              <w:right w:val="nil"/>
            </w:tcBorders>
            <w:shd w:val="clear" w:color="auto" w:fill="auto"/>
          </w:tcPr>
          <w:p w14:paraId="3BAE5DE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43.9</w:t>
            </w:r>
          </w:p>
        </w:tc>
        <w:tc>
          <w:tcPr>
            <w:tcW w:w="800" w:type="dxa"/>
            <w:tcBorders>
              <w:left w:val="nil"/>
            </w:tcBorders>
            <w:shd w:val="clear" w:color="auto" w:fill="auto"/>
          </w:tcPr>
          <w:p w14:paraId="2B5625F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r>
      <w:tr w:rsidR="00C016E8" w:rsidRPr="00702DDD" w14:paraId="7C7475AE" w14:textId="77777777" w:rsidTr="00E83386">
        <w:trPr>
          <w:trHeight w:val="280"/>
        </w:trPr>
        <w:tc>
          <w:tcPr>
            <w:tcW w:w="1460" w:type="dxa"/>
            <w:shd w:val="clear" w:color="auto" w:fill="auto"/>
          </w:tcPr>
          <w:p w14:paraId="1AB4EEBC"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Humphreys</w:t>
            </w:r>
          </w:p>
        </w:tc>
        <w:tc>
          <w:tcPr>
            <w:tcW w:w="1140" w:type="dxa"/>
            <w:tcBorders>
              <w:right w:val="nil"/>
            </w:tcBorders>
            <w:shd w:val="clear" w:color="auto" w:fill="auto"/>
          </w:tcPr>
          <w:p w14:paraId="2A376BA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47,458</w:t>
            </w:r>
          </w:p>
        </w:tc>
        <w:tc>
          <w:tcPr>
            <w:tcW w:w="1300" w:type="dxa"/>
            <w:tcBorders>
              <w:left w:val="nil"/>
            </w:tcBorders>
            <w:shd w:val="clear" w:color="auto" w:fill="auto"/>
          </w:tcPr>
          <w:p w14:paraId="2B29B8D7" w14:textId="77777777" w:rsidR="00C016E8" w:rsidRPr="00702DDD" w:rsidRDefault="00C016E8" w:rsidP="00E83386">
            <w:pPr>
              <w:pBdr>
                <w:top w:val="nil"/>
                <w:left w:val="nil"/>
                <w:bottom w:val="nil"/>
                <w:right w:val="nil"/>
                <w:between w:val="nil"/>
              </w:pBdr>
              <w:jc w:val="center"/>
              <w:rPr>
                <w:rFonts w:ascii="Times New Roman" w:hAnsi="Times New Roman" w:cs="Times New Roman"/>
                <w:color w:val="000000"/>
                <w:sz w:val="22"/>
                <w:szCs w:val="22"/>
              </w:rPr>
            </w:pPr>
            <w:r w:rsidRPr="00702DDD">
              <w:rPr>
                <w:rFonts w:ascii="Times New Roman" w:hAnsi="Times New Roman" w:cs="Times New Roman"/>
                <w:sz w:val="22"/>
                <w:szCs w:val="22"/>
              </w:rPr>
              <w:t>60</w:t>
            </w:r>
          </w:p>
        </w:tc>
        <w:tc>
          <w:tcPr>
            <w:tcW w:w="1520" w:type="dxa"/>
            <w:tcBorders>
              <w:right w:val="nil"/>
            </w:tcBorders>
            <w:shd w:val="clear" w:color="auto" w:fill="auto"/>
          </w:tcPr>
          <w:p w14:paraId="7AA4DB68"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0.58</w:t>
            </w:r>
          </w:p>
        </w:tc>
        <w:tc>
          <w:tcPr>
            <w:tcW w:w="1080" w:type="dxa"/>
            <w:tcBorders>
              <w:left w:val="nil"/>
            </w:tcBorders>
            <w:shd w:val="clear" w:color="auto" w:fill="auto"/>
          </w:tcPr>
          <w:p w14:paraId="218213A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0</w:t>
            </w:r>
          </w:p>
        </w:tc>
        <w:tc>
          <w:tcPr>
            <w:tcW w:w="1800" w:type="dxa"/>
            <w:tcBorders>
              <w:right w:val="nil"/>
            </w:tcBorders>
            <w:shd w:val="clear" w:color="auto" w:fill="auto"/>
          </w:tcPr>
          <w:p w14:paraId="1639A71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50.4</w:t>
            </w:r>
          </w:p>
        </w:tc>
        <w:tc>
          <w:tcPr>
            <w:tcW w:w="800" w:type="dxa"/>
            <w:tcBorders>
              <w:left w:val="nil"/>
            </w:tcBorders>
            <w:shd w:val="clear" w:color="auto" w:fill="auto"/>
          </w:tcPr>
          <w:p w14:paraId="3CCC15FE"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r>
      <w:tr w:rsidR="00C016E8" w:rsidRPr="00702DDD" w14:paraId="3102FF7C" w14:textId="77777777" w:rsidTr="00E83386">
        <w:trPr>
          <w:trHeight w:val="280"/>
        </w:trPr>
        <w:tc>
          <w:tcPr>
            <w:tcW w:w="1460" w:type="dxa"/>
            <w:shd w:val="clear" w:color="auto" w:fill="auto"/>
          </w:tcPr>
          <w:p w14:paraId="1AD38E32"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Jackson</w:t>
            </w:r>
          </w:p>
        </w:tc>
        <w:tc>
          <w:tcPr>
            <w:tcW w:w="1140" w:type="dxa"/>
            <w:tcBorders>
              <w:right w:val="nil"/>
            </w:tcBorders>
            <w:shd w:val="clear" w:color="auto" w:fill="auto"/>
          </w:tcPr>
          <w:p w14:paraId="4102E2E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36,588</w:t>
            </w:r>
          </w:p>
        </w:tc>
        <w:tc>
          <w:tcPr>
            <w:tcW w:w="1300" w:type="dxa"/>
            <w:tcBorders>
              <w:left w:val="nil"/>
            </w:tcBorders>
            <w:shd w:val="clear" w:color="auto" w:fill="auto"/>
          </w:tcPr>
          <w:p w14:paraId="26C8012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10</w:t>
            </w:r>
          </w:p>
        </w:tc>
        <w:tc>
          <w:tcPr>
            <w:tcW w:w="1520" w:type="dxa"/>
            <w:tcBorders>
              <w:right w:val="nil"/>
            </w:tcBorders>
            <w:shd w:val="clear" w:color="auto" w:fill="auto"/>
          </w:tcPr>
          <w:p w14:paraId="61E1F0D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0.88</w:t>
            </w:r>
          </w:p>
        </w:tc>
        <w:tc>
          <w:tcPr>
            <w:tcW w:w="1080" w:type="dxa"/>
            <w:tcBorders>
              <w:left w:val="nil"/>
            </w:tcBorders>
            <w:shd w:val="clear" w:color="auto" w:fill="auto"/>
          </w:tcPr>
          <w:p w14:paraId="33E14B9C"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c>
          <w:tcPr>
            <w:tcW w:w="1800" w:type="dxa"/>
            <w:tcBorders>
              <w:right w:val="nil"/>
            </w:tcBorders>
            <w:shd w:val="clear" w:color="auto" w:fill="auto"/>
          </w:tcPr>
          <w:p w14:paraId="651E81E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37.8</w:t>
            </w:r>
          </w:p>
        </w:tc>
        <w:tc>
          <w:tcPr>
            <w:tcW w:w="800" w:type="dxa"/>
            <w:tcBorders>
              <w:left w:val="nil"/>
            </w:tcBorders>
            <w:shd w:val="clear" w:color="auto" w:fill="auto"/>
          </w:tcPr>
          <w:p w14:paraId="5E6A59C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30</w:t>
            </w:r>
          </w:p>
        </w:tc>
      </w:tr>
      <w:tr w:rsidR="00C016E8" w:rsidRPr="00702DDD" w14:paraId="34B96B42" w14:textId="77777777" w:rsidTr="00E83386">
        <w:trPr>
          <w:trHeight w:val="280"/>
        </w:trPr>
        <w:tc>
          <w:tcPr>
            <w:tcW w:w="1460" w:type="dxa"/>
            <w:shd w:val="clear" w:color="auto" w:fill="auto"/>
          </w:tcPr>
          <w:p w14:paraId="5B1009DE"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Jefferson</w:t>
            </w:r>
          </w:p>
        </w:tc>
        <w:tc>
          <w:tcPr>
            <w:tcW w:w="1140" w:type="dxa"/>
            <w:tcBorders>
              <w:right w:val="nil"/>
            </w:tcBorders>
            <w:shd w:val="clear" w:color="auto" w:fill="auto"/>
          </w:tcPr>
          <w:p w14:paraId="115770F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51,066</w:t>
            </w:r>
          </w:p>
        </w:tc>
        <w:tc>
          <w:tcPr>
            <w:tcW w:w="1300" w:type="dxa"/>
            <w:tcBorders>
              <w:left w:val="nil"/>
            </w:tcBorders>
            <w:shd w:val="clear" w:color="auto" w:fill="auto"/>
          </w:tcPr>
          <w:p w14:paraId="6295ECC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c>
          <w:tcPr>
            <w:tcW w:w="1520" w:type="dxa"/>
            <w:tcBorders>
              <w:right w:val="nil"/>
            </w:tcBorders>
            <w:shd w:val="clear" w:color="auto" w:fill="auto"/>
          </w:tcPr>
          <w:p w14:paraId="2CAA675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0.87</w:t>
            </w:r>
          </w:p>
        </w:tc>
        <w:tc>
          <w:tcPr>
            <w:tcW w:w="1080" w:type="dxa"/>
            <w:tcBorders>
              <w:left w:val="nil"/>
            </w:tcBorders>
            <w:shd w:val="clear" w:color="auto" w:fill="auto"/>
          </w:tcPr>
          <w:p w14:paraId="204B398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c>
          <w:tcPr>
            <w:tcW w:w="1800" w:type="dxa"/>
            <w:tcBorders>
              <w:right w:val="nil"/>
            </w:tcBorders>
            <w:shd w:val="clear" w:color="auto" w:fill="auto"/>
          </w:tcPr>
          <w:p w14:paraId="00EB412C"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49.5</w:t>
            </w:r>
          </w:p>
        </w:tc>
        <w:tc>
          <w:tcPr>
            <w:tcW w:w="800" w:type="dxa"/>
            <w:tcBorders>
              <w:left w:val="nil"/>
            </w:tcBorders>
            <w:shd w:val="clear" w:color="auto" w:fill="auto"/>
          </w:tcPr>
          <w:p w14:paraId="5C2FE6E3"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r>
      <w:tr w:rsidR="00C016E8" w:rsidRPr="00702DDD" w14:paraId="311250EA" w14:textId="77777777" w:rsidTr="00E83386">
        <w:trPr>
          <w:trHeight w:val="280"/>
        </w:trPr>
        <w:tc>
          <w:tcPr>
            <w:tcW w:w="1460" w:type="dxa"/>
            <w:shd w:val="clear" w:color="auto" w:fill="auto"/>
          </w:tcPr>
          <w:p w14:paraId="48548B48"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Johnson</w:t>
            </w:r>
          </w:p>
        </w:tc>
        <w:tc>
          <w:tcPr>
            <w:tcW w:w="1140" w:type="dxa"/>
            <w:tcBorders>
              <w:right w:val="nil"/>
            </w:tcBorders>
            <w:shd w:val="clear" w:color="auto" w:fill="auto"/>
          </w:tcPr>
          <w:p w14:paraId="6E702DD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37,416</w:t>
            </w:r>
          </w:p>
        </w:tc>
        <w:tc>
          <w:tcPr>
            <w:tcW w:w="1300" w:type="dxa"/>
            <w:tcBorders>
              <w:left w:val="nil"/>
            </w:tcBorders>
            <w:shd w:val="clear" w:color="auto" w:fill="auto"/>
          </w:tcPr>
          <w:p w14:paraId="609C2F8E"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10</w:t>
            </w:r>
          </w:p>
        </w:tc>
        <w:tc>
          <w:tcPr>
            <w:tcW w:w="1520" w:type="dxa"/>
            <w:tcBorders>
              <w:right w:val="nil"/>
            </w:tcBorders>
            <w:shd w:val="clear" w:color="auto" w:fill="auto"/>
          </w:tcPr>
          <w:p w14:paraId="62D9444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0.77</w:t>
            </w:r>
          </w:p>
        </w:tc>
        <w:tc>
          <w:tcPr>
            <w:tcW w:w="1080" w:type="dxa"/>
            <w:tcBorders>
              <w:left w:val="nil"/>
            </w:tcBorders>
            <w:shd w:val="clear" w:color="auto" w:fill="auto"/>
          </w:tcPr>
          <w:p w14:paraId="441E6FD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c>
          <w:tcPr>
            <w:tcW w:w="1800" w:type="dxa"/>
            <w:tcBorders>
              <w:right w:val="nil"/>
            </w:tcBorders>
            <w:shd w:val="clear" w:color="auto" w:fill="auto"/>
          </w:tcPr>
          <w:p w14:paraId="5EB5E046"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35.1</w:t>
            </w:r>
          </w:p>
        </w:tc>
        <w:tc>
          <w:tcPr>
            <w:tcW w:w="800" w:type="dxa"/>
            <w:tcBorders>
              <w:left w:val="nil"/>
            </w:tcBorders>
            <w:shd w:val="clear" w:color="auto" w:fill="auto"/>
          </w:tcPr>
          <w:p w14:paraId="0269D4B8"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r>
      <w:tr w:rsidR="00C016E8" w:rsidRPr="00702DDD" w14:paraId="77941F9E" w14:textId="77777777" w:rsidTr="00E83386">
        <w:trPr>
          <w:trHeight w:val="280"/>
        </w:trPr>
        <w:tc>
          <w:tcPr>
            <w:tcW w:w="1460" w:type="dxa"/>
            <w:shd w:val="clear" w:color="auto" w:fill="auto"/>
          </w:tcPr>
          <w:p w14:paraId="26B6F216"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Knox</w:t>
            </w:r>
          </w:p>
        </w:tc>
        <w:tc>
          <w:tcPr>
            <w:tcW w:w="1140" w:type="dxa"/>
            <w:tcBorders>
              <w:right w:val="nil"/>
            </w:tcBorders>
            <w:shd w:val="clear" w:color="auto" w:fill="auto"/>
          </w:tcPr>
          <w:p w14:paraId="5371EEA3"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59,723</w:t>
            </w:r>
          </w:p>
        </w:tc>
        <w:tc>
          <w:tcPr>
            <w:tcW w:w="1300" w:type="dxa"/>
            <w:tcBorders>
              <w:left w:val="nil"/>
            </w:tcBorders>
            <w:shd w:val="clear" w:color="auto" w:fill="auto"/>
          </w:tcPr>
          <w:p w14:paraId="54DCC95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c>
          <w:tcPr>
            <w:tcW w:w="1520" w:type="dxa"/>
            <w:tcBorders>
              <w:right w:val="nil"/>
            </w:tcBorders>
            <w:shd w:val="clear" w:color="auto" w:fill="auto"/>
          </w:tcPr>
          <w:p w14:paraId="3524FE8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0.86</w:t>
            </w:r>
          </w:p>
        </w:tc>
        <w:tc>
          <w:tcPr>
            <w:tcW w:w="1080" w:type="dxa"/>
            <w:tcBorders>
              <w:left w:val="nil"/>
            </w:tcBorders>
            <w:shd w:val="clear" w:color="auto" w:fill="auto"/>
          </w:tcPr>
          <w:p w14:paraId="674628E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c>
          <w:tcPr>
            <w:tcW w:w="1800" w:type="dxa"/>
            <w:tcBorders>
              <w:right w:val="nil"/>
            </w:tcBorders>
            <w:shd w:val="clear" w:color="auto" w:fill="auto"/>
          </w:tcPr>
          <w:p w14:paraId="099D3E2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56.1</w:t>
            </w:r>
          </w:p>
        </w:tc>
        <w:tc>
          <w:tcPr>
            <w:tcW w:w="800" w:type="dxa"/>
            <w:tcBorders>
              <w:left w:val="nil"/>
            </w:tcBorders>
            <w:shd w:val="clear" w:color="auto" w:fill="auto"/>
          </w:tcPr>
          <w:p w14:paraId="706541A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r>
      <w:tr w:rsidR="00C016E8" w:rsidRPr="00702DDD" w14:paraId="22550CC9" w14:textId="77777777" w:rsidTr="00E83386">
        <w:trPr>
          <w:trHeight w:val="280"/>
        </w:trPr>
        <w:tc>
          <w:tcPr>
            <w:tcW w:w="1460" w:type="dxa"/>
            <w:shd w:val="clear" w:color="auto" w:fill="auto"/>
          </w:tcPr>
          <w:p w14:paraId="088DF819"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Lake</w:t>
            </w:r>
          </w:p>
        </w:tc>
        <w:tc>
          <w:tcPr>
            <w:tcW w:w="1140" w:type="dxa"/>
            <w:tcBorders>
              <w:right w:val="nil"/>
            </w:tcBorders>
            <w:shd w:val="clear" w:color="auto" w:fill="auto"/>
          </w:tcPr>
          <w:p w14:paraId="497388C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36,571</w:t>
            </w:r>
          </w:p>
        </w:tc>
        <w:tc>
          <w:tcPr>
            <w:tcW w:w="1300" w:type="dxa"/>
            <w:tcBorders>
              <w:left w:val="nil"/>
            </w:tcBorders>
            <w:shd w:val="clear" w:color="auto" w:fill="auto"/>
          </w:tcPr>
          <w:p w14:paraId="705264B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10</w:t>
            </w:r>
          </w:p>
        </w:tc>
        <w:tc>
          <w:tcPr>
            <w:tcW w:w="1520" w:type="dxa"/>
            <w:tcBorders>
              <w:right w:val="nil"/>
            </w:tcBorders>
            <w:shd w:val="clear" w:color="auto" w:fill="auto"/>
          </w:tcPr>
          <w:p w14:paraId="23EEFCC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1.09</w:t>
            </w:r>
          </w:p>
        </w:tc>
        <w:tc>
          <w:tcPr>
            <w:tcW w:w="1080" w:type="dxa"/>
            <w:tcBorders>
              <w:left w:val="nil"/>
            </w:tcBorders>
            <w:shd w:val="clear" w:color="auto" w:fill="auto"/>
          </w:tcPr>
          <w:p w14:paraId="2264239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c>
          <w:tcPr>
            <w:tcW w:w="1800" w:type="dxa"/>
            <w:tcBorders>
              <w:right w:val="nil"/>
            </w:tcBorders>
            <w:shd w:val="clear" w:color="auto" w:fill="auto"/>
          </w:tcPr>
          <w:p w14:paraId="76B6A57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10.6</w:t>
            </w:r>
          </w:p>
        </w:tc>
        <w:tc>
          <w:tcPr>
            <w:tcW w:w="800" w:type="dxa"/>
            <w:tcBorders>
              <w:left w:val="nil"/>
            </w:tcBorders>
            <w:shd w:val="clear" w:color="auto" w:fill="auto"/>
          </w:tcPr>
          <w:p w14:paraId="57F6638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0</w:t>
            </w:r>
          </w:p>
        </w:tc>
      </w:tr>
      <w:tr w:rsidR="00C016E8" w:rsidRPr="00702DDD" w14:paraId="6ECCC313" w14:textId="77777777" w:rsidTr="00E83386">
        <w:trPr>
          <w:trHeight w:val="280"/>
        </w:trPr>
        <w:tc>
          <w:tcPr>
            <w:tcW w:w="1460" w:type="dxa"/>
            <w:shd w:val="clear" w:color="auto" w:fill="auto"/>
          </w:tcPr>
          <w:p w14:paraId="33D82D39"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Lauderdale</w:t>
            </w:r>
          </w:p>
        </w:tc>
        <w:tc>
          <w:tcPr>
            <w:tcW w:w="1140" w:type="dxa"/>
            <w:tcBorders>
              <w:right w:val="nil"/>
            </w:tcBorders>
            <w:shd w:val="clear" w:color="auto" w:fill="auto"/>
          </w:tcPr>
          <w:p w14:paraId="074BB203"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41,460</w:t>
            </w:r>
          </w:p>
        </w:tc>
        <w:tc>
          <w:tcPr>
            <w:tcW w:w="1300" w:type="dxa"/>
            <w:tcBorders>
              <w:left w:val="nil"/>
            </w:tcBorders>
            <w:shd w:val="clear" w:color="auto" w:fill="auto"/>
          </w:tcPr>
          <w:p w14:paraId="7DF8C97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c>
          <w:tcPr>
            <w:tcW w:w="1520" w:type="dxa"/>
            <w:tcBorders>
              <w:right w:val="nil"/>
            </w:tcBorders>
            <w:shd w:val="clear" w:color="auto" w:fill="auto"/>
          </w:tcPr>
          <w:p w14:paraId="4C5508A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0.77</w:t>
            </w:r>
          </w:p>
        </w:tc>
        <w:tc>
          <w:tcPr>
            <w:tcW w:w="1080" w:type="dxa"/>
            <w:tcBorders>
              <w:left w:val="nil"/>
            </w:tcBorders>
            <w:shd w:val="clear" w:color="auto" w:fill="auto"/>
          </w:tcPr>
          <w:p w14:paraId="7539102E"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c>
          <w:tcPr>
            <w:tcW w:w="1800" w:type="dxa"/>
            <w:tcBorders>
              <w:right w:val="nil"/>
            </w:tcBorders>
            <w:shd w:val="clear" w:color="auto" w:fill="auto"/>
          </w:tcPr>
          <w:p w14:paraId="292EB30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29</w:t>
            </w:r>
          </w:p>
        </w:tc>
        <w:tc>
          <w:tcPr>
            <w:tcW w:w="800" w:type="dxa"/>
            <w:tcBorders>
              <w:left w:val="nil"/>
            </w:tcBorders>
            <w:shd w:val="clear" w:color="auto" w:fill="auto"/>
          </w:tcPr>
          <w:p w14:paraId="7F976A0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10</w:t>
            </w:r>
          </w:p>
        </w:tc>
      </w:tr>
      <w:tr w:rsidR="00C016E8" w:rsidRPr="00702DDD" w14:paraId="599F4D59" w14:textId="77777777" w:rsidTr="00E83386">
        <w:trPr>
          <w:trHeight w:val="280"/>
        </w:trPr>
        <w:tc>
          <w:tcPr>
            <w:tcW w:w="1460" w:type="dxa"/>
            <w:shd w:val="clear" w:color="auto" w:fill="auto"/>
          </w:tcPr>
          <w:p w14:paraId="40649308"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Lawrence</w:t>
            </w:r>
          </w:p>
        </w:tc>
        <w:tc>
          <w:tcPr>
            <w:tcW w:w="1140" w:type="dxa"/>
            <w:tcBorders>
              <w:right w:val="nil"/>
            </w:tcBorders>
            <w:shd w:val="clear" w:color="auto" w:fill="auto"/>
          </w:tcPr>
          <w:p w14:paraId="6D697FB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45,324</w:t>
            </w:r>
          </w:p>
        </w:tc>
        <w:tc>
          <w:tcPr>
            <w:tcW w:w="1300" w:type="dxa"/>
            <w:tcBorders>
              <w:left w:val="nil"/>
            </w:tcBorders>
            <w:shd w:val="clear" w:color="auto" w:fill="auto"/>
          </w:tcPr>
          <w:p w14:paraId="0356235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50</w:t>
            </w:r>
          </w:p>
        </w:tc>
        <w:tc>
          <w:tcPr>
            <w:tcW w:w="1520" w:type="dxa"/>
            <w:tcBorders>
              <w:right w:val="nil"/>
            </w:tcBorders>
            <w:shd w:val="clear" w:color="auto" w:fill="auto"/>
          </w:tcPr>
          <w:p w14:paraId="1A979F7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0.91</w:t>
            </w:r>
          </w:p>
        </w:tc>
        <w:tc>
          <w:tcPr>
            <w:tcW w:w="1080" w:type="dxa"/>
            <w:tcBorders>
              <w:left w:val="nil"/>
            </w:tcBorders>
            <w:shd w:val="clear" w:color="auto" w:fill="auto"/>
          </w:tcPr>
          <w:p w14:paraId="45CE968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60</w:t>
            </w:r>
          </w:p>
        </w:tc>
        <w:tc>
          <w:tcPr>
            <w:tcW w:w="1800" w:type="dxa"/>
            <w:tcBorders>
              <w:right w:val="nil"/>
            </w:tcBorders>
            <w:shd w:val="clear" w:color="auto" w:fill="auto"/>
          </w:tcPr>
          <w:p w14:paraId="2171157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44.3</w:t>
            </w:r>
          </w:p>
        </w:tc>
        <w:tc>
          <w:tcPr>
            <w:tcW w:w="800" w:type="dxa"/>
            <w:tcBorders>
              <w:left w:val="nil"/>
            </w:tcBorders>
            <w:shd w:val="clear" w:color="auto" w:fill="auto"/>
          </w:tcPr>
          <w:p w14:paraId="0A50D24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50</w:t>
            </w:r>
          </w:p>
        </w:tc>
      </w:tr>
      <w:tr w:rsidR="00C016E8" w:rsidRPr="00702DDD" w14:paraId="5113EB1F" w14:textId="77777777" w:rsidTr="00E83386">
        <w:trPr>
          <w:trHeight w:val="280"/>
        </w:trPr>
        <w:tc>
          <w:tcPr>
            <w:tcW w:w="1460" w:type="dxa"/>
            <w:shd w:val="clear" w:color="auto" w:fill="auto"/>
          </w:tcPr>
          <w:p w14:paraId="4F673695"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Lewis</w:t>
            </w:r>
          </w:p>
        </w:tc>
        <w:tc>
          <w:tcPr>
            <w:tcW w:w="1140" w:type="dxa"/>
            <w:tcBorders>
              <w:right w:val="nil"/>
            </w:tcBorders>
            <w:shd w:val="clear" w:color="auto" w:fill="auto"/>
          </w:tcPr>
          <w:p w14:paraId="45A5D78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38,739</w:t>
            </w:r>
          </w:p>
        </w:tc>
        <w:tc>
          <w:tcPr>
            <w:tcW w:w="1300" w:type="dxa"/>
            <w:tcBorders>
              <w:left w:val="nil"/>
            </w:tcBorders>
            <w:shd w:val="clear" w:color="auto" w:fill="auto"/>
          </w:tcPr>
          <w:p w14:paraId="064966D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10</w:t>
            </w:r>
          </w:p>
        </w:tc>
        <w:tc>
          <w:tcPr>
            <w:tcW w:w="1520" w:type="dxa"/>
            <w:tcBorders>
              <w:right w:val="nil"/>
            </w:tcBorders>
            <w:shd w:val="clear" w:color="auto" w:fill="auto"/>
          </w:tcPr>
          <w:p w14:paraId="48FB7DC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0.77</w:t>
            </w:r>
          </w:p>
        </w:tc>
        <w:tc>
          <w:tcPr>
            <w:tcW w:w="1080" w:type="dxa"/>
            <w:tcBorders>
              <w:left w:val="nil"/>
            </w:tcBorders>
            <w:shd w:val="clear" w:color="auto" w:fill="auto"/>
          </w:tcPr>
          <w:p w14:paraId="731436A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c>
          <w:tcPr>
            <w:tcW w:w="1800" w:type="dxa"/>
            <w:tcBorders>
              <w:right w:val="nil"/>
            </w:tcBorders>
            <w:shd w:val="clear" w:color="auto" w:fill="auto"/>
          </w:tcPr>
          <w:p w14:paraId="69822AF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38.6</w:t>
            </w:r>
          </w:p>
        </w:tc>
        <w:tc>
          <w:tcPr>
            <w:tcW w:w="800" w:type="dxa"/>
            <w:tcBorders>
              <w:left w:val="nil"/>
            </w:tcBorders>
            <w:shd w:val="clear" w:color="auto" w:fill="auto"/>
          </w:tcPr>
          <w:p w14:paraId="41B8294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30</w:t>
            </w:r>
          </w:p>
        </w:tc>
      </w:tr>
      <w:tr w:rsidR="00C016E8" w:rsidRPr="00702DDD" w14:paraId="3CA17C83" w14:textId="77777777" w:rsidTr="00E83386">
        <w:trPr>
          <w:trHeight w:val="280"/>
        </w:trPr>
        <w:tc>
          <w:tcPr>
            <w:tcW w:w="1460" w:type="dxa"/>
            <w:shd w:val="clear" w:color="auto" w:fill="auto"/>
          </w:tcPr>
          <w:p w14:paraId="042FE0CD"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Lincoln</w:t>
            </w:r>
          </w:p>
        </w:tc>
        <w:tc>
          <w:tcPr>
            <w:tcW w:w="1140" w:type="dxa"/>
            <w:tcBorders>
              <w:right w:val="nil"/>
            </w:tcBorders>
            <w:shd w:val="clear" w:color="auto" w:fill="auto"/>
          </w:tcPr>
          <w:p w14:paraId="3BCFD876"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51,425</w:t>
            </w:r>
          </w:p>
        </w:tc>
        <w:tc>
          <w:tcPr>
            <w:tcW w:w="1300" w:type="dxa"/>
            <w:tcBorders>
              <w:left w:val="nil"/>
            </w:tcBorders>
            <w:shd w:val="clear" w:color="auto" w:fill="auto"/>
          </w:tcPr>
          <w:p w14:paraId="2FB0055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c>
          <w:tcPr>
            <w:tcW w:w="1520" w:type="dxa"/>
            <w:tcBorders>
              <w:right w:val="nil"/>
            </w:tcBorders>
            <w:shd w:val="clear" w:color="auto" w:fill="auto"/>
          </w:tcPr>
          <w:p w14:paraId="0ECA296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0.9</w:t>
            </w:r>
          </w:p>
        </w:tc>
        <w:tc>
          <w:tcPr>
            <w:tcW w:w="1080" w:type="dxa"/>
            <w:tcBorders>
              <w:left w:val="nil"/>
            </w:tcBorders>
            <w:shd w:val="clear" w:color="auto" w:fill="auto"/>
          </w:tcPr>
          <w:p w14:paraId="7CA3613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c>
          <w:tcPr>
            <w:tcW w:w="1800" w:type="dxa"/>
            <w:tcBorders>
              <w:right w:val="nil"/>
            </w:tcBorders>
            <w:shd w:val="clear" w:color="auto" w:fill="auto"/>
          </w:tcPr>
          <w:p w14:paraId="22D513B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48.4</w:t>
            </w:r>
          </w:p>
        </w:tc>
        <w:tc>
          <w:tcPr>
            <w:tcW w:w="800" w:type="dxa"/>
            <w:tcBorders>
              <w:left w:val="nil"/>
            </w:tcBorders>
            <w:shd w:val="clear" w:color="auto" w:fill="auto"/>
          </w:tcPr>
          <w:p w14:paraId="6361DE7E"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r>
      <w:tr w:rsidR="00C016E8" w:rsidRPr="00702DDD" w14:paraId="56C0E195" w14:textId="77777777" w:rsidTr="00E83386">
        <w:trPr>
          <w:trHeight w:val="280"/>
        </w:trPr>
        <w:tc>
          <w:tcPr>
            <w:tcW w:w="1460" w:type="dxa"/>
            <w:shd w:val="clear" w:color="auto" w:fill="auto"/>
          </w:tcPr>
          <w:p w14:paraId="1A328748"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Loudon</w:t>
            </w:r>
          </w:p>
        </w:tc>
        <w:tc>
          <w:tcPr>
            <w:tcW w:w="1140" w:type="dxa"/>
            <w:tcBorders>
              <w:right w:val="nil"/>
            </w:tcBorders>
            <w:shd w:val="clear" w:color="auto" w:fill="auto"/>
          </w:tcPr>
          <w:p w14:paraId="1F7C98E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60,342</w:t>
            </w:r>
          </w:p>
        </w:tc>
        <w:tc>
          <w:tcPr>
            <w:tcW w:w="1300" w:type="dxa"/>
            <w:tcBorders>
              <w:left w:val="nil"/>
            </w:tcBorders>
            <w:shd w:val="clear" w:color="auto" w:fill="auto"/>
          </w:tcPr>
          <w:p w14:paraId="0A02447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c>
          <w:tcPr>
            <w:tcW w:w="1520" w:type="dxa"/>
            <w:tcBorders>
              <w:right w:val="nil"/>
            </w:tcBorders>
            <w:shd w:val="clear" w:color="auto" w:fill="auto"/>
          </w:tcPr>
          <w:p w14:paraId="1409305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0.83</w:t>
            </w:r>
          </w:p>
        </w:tc>
        <w:tc>
          <w:tcPr>
            <w:tcW w:w="1080" w:type="dxa"/>
            <w:tcBorders>
              <w:left w:val="nil"/>
            </w:tcBorders>
            <w:shd w:val="clear" w:color="auto" w:fill="auto"/>
          </w:tcPr>
          <w:p w14:paraId="3F9072C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40</w:t>
            </w:r>
          </w:p>
        </w:tc>
        <w:tc>
          <w:tcPr>
            <w:tcW w:w="1800" w:type="dxa"/>
            <w:tcBorders>
              <w:right w:val="nil"/>
            </w:tcBorders>
            <w:shd w:val="clear" w:color="auto" w:fill="auto"/>
          </w:tcPr>
          <w:p w14:paraId="238F9808"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57.5</w:t>
            </w:r>
          </w:p>
        </w:tc>
        <w:tc>
          <w:tcPr>
            <w:tcW w:w="800" w:type="dxa"/>
            <w:tcBorders>
              <w:left w:val="nil"/>
            </w:tcBorders>
            <w:shd w:val="clear" w:color="auto" w:fill="auto"/>
          </w:tcPr>
          <w:p w14:paraId="56C821AE"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r>
      <w:tr w:rsidR="00C016E8" w:rsidRPr="00702DDD" w14:paraId="735C7F71" w14:textId="77777777" w:rsidTr="00E83386">
        <w:trPr>
          <w:trHeight w:val="280"/>
        </w:trPr>
        <w:tc>
          <w:tcPr>
            <w:tcW w:w="1460" w:type="dxa"/>
            <w:shd w:val="clear" w:color="auto" w:fill="auto"/>
          </w:tcPr>
          <w:p w14:paraId="409AF502"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Macon</w:t>
            </w:r>
          </w:p>
        </w:tc>
        <w:tc>
          <w:tcPr>
            <w:tcW w:w="1140" w:type="dxa"/>
            <w:tcBorders>
              <w:right w:val="nil"/>
            </w:tcBorders>
            <w:shd w:val="clear" w:color="auto" w:fill="auto"/>
          </w:tcPr>
          <w:p w14:paraId="13B62C70"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38,898</w:t>
            </w:r>
          </w:p>
        </w:tc>
        <w:tc>
          <w:tcPr>
            <w:tcW w:w="1300" w:type="dxa"/>
            <w:tcBorders>
              <w:left w:val="nil"/>
            </w:tcBorders>
            <w:shd w:val="clear" w:color="auto" w:fill="auto"/>
          </w:tcPr>
          <w:p w14:paraId="4ED38EF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10</w:t>
            </w:r>
          </w:p>
        </w:tc>
        <w:tc>
          <w:tcPr>
            <w:tcW w:w="1520" w:type="dxa"/>
            <w:tcBorders>
              <w:right w:val="nil"/>
            </w:tcBorders>
            <w:shd w:val="clear" w:color="auto" w:fill="auto"/>
          </w:tcPr>
          <w:p w14:paraId="251F8D9E"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0.71</w:t>
            </w:r>
          </w:p>
        </w:tc>
        <w:tc>
          <w:tcPr>
            <w:tcW w:w="1080" w:type="dxa"/>
            <w:tcBorders>
              <w:left w:val="nil"/>
            </w:tcBorders>
            <w:shd w:val="clear" w:color="auto" w:fill="auto"/>
          </w:tcPr>
          <w:p w14:paraId="4688A69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10</w:t>
            </w:r>
          </w:p>
        </w:tc>
        <w:tc>
          <w:tcPr>
            <w:tcW w:w="1800" w:type="dxa"/>
            <w:tcBorders>
              <w:right w:val="nil"/>
            </w:tcBorders>
            <w:shd w:val="clear" w:color="auto" w:fill="auto"/>
          </w:tcPr>
          <w:p w14:paraId="036CA21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44.2</w:t>
            </w:r>
          </w:p>
        </w:tc>
        <w:tc>
          <w:tcPr>
            <w:tcW w:w="800" w:type="dxa"/>
            <w:tcBorders>
              <w:left w:val="nil"/>
            </w:tcBorders>
            <w:shd w:val="clear" w:color="auto" w:fill="auto"/>
          </w:tcPr>
          <w:p w14:paraId="79920F2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r>
      <w:tr w:rsidR="00C016E8" w:rsidRPr="00702DDD" w14:paraId="451D4AA9" w14:textId="77777777" w:rsidTr="00E83386">
        <w:trPr>
          <w:trHeight w:val="280"/>
        </w:trPr>
        <w:tc>
          <w:tcPr>
            <w:tcW w:w="1460" w:type="dxa"/>
            <w:shd w:val="clear" w:color="auto" w:fill="auto"/>
          </w:tcPr>
          <w:p w14:paraId="3E921374"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Madison</w:t>
            </w:r>
          </w:p>
        </w:tc>
        <w:tc>
          <w:tcPr>
            <w:tcW w:w="1140" w:type="dxa"/>
            <w:tcBorders>
              <w:right w:val="nil"/>
            </w:tcBorders>
            <w:shd w:val="clear" w:color="auto" w:fill="auto"/>
          </w:tcPr>
          <w:p w14:paraId="0501174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50,049</w:t>
            </w:r>
          </w:p>
        </w:tc>
        <w:tc>
          <w:tcPr>
            <w:tcW w:w="1300" w:type="dxa"/>
            <w:tcBorders>
              <w:left w:val="nil"/>
            </w:tcBorders>
            <w:shd w:val="clear" w:color="auto" w:fill="auto"/>
          </w:tcPr>
          <w:p w14:paraId="15E75D08"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c>
          <w:tcPr>
            <w:tcW w:w="1520" w:type="dxa"/>
            <w:tcBorders>
              <w:right w:val="nil"/>
            </w:tcBorders>
            <w:shd w:val="clear" w:color="auto" w:fill="auto"/>
          </w:tcPr>
          <w:p w14:paraId="67E8CC0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0.83</w:t>
            </w:r>
          </w:p>
        </w:tc>
        <w:tc>
          <w:tcPr>
            <w:tcW w:w="1080" w:type="dxa"/>
            <w:tcBorders>
              <w:left w:val="nil"/>
            </w:tcBorders>
            <w:shd w:val="clear" w:color="auto" w:fill="auto"/>
          </w:tcPr>
          <w:p w14:paraId="68E722DE"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40</w:t>
            </w:r>
          </w:p>
        </w:tc>
        <w:tc>
          <w:tcPr>
            <w:tcW w:w="1800" w:type="dxa"/>
            <w:tcBorders>
              <w:right w:val="nil"/>
            </w:tcBorders>
            <w:shd w:val="clear" w:color="auto" w:fill="auto"/>
          </w:tcPr>
          <w:p w14:paraId="06319D0E"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42.7</w:t>
            </w:r>
          </w:p>
        </w:tc>
        <w:tc>
          <w:tcPr>
            <w:tcW w:w="800" w:type="dxa"/>
            <w:tcBorders>
              <w:left w:val="nil"/>
            </w:tcBorders>
            <w:shd w:val="clear" w:color="auto" w:fill="auto"/>
          </w:tcPr>
          <w:p w14:paraId="3862E5F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r>
      <w:tr w:rsidR="00C016E8" w:rsidRPr="00702DDD" w14:paraId="7B68E7F8" w14:textId="77777777" w:rsidTr="00E83386">
        <w:trPr>
          <w:trHeight w:val="280"/>
        </w:trPr>
        <w:tc>
          <w:tcPr>
            <w:tcW w:w="1460" w:type="dxa"/>
            <w:shd w:val="clear" w:color="auto" w:fill="auto"/>
          </w:tcPr>
          <w:p w14:paraId="0FC620FF"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Marion</w:t>
            </w:r>
          </w:p>
        </w:tc>
        <w:tc>
          <w:tcPr>
            <w:tcW w:w="1140" w:type="dxa"/>
            <w:tcBorders>
              <w:right w:val="nil"/>
            </w:tcBorders>
            <w:shd w:val="clear" w:color="auto" w:fill="auto"/>
          </w:tcPr>
          <w:p w14:paraId="3EEC83D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51,370</w:t>
            </w:r>
          </w:p>
        </w:tc>
        <w:tc>
          <w:tcPr>
            <w:tcW w:w="1300" w:type="dxa"/>
            <w:tcBorders>
              <w:left w:val="nil"/>
            </w:tcBorders>
            <w:shd w:val="clear" w:color="auto" w:fill="auto"/>
          </w:tcPr>
          <w:p w14:paraId="1289D713"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c>
          <w:tcPr>
            <w:tcW w:w="1520" w:type="dxa"/>
            <w:tcBorders>
              <w:right w:val="nil"/>
            </w:tcBorders>
            <w:shd w:val="clear" w:color="auto" w:fill="auto"/>
          </w:tcPr>
          <w:p w14:paraId="4D0CA7D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0.76</w:t>
            </w:r>
          </w:p>
        </w:tc>
        <w:tc>
          <w:tcPr>
            <w:tcW w:w="1080" w:type="dxa"/>
            <w:tcBorders>
              <w:left w:val="nil"/>
            </w:tcBorders>
            <w:shd w:val="clear" w:color="auto" w:fill="auto"/>
          </w:tcPr>
          <w:p w14:paraId="798F452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c>
          <w:tcPr>
            <w:tcW w:w="1800" w:type="dxa"/>
            <w:tcBorders>
              <w:right w:val="nil"/>
            </w:tcBorders>
            <w:shd w:val="clear" w:color="auto" w:fill="auto"/>
          </w:tcPr>
          <w:p w14:paraId="085C106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46.8</w:t>
            </w:r>
          </w:p>
        </w:tc>
        <w:tc>
          <w:tcPr>
            <w:tcW w:w="800" w:type="dxa"/>
            <w:tcBorders>
              <w:left w:val="nil"/>
            </w:tcBorders>
            <w:shd w:val="clear" w:color="auto" w:fill="auto"/>
          </w:tcPr>
          <w:p w14:paraId="4EED29C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r>
      <w:tr w:rsidR="00C016E8" w:rsidRPr="00702DDD" w14:paraId="12A020EE" w14:textId="77777777" w:rsidTr="00E83386">
        <w:trPr>
          <w:trHeight w:val="280"/>
        </w:trPr>
        <w:tc>
          <w:tcPr>
            <w:tcW w:w="1460" w:type="dxa"/>
            <w:shd w:val="clear" w:color="auto" w:fill="auto"/>
          </w:tcPr>
          <w:p w14:paraId="02982124"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Marshall</w:t>
            </w:r>
          </w:p>
        </w:tc>
        <w:tc>
          <w:tcPr>
            <w:tcW w:w="1140" w:type="dxa"/>
            <w:tcBorders>
              <w:right w:val="nil"/>
            </w:tcBorders>
            <w:shd w:val="clear" w:color="auto" w:fill="auto"/>
          </w:tcPr>
          <w:p w14:paraId="213C01E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55,283</w:t>
            </w:r>
          </w:p>
        </w:tc>
        <w:tc>
          <w:tcPr>
            <w:tcW w:w="1300" w:type="dxa"/>
            <w:tcBorders>
              <w:left w:val="nil"/>
            </w:tcBorders>
            <w:shd w:val="clear" w:color="auto" w:fill="auto"/>
          </w:tcPr>
          <w:p w14:paraId="16229C2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c>
          <w:tcPr>
            <w:tcW w:w="1520" w:type="dxa"/>
            <w:tcBorders>
              <w:right w:val="nil"/>
            </w:tcBorders>
            <w:shd w:val="clear" w:color="auto" w:fill="auto"/>
          </w:tcPr>
          <w:p w14:paraId="48CD070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0.87</w:t>
            </w:r>
          </w:p>
        </w:tc>
        <w:tc>
          <w:tcPr>
            <w:tcW w:w="1080" w:type="dxa"/>
            <w:tcBorders>
              <w:left w:val="nil"/>
            </w:tcBorders>
            <w:shd w:val="clear" w:color="auto" w:fill="auto"/>
          </w:tcPr>
          <w:p w14:paraId="7C92FA8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c>
          <w:tcPr>
            <w:tcW w:w="1800" w:type="dxa"/>
            <w:tcBorders>
              <w:right w:val="nil"/>
            </w:tcBorders>
            <w:shd w:val="clear" w:color="auto" w:fill="auto"/>
          </w:tcPr>
          <w:p w14:paraId="2DA29B63"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53.9</w:t>
            </w:r>
          </w:p>
        </w:tc>
        <w:tc>
          <w:tcPr>
            <w:tcW w:w="800" w:type="dxa"/>
            <w:tcBorders>
              <w:left w:val="nil"/>
            </w:tcBorders>
            <w:shd w:val="clear" w:color="auto" w:fill="auto"/>
          </w:tcPr>
          <w:p w14:paraId="522FE63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r>
      <w:tr w:rsidR="00C016E8" w:rsidRPr="00702DDD" w14:paraId="36DA7D38" w14:textId="77777777" w:rsidTr="00E83386">
        <w:trPr>
          <w:trHeight w:val="280"/>
        </w:trPr>
        <w:tc>
          <w:tcPr>
            <w:tcW w:w="1460" w:type="dxa"/>
            <w:shd w:val="clear" w:color="auto" w:fill="auto"/>
          </w:tcPr>
          <w:p w14:paraId="241C067B"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Maury</w:t>
            </w:r>
          </w:p>
        </w:tc>
        <w:tc>
          <w:tcPr>
            <w:tcW w:w="1140" w:type="dxa"/>
            <w:tcBorders>
              <w:right w:val="nil"/>
            </w:tcBorders>
            <w:shd w:val="clear" w:color="auto" w:fill="auto"/>
          </w:tcPr>
          <w:p w14:paraId="6231631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59,412</w:t>
            </w:r>
          </w:p>
        </w:tc>
        <w:tc>
          <w:tcPr>
            <w:tcW w:w="1300" w:type="dxa"/>
            <w:tcBorders>
              <w:left w:val="nil"/>
            </w:tcBorders>
            <w:shd w:val="clear" w:color="auto" w:fill="auto"/>
          </w:tcPr>
          <w:p w14:paraId="1BB445D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c>
          <w:tcPr>
            <w:tcW w:w="1520" w:type="dxa"/>
            <w:tcBorders>
              <w:right w:val="nil"/>
            </w:tcBorders>
            <w:shd w:val="clear" w:color="auto" w:fill="auto"/>
          </w:tcPr>
          <w:p w14:paraId="6DE8686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1.13</w:t>
            </w:r>
          </w:p>
        </w:tc>
        <w:tc>
          <w:tcPr>
            <w:tcW w:w="1080" w:type="dxa"/>
            <w:tcBorders>
              <w:left w:val="nil"/>
            </w:tcBorders>
            <w:shd w:val="clear" w:color="auto" w:fill="auto"/>
          </w:tcPr>
          <w:p w14:paraId="07FA17B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c>
          <w:tcPr>
            <w:tcW w:w="1800" w:type="dxa"/>
            <w:tcBorders>
              <w:right w:val="nil"/>
            </w:tcBorders>
            <w:shd w:val="clear" w:color="auto" w:fill="auto"/>
          </w:tcPr>
          <w:p w14:paraId="206C179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58.2</w:t>
            </w:r>
          </w:p>
        </w:tc>
        <w:tc>
          <w:tcPr>
            <w:tcW w:w="800" w:type="dxa"/>
            <w:tcBorders>
              <w:left w:val="nil"/>
            </w:tcBorders>
            <w:shd w:val="clear" w:color="auto" w:fill="auto"/>
          </w:tcPr>
          <w:p w14:paraId="6DD2462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r>
      <w:tr w:rsidR="00C016E8" w:rsidRPr="00702DDD" w14:paraId="163574EB" w14:textId="77777777" w:rsidTr="00E83386">
        <w:trPr>
          <w:trHeight w:val="280"/>
        </w:trPr>
        <w:tc>
          <w:tcPr>
            <w:tcW w:w="1460" w:type="dxa"/>
            <w:shd w:val="clear" w:color="auto" w:fill="auto"/>
          </w:tcPr>
          <w:p w14:paraId="77029D97"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McMinn</w:t>
            </w:r>
          </w:p>
        </w:tc>
        <w:tc>
          <w:tcPr>
            <w:tcW w:w="1140" w:type="dxa"/>
            <w:tcBorders>
              <w:right w:val="nil"/>
            </w:tcBorders>
            <w:shd w:val="clear" w:color="auto" w:fill="auto"/>
          </w:tcPr>
          <w:p w14:paraId="3A64984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44,982</w:t>
            </w:r>
          </w:p>
        </w:tc>
        <w:tc>
          <w:tcPr>
            <w:tcW w:w="1300" w:type="dxa"/>
            <w:tcBorders>
              <w:left w:val="nil"/>
            </w:tcBorders>
            <w:shd w:val="clear" w:color="auto" w:fill="auto"/>
          </w:tcPr>
          <w:p w14:paraId="403391EC"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4</w:t>
            </w:r>
            <w:r w:rsidRPr="00702DDD">
              <w:rPr>
                <w:rFonts w:ascii="Times New Roman" w:hAnsi="Times New Roman" w:cs="Times New Roman"/>
                <w:color w:val="000000"/>
                <w:sz w:val="22"/>
                <w:szCs w:val="22"/>
              </w:rPr>
              <w:t>0</w:t>
            </w:r>
          </w:p>
        </w:tc>
        <w:tc>
          <w:tcPr>
            <w:tcW w:w="1520" w:type="dxa"/>
            <w:tcBorders>
              <w:right w:val="nil"/>
            </w:tcBorders>
            <w:shd w:val="clear" w:color="auto" w:fill="auto"/>
          </w:tcPr>
          <w:p w14:paraId="1571DD4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0.82</w:t>
            </w:r>
          </w:p>
        </w:tc>
        <w:tc>
          <w:tcPr>
            <w:tcW w:w="1080" w:type="dxa"/>
            <w:tcBorders>
              <w:left w:val="nil"/>
            </w:tcBorders>
            <w:shd w:val="clear" w:color="auto" w:fill="auto"/>
          </w:tcPr>
          <w:p w14:paraId="4C43D99E"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40</w:t>
            </w:r>
          </w:p>
        </w:tc>
        <w:tc>
          <w:tcPr>
            <w:tcW w:w="1800" w:type="dxa"/>
            <w:tcBorders>
              <w:right w:val="nil"/>
            </w:tcBorders>
            <w:shd w:val="clear" w:color="auto" w:fill="auto"/>
          </w:tcPr>
          <w:p w14:paraId="62006BE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42.8</w:t>
            </w:r>
          </w:p>
        </w:tc>
        <w:tc>
          <w:tcPr>
            <w:tcW w:w="800" w:type="dxa"/>
            <w:tcBorders>
              <w:left w:val="nil"/>
            </w:tcBorders>
            <w:shd w:val="clear" w:color="auto" w:fill="auto"/>
          </w:tcPr>
          <w:p w14:paraId="453826CE"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r>
      <w:tr w:rsidR="00C016E8" w:rsidRPr="00702DDD" w14:paraId="467AB124" w14:textId="77777777" w:rsidTr="00E83386">
        <w:trPr>
          <w:trHeight w:val="280"/>
        </w:trPr>
        <w:tc>
          <w:tcPr>
            <w:tcW w:w="1460" w:type="dxa"/>
            <w:shd w:val="clear" w:color="auto" w:fill="auto"/>
          </w:tcPr>
          <w:p w14:paraId="1BD32B2C"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McNairy</w:t>
            </w:r>
          </w:p>
        </w:tc>
        <w:tc>
          <w:tcPr>
            <w:tcW w:w="1140" w:type="dxa"/>
            <w:tcBorders>
              <w:right w:val="nil"/>
            </w:tcBorders>
            <w:shd w:val="clear" w:color="auto" w:fill="auto"/>
          </w:tcPr>
          <w:p w14:paraId="0F2BFB9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40,697</w:t>
            </w:r>
          </w:p>
        </w:tc>
        <w:tc>
          <w:tcPr>
            <w:tcW w:w="1300" w:type="dxa"/>
            <w:tcBorders>
              <w:left w:val="nil"/>
            </w:tcBorders>
            <w:shd w:val="clear" w:color="auto" w:fill="auto"/>
          </w:tcPr>
          <w:p w14:paraId="2560C4E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c>
          <w:tcPr>
            <w:tcW w:w="1520" w:type="dxa"/>
            <w:tcBorders>
              <w:right w:val="nil"/>
            </w:tcBorders>
            <w:shd w:val="clear" w:color="auto" w:fill="auto"/>
          </w:tcPr>
          <w:p w14:paraId="0C6F7A7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0.81</w:t>
            </w:r>
          </w:p>
        </w:tc>
        <w:tc>
          <w:tcPr>
            <w:tcW w:w="1080" w:type="dxa"/>
            <w:tcBorders>
              <w:left w:val="nil"/>
            </w:tcBorders>
            <w:shd w:val="clear" w:color="auto" w:fill="auto"/>
          </w:tcPr>
          <w:p w14:paraId="2BBABE5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30</w:t>
            </w:r>
          </w:p>
        </w:tc>
        <w:tc>
          <w:tcPr>
            <w:tcW w:w="1800" w:type="dxa"/>
            <w:tcBorders>
              <w:right w:val="nil"/>
            </w:tcBorders>
            <w:shd w:val="clear" w:color="auto" w:fill="auto"/>
          </w:tcPr>
          <w:p w14:paraId="3624DA8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34.3</w:t>
            </w:r>
          </w:p>
        </w:tc>
        <w:tc>
          <w:tcPr>
            <w:tcW w:w="800" w:type="dxa"/>
            <w:tcBorders>
              <w:left w:val="nil"/>
            </w:tcBorders>
            <w:shd w:val="clear" w:color="auto" w:fill="auto"/>
          </w:tcPr>
          <w:p w14:paraId="3EE085D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r>
      <w:tr w:rsidR="00C016E8" w:rsidRPr="00702DDD" w14:paraId="42BCB0C7" w14:textId="77777777" w:rsidTr="00E83386">
        <w:trPr>
          <w:trHeight w:val="280"/>
        </w:trPr>
        <w:tc>
          <w:tcPr>
            <w:tcW w:w="1460" w:type="dxa"/>
            <w:shd w:val="clear" w:color="auto" w:fill="auto"/>
          </w:tcPr>
          <w:p w14:paraId="6BEA8279"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Meigs</w:t>
            </w:r>
          </w:p>
        </w:tc>
        <w:tc>
          <w:tcPr>
            <w:tcW w:w="1140" w:type="dxa"/>
            <w:tcBorders>
              <w:right w:val="nil"/>
            </w:tcBorders>
            <w:shd w:val="clear" w:color="auto" w:fill="auto"/>
          </w:tcPr>
          <w:p w14:paraId="1E9C585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51,095</w:t>
            </w:r>
          </w:p>
        </w:tc>
        <w:tc>
          <w:tcPr>
            <w:tcW w:w="1300" w:type="dxa"/>
            <w:tcBorders>
              <w:left w:val="nil"/>
            </w:tcBorders>
            <w:shd w:val="clear" w:color="auto" w:fill="auto"/>
          </w:tcPr>
          <w:p w14:paraId="6EF5C92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c>
          <w:tcPr>
            <w:tcW w:w="1520" w:type="dxa"/>
            <w:tcBorders>
              <w:right w:val="nil"/>
            </w:tcBorders>
            <w:shd w:val="clear" w:color="auto" w:fill="auto"/>
          </w:tcPr>
          <w:p w14:paraId="663315A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0.83</w:t>
            </w:r>
          </w:p>
        </w:tc>
        <w:tc>
          <w:tcPr>
            <w:tcW w:w="1080" w:type="dxa"/>
            <w:tcBorders>
              <w:left w:val="nil"/>
            </w:tcBorders>
            <w:shd w:val="clear" w:color="auto" w:fill="auto"/>
          </w:tcPr>
          <w:p w14:paraId="50D21636"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40</w:t>
            </w:r>
          </w:p>
        </w:tc>
        <w:tc>
          <w:tcPr>
            <w:tcW w:w="1800" w:type="dxa"/>
            <w:tcBorders>
              <w:right w:val="nil"/>
            </w:tcBorders>
            <w:shd w:val="clear" w:color="auto" w:fill="auto"/>
          </w:tcPr>
          <w:p w14:paraId="26AAE318"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42.2</w:t>
            </w:r>
          </w:p>
        </w:tc>
        <w:tc>
          <w:tcPr>
            <w:tcW w:w="800" w:type="dxa"/>
            <w:tcBorders>
              <w:left w:val="nil"/>
            </w:tcBorders>
            <w:shd w:val="clear" w:color="auto" w:fill="auto"/>
          </w:tcPr>
          <w:p w14:paraId="04D6E28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40</w:t>
            </w:r>
          </w:p>
        </w:tc>
      </w:tr>
      <w:tr w:rsidR="00C016E8" w:rsidRPr="00702DDD" w14:paraId="066B32D1" w14:textId="77777777" w:rsidTr="00E83386">
        <w:trPr>
          <w:trHeight w:val="280"/>
        </w:trPr>
        <w:tc>
          <w:tcPr>
            <w:tcW w:w="1460" w:type="dxa"/>
            <w:shd w:val="clear" w:color="auto" w:fill="auto"/>
          </w:tcPr>
          <w:p w14:paraId="5BD69F6D"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Monroe</w:t>
            </w:r>
          </w:p>
        </w:tc>
        <w:tc>
          <w:tcPr>
            <w:tcW w:w="1140" w:type="dxa"/>
            <w:tcBorders>
              <w:right w:val="nil"/>
            </w:tcBorders>
            <w:shd w:val="clear" w:color="auto" w:fill="auto"/>
          </w:tcPr>
          <w:p w14:paraId="53AF105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44,093</w:t>
            </w:r>
          </w:p>
        </w:tc>
        <w:tc>
          <w:tcPr>
            <w:tcW w:w="1300" w:type="dxa"/>
            <w:tcBorders>
              <w:left w:val="nil"/>
            </w:tcBorders>
            <w:shd w:val="clear" w:color="auto" w:fill="auto"/>
          </w:tcPr>
          <w:p w14:paraId="7E1270C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40</w:t>
            </w:r>
          </w:p>
        </w:tc>
        <w:tc>
          <w:tcPr>
            <w:tcW w:w="1520" w:type="dxa"/>
            <w:tcBorders>
              <w:right w:val="nil"/>
            </w:tcBorders>
            <w:shd w:val="clear" w:color="auto" w:fill="auto"/>
          </w:tcPr>
          <w:p w14:paraId="247CA130"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0.95</w:t>
            </w:r>
          </w:p>
        </w:tc>
        <w:tc>
          <w:tcPr>
            <w:tcW w:w="1080" w:type="dxa"/>
            <w:tcBorders>
              <w:left w:val="nil"/>
            </w:tcBorders>
            <w:shd w:val="clear" w:color="auto" w:fill="auto"/>
          </w:tcPr>
          <w:p w14:paraId="5C4078B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c>
          <w:tcPr>
            <w:tcW w:w="1800" w:type="dxa"/>
            <w:tcBorders>
              <w:right w:val="nil"/>
            </w:tcBorders>
            <w:shd w:val="clear" w:color="auto" w:fill="auto"/>
          </w:tcPr>
          <w:p w14:paraId="3062F85E"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45.3</w:t>
            </w:r>
          </w:p>
        </w:tc>
        <w:tc>
          <w:tcPr>
            <w:tcW w:w="800" w:type="dxa"/>
            <w:tcBorders>
              <w:left w:val="nil"/>
            </w:tcBorders>
            <w:shd w:val="clear" w:color="auto" w:fill="auto"/>
          </w:tcPr>
          <w:p w14:paraId="5FDEEE5C"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50</w:t>
            </w:r>
          </w:p>
        </w:tc>
      </w:tr>
      <w:tr w:rsidR="00C016E8" w:rsidRPr="00702DDD" w14:paraId="37AC7031" w14:textId="77777777" w:rsidTr="00E83386">
        <w:trPr>
          <w:trHeight w:val="280"/>
        </w:trPr>
        <w:tc>
          <w:tcPr>
            <w:tcW w:w="1460" w:type="dxa"/>
            <w:shd w:val="clear" w:color="auto" w:fill="auto"/>
          </w:tcPr>
          <w:p w14:paraId="598924E9"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Montgomery</w:t>
            </w:r>
          </w:p>
        </w:tc>
        <w:tc>
          <w:tcPr>
            <w:tcW w:w="1140" w:type="dxa"/>
            <w:tcBorders>
              <w:right w:val="nil"/>
            </w:tcBorders>
            <w:shd w:val="clear" w:color="auto" w:fill="auto"/>
          </w:tcPr>
          <w:p w14:paraId="7D59E63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59,797</w:t>
            </w:r>
          </w:p>
        </w:tc>
        <w:tc>
          <w:tcPr>
            <w:tcW w:w="1300" w:type="dxa"/>
            <w:tcBorders>
              <w:left w:val="nil"/>
            </w:tcBorders>
            <w:shd w:val="clear" w:color="auto" w:fill="auto"/>
          </w:tcPr>
          <w:p w14:paraId="7CE0E70C"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c>
          <w:tcPr>
            <w:tcW w:w="1520" w:type="dxa"/>
            <w:tcBorders>
              <w:right w:val="nil"/>
            </w:tcBorders>
            <w:shd w:val="clear" w:color="auto" w:fill="auto"/>
          </w:tcPr>
          <w:p w14:paraId="5B0CC44C"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1.14</w:t>
            </w:r>
          </w:p>
        </w:tc>
        <w:tc>
          <w:tcPr>
            <w:tcW w:w="1080" w:type="dxa"/>
            <w:tcBorders>
              <w:left w:val="nil"/>
            </w:tcBorders>
            <w:shd w:val="clear" w:color="auto" w:fill="auto"/>
          </w:tcPr>
          <w:p w14:paraId="13D38B1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c>
          <w:tcPr>
            <w:tcW w:w="1800" w:type="dxa"/>
            <w:tcBorders>
              <w:right w:val="nil"/>
            </w:tcBorders>
            <w:shd w:val="clear" w:color="auto" w:fill="auto"/>
          </w:tcPr>
          <w:p w14:paraId="358B2E38"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53.1</w:t>
            </w:r>
          </w:p>
        </w:tc>
        <w:tc>
          <w:tcPr>
            <w:tcW w:w="800" w:type="dxa"/>
            <w:tcBorders>
              <w:left w:val="nil"/>
            </w:tcBorders>
            <w:shd w:val="clear" w:color="auto" w:fill="auto"/>
          </w:tcPr>
          <w:p w14:paraId="3778FDC6"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r>
      <w:tr w:rsidR="00C016E8" w:rsidRPr="00702DDD" w14:paraId="1B54B47B" w14:textId="77777777" w:rsidTr="00E83386">
        <w:trPr>
          <w:trHeight w:val="280"/>
        </w:trPr>
        <w:tc>
          <w:tcPr>
            <w:tcW w:w="1460" w:type="dxa"/>
            <w:shd w:val="clear" w:color="auto" w:fill="auto"/>
          </w:tcPr>
          <w:p w14:paraId="6D58EAC7"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Moore</w:t>
            </w:r>
          </w:p>
        </w:tc>
        <w:tc>
          <w:tcPr>
            <w:tcW w:w="1140" w:type="dxa"/>
            <w:tcBorders>
              <w:right w:val="nil"/>
            </w:tcBorders>
            <w:shd w:val="clear" w:color="auto" w:fill="auto"/>
          </w:tcPr>
          <w:p w14:paraId="0733D27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59,971</w:t>
            </w:r>
          </w:p>
        </w:tc>
        <w:tc>
          <w:tcPr>
            <w:tcW w:w="1300" w:type="dxa"/>
            <w:tcBorders>
              <w:left w:val="nil"/>
            </w:tcBorders>
            <w:shd w:val="clear" w:color="auto" w:fill="auto"/>
          </w:tcPr>
          <w:p w14:paraId="6A1E414C"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c>
          <w:tcPr>
            <w:tcW w:w="1520" w:type="dxa"/>
            <w:tcBorders>
              <w:right w:val="nil"/>
            </w:tcBorders>
            <w:shd w:val="clear" w:color="auto" w:fill="auto"/>
          </w:tcPr>
          <w:p w14:paraId="25BBFC8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1.11</w:t>
            </w:r>
          </w:p>
        </w:tc>
        <w:tc>
          <w:tcPr>
            <w:tcW w:w="1080" w:type="dxa"/>
            <w:tcBorders>
              <w:left w:val="nil"/>
            </w:tcBorders>
            <w:shd w:val="clear" w:color="auto" w:fill="auto"/>
          </w:tcPr>
          <w:p w14:paraId="37D4249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c>
          <w:tcPr>
            <w:tcW w:w="1800" w:type="dxa"/>
            <w:tcBorders>
              <w:right w:val="nil"/>
            </w:tcBorders>
            <w:shd w:val="clear" w:color="auto" w:fill="auto"/>
          </w:tcPr>
          <w:p w14:paraId="608D2C6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60.4</w:t>
            </w:r>
          </w:p>
        </w:tc>
        <w:tc>
          <w:tcPr>
            <w:tcW w:w="800" w:type="dxa"/>
            <w:tcBorders>
              <w:left w:val="nil"/>
            </w:tcBorders>
            <w:shd w:val="clear" w:color="auto" w:fill="auto"/>
          </w:tcPr>
          <w:p w14:paraId="22EDE41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r>
      <w:tr w:rsidR="00C016E8" w:rsidRPr="00702DDD" w14:paraId="353C462E" w14:textId="77777777" w:rsidTr="00E83386">
        <w:trPr>
          <w:trHeight w:val="280"/>
        </w:trPr>
        <w:tc>
          <w:tcPr>
            <w:tcW w:w="1460" w:type="dxa"/>
            <w:shd w:val="clear" w:color="auto" w:fill="auto"/>
          </w:tcPr>
          <w:p w14:paraId="1B9C8FE7"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Morgan</w:t>
            </w:r>
          </w:p>
        </w:tc>
        <w:tc>
          <w:tcPr>
            <w:tcW w:w="1140" w:type="dxa"/>
            <w:tcBorders>
              <w:right w:val="nil"/>
            </w:tcBorders>
            <w:shd w:val="clear" w:color="auto" w:fill="auto"/>
          </w:tcPr>
          <w:p w14:paraId="604953C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42,954</w:t>
            </w:r>
          </w:p>
        </w:tc>
        <w:tc>
          <w:tcPr>
            <w:tcW w:w="1300" w:type="dxa"/>
            <w:tcBorders>
              <w:left w:val="nil"/>
            </w:tcBorders>
            <w:shd w:val="clear" w:color="auto" w:fill="auto"/>
          </w:tcPr>
          <w:p w14:paraId="781EEDD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30</w:t>
            </w:r>
          </w:p>
        </w:tc>
        <w:tc>
          <w:tcPr>
            <w:tcW w:w="1520" w:type="dxa"/>
            <w:tcBorders>
              <w:right w:val="nil"/>
            </w:tcBorders>
            <w:shd w:val="clear" w:color="auto" w:fill="auto"/>
          </w:tcPr>
          <w:p w14:paraId="55979CC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0.82</w:t>
            </w:r>
          </w:p>
        </w:tc>
        <w:tc>
          <w:tcPr>
            <w:tcW w:w="1080" w:type="dxa"/>
            <w:tcBorders>
              <w:left w:val="nil"/>
            </w:tcBorders>
            <w:shd w:val="clear" w:color="auto" w:fill="auto"/>
          </w:tcPr>
          <w:p w14:paraId="3465B34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40</w:t>
            </w:r>
          </w:p>
        </w:tc>
        <w:tc>
          <w:tcPr>
            <w:tcW w:w="1800" w:type="dxa"/>
            <w:tcBorders>
              <w:right w:val="nil"/>
            </w:tcBorders>
            <w:shd w:val="clear" w:color="auto" w:fill="auto"/>
          </w:tcPr>
          <w:p w14:paraId="3C9BFE8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34.6</w:t>
            </w:r>
          </w:p>
        </w:tc>
        <w:tc>
          <w:tcPr>
            <w:tcW w:w="800" w:type="dxa"/>
            <w:tcBorders>
              <w:left w:val="nil"/>
            </w:tcBorders>
            <w:shd w:val="clear" w:color="auto" w:fill="auto"/>
          </w:tcPr>
          <w:p w14:paraId="4780DA1C"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r>
      <w:tr w:rsidR="00C016E8" w:rsidRPr="00702DDD" w14:paraId="08D92447" w14:textId="77777777" w:rsidTr="00E83386">
        <w:trPr>
          <w:trHeight w:val="280"/>
        </w:trPr>
        <w:tc>
          <w:tcPr>
            <w:tcW w:w="1460" w:type="dxa"/>
            <w:shd w:val="clear" w:color="auto" w:fill="auto"/>
          </w:tcPr>
          <w:p w14:paraId="645D1CAA"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Obion</w:t>
            </w:r>
          </w:p>
        </w:tc>
        <w:tc>
          <w:tcPr>
            <w:tcW w:w="1140" w:type="dxa"/>
            <w:tcBorders>
              <w:right w:val="nil"/>
            </w:tcBorders>
            <w:shd w:val="clear" w:color="auto" w:fill="auto"/>
          </w:tcPr>
          <w:p w14:paraId="63218A4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41,168</w:t>
            </w:r>
          </w:p>
        </w:tc>
        <w:tc>
          <w:tcPr>
            <w:tcW w:w="1300" w:type="dxa"/>
            <w:tcBorders>
              <w:left w:val="nil"/>
            </w:tcBorders>
            <w:shd w:val="clear" w:color="auto" w:fill="auto"/>
          </w:tcPr>
          <w:p w14:paraId="18C3EFC3"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c>
          <w:tcPr>
            <w:tcW w:w="1520" w:type="dxa"/>
            <w:tcBorders>
              <w:right w:val="nil"/>
            </w:tcBorders>
            <w:shd w:val="clear" w:color="auto" w:fill="auto"/>
          </w:tcPr>
          <w:p w14:paraId="2FD1D75E"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0.63</w:t>
            </w:r>
          </w:p>
        </w:tc>
        <w:tc>
          <w:tcPr>
            <w:tcW w:w="1080" w:type="dxa"/>
            <w:tcBorders>
              <w:left w:val="nil"/>
            </w:tcBorders>
            <w:shd w:val="clear" w:color="auto" w:fill="auto"/>
          </w:tcPr>
          <w:p w14:paraId="20400E96"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10</w:t>
            </w:r>
          </w:p>
        </w:tc>
        <w:tc>
          <w:tcPr>
            <w:tcW w:w="1800" w:type="dxa"/>
            <w:tcBorders>
              <w:right w:val="nil"/>
            </w:tcBorders>
            <w:shd w:val="clear" w:color="auto" w:fill="auto"/>
          </w:tcPr>
          <w:p w14:paraId="547C5760"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36.8</w:t>
            </w:r>
          </w:p>
        </w:tc>
        <w:tc>
          <w:tcPr>
            <w:tcW w:w="800" w:type="dxa"/>
            <w:tcBorders>
              <w:left w:val="nil"/>
            </w:tcBorders>
            <w:shd w:val="clear" w:color="auto" w:fill="auto"/>
          </w:tcPr>
          <w:p w14:paraId="4130D14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30</w:t>
            </w:r>
          </w:p>
        </w:tc>
      </w:tr>
    </w:tbl>
    <w:p w14:paraId="4F622C0E" w14:textId="3A854F50" w:rsidR="00833CA5" w:rsidRPr="00702DDD" w:rsidRDefault="00833CA5">
      <w:pPr>
        <w:rPr>
          <w:rFonts w:ascii="Times New Roman" w:hAnsi="Times New Roman" w:cs="Times New Roman"/>
          <w:b/>
        </w:rPr>
      </w:pPr>
      <w:r w:rsidRPr="00702DDD">
        <w:rPr>
          <w:rFonts w:ascii="Times New Roman" w:hAnsi="Times New Roman" w:cs="Times New Roman"/>
          <w:b/>
        </w:rPr>
        <w:lastRenderedPageBreak/>
        <w:t xml:space="preserve">Table </w:t>
      </w:r>
      <w:r w:rsidR="00C72EA1">
        <w:rPr>
          <w:rFonts w:ascii="Times New Roman" w:hAnsi="Times New Roman" w:cs="Times New Roman"/>
          <w:b/>
        </w:rPr>
        <w:t>2.1:</w:t>
      </w:r>
      <w:r w:rsidRPr="00702DDD">
        <w:rPr>
          <w:rFonts w:ascii="Times New Roman" w:hAnsi="Times New Roman" w:cs="Times New Roman"/>
          <w:b/>
        </w:rPr>
        <w:t xml:space="preserve"> Continued </w:t>
      </w:r>
    </w:p>
    <w:tbl>
      <w:tblPr>
        <w:tblW w:w="91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1460"/>
        <w:gridCol w:w="1140"/>
        <w:gridCol w:w="1300"/>
        <w:gridCol w:w="1520"/>
        <w:gridCol w:w="1080"/>
        <w:gridCol w:w="1800"/>
        <w:gridCol w:w="800"/>
      </w:tblGrid>
      <w:tr w:rsidR="00C016E8" w:rsidRPr="00702DDD" w14:paraId="4452A025" w14:textId="77777777" w:rsidTr="00E83386">
        <w:trPr>
          <w:trHeight w:val="280"/>
        </w:trPr>
        <w:tc>
          <w:tcPr>
            <w:tcW w:w="1460" w:type="dxa"/>
            <w:shd w:val="clear" w:color="auto" w:fill="auto"/>
          </w:tcPr>
          <w:p w14:paraId="0D5173F7"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Overton</w:t>
            </w:r>
          </w:p>
        </w:tc>
        <w:tc>
          <w:tcPr>
            <w:tcW w:w="1140" w:type="dxa"/>
            <w:tcBorders>
              <w:right w:val="nil"/>
            </w:tcBorders>
            <w:shd w:val="clear" w:color="auto" w:fill="auto"/>
          </w:tcPr>
          <w:p w14:paraId="08DA78B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38,656</w:t>
            </w:r>
          </w:p>
        </w:tc>
        <w:tc>
          <w:tcPr>
            <w:tcW w:w="1300" w:type="dxa"/>
            <w:tcBorders>
              <w:left w:val="nil"/>
            </w:tcBorders>
            <w:shd w:val="clear" w:color="auto" w:fill="auto"/>
          </w:tcPr>
          <w:p w14:paraId="4056B25E"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10</w:t>
            </w:r>
          </w:p>
        </w:tc>
        <w:tc>
          <w:tcPr>
            <w:tcW w:w="1520" w:type="dxa"/>
            <w:tcBorders>
              <w:right w:val="nil"/>
            </w:tcBorders>
            <w:shd w:val="clear" w:color="auto" w:fill="auto"/>
          </w:tcPr>
          <w:p w14:paraId="59059378"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0.75</w:t>
            </w:r>
          </w:p>
        </w:tc>
        <w:tc>
          <w:tcPr>
            <w:tcW w:w="1080" w:type="dxa"/>
            <w:tcBorders>
              <w:left w:val="nil"/>
            </w:tcBorders>
            <w:shd w:val="clear" w:color="auto" w:fill="auto"/>
          </w:tcPr>
          <w:p w14:paraId="45F73BD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c>
          <w:tcPr>
            <w:tcW w:w="1800" w:type="dxa"/>
            <w:tcBorders>
              <w:right w:val="nil"/>
            </w:tcBorders>
            <w:shd w:val="clear" w:color="auto" w:fill="auto"/>
          </w:tcPr>
          <w:p w14:paraId="38BF4108"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47.7</w:t>
            </w:r>
          </w:p>
        </w:tc>
        <w:tc>
          <w:tcPr>
            <w:tcW w:w="800" w:type="dxa"/>
            <w:tcBorders>
              <w:left w:val="nil"/>
            </w:tcBorders>
            <w:shd w:val="clear" w:color="auto" w:fill="auto"/>
          </w:tcPr>
          <w:p w14:paraId="1C2EA3E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r>
      <w:tr w:rsidR="00C016E8" w:rsidRPr="00702DDD" w14:paraId="5A2D51DB" w14:textId="77777777" w:rsidTr="00E83386">
        <w:trPr>
          <w:trHeight w:val="280"/>
        </w:trPr>
        <w:tc>
          <w:tcPr>
            <w:tcW w:w="1460" w:type="dxa"/>
            <w:shd w:val="clear" w:color="auto" w:fill="auto"/>
          </w:tcPr>
          <w:p w14:paraId="30D6935E"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Perry</w:t>
            </w:r>
          </w:p>
        </w:tc>
        <w:tc>
          <w:tcPr>
            <w:tcW w:w="1140" w:type="dxa"/>
            <w:tcBorders>
              <w:right w:val="nil"/>
            </w:tcBorders>
            <w:shd w:val="clear" w:color="auto" w:fill="auto"/>
          </w:tcPr>
          <w:p w14:paraId="32E0548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42,643</w:t>
            </w:r>
          </w:p>
        </w:tc>
        <w:tc>
          <w:tcPr>
            <w:tcW w:w="1300" w:type="dxa"/>
            <w:tcBorders>
              <w:left w:val="nil"/>
            </w:tcBorders>
            <w:shd w:val="clear" w:color="auto" w:fill="auto"/>
          </w:tcPr>
          <w:p w14:paraId="63171DD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30</w:t>
            </w:r>
          </w:p>
        </w:tc>
        <w:tc>
          <w:tcPr>
            <w:tcW w:w="1520" w:type="dxa"/>
            <w:tcBorders>
              <w:right w:val="nil"/>
            </w:tcBorders>
            <w:shd w:val="clear" w:color="auto" w:fill="auto"/>
          </w:tcPr>
          <w:p w14:paraId="08E0FC2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1.16</w:t>
            </w:r>
          </w:p>
        </w:tc>
        <w:tc>
          <w:tcPr>
            <w:tcW w:w="1080" w:type="dxa"/>
            <w:tcBorders>
              <w:left w:val="nil"/>
            </w:tcBorders>
            <w:shd w:val="clear" w:color="auto" w:fill="auto"/>
          </w:tcPr>
          <w:p w14:paraId="3A353FD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c>
          <w:tcPr>
            <w:tcW w:w="1800" w:type="dxa"/>
            <w:tcBorders>
              <w:right w:val="nil"/>
            </w:tcBorders>
            <w:shd w:val="clear" w:color="auto" w:fill="auto"/>
          </w:tcPr>
          <w:p w14:paraId="27DF5B13"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34.1</w:t>
            </w:r>
          </w:p>
        </w:tc>
        <w:tc>
          <w:tcPr>
            <w:tcW w:w="800" w:type="dxa"/>
            <w:tcBorders>
              <w:left w:val="nil"/>
            </w:tcBorders>
            <w:shd w:val="clear" w:color="auto" w:fill="auto"/>
          </w:tcPr>
          <w:p w14:paraId="3EB5A95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r>
      <w:tr w:rsidR="00C016E8" w:rsidRPr="00702DDD" w14:paraId="044B32D7" w14:textId="77777777" w:rsidTr="00E83386">
        <w:trPr>
          <w:trHeight w:val="280"/>
        </w:trPr>
        <w:tc>
          <w:tcPr>
            <w:tcW w:w="1460" w:type="dxa"/>
            <w:shd w:val="clear" w:color="auto" w:fill="auto"/>
          </w:tcPr>
          <w:p w14:paraId="17AA18B3"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Pickett</w:t>
            </w:r>
          </w:p>
        </w:tc>
        <w:tc>
          <w:tcPr>
            <w:tcW w:w="1140" w:type="dxa"/>
            <w:tcBorders>
              <w:right w:val="nil"/>
            </w:tcBorders>
            <w:shd w:val="clear" w:color="auto" w:fill="auto"/>
          </w:tcPr>
          <w:p w14:paraId="7382523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41,105</w:t>
            </w:r>
          </w:p>
        </w:tc>
        <w:tc>
          <w:tcPr>
            <w:tcW w:w="1300" w:type="dxa"/>
            <w:tcBorders>
              <w:left w:val="nil"/>
            </w:tcBorders>
            <w:shd w:val="clear" w:color="auto" w:fill="auto"/>
          </w:tcPr>
          <w:p w14:paraId="6998AA8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c>
          <w:tcPr>
            <w:tcW w:w="1520" w:type="dxa"/>
            <w:tcBorders>
              <w:right w:val="nil"/>
            </w:tcBorders>
            <w:shd w:val="clear" w:color="auto" w:fill="auto"/>
          </w:tcPr>
          <w:p w14:paraId="20D2A67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1.13</w:t>
            </w:r>
          </w:p>
        </w:tc>
        <w:tc>
          <w:tcPr>
            <w:tcW w:w="1080" w:type="dxa"/>
            <w:tcBorders>
              <w:left w:val="nil"/>
            </w:tcBorders>
            <w:shd w:val="clear" w:color="auto" w:fill="auto"/>
          </w:tcPr>
          <w:p w14:paraId="4C49815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c>
          <w:tcPr>
            <w:tcW w:w="1800" w:type="dxa"/>
            <w:tcBorders>
              <w:right w:val="nil"/>
            </w:tcBorders>
            <w:shd w:val="clear" w:color="auto" w:fill="auto"/>
          </w:tcPr>
          <w:p w14:paraId="3AF2E8F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35.8</w:t>
            </w:r>
          </w:p>
        </w:tc>
        <w:tc>
          <w:tcPr>
            <w:tcW w:w="800" w:type="dxa"/>
            <w:tcBorders>
              <w:left w:val="nil"/>
            </w:tcBorders>
            <w:shd w:val="clear" w:color="auto" w:fill="auto"/>
          </w:tcPr>
          <w:p w14:paraId="13DF9B08"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r>
      <w:tr w:rsidR="00C016E8" w:rsidRPr="00702DDD" w14:paraId="471D81EE" w14:textId="77777777" w:rsidTr="00E83386">
        <w:trPr>
          <w:trHeight w:val="280"/>
        </w:trPr>
        <w:tc>
          <w:tcPr>
            <w:tcW w:w="1460" w:type="dxa"/>
            <w:shd w:val="clear" w:color="auto" w:fill="auto"/>
          </w:tcPr>
          <w:p w14:paraId="53EA06AB"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Polk</w:t>
            </w:r>
          </w:p>
        </w:tc>
        <w:tc>
          <w:tcPr>
            <w:tcW w:w="1140" w:type="dxa"/>
            <w:tcBorders>
              <w:right w:val="nil"/>
            </w:tcBorders>
            <w:shd w:val="clear" w:color="auto" w:fill="auto"/>
          </w:tcPr>
          <w:p w14:paraId="540EC08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45,004</w:t>
            </w:r>
          </w:p>
        </w:tc>
        <w:tc>
          <w:tcPr>
            <w:tcW w:w="1300" w:type="dxa"/>
            <w:tcBorders>
              <w:left w:val="nil"/>
            </w:tcBorders>
            <w:shd w:val="clear" w:color="auto" w:fill="auto"/>
          </w:tcPr>
          <w:p w14:paraId="54FD2F9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40</w:t>
            </w:r>
          </w:p>
        </w:tc>
        <w:tc>
          <w:tcPr>
            <w:tcW w:w="1520" w:type="dxa"/>
            <w:tcBorders>
              <w:right w:val="nil"/>
            </w:tcBorders>
            <w:shd w:val="clear" w:color="auto" w:fill="auto"/>
          </w:tcPr>
          <w:p w14:paraId="1018B72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0.77</w:t>
            </w:r>
          </w:p>
        </w:tc>
        <w:tc>
          <w:tcPr>
            <w:tcW w:w="1080" w:type="dxa"/>
            <w:tcBorders>
              <w:left w:val="nil"/>
            </w:tcBorders>
            <w:shd w:val="clear" w:color="auto" w:fill="auto"/>
          </w:tcPr>
          <w:p w14:paraId="1F3775E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c>
          <w:tcPr>
            <w:tcW w:w="1800" w:type="dxa"/>
            <w:tcBorders>
              <w:right w:val="nil"/>
            </w:tcBorders>
            <w:shd w:val="clear" w:color="auto" w:fill="auto"/>
          </w:tcPr>
          <w:p w14:paraId="2DB3599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44.9</w:t>
            </w:r>
          </w:p>
        </w:tc>
        <w:tc>
          <w:tcPr>
            <w:tcW w:w="800" w:type="dxa"/>
            <w:tcBorders>
              <w:left w:val="nil"/>
            </w:tcBorders>
            <w:shd w:val="clear" w:color="auto" w:fill="auto"/>
          </w:tcPr>
          <w:p w14:paraId="547FD50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r>
      <w:tr w:rsidR="00C016E8" w:rsidRPr="00702DDD" w14:paraId="3580AC58" w14:textId="77777777" w:rsidTr="00E83386">
        <w:trPr>
          <w:trHeight w:val="280"/>
        </w:trPr>
        <w:tc>
          <w:tcPr>
            <w:tcW w:w="1460" w:type="dxa"/>
            <w:shd w:val="clear" w:color="auto" w:fill="auto"/>
          </w:tcPr>
          <w:p w14:paraId="520E6D5D"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Putnam</w:t>
            </w:r>
          </w:p>
        </w:tc>
        <w:tc>
          <w:tcPr>
            <w:tcW w:w="1140" w:type="dxa"/>
            <w:tcBorders>
              <w:right w:val="nil"/>
            </w:tcBorders>
            <w:shd w:val="clear" w:color="auto" w:fill="auto"/>
          </w:tcPr>
          <w:p w14:paraId="0E8663D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45,994</w:t>
            </w:r>
          </w:p>
        </w:tc>
        <w:tc>
          <w:tcPr>
            <w:tcW w:w="1300" w:type="dxa"/>
            <w:tcBorders>
              <w:left w:val="nil"/>
            </w:tcBorders>
            <w:shd w:val="clear" w:color="auto" w:fill="auto"/>
          </w:tcPr>
          <w:p w14:paraId="54B063B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c>
          <w:tcPr>
            <w:tcW w:w="1520" w:type="dxa"/>
            <w:tcBorders>
              <w:right w:val="nil"/>
            </w:tcBorders>
            <w:shd w:val="clear" w:color="auto" w:fill="auto"/>
          </w:tcPr>
          <w:p w14:paraId="0DEEBAC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0.92</w:t>
            </w:r>
          </w:p>
        </w:tc>
        <w:tc>
          <w:tcPr>
            <w:tcW w:w="1080" w:type="dxa"/>
            <w:tcBorders>
              <w:left w:val="nil"/>
            </w:tcBorders>
            <w:shd w:val="clear" w:color="auto" w:fill="auto"/>
          </w:tcPr>
          <w:p w14:paraId="1A7F2BF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c>
          <w:tcPr>
            <w:tcW w:w="1800" w:type="dxa"/>
            <w:tcBorders>
              <w:right w:val="nil"/>
            </w:tcBorders>
            <w:shd w:val="clear" w:color="auto" w:fill="auto"/>
          </w:tcPr>
          <w:p w14:paraId="1BC6A93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49.8</w:t>
            </w:r>
          </w:p>
        </w:tc>
        <w:tc>
          <w:tcPr>
            <w:tcW w:w="800" w:type="dxa"/>
            <w:tcBorders>
              <w:left w:val="nil"/>
            </w:tcBorders>
            <w:shd w:val="clear" w:color="auto" w:fill="auto"/>
          </w:tcPr>
          <w:p w14:paraId="2F56F1A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r>
      <w:tr w:rsidR="00C016E8" w:rsidRPr="00702DDD" w14:paraId="41863061" w14:textId="77777777" w:rsidTr="00E83386">
        <w:trPr>
          <w:trHeight w:val="280"/>
        </w:trPr>
        <w:tc>
          <w:tcPr>
            <w:tcW w:w="1460" w:type="dxa"/>
            <w:shd w:val="clear" w:color="auto" w:fill="auto"/>
          </w:tcPr>
          <w:p w14:paraId="2460734D"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Rhea</w:t>
            </w:r>
          </w:p>
        </w:tc>
        <w:tc>
          <w:tcPr>
            <w:tcW w:w="1140" w:type="dxa"/>
            <w:tcBorders>
              <w:right w:val="nil"/>
            </w:tcBorders>
            <w:shd w:val="clear" w:color="auto" w:fill="auto"/>
          </w:tcPr>
          <w:p w14:paraId="233427D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43,861</w:t>
            </w:r>
          </w:p>
        </w:tc>
        <w:tc>
          <w:tcPr>
            <w:tcW w:w="1300" w:type="dxa"/>
            <w:tcBorders>
              <w:left w:val="nil"/>
            </w:tcBorders>
            <w:shd w:val="clear" w:color="auto" w:fill="auto"/>
          </w:tcPr>
          <w:p w14:paraId="22E8446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30</w:t>
            </w:r>
          </w:p>
        </w:tc>
        <w:tc>
          <w:tcPr>
            <w:tcW w:w="1520" w:type="dxa"/>
            <w:tcBorders>
              <w:right w:val="nil"/>
            </w:tcBorders>
            <w:shd w:val="clear" w:color="auto" w:fill="auto"/>
          </w:tcPr>
          <w:p w14:paraId="43952E8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0.84</w:t>
            </w:r>
          </w:p>
        </w:tc>
        <w:tc>
          <w:tcPr>
            <w:tcW w:w="1080" w:type="dxa"/>
            <w:tcBorders>
              <w:left w:val="nil"/>
            </w:tcBorders>
            <w:shd w:val="clear" w:color="auto" w:fill="auto"/>
          </w:tcPr>
          <w:p w14:paraId="4D28098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40</w:t>
            </w:r>
          </w:p>
        </w:tc>
        <w:tc>
          <w:tcPr>
            <w:tcW w:w="1800" w:type="dxa"/>
            <w:tcBorders>
              <w:right w:val="nil"/>
            </w:tcBorders>
            <w:shd w:val="clear" w:color="auto" w:fill="auto"/>
          </w:tcPr>
          <w:p w14:paraId="14034BC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37.6</w:t>
            </w:r>
          </w:p>
        </w:tc>
        <w:tc>
          <w:tcPr>
            <w:tcW w:w="800" w:type="dxa"/>
            <w:tcBorders>
              <w:left w:val="nil"/>
            </w:tcBorders>
            <w:shd w:val="clear" w:color="auto" w:fill="auto"/>
          </w:tcPr>
          <w:p w14:paraId="5D7DE34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30</w:t>
            </w:r>
          </w:p>
        </w:tc>
      </w:tr>
      <w:tr w:rsidR="00C016E8" w:rsidRPr="00702DDD" w14:paraId="6CA747A0" w14:textId="77777777" w:rsidTr="00E83386">
        <w:trPr>
          <w:trHeight w:val="280"/>
        </w:trPr>
        <w:tc>
          <w:tcPr>
            <w:tcW w:w="1460" w:type="dxa"/>
            <w:shd w:val="clear" w:color="auto" w:fill="auto"/>
          </w:tcPr>
          <w:p w14:paraId="53FADB8B"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Roane</w:t>
            </w:r>
          </w:p>
        </w:tc>
        <w:tc>
          <w:tcPr>
            <w:tcW w:w="1140" w:type="dxa"/>
            <w:tcBorders>
              <w:right w:val="nil"/>
            </w:tcBorders>
            <w:shd w:val="clear" w:color="auto" w:fill="auto"/>
          </w:tcPr>
          <w:p w14:paraId="59C54953"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55,460</w:t>
            </w:r>
          </w:p>
        </w:tc>
        <w:tc>
          <w:tcPr>
            <w:tcW w:w="1300" w:type="dxa"/>
            <w:tcBorders>
              <w:left w:val="nil"/>
            </w:tcBorders>
            <w:shd w:val="clear" w:color="auto" w:fill="auto"/>
          </w:tcPr>
          <w:p w14:paraId="009AC93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c>
          <w:tcPr>
            <w:tcW w:w="1520" w:type="dxa"/>
            <w:tcBorders>
              <w:right w:val="nil"/>
            </w:tcBorders>
            <w:shd w:val="clear" w:color="auto" w:fill="auto"/>
          </w:tcPr>
          <w:p w14:paraId="4D2661E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0.51</w:t>
            </w:r>
          </w:p>
        </w:tc>
        <w:tc>
          <w:tcPr>
            <w:tcW w:w="1080" w:type="dxa"/>
            <w:tcBorders>
              <w:left w:val="nil"/>
            </w:tcBorders>
            <w:shd w:val="clear" w:color="auto" w:fill="auto"/>
          </w:tcPr>
          <w:p w14:paraId="5486BEB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0</w:t>
            </w:r>
          </w:p>
        </w:tc>
        <w:tc>
          <w:tcPr>
            <w:tcW w:w="1800" w:type="dxa"/>
            <w:tcBorders>
              <w:right w:val="nil"/>
            </w:tcBorders>
            <w:shd w:val="clear" w:color="auto" w:fill="auto"/>
          </w:tcPr>
          <w:p w14:paraId="504FA26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47.4</w:t>
            </w:r>
          </w:p>
        </w:tc>
        <w:tc>
          <w:tcPr>
            <w:tcW w:w="800" w:type="dxa"/>
            <w:tcBorders>
              <w:left w:val="nil"/>
            </w:tcBorders>
            <w:shd w:val="clear" w:color="auto" w:fill="auto"/>
          </w:tcPr>
          <w:p w14:paraId="1A1682DE"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r>
      <w:tr w:rsidR="00C016E8" w:rsidRPr="00702DDD" w14:paraId="6DD6AAAE" w14:textId="77777777" w:rsidTr="00E83386">
        <w:trPr>
          <w:trHeight w:val="280"/>
        </w:trPr>
        <w:tc>
          <w:tcPr>
            <w:tcW w:w="1460" w:type="dxa"/>
            <w:shd w:val="clear" w:color="auto" w:fill="auto"/>
          </w:tcPr>
          <w:p w14:paraId="6873C22E"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Robertson</w:t>
            </w:r>
          </w:p>
        </w:tc>
        <w:tc>
          <w:tcPr>
            <w:tcW w:w="1140" w:type="dxa"/>
            <w:tcBorders>
              <w:right w:val="nil"/>
            </w:tcBorders>
            <w:shd w:val="clear" w:color="auto" w:fill="auto"/>
          </w:tcPr>
          <w:p w14:paraId="3BED3EB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65,789</w:t>
            </w:r>
          </w:p>
        </w:tc>
        <w:tc>
          <w:tcPr>
            <w:tcW w:w="1300" w:type="dxa"/>
            <w:tcBorders>
              <w:left w:val="nil"/>
            </w:tcBorders>
            <w:shd w:val="clear" w:color="auto" w:fill="auto"/>
          </w:tcPr>
          <w:p w14:paraId="178B004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c>
          <w:tcPr>
            <w:tcW w:w="1520" w:type="dxa"/>
            <w:tcBorders>
              <w:right w:val="nil"/>
            </w:tcBorders>
            <w:shd w:val="clear" w:color="auto" w:fill="auto"/>
          </w:tcPr>
          <w:p w14:paraId="4A96F79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0.91</w:t>
            </w:r>
          </w:p>
        </w:tc>
        <w:tc>
          <w:tcPr>
            <w:tcW w:w="1080" w:type="dxa"/>
            <w:tcBorders>
              <w:left w:val="nil"/>
            </w:tcBorders>
            <w:shd w:val="clear" w:color="auto" w:fill="auto"/>
          </w:tcPr>
          <w:p w14:paraId="1CA62EFC"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c>
          <w:tcPr>
            <w:tcW w:w="1800" w:type="dxa"/>
            <w:tcBorders>
              <w:right w:val="nil"/>
            </w:tcBorders>
            <w:shd w:val="clear" w:color="auto" w:fill="auto"/>
          </w:tcPr>
          <w:p w14:paraId="2E65311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57.5</w:t>
            </w:r>
          </w:p>
        </w:tc>
        <w:tc>
          <w:tcPr>
            <w:tcW w:w="800" w:type="dxa"/>
            <w:tcBorders>
              <w:left w:val="nil"/>
            </w:tcBorders>
            <w:shd w:val="clear" w:color="auto" w:fill="auto"/>
          </w:tcPr>
          <w:p w14:paraId="7B1849D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r>
      <w:tr w:rsidR="00C016E8" w:rsidRPr="00702DDD" w14:paraId="6FFB61CC" w14:textId="77777777" w:rsidTr="00E83386">
        <w:trPr>
          <w:trHeight w:val="280"/>
        </w:trPr>
        <w:tc>
          <w:tcPr>
            <w:tcW w:w="1460" w:type="dxa"/>
            <w:shd w:val="clear" w:color="auto" w:fill="auto"/>
          </w:tcPr>
          <w:p w14:paraId="5F5EB7BD"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Rutherford</w:t>
            </w:r>
          </w:p>
        </w:tc>
        <w:tc>
          <w:tcPr>
            <w:tcW w:w="1140" w:type="dxa"/>
            <w:tcBorders>
              <w:right w:val="nil"/>
            </w:tcBorders>
            <w:shd w:val="clear" w:color="auto" w:fill="auto"/>
          </w:tcPr>
          <w:p w14:paraId="4FBBC878"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70,073</w:t>
            </w:r>
          </w:p>
        </w:tc>
        <w:tc>
          <w:tcPr>
            <w:tcW w:w="1300" w:type="dxa"/>
            <w:tcBorders>
              <w:left w:val="nil"/>
            </w:tcBorders>
            <w:shd w:val="clear" w:color="auto" w:fill="auto"/>
          </w:tcPr>
          <w:p w14:paraId="7206724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90</w:t>
            </w:r>
          </w:p>
        </w:tc>
        <w:tc>
          <w:tcPr>
            <w:tcW w:w="1520" w:type="dxa"/>
            <w:tcBorders>
              <w:right w:val="nil"/>
            </w:tcBorders>
            <w:shd w:val="clear" w:color="auto" w:fill="auto"/>
          </w:tcPr>
          <w:p w14:paraId="7C5A9043"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1.05</w:t>
            </w:r>
          </w:p>
        </w:tc>
        <w:tc>
          <w:tcPr>
            <w:tcW w:w="1080" w:type="dxa"/>
            <w:tcBorders>
              <w:left w:val="nil"/>
            </w:tcBorders>
            <w:shd w:val="clear" w:color="auto" w:fill="auto"/>
          </w:tcPr>
          <w:p w14:paraId="395D5A6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c>
          <w:tcPr>
            <w:tcW w:w="1800" w:type="dxa"/>
            <w:tcBorders>
              <w:right w:val="nil"/>
            </w:tcBorders>
            <w:shd w:val="clear" w:color="auto" w:fill="auto"/>
          </w:tcPr>
          <w:p w14:paraId="4D619880"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64.7</w:t>
            </w:r>
          </w:p>
        </w:tc>
        <w:tc>
          <w:tcPr>
            <w:tcW w:w="800" w:type="dxa"/>
            <w:tcBorders>
              <w:left w:val="nil"/>
            </w:tcBorders>
            <w:shd w:val="clear" w:color="auto" w:fill="auto"/>
          </w:tcPr>
          <w:p w14:paraId="34244F1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90</w:t>
            </w:r>
          </w:p>
        </w:tc>
      </w:tr>
      <w:tr w:rsidR="00C016E8" w:rsidRPr="00702DDD" w14:paraId="1C504120" w14:textId="77777777" w:rsidTr="00E83386">
        <w:trPr>
          <w:trHeight w:val="280"/>
        </w:trPr>
        <w:tc>
          <w:tcPr>
            <w:tcW w:w="1460" w:type="dxa"/>
            <w:shd w:val="clear" w:color="auto" w:fill="auto"/>
          </w:tcPr>
          <w:p w14:paraId="19E3C8A5"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Scott</w:t>
            </w:r>
          </w:p>
        </w:tc>
        <w:tc>
          <w:tcPr>
            <w:tcW w:w="1140" w:type="dxa"/>
            <w:tcBorders>
              <w:right w:val="nil"/>
            </w:tcBorders>
            <w:shd w:val="clear" w:color="auto" w:fill="auto"/>
          </w:tcPr>
          <w:p w14:paraId="52952D6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40,388</w:t>
            </w:r>
          </w:p>
        </w:tc>
        <w:tc>
          <w:tcPr>
            <w:tcW w:w="1300" w:type="dxa"/>
            <w:tcBorders>
              <w:left w:val="nil"/>
            </w:tcBorders>
            <w:shd w:val="clear" w:color="auto" w:fill="auto"/>
          </w:tcPr>
          <w:p w14:paraId="3FFB522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c>
          <w:tcPr>
            <w:tcW w:w="1520" w:type="dxa"/>
            <w:tcBorders>
              <w:right w:val="nil"/>
            </w:tcBorders>
            <w:shd w:val="clear" w:color="auto" w:fill="auto"/>
          </w:tcPr>
          <w:p w14:paraId="278BB9E6"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0.91</w:t>
            </w:r>
          </w:p>
        </w:tc>
        <w:tc>
          <w:tcPr>
            <w:tcW w:w="1080" w:type="dxa"/>
            <w:tcBorders>
              <w:left w:val="nil"/>
            </w:tcBorders>
            <w:shd w:val="clear" w:color="auto" w:fill="auto"/>
          </w:tcPr>
          <w:p w14:paraId="36677F93"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c>
          <w:tcPr>
            <w:tcW w:w="1800" w:type="dxa"/>
            <w:tcBorders>
              <w:right w:val="nil"/>
            </w:tcBorders>
            <w:shd w:val="clear" w:color="auto" w:fill="auto"/>
          </w:tcPr>
          <w:p w14:paraId="3B960E2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28.1</w:t>
            </w:r>
          </w:p>
        </w:tc>
        <w:tc>
          <w:tcPr>
            <w:tcW w:w="800" w:type="dxa"/>
            <w:tcBorders>
              <w:left w:val="nil"/>
            </w:tcBorders>
            <w:shd w:val="clear" w:color="auto" w:fill="auto"/>
          </w:tcPr>
          <w:p w14:paraId="06A8FF2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10</w:t>
            </w:r>
          </w:p>
        </w:tc>
      </w:tr>
      <w:tr w:rsidR="00C016E8" w:rsidRPr="00702DDD" w14:paraId="23465F38" w14:textId="77777777" w:rsidTr="00E83386">
        <w:trPr>
          <w:trHeight w:val="280"/>
        </w:trPr>
        <w:tc>
          <w:tcPr>
            <w:tcW w:w="1460" w:type="dxa"/>
            <w:shd w:val="clear" w:color="auto" w:fill="auto"/>
          </w:tcPr>
          <w:p w14:paraId="4DDF1B93"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Sequatchie</w:t>
            </w:r>
          </w:p>
        </w:tc>
        <w:tc>
          <w:tcPr>
            <w:tcW w:w="1140" w:type="dxa"/>
            <w:tcBorders>
              <w:right w:val="nil"/>
            </w:tcBorders>
            <w:shd w:val="clear" w:color="auto" w:fill="auto"/>
          </w:tcPr>
          <w:p w14:paraId="0331C40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51,306</w:t>
            </w:r>
          </w:p>
        </w:tc>
        <w:tc>
          <w:tcPr>
            <w:tcW w:w="1300" w:type="dxa"/>
            <w:tcBorders>
              <w:left w:val="nil"/>
            </w:tcBorders>
            <w:shd w:val="clear" w:color="auto" w:fill="auto"/>
          </w:tcPr>
          <w:p w14:paraId="2739EA0E"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c>
          <w:tcPr>
            <w:tcW w:w="1520" w:type="dxa"/>
            <w:tcBorders>
              <w:right w:val="nil"/>
            </w:tcBorders>
            <w:shd w:val="clear" w:color="auto" w:fill="auto"/>
          </w:tcPr>
          <w:p w14:paraId="73D4E6B0"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0.89</w:t>
            </w:r>
          </w:p>
        </w:tc>
        <w:tc>
          <w:tcPr>
            <w:tcW w:w="1080" w:type="dxa"/>
            <w:tcBorders>
              <w:left w:val="nil"/>
            </w:tcBorders>
            <w:shd w:val="clear" w:color="auto" w:fill="auto"/>
          </w:tcPr>
          <w:p w14:paraId="49A2E958"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c>
          <w:tcPr>
            <w:tcW w:w="1800" w:type="dxa"/>
            <w:tcBorders>
              <w:right w:val="nil"/>
            </w:tcBorders>
            <w:shd w:val="clear" w:color="auto" w:fill="auto"/>
          </w:tcPr>
          <w:p w14:paraId="09DEB51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40.1</w:t>
            </w:r>
          </w:p>
        </w:tc>
        <w:tc>
          <w:tcPr>
            <w:tcW w:w="800" w:type="dxa"/>
            <w:tcBorders>
              <w:left w:val="nil"/>
            </w:tcBorders>
            <w:shd w:val="clear" w:color="auto" w:fill="auto"/>
          </w:tcPr>
          <w:p w14:paraId="3FD6820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40</w:t>
            </w:r>
          </w:p>
        </w:tc>
      </w:tr>
      <w:tr w:rsidR="00C016E8" w:rsidRPr="00702DDD" w14:paraId="69A8AF41" w14:textId="77777777" w:rsidTr="00E83386">
        <w:trPr>
          <w:trHeight w:val="280"/>
        </w:trPr>
        <w:tc>
          <w:tcPr>
            <w:tcW w:w="1460" w:type="dxa"/>
            <w:shd w:val="clear" w:color="auto" w:fill="auto"/>
          </w:tcPr>
          <w:p w14:paraId="5DBFAEAD"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Sevier</w:t>
            </w:r>
          </w:p>
        </w:tc>
        <w:tc>
          <w:tcPr>
            <w:tcW w:w="1140" w:type="dxa"/>
            <w:tcBorders>
              <w:right w:val="nil"/>
            </w:tcBorders>
            <w:shd w:val="clear" w:color="auto" w:fill="auto"/>
          </w:tcPr>
          <w:p w14:paraId="1D9CF9B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51,555</w:t>
            </w:r>
          </w:p>
        </w:tc>
        <w:tc>
          <w:tcPr>
            <w:tcW w:w="1300" w:type="dxa"/>
            <w:tcBorders>
              <w:left w:val="nil"/>
            </w:tcBorders>
            <w:shd w:val="clear" w:color="auto" w:fill="auto"/>
          </w:tcPr>
          <w:p w14:paraId="2A23C2C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c>
          <w:tcPr>
            <w:tcW w:w="1520" w:type="dxa"/>
            <w:tcBorders>
              <w:right w:val="nil"/>
            </w:tcBorders>
            <w:shd w:val="clear" w:color="auto" w:fill="auto"/>
          </w:tcPr>
          <w:p w14:paraId="38F45770"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0.93</w:t>
            </w:r>
          </w:p>
        </w:tc>
        <w:tc>
          <w:tcPr>
            <w:tcW w:w="1080" w:type="dxa"/>
            <w:tcBorders>
              <w:left w:val="nil"/>
            </w:tcBorders>
            <w:shd w:val="clear" w:color="auto" w:fill="auto"/>
          </w:tcPr>
          <w:p w14:paraId="10CB22EE"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c>
          <w:tcPr>
            <w:tcW w:w="1800" w:type="dxa"/>
            <w:tcBorders>
              <w:right w:val="nil"/>
            </w:tcBorders>
            <w:shd w:val="clear" w:color="auto" w:fill="auto"/>
          </w:tcPr>
          <w:p w14:paraId="5C07C3A0"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53.1</w:t>
            </w:r>
          </w:p>
        </w:tc>
        <w:tc>
          <w:tcPr>
            <w:tcW w:w="800" w:type="dxa"/>
            <w:tcBorders>
              <w:left w:val="nil"/>
            </w:tcBorders>
            <w:shd w:val="clear" w:color="auto" w:fill="auto"/>
          </w:tcPr>
          <w:p w14:paraId="30E8AFB0"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r>
      <w:tr w:rsidR="00C016E8" w:rsidRPr="00702DDD" w14:paraId="1933A91B" w14:textId="77777777" w:rsidTr="00E83386">
        <w:trPr>
          <w:trHeight w:val="280"/>
        </w:trPr>
        <w:tc>
          <w:tcPr>
            <w:tcW w:w="1460" w:type="dxa"/>
            <w:shd w:val="clear" w:color="auto" w:fill="auto"/>
          </w:tcPr>
          <w:p w14:paraId="075832EC"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Shelby</w:t>
            </w:r>
          </w:p>
        </w:tc>
        <w:tc>
          <w:tcPr>
            <w:tcW w:w="1140" w:type="dxa"/>
            <w:tcBorders>
              <w:right w:val="nil"/>
            </w:tcBorders>
            <w:shd w:val="clear" w:color="auto" w:fill="auto"/>
          </w:tcPr>
          <w:p w14:paraId="5DA6473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53,683</w:t>
            </w:r>
          </w:p>
        </w:tc>
        <w:tc>
          <w:tcPr>
            <w:tcW w:w="1300" w:type="dxa"/>
            <w:tcBorders>
              <w:left w:val="nil"/>
            </w:tcBorders>
            <w:shd w:val="clear" w:color="auto" w:fill="auto"/>
          </w:tcPr>
          <w:p w14:paraId="4F06439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c>
          <w:tcPr>
            <w:tcW w:w="1520" w:type="dxa"/>
            <w:tcBorders>
              <w:right w:val="nil"/>
            </w:tcBorders>
            <w:shd w:val="clear" w:color="auto" w:fill="auto"/>
          </w:tcPr>
          <w:p w14:paraId="3E5C16C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0.99</w:t>
            </w:r>
          </w:p>
        </w:tc>
        <w:tc>
          <w:tcPr>
            <w:tcW w:w="1080" w:type="dxa"/>
            <w:tcBorders>
              <w:left w:val="nil"/>
            </w:tcBorders>
            <w:shd w:val="clear" w:color="auto" w:fill="auto"/>
          </w:tcPr>
          <w:p w14:paraId="6DE2B418"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70</w:t>
            </w:r>
          </w:p>
        </w:tc>
        <w:tc>
          <w:tcPr>
            <w:tcW w:w="1800" w:type="dxa"/>
            <w:tcBorders>
              <w:right w:val="nil"/>
            </w:tcBorders>
            <w:shd w:val="clear" w:color="auto" w:fill="auto"/>
          </w:tcPr>
          <w:p w14:paraId="2D23FAD3"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38.5</w:t>
            </w:r>
          </w:p>
        </w:tc>
        <w:tc>
          <w:tcPr>
            <w:tcW w:w="800" w:type="dxa"/>
            <w:tcBorders>
              <w:left w:val="nil"/>
            </w:tcBorders>
            <w:shd w:val="clear" w:color="auto" w:fill="auto"/>
          </w:tcPr>
          <w:p w14:paraId="585A3F1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30</w:t>
            </w:r>
          </w:p>
        </w:tc>
      </w:tr>
      <w:tr w:rsidR="00C016E8" w:rsidRPr="00702DDD" w14:paraId="4A78F34E" w14:textId="77777777" w:rsidTr="00E83386">
        <w:trPr>
          <w:trHeight w:val="280"/>
        </w:trPr>
        <w:tc>
          <w:tcPr>
            <w:tcW w:w="1460" w:type="dxa"/>
            <w:shd w:val="clear" w:color="auto" w:fill="auto"/>
          </w:tcPr>
          <w:p w14:paraId="6DEB306C"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Smith</w:t>
            </w:r>
          </w:p>
        </w:tc>
        <w:tc>
          <w:tcPr>
            <w:tcW w:w="1140" w:type="dxa"/>
            <w:tcBorders>
              <w:right w:val="nil"/>
            </w:tcBorders>
            <w:shd w:val="clear" w:color="auto" w:fill="auto"/>
          </w:tcPr>
          <w:p w14:paraId="72AD813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49,953</w:t>
            </w:r>
          </w:p>
        </w:tc>
        <w:tc>
          <w:tcPr>
            <w:tcW w:w="1300" w:type="dxa"/>
            <w:tcBorders>
              <w:left w:val="nil"/>
            </w:tcBorders>
            <w:shd w:val="clear" w:color="auto" w:fill="auto"/>
          </w:tcPr>
          <w:p w14:paraId="0543F17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c>
          <w:tcPr>
            <w:tcW w:w="1520" w:type="dxa"/>
            <w:tcBorders>
              <w:right w:val="nil"/>
            </w:tcBorders>
            <w:shd w:val="clear" w:color="auto" w:fill="auto"/>
          </w:tcPr>
          <w:p w14:paraId="1A93B9F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0.93</w:t>
            </w:r>
          </w:p>
        </w:tc>
        <w:tc>
          <w:tcPr>
            <w:tcW w:w="1080" w:type="dxa"/>
            <w:tcBorders>
              <w:left w:val="nil"/>
            </w:tcBorders>
            <w:shd w:val="clear" w:color="auto" w:fill="auto"/>
          </w:tcPr>
          <w:p w14:paraId="305176F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c>
          <w:tcPr>
            <w:tcW w:w="1800" w:type="dxa"/>
            <w:tcBorders>
              <w:right w:val="nil"/>
            </w:tcBorders>
            <w:shd w:val="clear" w:color="auto" w:fill="auto"/>
          </w:tcPr>
          <w:p w14:paraId="404CE95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50.1</w:t>
            </w:r>
          </w:p>
        </w:tc>
        <w:tc>
          <w:tcPr>
            <w:tcW w:w="800" w:type="dxa"/>
            <w:tcBorders>
              <w:left w:val="nil"/>
            </w:tcBorders>
            <w:shd w:val="clear" w:color="auto" w:fill="auto"/>
          </w:tcPr>
          <w:p w14:paraId="619FCC9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r>
      <w:tr w:rsidR="00C016E8" w:rsidRPr="00702DDD" w14:paraId="18BB88B1" w14:textId="77777777" w:rsidTr="00E83386">
        <w:trPr>
          <w:trHeight w:val="280"/>
        </w:trPr>
        <w:tc>
          <w:tcPr>
            <w:tcW w:w="1460" w:type="dxa"/>
            <w:shd w:val="clear" w:color="auto" w:fill="auto"/>
          </w:tcPr>
          <w:p w14:paraId="1D1ADC7E"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Stewart</w:t>
            </w:r>
          </w:p>
        </w:tc>
        <w:tc>
          <w:tcPr>
            <w:tcW w:w="1140" w:type="dxa"/>
            <w:tcBorders>
              <w:right w:val="nil"/>
            </w:tcBorders>
            <w:shd w:val="clear" w:color="auto" w:fill="auto"/>
          </w:tcPr>
          <w:p w14:paraId="2A89897E"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47,605</w:t>
            </w:r>
          </w:p>
        </w:tc>
        <w:tc>
          <w:tcPr>
            <w:tcW w:w="1300" w:type="dxa"/>
            <w:tcBorders>
              <w:left w:val="nil"/>
            </w:tcBorders>
            <w:shd w:val="clear" w:color="auto" w:fill="auto"/>
          </w:tcPr>
          <w:p w14:paraId="796C77B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c>
          <w:tcPr>
            <w:tcW w:w="1520" w:type="dxa"/>
            <w:tcBorders>
              <w:right w:val="nil"/>
            </w:tcBorders>
            <w:shd w:val="clear" w:color="auto" w:fill="auto"/>
          </w:tcPr>
          <w:p w14:paraId="5138C81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0.88</w:t>
            </w:r>
          </w:p>
        </w:tc>
        <w:tc>
          <w:tcPr>
            <w:tcW w:w="1080" w:type="dxa"/>
            <w:tcBorders>
              <w:left w:val="nil"/>
            </w:tcBorders>
            <w:shd w:val="clear" w:color="auto" w:fill="auto"/>
          </w:tcPr>
          <w:p w14:paraId="0A61383C"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c>
          <w:tcPr>
            <w:tcW w:w="1800" w:type="dxa"/>
            <w:tcBorders>
              <w:right w:val="nil"/>
            </w:tcBorders>
            <w:shd w:val="clear" w:color="auto" w:fill="auto"/>
          </w:tcPr>
          <w:p w14:paraId="4EB6FE68"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47.4</w:t>
            </w:r>
          </w:p>
        </w:tc>
        <w:tc>
          <w:tcPr>
            <w:tcW w:w="800" w:type="dxa"/>
            <w:tcBorders>
              <w:left w:val="nil"/>
            </w:tcBorders>
            <w:shd w:val="clear" w:color="auto" w:fill="auto"/>
          </w:tcPr>
          <w:p w14:paraId="5D4AC6D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r>
      <w:tr w:rsidR="00C016E8" w:rsidRPr="00702DDD" w14:paraId="3A13F03B" w14:textId="77777777" w:rsidTr="00E83386">
        <w:trPr>
          <w:trHeight w:val="280"/>
        </w:trPr>
        <w:tc>
          <w:tcPr>
            <w:tcW w:w="1460" w:type="dxa"/>
            <w:shd w:val="clear" w:color="auto" w:fill="auto"/>
          </w:tcPr>
          <w:p w14:paraId="6D77AC90"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Sullivan</w:t>
            </w:r>
          </w:p>
        </w:tc>
        <w:tc>
          <w:tcPr>
            <w:tcW w:w="1140" w:type="dxa"/>
            <w:tcBorders>
              <w:right w:val="nil"/>
            </w:tcBorders>
            <w:shd w:val="clear" w:color="auto" w:fill="auto"/>
          </w:tcPr>
          <w:p w14:paraId="23240E58"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48,515</w:t>
            </w:r>
          </w:p>
        </w:tc>
        <w:tc>
          <w:tcPr>
            <w:tcW w:w="1300" w:type="dxa"/>
            <w:tcBorders>
              <w:left w:val="nil"/>
            </w:tcBorders>
            <w:shd w:val="clear" w:color="auto" w:fill="auto"/>
          </w:tcPr>
          <w:p w14:paraId="39470D8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c>
          <w:tcPr>
            <w:tcW w:w="1520" w:type="dxa"/>
            <w:tcBorders>
              <w:right w:val="nil"/>
            </w:tcBorders>
            <w:shd w:val="clear" w:color="auto" w:fill="auto"/>
          </w:tcPr>
          <w:p w14:paraId="75DEB96C"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0.7</w:t>
            </w:r>
          </w:p>
        </w:tc>
        <w:tc>
          <w:tcPr>
            <w:tcW w:w="1080" w:type="dxa"/>
            <w:tcBorders>
              <w:left w:val="nil"/>
            </w:tcBorders>
            <w:shd w:val="clear" w:color="auto" w:fill="auto"/>
          </w:tcPr>
          <w:p w14:paraId="7C7C6C13"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10</w:t>
            </w:r>
          </w:p>
        </w:tc>
        <w:tc>
          <w:tcPr>
            <w:tcW w:w="1800" w:type="dxa"/>
            <w:tcBorders>
              <w:right w:val="nil"/>
            </w:tcBorders>
            <w:shd w:val="clear" w:color="auto" w:fill="auto"/>
          </w:tcPr>
          <w:p w14:paraId="4C4B213E"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44.1</w:t>
            </w:r>
          </w:p>
        </w:tc>
        <w:tc>
          <w:tcPr>
            <w:tcW w:w="800" w:type="dxa"/>
            <w:tcBorders>
              <w:left w:val="nil"/>
            </w:tcBorders>
            <w:shd w:val="clear" w:color="auto" w:fill="auto"/>
          </w:tcPr>
          <w:p w14:paraId="7947299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r>
      <w:tr w:rsidR="00C016E8" w:rsidRPr="00702DDD" w14:paraId="33D9B362" w14:textId="77777777" w:rsidTr="00E83386">
        <w:trPr>
          <w:trHeight w:val="280"/>
        </w:trPr>
        <w:tc>
          <w:tcPr>
            <w:tcW w:w="1460" w:type="dxa"/>
            <w:shd w:val="clear" w:color="auto" w:fill="auto"/>
          </w:tcPr>
          <w:p w14:paraId="29F3E7DE"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Sumner</w:t>
            </w:r>
          </w:p>
        </w:tc>
        <w:tc>
          <w:tcPr>
            <w:tcW w:w="1140" w:type="dxa"/>
            <w:tcBorders>
              <w:right w:val="nil"/>
            </w:tcBorders>
            <w:shd w:val="clear" w:color="auto" w:fill="auto"/>
          </w:tcPr>
          <w:p w14:paraId="0D1300B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69,839</w:t>
            </w:r>
          </w:p>
        </w:tc>
        <w:tc>
          <w:tcPr>
            <w:tcW w:w="1300" w:type="dxa"/>
            <w:tcBorders>
              <w:left w:val="nil"/>
            </w:tcBorders>
            <w:shd w:val="clear" w:color="auto" w:fill="auto"/>
          </w:tcPr>
          <w:p w14:paraId="2D0F813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90</w:t>
            </w:r>
          </w:p>
        </w:tc>
        <w:tc>
          <w:tcPr>
            <w:tcW w:w="1520" w:type="dxa"/>
            <w:tcBorders>
              <w:right w:val="nil"/>
            </w:tcBorders>
            <w:shd w:val="clear" w:color="auto" w:fill="auto"/>
          </w:tcPr>
          <w:p w14:paraId="46DCE3D0"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0.88</w:t>
            </w:r>
          </w:p>
        </w:tc>
        <w:tc>
          <w:tcPr>
            <w:tcW w:w="1080" w:type="dxa"/>
            <w:tcBorders>
              <w:left w:val="nil"/>
            </w:tcBorders>
            <w:shd w:val="clear" w:color="auto" w:fill="auto"/>
          </w:tcPr>
          <w:p w14:paraId="231C6B5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c>
          <w:tcPr>
            <w:tcW w:w="1800" w:type="dxa"/>
            <w:tcBorders>
              <w:right w:val="nil"/>
            </w:tcBorders>
            <w:shd w:val="clear" w:color="auto" w:fill="auto"/>
          </w:tcPr>
          <w:p w14:paraId="144DEA9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63</w:t>
            </w:r>
          </w:p>
        </w:tc>
        <w:tc>
          <w:tcPr>
            <w:tcW w:w="800" w:type="dxa"/>
            <w:tcBorders>
              <w:left w:val="nil"/>
            </w:tcBorders>
            <w:shd w:val="clear" w:color="auto" w:fill="auto"/>
          </w:tcPr>
          <w:p w14:paraId="0C2CF5A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90</w:t>
            </w:r>
          </w:p>
        </w:tc>
      </w:tr>
      <w:tr w:rsidR="00C016E8" w:rsidRPr="00702DDD" w14:paraId="3C5696E7" w14:textId="77777777" w:rsidTr="00E83386">
        <w:trPr>
          <w:trHeight w:val="280"/>
        </w:trPr>
        <w:tc>
          <w:tcPr>
            <w:tcW w:w="1460" w:type="dxa"/>
            <w:shd w:val="clear" w:color="auto" w:fill="auto"/>
          </w:tcPr>
          <w:p w14:paraId="41C37FA8"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Tipton</w:t>
            </w:r>
          </w:p>
        </w:tc>
        <w:tc>
          <w:tcPr>
            <w:tcW w:w="1140" w:type="dxa"/>
            <w:tcBorders>
              <w:right w:val="nil"/>
            </w:tcBorders>
            <w:shd w:val="clear" w:color="auto" w:fill="auto"/>
          </w:tcPr>
          <w:p w14:paraId="04052DB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63,694</w:t>
            </w:r>
          </w:p>
        </w:tc>
        <w:tc>
          <w:tcPr>
            <w:tcW w:w="1300" w:type="dxa"/>
            <w:tcBorders>
              <w:left w:val="nil"/>
            </w:tcBorders>
            <w:shd w:val="clear" w:color="auto" w:fill="auto"/>
          </w:tcPr>
          <w:p w14:paraId="55B6BB16"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c>
          <w:tcPr>
            <w:tcW w:w="1520" w:type="dxa"/>
            <w:tcBorders>
              <w:right w:val="nil"/>
            </w:tcBorders>
            <w:shd w:val="clear" w:color="auto" w:fill="auto"/>
          </w:tcPr>
          <w:p w14:paraId="5E342863"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0.7</w:t>
            </w:r>
          </w:p>
        </w:tc>
        <w:tc>
          <w:tcPr>
            <w:tcW w:w="1080" w:type="dxa"/>
            <w:tcBorders>
              <w:left w:val="nil"/>
            </w:tcBorders>
            <w:shd w:val="clear" w:color="auto" w:fill="auto"/>
          </w:tcPr>
          <w:p w14:paraId="11FE3F4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10</w:t>
            </w:r>
          </w:p>
        </w:tc>
        <w:tc>
          <w:tcPr>
            <w:tcW w:w="1800" w:type="dxa"/>
            <w:tcBorders>
              <w:right w:val="nil"/>
            </w:tcBorders>
            <w:shd w:val="clear" w:color="auto" w:fill="auto"/>
          </w:tcPr>
          <w:p w14:paraId="61CF1E93"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49</w:t>
            </w:r>
          </w:p>
        </w:tc>
        <w:tc>
          <w:tcPr>
            <w:tcW w:w="800" w:type="dxa"/>
            <w:tcBorders>
              <w:left w:val="nil"/>
            </w:tcBorders>
            <w:shd w:val="clear" w:color="auto" w:fill="auto"/>
          </w:tcPr>
          <w:p w14:paraId="61D4D0AE"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r>
      <w:tr w:rsidR="00C016E8" w:rsidRPr="00702DDD" w14:paraId="29EF7BBE" w14:textId="77777777" w:rsidTr="00E83386">
        <w:trPr>
          <w:trHeight w:val="280"/>
        </w:trPr>
        <w:tc>
          <w:tcPr>
            <w:tcW w:w="1460" w:type="dxa"/>
            <w:shd w:val="clear" w:color="auto" w:fill="auto"/>
          </w:tcPr>
          <w:p w14:paraId="60E7E0C6"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Trousdale</w:t>
            </w:r>
          </w:p>
        </w:tc>
        <w:tc>
          <w:tcPr>
            <w:tcW w:w="1140" w:type="dxa"/>
            <w:tcBorders>
              <w:right w:val="nil"/>
            </w:tcBorders>
            <w:shd w:val="clear" w:color="auto" w:fill="auto"/>
          </w:tcPr>
          <w:p w14:paraId="3AA7095C"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58,529</w:t>
            </w:r>
          </w:p>
        </w:tc>
        <w:tc>
          <w:tcPr>
            <w:tcW w:w="1300" w:type="dxa"/>
            <w:tcBorders>
              <w:left w:val="nil"/>
            </w:tcBorders>
            <w:shd w:val="clear" w:color="auto" w:fill="auto"/>
          </w:tcPr>
          <w:p w14:paraId="351EEAC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80</w:t>
            </w:r>
          </w:p>
        </w:tc>
        <w:tc>
          <w:tcPr>
            <w:tcW w:w="1520" w:type="dxa"/>
            <w:tcBorders>
              <w:right w:val="nil"/>
            </w:tcBorders>
            <w:shd w:val="clear" w:color="auto" w:fill="auto"/>
          </w:tcPr>
          <w:p w14:paraId="7E22DF9C"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2.82</w:t>
            </w:r>
          </w:p>
        </w:tc>
        <w:tc>
          <w:tcPr>
            <w:tcW w:w="1080" w:type="dxa"/>
            <w:tcBorders>
              <w:left w:val="nil"/>
            </w:tcBorders>
            <w:shd w:val="clear" w:color="auto" w:fill="auto"/>
          </w:tcPr>
          <w:p w14:paraId="1AE970C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100</w:t>
            </w:r>
          </w:p>
        </w:tc>
        <w:tc>
          <w:tcPr>
            <w:tcW w:w="1800" w:type="dxa"/>
            <w:tcBorders>
              <w:right w:val="nil"/>
            </w:tcBorders>
            <w:shd w:val="clear" w:color="auto" w:fill="auto"/>
          </w:tcPr>
          <w:p w14:paraId="0897C3E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62.5</w:t>
            </w:r>
          </w:p>
        </w:tc>
        <w:tc>
          <w:tcPr>
            <w:tcW w:w="800" w:type="dxa"/>
            <w:tcBorders>
              <w:left w:val="nil"/>
            </w:tcBorders>
            <w:shd w:val="clear" w:color="auto" w:fill="auto"/>
          </w:tcPr>
          <w:p w14:paraId="41425CD0"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90</w:t>
            </w:r>
          </w:p>
        </w:tc>
      </w:tr>
      <w:tr w:rsidR="00C016E8" w:rsidRPr="00702DDD" w14:paraId="5D32DE4D" w14:textId="77777777" w:rsidTr="00E83386">
        <w:trPr>
          <w:trHeight w:val="280"/>
        </w:trPr>
        <w:tc>
          <w:tcPr>
            <w:tcW w:w="1460" w:type="dxa"/>
            <w:shd w:val="clear" w:color="auto" w:fill="auto"/>
          </w:tcPr>
          <w:p w14:paraId="636AFC3E"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Unicoi</w:t>
            </w:r>
          </w:p>
        </w:tc>
        <w:tc>
          <w:tcPr>
            <w:tcW w:w="1140" w:type="dxa"/>
            <w:tcBorders>
              <w:right w:val="nil"/>
            </w:tcBorders>
            <w:shd w:val="clear" w:color="auto" w:fill="auto"/>
          </w:tcPr>
          <w:p w14:paraId="1A5BB6A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43,533</w:t>
            </w:r>
          </w:p>
        </w:tc>
        <w:tc>
          <w:tcPr>
            <w:tcW w:w="1300" w:type="dxa"/>
            <w:tcBorders>
              <w:left w:val="nil"/>
            </w:tcBorders>
            <w:shd w:val="clear" w:color="auto" w:fill="auto"/>
          </w:tcPr>
          <w:p w14:paraId="4B7B2698"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30</w:t>
            </w:r>
          </w:p>
        </w:tc>
        <w:tc>
          <w:tcPr>
            <w:tcW w:w="1520" w:type="dxa"/>
            <w:tcBorders>
              <w:right w:val="nil"/>
            </w:tcBorders>
            <w:shd w:val="clear" w:color="auto" w:fill="auto"/>
          </w:tcPr>
          <w:p w14:paraId="4E846DB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0.81</w:t>
            </w:r>
          </w:p>
        </w:tc>
        <w:tc>
          <w:tcPr>
            <w:tcW w:w="1080" w:type="dxa"/>
            <w:tcBorders>
              <w:left w:val="nil"/>
            </w:tcBorders>
            <w:shd w:val="clear" w:color="auto" w:fill="auto"/>
          </w:tcPr>
          <w:p w14:paraId="4971A673"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30</w:t>
            </w:r>
          </w:p>
        </w:tc>
        <w:tc>
          <w:tcPr>
            <w:tcW w:w="1800" w:type="dxa"/>
            <w:tcBorders>
              <w:right w:val="nil"/>
            </w:tcBorders>
            <w:shd w:val="clear" w:color="auto" w:fill="auto"/>
          </w:tcPr>
          <w:p w14:paraId="280B609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35.5</w:t>
            </w:r>
          </w:p>
        </w:tc>
        <w:tc>
          <w:tcPr>
            <w:tcW w:w="800" w:type="dxa"/>
            <w:tcBorders>
              <w:left w:val="nil"/>
            </w:tcBorders>
            <w:shd w:val="clear" w:color="auto" w:fill="auto"/>
          </w:tcPr>
          <w:p w14:paraId="57867B3E"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r>
      <w:tr w:rsidR="00C016E8" w:rsidRPr="00702DDD" w14:paraId="1DE9E723" w14:textId="77777777" w:rsidTr="00E83386">
        <w:trPr>
          <w:trHeight w:val="280"/>
        </w:trPr>
        <w:tc>
          <w:tcPr>
            <w:tcW w:w="1460" w:type="dxa"/>
            <w:shd w:val="clear" w:color="auto" w:fill="auto"/>
          </w:tcPr>
          <w:p w14:paraId="03871594"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Union</w:t>
            </w:r>
          </w:p>
        </w:tc>
        <w:tc>
          <w:tcPr>
            <w:tcW w:w="1140" w:type="dxa"/>
            <w:tcBorders>
              <w:right w:val="nil"/>
            </w:tcBorders>
            <w:shd w:val="clear" w:color="auto" w:fill="auto"/>
          </w:tcPr>
          <w:p w14:paraId="70538DE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46,423</w:t>
            </w:r>
          </w:p>
        </w:tc>
        <w:tc>
          <w:tcPr>
            <w:tcW w:w="1300" w:type="dxa"/>
            <w:tcBorders>
              <w:left w:val="nil"/>
            </w:tcBorders>
            <w:shd w:val="clear" w:color="auto" w:fill="auto"/>
          </w:tcPr>
          <w:p w14:paraId="5078C20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c>
          <w:tcPr>
            <w:tcW w:w="1520" w:type="dxa"/>
            <w:tcBorders>
              <w:right w:val="nil"/>
            </w:tcBorders>
            <w:shd w:val="clear" w:color="auto" w:fill="auto"/>
          </w:tcPr>
          <w:p w14:paraId="43B81CA6"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0.85</w:t>
            </w:r>
          </w:p>
        </w:tc>
        <w:tc>
          <w:tcPr>
            <w:tcW w:w="1080" w:type="dxa"/>
            <w:tcBorders>
              <w:left w:val="nil"/>
            </w:tcBorders>
            <w:shd w:val="clear" w:color="auto" w:fill="auto"/>
          </w:tcPr>
          <w:p w14:paraId="092FD630"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c>
          <w:tcPr>
            <w:tcW w:w="1800" w:type="dxa"/>
            <w:tcBorders>
              <w:right w:val="nil"/>
            </w:tcBorders>
            <w:shd w:val="clear" w:color="auto" w:fill="auto"/>
          </w:tcPr>
          <w:p w14:paraId="0B38A6A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36.5</w:t>
            </w:r>
          </w:p>
        </w:tc>
        <w:tc>
          <w:tcPr>
            <w:tcW w:w="800" w:type="dxa"/>
            <w:tcBorders>
              <w:left w:val="nil"/>
            </w:tcBorders>
            <w:shd w:val="clear" w:color="auto" w:fill="auto"/>
          </w:tcPr>
          <w:p w14:paraId="175E763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30</w:t>
            </w:r>
          </w:p>
        </w:tc>
      </w:tr>
      <w:tr w:rsidR="00C016E8" w:rsidRPr="00702DDD" w14:paraId="3F0670E7" w14:textId="77777777" w:rsidTr="00E83386">
        <w:trPr>
          <w:trHeight w:val="280"/>
        </w:trPr>
        <w:tc>
          <w:tcPr>
            <w:tcW w:w="1460" w:type="dxa"/>
            <w:shd w:val="clear" w:color="auto" w:fill="auto"/>
          </w:tcPr>
          <w:p w14:paraId="3154E44F"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Van Buren</w:t>
            </w:r>
          </w:p>
        </w:tc>
        <w:tc>
          <w:tcPr>
            <w:tcW w:w="1140" w:type="dxa"/>
            <w:tcBorders>
              <w:right w:val="nil"/>
            </w:tcBorders>
            <w:shd w:val="clear" w:color="auto" w:fill="auto"/>
          </w:tcPr>
          <w:p w14:paraId="20C78630"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44,399</w:t>
            </w:r>
          </w:p>
        </w:tc>
        <w:tc>
          <w:tcPr>
            <w:tcW w:w="1300" w:type="dxa"/>
            <w:tcBorders>
              <w:left w:val="nil"/>
            </w:tcBorders>
            <w:shd w:val="clear" w:color="auto" w:fill="auto"/>
          </w:tcPr>
          <w:p w14:paraId="2173B0F6"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40</w:t>
            </w:r>
          </w:p>
        </w:tc>
        <w:tc>
          <w:tcPr>
            <w:tcW w:w="1520" w:type="dxa"/>
            <w:tcBorders>
              <w:right w:val="nil"/>
            </w:tcBorders>
            <w:shd w:val="clear" w:color="auto" w:fill="auto"/>
          </w:tcPr>
          <w:p w14:paraId="6E5898D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1.22</w:t>
            </w:r>
          </w:p>
        </w:tc>
        <w:tc>
          <w:tcPr>
            <w:tcW w:w="1080" w:type="dxa"/>
            <w:tcBorders>
              <w:left w:val="nil"/>
            </w:tcBorders>
            <w:shd w:val="clear" w:color="auto" w:fill="auto"/>
          </w:tcPr>
          <w:p w14:paraId="57EB86C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90</w:t>
            </w:r>
          </w:p>
        </w:tc>
        <w:tc>
          <w:tcPr>
            <w:tcW w:w="1800" w:type="dxa"/>
            <w:tcBorders>
              <w:right w:val="nil"/>
            </w:tcBorders>
            <w:shd w:val="clear" w:color="auto" w:fill="auto"/>
          </w:tcPr>
          <w:p w14:paraId="019D8BA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43.9</w:t>
            </w:r>
          </w:p>
        </w:tc>
        <w:tc>
          <w:tcPr>
            <w:tcW w:w="800" w:type="dxa"/>
            <w:tcBorders>
              <w:left w:val="nil"/>
            </w:tcBorders>
            <w:shd w:val="clear" w:color="auto" w:fill="auto"/>
          </w:tcPr>
          <w:p w14:paraId="14028073"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r>
      <w:tr w:rsidR="00C016E8" w:rsidRPr="00702DDD" w14:paraId="38B2A94A" w14:textId="77777777" w:rsidTr="00E83386">
        <w:trPr>
          <w:trHeight w:val="280"/>
        </w:trPr>
        <w:tc>
          <w:tcPr>
            <w:tcW w:w="1460" w:type="dxa"/>
            <w:shd w:val="clear" w:color="auto" w:fill="auto"/>
          </w:tcPr>
          <w:p w14:paraId="75262AF0"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Warren</w:t>
            </w:r>
          </w:p>
        </w:tc>
        <w:tc>
          <w:tcPr>
            <w:tcW w:w="1140" w:type="dxa"/>
            <w:tcBorders>
              <w:right w:val="nil"/>
            </w:tcBorders>
            <w:shd w:val="clear" w:color="auto" w:fill="auto"/>
          </w:tcPr>
          <w:p w14:paraId="544A399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42,738</w:t>
            </w:r>
          </w:p>
        </w:tc>
        <w:tc>
          <w:tcPr>
            <w:tcW w:w="1300" w:type="dxa"/>
            <w:tcBorders>
              <w:left w:val="nil"/>
            </w:tcBorders>
            <w:shd w:val="clear" w:color="auto" w:fill="auto"/>
          </w:tcPr>
          <w:p w14:paraId="3E9122C3" w14:textId="77777777" w:rsidR="00C016E8" w:rsidRPr="00702DDD" w:rsidRDefault="00C016E8" w:rsidP="00E83386">
            <w:pPr>
              <w:jc w:val="center"/>
              <w:rPr>
                <w:rFonts w:ascii="Times New Roman" w:hAnsi="Times New Roman" w:cs="Times New Roman"/>
                <w:sz w:val="22"/>
                <w:szCs w:val="22"/>
              </w:rPr>
            </w:pPr>
            <w:r w:rsidRPr="00702DDD">
              <w:rPr>
                <w:rFonts w:ascii="Times New Roman" w:hAnsi="Times New Roman" w:cs="Times New Roman"/>
                <w:sz w:val="22"/>
                <w:szCs w:val="22"/>
              </w:rPr>
              <w:t>30</w:t>
            </w:r>
          </w:p>
        </w:tc>
        <w:tc>
          <w:tcPr>
            <w:tcW w:w="1520" w:type="dxa"/>
            <w:tcBorders>
              <w:right w:val="nil"/>
            </w:tcBorders>
            <w:shd w:val="clear" w:color="auto" w:fill="auto"/>
          </w:tcPr>
          <w:p w14:paraId="60EF6DC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0.86</w:t>
            </w:r>
          </w:p>
        </w:tc>
        <w:tc>
          <w:tcPr>
            <w:tcW w:w="1080" w:type="dxa"/>
            <w:tcBorders>
              <w:left w:val="nil"/>
            </w:tcBorders>
            <w:shd w:val="clear" w:color="auto" w:fill="auto"/>
          </w:tcPr>
          <w:p w14:paraId="5C543EF1"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c>
          <w:tcPr>
            <w:tcW w:w="1800" w:type="dxa"/>
            <w:tcBorders>
              <w:right w:val="nil"/>
            </w:tcBorders>
            <w:shd w:val="clear" w:color="auto" w:fill="auto"/>
          </w:tcPr>
          <w:p w14:paraId="26FF8BD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38.4</w:t>
            </w:r>
          </w:p>
        </w:tc>
        <w:tc>
          <w:tcPr>
            <w:tcW w:w="800" w:type="dxa"/>
            <w:tcBorders>
              <w:left w:val="nil"/>
            </w:tcBorders>
            <w:shd w:val="clear" w:color="auto" w:fill="auto"/>
          </w:tcPr>
          <w:p w14:paraId="34A4FE0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30</w:t>
            </w:r>
          </w:p>
        </w:tc>
      </w:tr>
      <w:tr w:rsidR="00C016E8" w:rsidRPr="00702DDD" w14:paraId="55C5E5F8" w14:textId="77777777" w:rsidTr="00E83386">
        <w:trPr>
          <w:trHeight w:val="280"/>
        </w:trPr>
        <w:tc>
          <w:tcPr>
            <w:tcW w:w="1460" w:type="dxa"/>
            <w:shd w:val="clear" w:color="auto" w:fill="auto"/>
          </w:tcPr>
          <w:p w14:paraId="391545B0"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Washington</w:t>
            </w:r>
          </w:p>
        </w:tc>
        <w:tc>
          <w:tcPr>
            <w:tcW w:w="1140" w:type="dxa"/>
            <w:tcBorders>
              <w:right w:val="nil"/>
            </w:tcBorders>
            <w:shd w:val="clear" w:color="auto" w:fill="auto"/>
          </w:tcPr>
          <w:p w14:paraId="001F478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50,229</w:t>
            </w:r>
          </w:p>
        </w:tc>
        <w:tc>
          <w:tcPr>
            <w:tcW w:w="1300" w:type="dxa"/>
            <w:tcBorders>
              <w:left w:val="nil"/>
            </w:tcBorders>
            <w:shd w:val="clear" w:color="auto" w:fill="auto"/>
          </w:tcPr>
          <w:p w14:paraId="4B08EB8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c>
          <w:tcPr>
            <w:tcW w:w="1520" w:type="dxa"/>
            <w:tcBorders>
              <w:right w:val="nil"/>
            </w:tcBorders>
            <w:shd w:val="clear" w:color="auto" w:fill="auto"/>
          </w:tcPr>
          <w:p w14:paraId="304064D3"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0.75</w:t>
            </w:r>
          </w:p>
        </w:tc>
        <w:tc>
          <w:tcPr>
            <w:tcW w:w="1080" w:type="dxa"/>
            <w:tcBorders>
              <w:left w:val="nil"/>
            </w:tcBorders>
            <w:shd w:val="clear" w:color="auto" w:fill="auto"/>
          </w:tcPr>
          <w:p w14:paraId="3168BF28"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c>
          <w:tcPr>
            <w:tcW w:w="1800" w:type="dxa"/>
            <w:tcBorders>
              <w:right w:val="nil"/>
            </w:tcBorders>
            <w:shd w:val="clear" w:color="auto" w:fill="auto"/>
          </w:tcPr>
          <w:p w14:paraId="1A7A2678"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49.6</w:t>
            </w:r>
          </w:p>
        </w:tc>
        <w:tc>
          <w:tcPr>
            <w:tcW w:w="800" w:type="dxa"/>
            <w:tcBorders>
              <w:left w:val="nil"/>
            </w:tcBorders>
            <w:shd w:val="clear" w:color="auto" w:fill="auto"/>
          </w:tcPr>
          <w:p w14:paraId="5B22814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60</w:t>
            </w:r>
          </w:p>
        </w:tc>
      </w:tr>
      <w:tr w:rsidR="00C016E8" w:rsidRPr="00702DDD" w14:paraId="1DD93AFB" w14:textId="77777777" w:rsidTr="00E83386">
        <w:trPr>
          <w:trHeight w:val="280"/>
        </w:trPr>
        <w:tc>
          <w:tcPr>
            <w:tcW w:w="1460" w:type="dxa"/>
            <w:shd w:val="clear" w:color="auto" w:fill="auto"/>
          </w:tcPr>
          <w:p w14:paraId="241433E3"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Wayne</w:t>
            </w:r>
          </w:p>
        </w:tc>
        <w:tc>
          <w:tcPr>
            <w:tcW w:w="1140" w:type="dxa"/>
            <w:tcBorders>
              <w:right w:val="nil"/>
            </w:tcBorders>
            <w:shd w:val="clear" w:color="auto" w:fill="auto"/>
          </w:tcPr>
          <w:p w14:paraId="3617484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43,051</w:t>
            </w:r>
          </w:p>
        </w:tc>
        <w:tc>
          <w:tcPr>
            <w:tcW w:w="1300" w:type="dxa"/>
            <w:tcBorders>
              <w:left w:val="nil"/>
            </w:tcBorders>
            <w:shd w:val="clear" w:color="auto" w:fill="auto"/>
          </w:tcPr>
          <w:p w14:paraId="363DC50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30</w:t>
            </w:r>
          </w:p>
        </w:tc>
        <w:tc>
          <w:tcPr>
            <w:tcW w:w="1520" w:type="dxa"/>
            <w:tcBorders>
              <w:right w:val="nil"/>
            </w:tcBorders>
            <w:shd w:val="clear" w:color="auto" w:fill="auto"/>
          </w:tcPr>
          <w:p w14:paraId="7ABD996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0.86</w:t>
            </w:r>
          </w:p>
        </w:tc>
        <w:tc>
          <w:tcPr>
            <w:tcW w:w="1080" w:type="dxa"/>
            <w:tcBorders>
              <w:left w:val="nil"/>
            </w:tcBorders>
            <w:shd w:val="clear" w:color="auto" w:fill="auto"/>
          </w:tcPr>
          <w:p w14:paraId="56B3E7A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c>
          <w:tcPr>
            <w:tcW w:w="1800" w:type="dxa"/>
            <w:tcBorders>
              <w:right w:val="nil"/>
            </w:tcBorders>
            <w:shd w:val="clear" w:color="auto" w:fill="auto"/>
          </w:tcPr>
          <w:p w14:paraId="4ECAD1A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37.5</w:t>
            </w:r>
          </w:p>
        </w:tc>
        <w:tc>
          <w:tcPr>
            <w:tcW w:w="800" w:type="dxa"/>
            <w:tcBorders>
              <w:left w:val="nil"/>
            </w:tcBorders>
            <w:shd w:val="clear" w:color="auto" w:fill="auto"/>
          </w:tcPr>
          <w:p w14:paraId="55D9C14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30</w:t>
            </w:r>
          </w:p>
        </w:tc>
      </w:tr>
      <w:tr w:rsidR="00C016E8" w:rsidRPr="00702DDD" w14:paraId="7E9FABA8" w14:textId="77777777" w:rsidTr="00E83386">
        <w:trPr>
          <w:trHeight w:val="280"/>
        </w:trPr>
        <w:tc>
          <w:tcPr>
            <w:tcW w:w="1460" w:type="dxa"/>
            <w:shd w:val="clear" w:color="auto" w:fill="auto"/>
          </w:tcPr>
          <w:p w14:paraId="31B875C4"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Weakley</w:t>
            </w:r>
          </w:p>
        </w:tc>
        <w:tc>
          <w:tcPr>
            <w:tcW w:w="1140" w:type="dxa"/>
            <w:tcBorders>
              <w:right w:val="nil"/>
            </w:tcBorders>
            <w:shd w:val="clear" w:color="auto" w:fill="auto"/>
          </w:tcPr>
          <w:p w14:paraId="0C8ABE1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41,503</w:t>
            </w:r>
          </w:p>
        </w:tc>
        <w:tc>
          <w:tcPr>
            <w:tcW w:w="1300" w:type="dxa"/>
            <w:tcBorders>
              <w:left w:val="nil"/>
            </w:tcBorders>
            <w:shd w:val="clear" w:color="auto" w:fill="auto"/>
          </w:tcPr>
          <w:p w14:paraId="41AB42A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20</w:t>
            </w:r>
          </w:p>
        </w:tc>
        <w:tc>
          <w:tcPr>
            <w:tcW w:w="1520" w:type="dxa"/>
            <w:tcBorders>
              <w:right w:val="nil"/>
            </w:tcBorders>
            <w:shd w:val="clear" w:color="auto" w:fill="auto"/>
          </w:tcPr>
          <w:p w14:paraId="622A149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0.67</w:t>
            </w:r>
          </w:p>
        </w:tc>
        <w:tc>
          <w:tcPr>
            <w:tcW w:w="1080" w:type="dxa"/>
            <w:tcBorders>
              <w:left w:val="nil"/>
            </w:tcBorders>
            <w:shd w:val="clear" w:color="auto" w:fill="auto"/>
          </w:tcPr>
          <w:p w14:paraId="036560C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10</w:t>
            </w:r>
          </w:p>
        </w:tc>
        <w:tc>
          <w:tcPr>
            <w:tcW w:w="1800" w:type="dxa"/>
            <w:tcBorders>
              <w:right w:val="nil"/>
            </w:tcBorders>
            <w:shd w:val="clear" w:color="auto" w:fill="auto"/>
          </w:tcPr>
          <w:p w14:paraId="633E0C9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42.4</w:t>
            </w:r>
          </w:p>
        </w:tc>
        <w:tc>
          <w:tcPr>
            <w:tcW w:w="800" w:type="dxa"/>
            <w:tcBorders>
              <w:left w:val="nil"/>
            </w:tcBorders>
            <w:shd w:val="clear" w:color="auto" w:fill="auto"/>
          </w:tcPr>
          <w:p w14:paraId="5E76622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40</w:t>
            </w:r>
          </w:p>
        </w:tc>
      </w:tr>
      <w:tr w:rsidR="00C016E8" w:rsidRPr="00702DDD" w14:paraId="4946CAA3" w14:textId="77777777" w:rsidTr="00E83386">
        <w:trPr>
          <w:trHeight w:val="280"/>
        </w:trPr>
        <w:tc>
          <w:tcPr>
            <w:tcW w:w="1460" w:type="dxa"/>
            <w:shd w:val="clear" w:color="auto" w:fill="auto"/>
          </w:tcPr>
          <w:p w14:paraId="4E894F28"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White</w:t>
            </w:r>
          </w:p>
        </w:tc>
        <w:tc>
          <w:tcPr>
            <w:tcW w:w="1140" w:type="dxa"/>
            <w:tcBorders>
              <w:right w:val="nil"/>
            </w:tcBorders>
            <w:shd w:val="clear" w:color="auto" w:fill="auto"/>
          </w:tcPr>
          <w:p w14:paraId="04AE8694"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43,645</w:t>
            </w:r>
          </w:p>
        </w:tc>
        <w:tc>
          <w:tcPr>
            <w:tcW w:w="1300" w:type="dxa"/>
            <w:tcBorders>
              <w:left w:val="nil"/>
            </w:tcBorders>
            <w:shd w:val="clear" w:color="auto" w:fill="auto"/>
          </w:tcPr>
          <w:p w14:paraId="366D9576"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30</w:t>
            </w:r>
          </w:p>
        </w:tc>
        <w:tc>
          <w:tcPr>
            <w:tcW w:w="1520" w:type="dxa"/>
            <w:tcBorders>
              <w:right w:val="nil"/>
            </w:tcBorders>
            <w:shd w:val="clear" w:color="auto" w:fill="auto"/>
          </w:tcPr>
          <w:p w14:paraId="250BA47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0.79</w:t>
            </w:r>
          </w:p>
        </w:tc>
        <w:tc>
          <w:tcPr>
            <w:tcW w:w="1080" w:type="dxa"/>
            <w:tcBorders>
              <w:left w:val="nil"/>
            </w:tcBorders>
            <w:shd w:val="clear" w:color="auto" w:fill="auto"/>
          </w:tcPr>
          <w:p w14:paraId="4AB11F7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30</w:t>
            </w:r>
          </w:p>
        </w:tc>
        <w:tc>
          <w:tcPr>
            <w:tcW w:w="1800" w:type="dxa"/>
            <w:tcBorders>
              <w:right w:val="nil"/>
            </w:tcBorders>
            <w:shd w:val="clear" w:color="auto" w:fill="auto"/>
          </w:tcPr>
          <w:p w14:paraId="081178A5"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46.3</w:t>
            </w:r>
          </w:p>
        </w:tc>
        <w:tc>
          <w:tcPr>
            <w:tcW w:w="800" w:type="dxa"/>
            <w:tcBorders>
              <w:left w:val="nil"/>
            </w:tcBorders>
            <w:shd w:val="clear" w:color="auto" w:fill="auto"/>
          </w:tcPr>
          <w:p w14:paraId="214E05F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sz w:val="22"/>
                <w:szCs w:val="22"/>
              </w:rPr>
              <w:t>50</w:t>
            </w:r>
          </w:p>
        </w:tc>
      </w:tr>
      <w:tr w:rsidR="00C016E8" w:rsidRPr="00702DDD" w14:paraId="52CE4780" w14:textId="77777777" w:rsidTr="00E83386">
        <w:trPr>
          <w:trHeight w:val="280"/>
        </w:trPr>
        <w:tc>
          <w:tcPr>
            <w:tcW w:w="1460" w:type="dxa"/>
            <w:shd w:val="clear" w:color="auto" w:fill="auto"/>
          </w:tcPr>
          <w:p w14:paraId="3BD8B21F"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Williamson</w:t>
            </w:r>
          </w:p>
        </w:tc>
        <w:tc>
          <w:tcPr>
            <w:tcW w:w="1140" w:type="dxa"/>
            <w:tcBorders>
              <w:right w:val="nil"/>
            </w:tcBorders>
            <w:shd w:val="clear" w:color="auto" w:fill="auto"/>
          </w:tcPr>
          <w:p w14:paraId="0336201D"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117,391</w:t>
            </w:r>
          </w:p>
        </w:tc>
        <w:tc>
          <w:tcPr>
            <w:tcW w:w="1300" w:type="dxa"/>
            <w:tcBorders>
              <w:left w:val="nil"/>
            </w:tcBorders>
            <w:shd w:val="clear" w:color="auto" w:fill="auto"/>
          </w:tcPr>
          <w:p w14:paraId="4E7AABA3"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100</w:t>
            </w:r>
          </w:p>
        </w:tc>
        <w:tc>
          <w:tcPr>
            <w:tcW w:w="1520" w:type="dxa"/>
            <w:tcBorders>
              <w:right w:val="nil"/>
            </w:tcBorders>
            <w:shd w:val="clear" w:color="auto" w:fill="auto"/>
          </w:tcPr>
          <w:p w14:paraId="53176169"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1.37</w:t>
            </w:r>
          </w:p>
        </w:tc>
        <w:tc>
          <w:tcPr>
            <w:tcW w:w="1080" w:type="dxa"/>
            <w:tcBorders>
              <w:left w:val="nil"/>
            </w:tcBorders>
            <w:shd w:val="clear" w:color="auto" w:fill="auto"/>
          </w:tcPr>
          <w:p w14:paraId="4300D7C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90</w:t>
            </w:r>
          </w:p>
        </w:tc>
        <w:tc>
          <w:tcPr>
            <w:tcW w:w="1800" w:type="dxa"/>
            <w:tcBorders>
              <w:right w:val="nil"/>
            </w:tcBorders>
            <w:shd w:val="clear" w:color="auto" w:fill="auto"/>
          </w:tcPr>
          <w:p w14:paraId="1262D6F2"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82.9</w:t>
            </w:r>
          </w:p>
        </w:tc>
        <w:tc>
          <w:tcPr>
            <w:tcW w:w="800" w:type="dxa"/>
            <w:tcBorders>
              <w:left w:val="nil"/>
            </w:tcBorders>
            <w:shd w:val="clear" w:color="auto" w:fill="auto"/>
          </w:tcPr>
          <w:p w14:paraId="74DCB9BC"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100</w:t>
            </w:r>
          </w:p>
        </w:tc>
      </w:tr>
      <w:tr w:rsidR="00C016E8" w:rsidRPr="00702DDD" w14:paraId="0A4F7173" w14:textId="77777777" w:rsidTr="00E83386">
        <w:trPr>
          <w:trHeight w:val="280"/>
        </w:trPr>
        <w:tc>
          <w:tcPr>
            <w:tcW w:w="1460" w:type="dxa"/>
            <w:shd w:val="clear" w:color="auto" w:fill="auto"/>
          </w:tcPr>
          <w:p w14:paraId="4E99CA0C" w14:textId="77777777" w:rsidR="00C016E8" w:rsidRPr="00702DDD" w:rsidRDefault="00C016E8" w:rsidP="00E83386">
            <w:pPr>
              <w:rPr>
                <w:rFonts w:ascii="Times New Roman" w:hAnsi="Times New Roman" w:cs="Times New Roman"/>
                <w:color w:val="000000"/>
                <w:sz w:val="22"/>
                <w:szCs w:val="22"/>
              </w:rPr>
            </w:pPr>
            <w:r w:rsidRPr="00702DDD">
              <w:rPr>
                <w:rFonts w:ascii="Times New Roman" w:hAnsi="Times New Roman" w:cs="Times New Roman"/>
                <w:color w:val="000000"/>
                <w:sz w:val="22"/>
                <w:szCs w:val="22"/>
              </w:rPr>
              <w:t>Wilson</w:t>
            </w:r>
          </w:p>
        </w:tc>
        <w:tc>
          <w:tcPr>
            <w:tcW w:w="1140" w:type="dxa"/>
            <w:tcBorders>
              <w:right w:val="nil"/>
            </w:tcBorders>
            <w:shd w:val="clear" w:color="auto" w:fill="auto"/>
          </w:tcPr>
          <w:p w14:paraId="7CE9124F"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78,971</w:t>
            </w:r>
          </w:p>
        </w:tc>
        <w:tc>
          <w:tcPr>
            <w:tcW w:w="1300" w:type="dxa"/>
            <w:tcBorders>
              <w:left w:val="nil"/>
            </w:tcBorders>
            <w:shd w:val="clear" w:color="auto" w:fill="auto"/>
          </w:tcPr>
          <w:p w14:paraId="14706CBE"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90</w:t>
            </w:r>
          </w:p>
        </w:tc>
        <w:tc>
          <w:tcPr>
            <w:tcW w:w="1520" w:type="dxa"/>
            <w:tcBorders>
              <w:right w:val="nil"/>
            </w:tcBorders>
            <w:shd w:val="clear" w:color="auto" w:fill="auto"/>
          </w:tcPr>
          <w:p w14:paraId="38087B3B"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1.24</w:t>
            </w:r>
          </w:p>
        </w:tc>
        <w:tc>
          <w:tcPr>
            <w:tcW w:w="1080" w:type="dxa"/>
            <w:tcBorders>
              <w:left w:val="nil"/>
            </w:tcBorders>
            <w:shd w:val="clear" w:color="auto" w:fill="auto"/>
          </w:tcPr>
          <w:p w14:paraId="386C67D7"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90</w:t>
            </w:r>
          </w:p>
        </w:tc>
        <w:tc>
          <w:tcPr>
            <w:tcW w:w="1800" w:type="dxa"/>
            <w:tcBorders>
              <w:right w:val="nil"/>
            </w:tcBorders>
            <w:shd w:val="clear" w:color="auto" w:fill="auto"/>
          </w:tcPr>
          <w:p w14:paraId="31D8820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67.6</w:t>
            </w:r>
          </w:p>
        </w:tc>
        <w:tc>
          <w:tcPr>
            <w:tcW w:w="800" w:type="dxa"/>
            <w:tcBorders>
              <w:left w:val="nil"/>
            </w:tcBorders>
            <w:shd w:val="clear" w:color="auto" w:fill="auto"/>
          </w:tcPr>
          <w:p w14:paraId="5A0198CA" w14:textId="77777777" w:rsidR="00C016E8" w:rsidRPr="00702DDD" w:rsidRDefault="00C016E8" w:rsidP="00E83386">
            <w:pPr>
              <w:jc w:val="center"/>
              <w:rPr>
                <w:rFonts w:ascii="Times New Roman" w:hAnsi="Times New Roman" w:cs="Times New Roman"/>
                <w:color w:val="000000"/>
                <w:sz w:val="22"/>
                <w:szCs w:val="22"/>
              </w:rPr>
            </w:pPr>
            <w:r w:rsidRPr="00702DDD">
              <w:rPr>
                <w:rFonts w:ascii="Times New Roman" w:hAnsi="Times New Roman" w:cs="Times New Roman"/>
                <w:color w:val="000000"/>
                <w:sz w:val="22"/>
                <w:szCs w:val="22"/>
              </w:rPr>
              <w:t>90</w:t>
            </w:r>
          </w:p>
        </w:tc>
      </w:tr>
      <w:tr w:rsidR="00C016E8" w:rsidRPr="00702DDD" w14:paraId="719D933F" w14:textId="77777777" w:rsidTr="00E83386">
        <w:trPr>
          <w:trHeight w:val="280"/>
        </w:trPr>
        <w:tc>
          <w:tcPr>
            <w:tcW w:w="1460" w:type="dxa"/>
            <w:shd w:val="clear" w:color="auto" w:fill="auto"/>
          </w:tcPr>
          <w:p w14:paraId="24C00A1E" w14:textId="77777777" w:rsidR="00C016E8" w:rsidRPr="00702DDD" w:rsidRDefault="00C016E8" w:rsidP="00E83386">
            <w:pPr>
              <w:rPr>
                <w:rFonts w:ascii="Times New Roman" w:hAnsi="Times New Roman" w:cs="Times New Roman"/>
                <w:b/>
                <w:bCs/>
                <w:color w:val="000000"/>
                <w:sz w:val="22"/>
                <w:szCs w:val="22"/>
              </w:rPr>
            </w:pPr>
            <w:r w:rsidRPr="00702DDD">
              <w:rPr>
                <w:rFonts w:ascii="Times New Roman" w:hAnsi="Times New Roman" w:cs="Times New Roman"/>
                <w:b/>
                <w:bCs/>
                <w:sz w:val="16"/>
                <w:szCs w:val="16"/>
              </w:rPr>
              <w:t>Total Distressed Counties</w:t>
            </w:r>
          </w:p>
        </w:tc>
        <w:tc>
          <w:tcPr>
            <w:tcW w:w="1140" w:type="dxa"/>
            <w:tcBorders>
              <w:right w:val="nil"/>
            </w:tcBorders>
            <w:shd w:val="clear" w:color="auto" w:fill="auto"/>
          </w:tcPr>
          <w:p w14:paraId="7650E35B" w14:textId="77777777" w:rsidR="00C016E8" w:rsidRPr="00702DDD" w:rsidRDefault="00C016E8" w:rsidP="00E83386">
            <w:pPr>
              <w:jc w:val="center"/>
              <w:rPr>
                <w:rFonts w:ascii="Times New Roman" w:hAnsi="Times New Roman" w:cs="Times New Roman"/>
                <w:b/>
                <w:bCs/>
                <w:color w:val="000000"/>
                <w:sz w:val="22"/>
                <w:szCs w:val="22"/>
              </w:rPr>
            </w:pPr>
          </w:p>
        </w:tc>
        <w:tc>
          <w:tcPr>
            <w:tcW w:w="1300" w:type="dxa"/>
            <w:tcBorders>
              <w:left w:val="nil"/>
            </w:tcBorders>
            <w:shd w:val="clear" w:color="auto" w:fill="auto"/>
          </w:tcPr>
          <w:p w14:paraId="182F1EAF" w14:textId="77777777" w:rsidR="00C016E8" w:rsidRPr="00702DDD" w:rsidRDefault="00C016E8" w:rsidP="00E83386">
            <w:pPr>
              <w:jc w:val="center"/>
              <w:rPr>
                <w:rFonts w:ascii="Times New Roman" w:hAnsi="Times New Roman" w:cs="Times New Roman"/>
                <w:b/>
                <w:bCs/>
                <w:color w:val="000000"/>
                <w:sz w:val="22"/>
                <w:szCs w:val="22"/>
              </w:rPr>
            </w:pPr>
            <w:r w:rsidRPr="00702DDD">
              <w:rPr>
                <w:rFonts w:ascii="Times New Roman" w:hAnsi="Times New Roman" w:cs="Times New Roman"/>
                <w:b/>
                <w:bCs/>
                <w:sz w:val="22"/>
                <w:szCs w:val="22"/>
              </w:rPr>
              <w:t>52</w:t>
            </w:r>
          </w:p>
        </w:tc>
        <w:tc>
          <w:tcPr>
            <w:tcW w:w="1520" w:type="dxa"/>
            <w:tcBorders>
              <w:right w:val="nil"/>
            </w:tcBorders>
            <w:shd w:val="clear" w:color="auto" w:fill="auto"/>
          </w:tcPr>
          <w:p w14:paraId="62B8E688" w14:textId="77777777" w:rsidR="00C016E8" w:rsidRPr="00702DDD" w:rsidRDefault="00C016E8" w:rsidP="00E83386">
            <w:pPr>
              <w:jc w:val="center"/>
              <w:rPr>
                <w:rFonts w:ascii="Times New Roman" w:hAnsi="Times New Roman" w:cs="Times New Roman"/>
                <w:b/>
                <w:bCs/>
                <w:color w:val="000000"/>
                <w:sz w:val="22"/>
                <w:szCs w:val="22"/>
              </w:rPr>
            </w:pPr>
          </w:p>
        </w:tc>
        <w:tc>
          <w:tcPr>
            <w:tcW w:w="1080" w:type="dxa"/>
            <w:tcBorders>
              <w:left w:val="nil"/>
            </w:tcBorders>
            <w:shd w:val="clear" w:color="auto" w:fill="auto"/>
          </w:tcPr>
          <w:p w14:paraId="6A70C9C4" w14:textId="77777777" w:rsidR="00C016E8" w:rsidRPr="00702DDD" w:rsidRDefault="00C016E8" w:rsidP="00E83386">
            <w:pPr>
              <w:jc w:val="center"/>
              <w:rPr>
                <w:rFonts w:ascii="Times New Roman" w:hAnsi="Times New Roman" w:cs="Times New Roman"/>
                <w:b/>
                <w:bCs/>
                <w:color w:val="000000"/>
                <w:sz w:val="22"/>
                <w:szCs w:val="22"/>
              </w:rPr>
            </w:pPr>
            <w:r w:rsidRPr="00702DDD">
              <w:rPr>
                <w:rFonts w:ascii="Times New Roman" w:hAnsi="Times New Roman" w:cs="Times New Roman"/>
                <w:b/>
                <w:bCs/>
                <w:sz w:val="22"/>
                <w:szCs w:val="22"/>
              </w:rPr>
              <w:t>65</w:t>
            </w:r>
          </w:p>
        </w:tc>
        <w:tc>
          <w:tcPr>
            <w:tcW w:w="1800" w:type="dxa"/>
            <w:tcBorders>
              <w:right w:val="nil"/>
            </w:tcBorders>
            <w:shd w:val="clear" w:color="auto" w:fill="auto"/>
          </w:tcPr>
          <w:p w14:paraId="03F966A8" w14:textId="77777777" w:rsidR="00C016E8" w:rsidRPr="00702DDD" w:rsidRDefault="00C016E8" w:rsidP="00E83386">
            <w:pPr>
              <w:jc w:val="center"/>
              <w:rPr>
                <w:rFonts w:ascii="Times New Roman" w:hAnsi="Times New Roman" w:cs="Times New Roman"/>
                <w:b/>
                <w:bCs/>
                <w:color w:val="000000"/>
                <w:sz w:val="22"/>
                <w:szCs w:val="22"/>
              </w:rPr>
            </w:pPr>
          </w:p>
        </w:tc>
        <w:tc>
          <w:tcPr>
            <w:tcW w:w="800" w:type="dxa"/>
            <w:tcBorders>
              <w:left w:val="nil"/>
            </w:tcBorders>
            <w:shd w:val="clear" w:color="auto" w:fill="auto"/>
          </w:tcPr>
          <w:p w14:paraId="11E3F794" w14:textId="77777777" w:rsidR="00C016E8" w:rsidRPr="00702DDD" w:rsidRDefault="00C016E8" w:rsidP="00E83386">
            <w:pPr>
              <w:jc w:val="center"/>
              <w:rPr>
                <w:rFonts w:ascii="Times New Roman" w:hAnsi="Times New Roman" w:cs="Times New Roman"/>
                <w:b/>
                <w:bCs/>
                <w:color w:val="000000"/>
                <w:sz w:val="22"/>
                <w:szCs w:val="22"/>
              </w:rPr>
            </w:pPr>
            <w:r w:rsidRPr="00702DDD">
              <w:rPr>
                <w:rFonts w:ascii="Times New Roman" w:hAnsi="Times New Roman" w:cs="Times New Roman"/>
                <w:b/>
                <w:bCs/>
                <w:sz w:val="22"/>
                <w:szCs w:val="22"/>
              </w:rPr>
              <w:t>57</w:t>
            </w:r>
          </w:p>
        </w:tc>
      </w:tr>
    </w:tbl>
    <w:p w14:paraId="460461E3" w14:textId="03F2E486" w:rsidR="00C016E8" w:rsidRPr="00702DDD" w:rsidRDefault="00C016E8" w:rsidP="00C016E8">
      <w:pPr>
        <w:rPr>
          <w:rFonts w:ascii="Times New Roman" w:hAnsi="Times New Roman" w:cs="Times New Roman"/>
          <w:b/>
        </w:rPr>
      </w:pPr>
    </w:p>
    <w:p w14:paraId="18358DC6" w14:textId="336698E8" w:rsidR="0084453D" w:rsidRPr="00702DDD" w:rsidRDefault="0084453D" w:rsidP="00C016E8">
      <w:pPr>
        <w:rPr>
          <w:rFonts w:ascii="Times New Roman" w:hAnsi="Times New Roman" w:cs="Times New Roman"/>
          <w:b/>
        </w:rPr>
      </w:pPr>
    </w:p>
    <w:p w14:paraId="0204BDC6" w14:textId="77777777" w:rsidR="00D20D63" w:rsidRPr="00702DDD" w:rsidRDefault="00D20D63" w:rsidP="00C016E8">
      <w:pPr>
        <w:rPr>
          <w:rFonts w:ascii="Times New Roman" w:hAnsi="Times New Roman" w:cs="Times New Roman"/>
          <w:b/>
        </w:rPr>
      </w:pPr>
    </w:p>
    <w:p w14:paraId="312C2E56" w14:textId="4A3C8088" w:rsidR="00C016E8" w:rsidRPr="00702DDD" w:rsidRDefault="00C016E8" w:rsidP="00C016E8">
      <w:pPr>
        <w:rPr>
          <w:rFonts w:ascii="Times New Roman" w:hAnsi="Times New Roman" w:cs="Times New Roman"/>
          <w:b/>
          <w:highlight w:val="green"/>
        </w:rPr>
      </w:pPr>
      <w:r w:rsidRPr="00702DDD">
        <w:rPr>
          <w:rFonts w:ascii="Times New Roman" w:hAnsi="Times New Roman" w:cs="Times New Roman"/>
          <w:b/>
        </w:rPr>
        <w:t>Table 2.</w:t>
      </w:r>
      <w:r w:rsidR="00C72EA1">
        <w:rPr>
          <w:rFonts w:ascii="Times New Roman" w:hAnsi="Times New Roman" w:cs="Times New Roman"/>
          <w:b/>
        </w:rPr>
        <w:t>2:</w:t>
      </w:r>
      <w:r w:rsidRPr="00702DDD">
        <w:rPr>
          <w:rFonts w:ascii="Times New Roman" w:hAnsi="Times New Roman" w:cs="Times New Roman"/>
          <w:b/>
        </w:rPr>
        <w:t xml:space="preserve"> 2019 Tennessee Governor’s Distressed Counties </w:t>
      </w:r>
    </w:p>
    <w:tbl>
      <w:tblPr>
        <w:tblW w:w="8807" w:type="dxa"/>
        <w:tblInd w:w="-118" w:type="dxa"/>
        <w:tblBorders>
          <w:top w:val="nil"/>
          <w:left w:val="nil"/>
          <w:right w:val="nil"/>
        </w:tblBorders>
        <w:tblLayout w:type="fixed"/>
        <w:tblLook w:val="0000" w:firstRow="0" w:lastRow="0" w:firstColumn="0" w:lastColumn="0" w:noHBand="0" w:noVBand="0"/>
      </w:tblPr>
      <w:tblGrid>
        <w:gridCol w:w="2515"/>
        <w:gridCol w:w="1958"/>
        <w:gridCol w:w="2262"/>
        <w:gridCol w:w="2072"/>
      </w:tblGrid>
      <w:tr w:rsidR="00C016E8" w:rsidRPr="00702DDD" w14:paraId="79B8E673" w14:textId="77777777" w:rsidTr="00E83386">
        <w:trPr>
          <w:trHeight w:val="553"/>
        </w:trPr>
        <w:tc>
          <w:tcPr>
            <w:tcW w:w="2515" w:type="dxa"/>
            <w:tcBorders>
              <w:top w:val="single" w:sz="8" w:space="0" w:color="000000"/>
              <w:left w:val="single" w:sz="8" w:space="0" w:color="FFFFFF"/>
              <w:bottom w:val="single" w:sz="32" w:space="0" w:color="FFFFFF"/>
              <w:right w:val="single" w:sz="8" w:space="0" w:color="FFFFFF"/>
            </w:tcBorders>
            <w:shd w:val="clear" w:color="auto" w:fill="F38337"/>
            <w:tcMar>
              <w:top w:w="171" w:type="nil"/>
              <w:left w:w="20" w:type="nil"/>
              <w:right w:w="171" w:type="nil"/>
            </w:tcMar>
          </w:tcPr>
          <w:p w14:paraId="06FA702A" w14:textId="77777777" w:rsidR="00C016E8" w:rsidRPr="00702DDD" w:rsidRDefault="00C016E8" w:rsidP="00E83386">
            <w:pPr>
              <w:rPr>
                <w:rFonts w:ascii="Times New Roman" w:hAnsi="Times New Roman" w:cs="Times New Roman"/>
                <w:b/>
                <w:i/>
                <w:iCs/>
              </w:rPr>
            </w:pPr>
            <w:r w:rsidRPr="00702DDD">
              <w:rPr>
                <w:rFonts w:ascii="Times New Roman" w:hAnsi="Times New Roman" w:cs="Times New Roman"/>
                <w:b/>
                <w:bCs/>
                <w:i/>
                <w:iCs/>
              </w:rPr>
              <w:t>Distressed County</w:t>
            </w:r>
          </w:p>
        </w:tc>
        <w:tc>
          <w:tcPr>
            <w:tcW w:w="1958" w:type="dxa"/>
            <w:tcBorders>
              <w:top w:val="single" w:sz="8" w:space="0" w:color="000000"/>
              <w:left w:val="single" w:sz="8" w:space="0" w:color="FFFFFF"/>
              <w:bottom w:val="single" w:sz="32" w:space="0" w:color="FFFFFF"/>
              <w:right w:val="single" w:sz="8" w:space="0" w:color="FFFFFF"/>
            </w:tcBorders>
            <w:shd w:val="clear" w:color="auto" w:fill="F38337"/>
            <w:tcMar>
              <w:top w:w="171" w:type="nil"/>
              <w:left w:w="20" w:type="nil"/>
              <w:right w:w="171" w:type="nil"/>
            </w:tcMar>
          </w:tcPr>
          <w:p w14:paraId="50ADA358" w14:textId="77777777" w:rsidR="00C016E8" w:rsidRPr="00702DDD" w:rsidRDefault="00C016E8" w:rsidP="00E83386">
            <w:pPr>
              <w:jc w:val="center"/>
              <w:rPr>
                <w:rFonts w:ascii="Times New Roman" w:hAnsi="Times New Roman" w:cs="Times New Roman"/>
                <w:b/>
                <w:i/>
                <w:iCs/>
              </w:rPr>
            </w:pPr>
            <w:r w:rsidRPr="00702DDD">
              <w:rPr>
                <w:rFonts w:ascii="Times New Roman" w:hAnsi="Times New Roman" w:cs="Times New Roman"/>
                <w:b/>
                <w:bCs/>
                <w:i/>
                <w:iCs/>
              </w:rPr>
              <w:t>MHI</w:t>
            </w:r>
          </w:p>
        </w:tc>
        <w:tc>
          <w:tcPr>
            <w:tcW w:w="2262" w:type="dxa"/>
            <w:tcBorders>
              <w:top w:val="single" w:sz="8" w:space="0" w:color="000000"/>
              <w:left w:val="single" w:sz="8" w:space="0" w:color="FFFFFF"/>
              <w:bottom w:val="single" w:sz="32" w:space="0" w:color="FFFFFF"/>
              <w:right w:val="single" w:sz="8" w:space="0" w:color="FFFFFF"/>
            </w:tcBorders>
            <w:shd w:val="clear" w:color="auto" w:fill="F38337"/>
            <w:tcMar>
              <w:top w:w="171" w:type="nil"/>
              <w:left w:w="20" w:type="nil"/>
              <w:right w:w="171" w:type="nil"/>
            </w:tcMar>
          </w:tcPr>
          <w:p w14:paraId="306047A1" w14:textId="77777777" w:rsidR="00C016E8" w:rsidRPr="00702DDD" w:rsidRDefault="00C016E8" w:rsidP="00E83386">
            <w:pPr>
              <w:jc w:val="center"/>
              <w:rPr>
                <w:rFonts w:ascii="Times New Roman" w:hAnsi="Times New Roman" w:cs="Times New Roman"/>
                <w:b/>
                <w:i/>
                <w:iCs/>
              </w:rPr>
            </w:pPr>
            <w:r w:rsidRPr="00702DDD">
              <w:rPr>
                <w:rFonts w:ascii="Times New Roman" w:hAnsi="Times New Roman" w:cs="Times New Roman"/>
                <w:b/>
                <w:bCs/>
                <w:i/>
                <w:iCs/>
              </w:rPr>
              <w:t>Simple Avg</w:t>
            </w:r>
          </w:p>
        </w:tc>
        <w:tc>
          <w:tcPr>
            <w:tcW w:w="2072" w:type="dxa"/>
            <w:tcBorders>
              <w:top w:val="single" w:sz="8" w:space="0" w:color="000000"/>
              <w:left w:val="single" w:sz="8" w:space="0" w:color="FFFFFF"/>
              <w:bottom w:val="single" w:sz="32" w:space="0" w:color="FFFFFF"/>
              <w:right w:val="single" w:sz="8" w:space="0" w:color="FFFFFF"/>
            </w:tcBorders>
            <w:shd w:val="clear" w:color="auto" w:fill="F38337"/>
            <w:tcMar>
              <w:top w:w="171" w:type="nil"/>
              <w:left w:w="20" w:type="nil"/>
              <w:right w:w="171" w:type="nil"/>
            </w:tcMar>
          </w:tcPr>
          <w:p w14:paraId="78A8AB19" w14:textId="77777777" w:rsidR="00C016E8" w:rsidRPr="00702DDD" w:rsidRDefault="00C016E8" w:rsidP="00E83386">
            <w:pPr>
              <w:jc w:val="center"/>
              <w:rPr>
                <w:rFonts w:ascii="Times New Roman" w:hAnsi="Times New Roman" w:cs="Times New Roman"/>
                <w:b/>
                <w:i/>
                <w:iCs/>
              </w:rPr>
            </w:pPr>
            <w:r w:rsidRPr="00702DDD">
              <w:rPr>
                <w:rFonts w:ascii="Times New Roman" w:hAnsi="Times New Roman" w:cs="Times New Roman"/>
                <w:b/>
                <w:bCs/>
                <w:i/>
                <w:iCs/>
              </w:rPr>
              <w:t>Neg Scale Avg</w:t>
            </w:r>
          </w:p>
        </w:tc>
      </w:tr>
      <w:tr w:rsidR="00C016E8" w:rsidRPr="00702DDD" w14:paraId="46342797" w14:textId="77777777" w:rsidTr="00E83386">
        <w:tblPrEx>
          <w:tblBorders>
            <w:top w:val="none" w:sz="0" w:space="0" w:color="auto"/>
          </w:tblBorders>
        </w:tblPrEx>
        <w:trPr>
          <w:trHeight w:val="284"/>
        </w:trPr>
        <w:tc>
          <w:tcPr>
            <w:tcW w:w="2515" w:type="dxa"/>
            <w:tcBorders>
              <w:top w:val="single" w:sz="32" w:space="0" w:color="FFFFFF"/>
              <w:left w:val="single" w:sz="8" w:space="0" w:color="FFFFFF"/>
              <w:bottom w:val="single" w:sz="8" w:space="0" w:color="FFFFFF"/>
              <w:right w:val="single" w:sz="8" w:space="0" w:color="FFFFFF"/>
            </w:tcBorders>
            <w:shd w:val="clear" w:color="auto" w:fill="FFFFFF"/>
            <w:tcMar>
              <w:top w:w="171" w:type="nil"/>
              <w:left w:w="20" w:type="nil"/>
              <w:right w:w="171" w:type="nil"/>
            </w:tcMar>
          </w:tcPr>
          <w:p w14:paraId="456DBA18" w14:textId="77777777" w:rsidR="00C016E8" w:rsidRPr="00702DDD" w:rsidRDefault="00C016E8" w:rsidP="00E83386">
            <w:pPr>
              <w:rPr>
                <w:rFonts w:ascii="Times New Roman" w:hAnsi="Times New Roman" w:cs="Times New Roman"/>
                <w:bCs/>
              </w:rPr>
            </w:pPr>
            <w:r w:rsidRPr="00702DDD">
              <w:rPr>
                <w:rFonts w:ascii="Times New Roman" w:hAnsi="Times New Roman" w:cs="Times New Roman"/>
                <w:bCs/>
              </w:rPr>
              <w:t>Bledsoe</w:t>
            </w:r>
          </w:p>
        </w:tc>
        <w:tc>
          <w:tcPr>
            <w:tcW w:w="1958" w:type="dxa"/>
            <w:tcBorders>
              <w:top w:val="single" w:sz="32"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1D890F5A"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50</w:t>
            </w:r>
          </w:p>
        </w:tc>
        <w:tc>
          <w:tcPr>
            <w:tcW w:w="2262" w:type="dxa"/>
            <w:tcBorders>
              <w:top w:val="single" w:sz="32"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2E1EA100"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80</w:t>
            </w:r>
          </w:p>
        </w:tc>
        <w:tc>
          <w:tcPr>
            <w:tcW w:w="2072" w:type="dxa"/>
            <w:tcBorders>
              <w:top w:val="single" w:sz="32"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68134468"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20</w:t>
            </w:r>
          </w:p>
        </w:tc>
      </w:tr>
      <w:tr w:rsidR="00C016E8" w:rsidRPr="00702DDD" w14:paraId="380A6D31" w14:textId="77777777" w:rsidTr="00E83386">
        <w:tblPrEx>
          <w:tblBorders>
            <w:top w:val="none" w:sz="0" w:space="0" w:color="auto"/>
          </w:tblBorders>
        </w:tblPrEx>
        <w:trPr>
          <w:trHeight w:val="284"/>
        </w:trPr>
        <w:tc>
          <w:tcPr>
            <w:tcW w:w="2515" w:type="dxa"/>
            <w:tcBorders>
              <w:top w:val="single" w:sz="8" w:space="0" w:color="FFFFFF"/>
              <w:left w:val="single" w:sz="8" w:space="0" w:color="FFFFFF"/>
              <w:bottom w:val="single" w:sz="8" w:space="0" w:color="FFFFFF"/>
              <w:right w:val="single" w:sz="8" w:space="0" w:color="FFFFFF"/>
            </w:tcBorders>
            <w:shd w:val="clear" w:color="auto" w:fill="FFFFFF"/>
            <w:tcMar>
              <w:top w:w="171" w:type="nil"/>
              <w:left w:w="20" w:type="nil"/>
              <w:right w:w="171" w:type="nil"/>
            </w:tcMar>
          </w:tcPr>
          <w:p w14:paraId="59DFB594" w14:textId="77777777" w:rsidR="00C016E8" w:rsidRPr="00702DDD" w:rsidRDefault="00C016E8" w:rsidP="00E83386">
            <w:pPr>
              <w:rPr>
                <w:rFonts w:ascii="Times New Roman" w:hAnsi="Times New Roman" w:cs="Times New Roman"/>
                <w:bCs/>
              </w:rPr>
            </w:pPr>
            <w:r w:rsidRPr="00702DDD">
              <w:rPr>
                <w:rFonts w:ascii="Times New Roman" w:hAnsi="Times New Roman" w:cs="Times New Roman"/>
                <w:bCs/>
              </w:rPr>
              <w:t>Clay</w:t>
            </w:r>
          </w:p>
        </w:tc>
        <w:tc>
          <w:tcPr>
            <w:tcW w:w="1958"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7645D3EA"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0</w:t>
            </w:r>
          </w:p>
        </w:tc>
        <w:tc>
          <w:tcPr>
            <w:tcW w:w="2262"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6FDFC073"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50</w:t>
            </w:r>
          </w:p>
        </w:tc>
        <w:tc>
          <w:tcPr>
            <w:tcW w:w="2072"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75E6F323"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20</w:t>
            </w:r>
          </w:p>
        </w:tc>
      </w:tr>
      <w:tr w:rsidR="00C016E8" w:rsidRPr="00702DDD" w14:paraId="606D941A" w14:textId="77777777" w:rsidTr="00E83386">
        <w:tblPrEx>
          <w:tblBorders>
            <w:top w:val="none" w:sz="0" w:space="0" w:color="auto"/>
          </w:tblBorders>
        </w:tblPrEx>
        <w:trPr>
          <w:trHeight w:val="269"/>
        </w:trPr>
        <w:tc>
          <w:tcPr>
            <w:tcW w:w="2515" w:type="dxa"/>
            <w:tcBorders>
              <w:top w:val="single" w:sz="8" w:space="0" w:color="FFFFFF"/>
              <w:left w:val="single" w:sz="8" w:space="0" w:color="FFFFFF"/>
              <w:bottom w:val="single" w:sz="8" w:space="0" w:color="FFFFFF"/>
              <w:right w:val="single" w:sz="8" w:space="0" w:color="FFFFFF"/>
            </w:tcBorders>
            <w:shd w:val="clear" w:color="auto" w:fill="FFFFFF"/>
            <w:tcMar>
              <w:top w:w="171" w:type="nil"/>
              <w:left w:w="20" w:type="nil"/>
              <w:right w:w="171" w:type="nil"/>
            </w:tcMar>
          </w:tcPr>
          <w:p w14:paraId="030BC4CD" w14:textId="77777777" w:rsidR="00C016E8" w:rsidRPr="00702DDD" w:rsidRDefault="00C016E8" w:rsidP="00E83386">
            <w:pPr>
              <w:rPr>
                <w:rFonts w:ascii="Times New Roman" w:hAnsi="Times New Roman" w:cs="Times New Roman"/>
                <w:bCs/>
              </w:rPr>
            </w:pPr>
            <w:proofErr w:type="spellStart"/>
            <w:r w:rsidRPr="00702DDD">
              <w:rPr>
                <w:rFonts w:ascii="Times New Roman" w:hAnsi="Times New Roman" w:cs="Times New Roman"/>
                <w:bCs/>
              </w:rPr>
              <w:t>Cocke</w:t>
            </w:r>
            <w:proofErr w:type="spellEnd"/>
          </w:p>
        </w:tc>
        <w:tc>
          <w:tcPr>
            <w:tcW w:w="1958"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75899156"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10</w:t>
            </w:r>
          </w:p>
        </w:tc>
        <w:tc>
          <w:tcPr>
            <w:tcW w:w="2262"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3999782C"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30</w:t>
            </w:r>
          </w:p>
        </w:tc>
        <w:tc>
          <w:tcPr>
            <w:tcW w:w="2072"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4FA3F7FD"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20</w:t>
            </w:r>
          </w:p>
        </w:tc>
      </w:tr>
      <w:tr w:rsidR="00C016E8" w:rsidRPr="00702DDD" w14:paraId="0C2AA8F7" w14:textId="77777777" w:rsidTr="00E83386">
        <w:tblPrEx>
          <w:tblBorders>
            <w:top w:val="none" w:sz="0" w:space="0" w:color="auto"/>
          </w:tblBorders>
        </w:tblPrEx>
        <w:trPr>
          <w:trHeight w:val="284"/>
        </w:trPr>
        <w:tc>
          <w:tcPr>
            <w:tcW w:w="2515" w:type="dxa"/>
            <w:tcBorders>
              <w:top w:val="single" w:sz="8" w:space="0" w:color="FFFFFF"/>
              <w:left w:val="single" w:sz="8" w:space="0" w:color="FFFFFF"/>
              <w:bottom w:val="single" w:sz="8" w:space="0" w:color="FFFFFF"/>
              <w:right w:val="single" w:sz="8" w:space="0" w:color="FFFFFF"/>
            </w:tcBorders>
            <w:shd w:val="clear" w:color="auto" w:fill="FFFFFF"/>
            <w:tcMar>
              <w:top w:w="171" w:type="nil"/>
              <w:left w:w="20" w:type="nil"/>
              <w:right w:w="171" w:type="nil"/>
            </w:tcMar>
          </w:tcPr>
          <w:p w14:paraId="66D79890" w14:textId="77777777" w:rsidR="00C016E8" w:rsidRPr="00702DDD" w:rsidRDefault="00C016E8" w:rsidP="00E83386">
            <w:pPr>
              <w:rPr>
                <w:rFonts w:ascii="Times New Roman" w:hAnsi="Times New Roman" w:cs="Times New Roman"/>
                <w:bCs/>
              </w:rPr>
            </w:pPr>
            <w:r w:rsidRPr="00702DDD">
              <w:rPr>
                <w:rFonts w:ascii="Times New Roman" w:hAnsi="Times New Roman" w:cs="Times New Roman"/>
                <w:bCs/>
              </w:rPr>
              <w:t>Fentress</w:t>
            </w:r>
          </w:p>
        </w:tc>
        <w:tc>
          <w:tcPr>
            <w:tcW w:w="1958"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7804B476"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10</w:t>
            </w:r>
          </w:p>
        </w:tc>
        <w:tc>
          <w:tcPr>
            <w:tcW w:w="2262"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678BFF23"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70</w:t>
            </w:r>
          </w:p>
        </w:tc>
        <w:tc>
          <w:tcPr>
            <w:tcW w:w="2072"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00C7CDB1"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20</w:t>
            </w:r>
          </w:p>
        </w:tc>
      </w:tr>
      <w:tr w:rsidR="00C016E8" w:rsidRPr="00702DDD" w14:paraId="7D3A40BE" w14:textId="77777777" w:rsidTr="00E83386">
        <w:tblPrEx>
          <w:tblBorders>
            <w:top w:val="none" w:sz="0" w:space="0" w:color="auto"/>
          </w:tblBorders>
        </w:tblPrEx>
        <w:trPr>
          <w:trHeight w:val="284"/>
        </w:trPr>
        <w:tc>
          <w:tcPr>
            <w:tcW w:w="2515" w:type="dxa"/>
            <w:tcBorders>
              <w:top w:val="single" w:sz="8" w:space="0" w:color="FFFFFF"/>
              <w:left w:val="single" w:sz="8" w:space="0" w:color="FFFFFF"/>
              <w:bottom w:val="single" w:sz="8" w:space="0" w:color="FFFFFF"/>
              <w:right w:val="single" w:sz="8" w:space="0" w:color="FFFFFF"/>
            </w:tcBorders>
            <w:shd w:val="clear" w:color="auto" w:fill="FFFFFF"/>
            <w:tcMar>
              <w:top w:w="171" w:type="nil"/>
              <w:left w:w="20" w:type="nil"/>
              <w:right w:w="171" w:type="nil"/>
            </w:tcMar>
          </w:tcPr>
          <w:p w14:paraId="5BA0BEE8" w14:textId="77777777" w:rsidR="00C016E8" w:rsidRPr="00702DDD" w:rsidRDefault="00C016E8" w:rsidP="00E83386">
            <w:pPr>
              <w:rPr>
                <w:rFonts w:ascii="Times New Roman" w:hAnsi="Times New Roman" w:cs="Times New Roman"/>
                <w:bCs/>
              </w:rPr>
            </w:pPr>
            <w:r w:rsidRPr="00702DDD">
              <w:rPr>
                <w:rFonts w:ascii="Times New Roman" w:hAnsi="Times New Roman" w:cs="Times New Roman"/>
                <w:bCs/>
              </w:rPr>
              <w:t>Grundy</w:t>
            </w:r>
          </w:p>
        </w:tc>
        <w:tc>
          <w:tcPr>
            <w:tcW w:w="1958"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40C8B1F2"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20</w:t>
            </w:r>
          </w:p>
        </w:tc>
        <w:tc>
          <w:tcPr>
            <w:tcW w:w="2262"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6E5F6308"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40</w:t>
            </w:r>
          </w:p>
        </w:tc>
        <w:tc>
          <w:tcPr>
            <w:tcW w:w="2072"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5C672D1B"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20</w:t>
            </w:r>
          </w:p>
        </w:tc>
      </w:tr>
      <w:tr w:rsidR="00C016E8" w:rsidRPr="00702DDD" w14:paraId="3EE5CE78" w14:textId="77777777" w:rsidTr="00911A65">
        <w:tblPrEx>
          <w:tblBorders>
            <w:top w:val="none" w:sz="0" w:space="0" w:color="auto"/>
          </w:tblBorders>
        </w:tblPrEx>
        <w:trPr>
          <w:trHeight w:val="284"/>
        </w:trPr>
        <w:tc>
          <w:tcPr>
            <w:tcW w:w="2515" w:type="dxa"/>
            <w:tcBorders>
              <w:top w:val="single" w:sz="8" w:space="0" w:color="FFFFFF"/>
              <w:left w:val="single" w:sz="8" w:space="0" w:color="FFFFFF"/>
              <w:bottom w:val="single" w:sz="8" w:space="0" w:color="FFFFFF"/>
              <w:right w:val="single" w:sz="8" w:space="0" w:color="FFFFFF"/>
            </w:tcBorders>
            <w:shd w:val="clear" w:color="auto" w:fill="FFFFFF"/>
            <w:tcMar>
              <w:top w:w="171" w:type="nil"/>
              <w:left w:w="20" w:type="nil"/>
              <w:right w:w="171" w:type="nil"/>
            </w:tcMar>
          </w:tcPr>
          <w:p w14:paraId="3ED2B45B" w14:textId="77777777" w:rsidR="00C016E8" w:rsidRPr="00702DDD" w:rsidRDefault="00C016E8" w:rsidP="00E83386">
            <w:pPr>
              <w:rPr>
                <w:rFonts w:ascii="Times New Roman" w:hAnsi="Times New Roman" w:cs="Times New Roman"/>
                <w:bCs/>
              </w:rPr>
            </w:pPr>
            <w:r w:rsidRPr="00702DDD">
              <w:rPr>
                <w:rFonts w:ascii="Times New Roman" w:hAnsi="Times New Roman" w:cs="Times New Roman"/>
                <w:bCs/>
              </w:rPr>
              <w:t>Hancock</w:t>
            </w:r>
          </w:p>
        </w:tc>
        <w:tc>
          <w:tcPr>
            <w:tcW w:w="1958"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345DE04D"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0</w:t>
            </w:r>
          </w:p>
        </w:tc>
        <w:tc>
          <w:tcPr>
            <w:tcW w:w="2262"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1072AA44"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80</w:t>
            </w:r>
          </w:p>
        </w:tc>
        <w:tc>
          <w:tcPr>
            <w:tcW w:w="2072"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19FAA056"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10</w:t>
            </w:r>
          </w:p>
        </w:tc>
      </w:tr>
      <w:tr w:rsidR="00C016E8" w:rsidRPr="00702DDD" w14:paraId="59E616B0" w14:textId="77777777" w:rsidTr="00911A65">
        <w:tblPrEx>
          <w:tblBorders>
            <w:top w:val="none" w:sz="0" w:space="0" w:color="auto"/>
          </w:tblBorders>
        </w:tblPrEx>
        <w:trPr>
          <w:trHeight w:val="269"/>
        </w:trPr>
        <w:tc>
          <w:tcPr>
            <w:tcW w:w="2515" w:type="dxa"/>
            <w:tcBorders>
              <w:top w:val="single" w:sz="8" w:space="0" w:color="FFFFFF"/>
              <w:left w:val="single" w:sz="8" w:space="0" w:color="FFFFFF"/>
              <w:bottom w:val="single" w:sz="4" w:space="0" w:color="auto"/>
              <w:right w:val="single" w:sz="8" w:space="0" w:color="FFFFFF"/>
            </w:tcBorders>
            <w:shd w:val="clear" w:color="auto" w:fill="FFFFFF"/>
            <w:tcMar>
              <w:top w:w="171" w:type="nil"/>
              <w:left w:w="20" w:type="nil"/>
              <w:right w:w="171" w:type="nil"/>
            </w:tcMar>
          </w:tcPr>
          <w:p w14:paraId="112EB986" w14:textId="77777777" w:rsidR="00C016E8" w:rsidRPr="00702DDD" w:rsidRDefault="00C016E8" w:rsidP="00E83386">
            <w:pPr>
              <w:rPr>
                <w:rFonts w:ascii="Times New Roman" w:hAnsi="Times New Roman" w:cs="Times New Roman"/>
                <w:bCs/>
              </w:rPr>
            </w:pPr>
            <w:r w:rsidRPr="00702DDD">
              <w:rPr>
                <w:rFonts w:ascii="Times New Roman" w:hAnsi="Times New Roman" w:cs="Times New Roman"/>
                <w:bCs/>
              </w:rPr>
              <w:t>Hardeman</w:t>
            </w:r>
          </w:p>
        </w:tc>
        <w:tc>
          <w:tcPr>
            <w:tcW w:w="1958" w:type="dxa"/>
            <w:tcBorders>
              <w:top w:val="single" w:sz="8" w:space="0" w:color="FFFFFF"/>
              <w:left w:val="single" w:sz="8" w:space="0" w:color="FFFFFF"/>
              <w:bottom w:val="single" w:sz="4" w:space="0" w:color="auto"/>
              <w:right w:val="single" w:sz="8" w:space="0" w:color="FFFFFF"/>
            </w:tcBorders>
            <w:shd w:val="clear" w:color="auto" w:fill="auto"/>
            <w:tcMar>
              <w:top w:w="171" w:type="nil"/>
              <w:left w:w="20" w:type="nil"/>
              <w:right w:w="171" w:type="nil"/>
            </w:tcMar>
          </w:tcPr>
          <w:p w14:paraId="488FFAAF"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20</w:t>
            </w:r>
          </w:p>
        </w:tc>
        <w:tc>
          <w:tcPr>
            <w:tcW w:w="2262" w:type="dxa"/>
            <w:tcBorders>
              <w:top w:val="single" w:sz="8" w:space="0" w:color="FFFFFF"/>
              <w:left w:val="single" w:sz="8" w:space="0" w:color="FFFFFF"/>
              <w:bottom w:val="single" w:sz="4" w:space="0" w:color="auto"/>
              <w:right w:val="single" w:sz="8" w:space="0" w:color="FFFFFF"/>
            </w:tcBorders>
            <w:shd w:val="clear" w:color="auto" w:fill="auto"/>
            <w:tcMar>
              <w:top w:w="171" w:type="nil"/>
              <w:left w:w="20" w:type="nil"/>
              <w:right w:w="171" w:type="nil"/>
            </w:tcMar>
          </w:tcPr>
          <w:p w14:paraId="5690DD78"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10</w:t>
            </w:r>
          </w:p>
        </w:tc>
        <w:tc>
          <w:tcPr>
            <w:tcW w:w="2072" w:type="dxa"/>
            <w:tcBorders>
              <w:top w:val="single" w:sz="8" w:space="0" w:color="FFFFFF"/>
              <w:left w:val="single" w:sz="8" w:space="0" w:color="FFFFFF"/>
              <w:bottom w:val="single" w:sz="4" w:space="0" w:color="auto"/>
              <w:right w:val="single" w:sz="8" w:space="0" w:color="FFFFFF"/>
            </w:tcBorders>
            <w:shd w:val="clear" w:color="auto" w:fill="auto"/>
            <w:tcMar>
              <w:top w:w="171" w:type="nil"/>
              <w:left w:w="20" w:type="nil"/>
              <w:right w:w="171" w:type="nil"/>
            </w:tcMar>
          </w:tcPr>
          <w:p w14:paraId="0E8D32E4"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30</w:t>
            </w:r>
          </w:p>
        </w:tc>
      </w:tr>
    </w:tbl>
    <w:p w14:paraId="0D0E485F" w14:textId="0AE63C5C" w:rsidR="00D20D63" w:rsidRPr="00702DDD" w:rsidRDefault="00D20D63">
      <w:pPr>
        <w:rPr>
          <w:rFonts w:ascii="Times New Roman" w:hAnsi="Times New Roman" w:cs="Times New Roman"/>
          <w:b/>
        </w:rPr>
      </w:pPr>
      <w:r w:rsidRPr="00702DDD">
        <w:rPr>
          <w:rFonts w:ascii="Times New Roman" w:hAnsi="Times New Roman" w:cs="Times New Roman"/>
          <w:b/>
        </w:rPr>
        <w:lastRenderedPageBreak/>
        <w:t>Table 2.</w:t>
      </w:r>
      <w:r w:rsidR="00C72EA1">
        <w:rPr>
          <w:rFonts w:ascii="Times New Roman" w:hAnsi="Times New Roman" w:cs="Times New Roman"/>
          <w:b/>
        </w:rPr>
        <w:t>2:</w:t>
      </w:r>
      <w:r w:rsidRPr="00702DDD">
        <w:rPr>
          <w:rFonts w:ascii="Times New Roman" w:hAnsi="Times New Roman" w:cs="Times New Roman"/>
          <w:b/>
        </w:rPr>
        <w:t xml:space="preserve"> Continued </w:t>
      </w:r>
    </w:p>
    <w:tbl>
      <w:tblPr>
        <w:tblW w:w="8807" w:type="dxa"/>
        <w:tblInd w:w="-118" w:type="dxa"/>
        <w:tblBorders>
          <w:left w:val="nil"/>
          <w:right w:val="nil"/>
        </w:tblBorders>
        <w:tblLayout w:type="fixed"/>
        <w:tblLook w:val="0000" w:firstRow="0" w:lastRow="0" w:firstColumn="0" w:lastColumn="0" w:noHBand="0" w:noVBand="0"/>
      </w:tblPr>
      <w:tblGrid>
        <w:gridCol w:w="2515"/>
        <w:gridCol w:w="1958"/>
        <w:gridCol w:w="2262"/>
        <w:gridCol w:w="2072"/>
      </w:tblGrid>
      <w:tr w:rsidR="00C016E8" w:rsidRPr="00702DDD" w14:paraId="33678525" w14:textId="77777777" w:rsidTr="00D20D63">
        <w:trPr>
          <w:trHeight w:val="284"/>
        </w:trPr>
        <w:tc>
          <w:tcPr>
            <w:tcW w:w="2515" w:type="dxa"/>
            <w:tcBorders>
              <w:top w:val="single" w:sz="4" w:space="0" w:color="auto"/>
              <w:left w:val="single" w:sz="8" w:space="0" w:color="FFFFFF"/>
              <w:bottom w:val="single" w:sz="8" w:space="0" w:color="FFFFFF"/>
              <w:right w:val="single" w:sz="8" w:space="0" w:color="FFFFFF"/>
            </w:tcBorders>
            <w:shd w:val="clear" w:color="auto" w:fill="FFFFFF"/>
            <w:tcMar>
              <w:top w:w="171" w:type="nil"/>
              <w:left w:w="20" w:type="nil"/>
              <w:right w:w="171" w:type="nil"/>
            </w:tcMar>
          </w:tcPr>
          <w:p w14:paraId="6B01512D" w14:textId="77777777" w:rsidR="00C016E8" w:rsidRPr="00702DDD" w:rsidRDefault="00C016E8" w:rsidP="00E83386">
            <w:pPr>
              <w:rPr>
                <w:rFonts w:ascii="Times New Roman" w:hAnsi="Times New Roman" w:cs="Times New Roman"/>
                <w:bCs/>
              </w:rPr>
            </w:pPr>
            <w:r w:rsidRPr="00702DDD">
              <w:rPr>
                <w:rFonts w:ascii="Times New Roman" w:hAnsi="Times New Roman" w:cs="Times New Roman"/>
                <w:bCs/>
              </w:rPr>
              <w:t>Jackson</w:t>
            </w:r>
          </w:p>
        </w:tc>
        <w:tc>
          <w:tcPr>
            <w:tcW w:w="1958" w:type="dxa"/>
            <w:tcBorders>
              <w:top w:val="single" w:sz="4" w:space="0" w:color="auto"/>
              <w:left w:val="single" w:sz="8" w:space="0" w:color="FFFFFF"/>
              <w:bottom w:val="single" w:sz="8" w:space="0" w:color="FFFFFF"/>
              <w:right w:val="single" w:sz="8" w:space="0" w:color="FFFFFF"/>
            </w:tcBorders>
            <w:shd w:val="clear" w:color="auto" w:fill="auto"/>
            <w:tcMar>
              <w:top w:w="171" w:type="nil"/>
              <w:left w:w="20" w:type="nil"/>
              <w:right w:w="171" w:type="nil"/>
            </w:tcMar>
          </w:tcPr>
          <w:p w14:paraId="2C941320"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10</w:t>
            </w:r>
          </w:p>
        </w:tc>
        <w:tc>
          <w:tcPr>
            <w:tcW w:w="2262" w:type="dxa"/>
            <w:tcBorders>
              <w:top w:val="single" w:sz="4" w:space="0" w:color="auto"/>
              <w:left w:val="single" w:sz="8" w:space="0" w:color="FFFFFF"/>
              <w:bottom w:val="single" w:sz="8" w:space="0" w:color="FFFFFF"/>
              <w:right w:val="single" w:sz="8" w:space="0" w:color="FFFFFF"/>
            </w:tcBorders>
            <w:shd w:val="clear" w:color="auto" w:fill="auto"/>
            <w:tcMar>
              <w:top w:w="171" w:type="nil"/>
              <w:left w:w="20" w:type="nil"/>
              <w:right w:w="171" w:type="nil"/>
            </w:tcMar>
          </w:tcPr>
          <w:p w14:paraId="47AE7C21"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50</w:t>
            </w:r>
          </w:p>
        </w:tc>
        <w:tc>
          <w:tcPr>
            <w:tcW w:w="2072" w:type="dxa"/>
            <w:tcBorders>
              <w:top w:val="single" w:sz="4" w:space="0" w:color="auto"/>
              <w:left w:val="single" w:sz="8" w:space="0" w:color="FFFFFF"/>
              <w:bottom w:val="single" w:sz="8" w:space="0" w:color="FFFFFF"/>
              <w:right w:val="single" w:sz="8" w:space="0" w:color="FFFFFF"/>
            </w:tcBorders>
            <w:shd w:val="clear" w:color="auto" w:fill="auto"/>
            <w:tcMar>
              <w:top w:w="171" w:type="nil"/>
              <w:left w:w="20" w:type="nil"/>
              <w:right w:w="171" w:type="nil"/>
            </w:tcMar>
          </w:tcPr>
          <w:p w14:paraId="0BDCDF19"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30</w:t>
            </w:r>
          </w:p>
        </w:tc>
      </w:tr>
      <w:tr w:rsidR="00C016E8" w:rsidRPr="00702DDD" w14:paraId="77C12B01" w14:textId="77777777" w:rsidTr="00E83386">
        <w:trPr>
          <w:trHeight w:val="284"/>
        </w:trPr>
        <w:tc>
          <w:tcPr>
            <w:tcW w:w="2515" w:type="dxa"/>
            <w:tcBorders>
              <w:top w:val="single" w:sz="8" w:space="0" w:color="FFFFFF"/>
              <w:left w:val="single" w:sz="8" w:space="0" w:color="FFFFFF"/>
              <w:bottom w:val="single" w:sz="8" w:space="0" w:color="FFFFFF"/>
              <w:right w:val="single" w:sz="8" w:space="0" w:color="FFFFFF"/>
            </w:tcBorders>
            <w:shd w:val="clear" w:color="auto" w:fill="FFFFFF"/>
            <w:tcMar>
              <w:top w:w="171" w:type="nil"/>
              <w:left w:w="20" w:type="nil"/>
              <w:right w:w="171" w:type="nil"/>
            </w:tcMar>
          </w:tcPr>
          <w:p w14:paraId="256BA5B9" w14:textId="77777777" w:rsidR="00C016E8" w:rsidRPr="00702DDD" w:rsidRDefault="00C016E8" w:rsidP="00E83386">
            <w:pPr>
              <w:rPr>
                <w:rFonts w:ascii="Times New Roman" w:hAnsi="Times New Roman" w:cs="Times New Roman"/>
                <w:bCs/>
              </w:rPr>
            </w:pPr>
            <w:r w:rsidRPr="00702DDD">
              <w:rPr>
                <w:rFonts w:ascii="Times New Roman" w:hAnsi="Times New Roman" w:cs="Times New Roman"/>
                <w:bCs/>
              </w:rPr>
              <w:t>Lake</w:t>
            </w:r>
          </w:p>
        </w:tc>
        <w:tc>
          <w:tcPr>
            <w:tcW w:w="1958"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2DC17669"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10</w:t>
            </w:r>
          </w:p>
        </w:tc>
        <w:tc>
          <w:tcPr>
            <w:tcW w:w="2262"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71E86991"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80</w:t>
            </w:r>
          </w:p>
        </w:tc>
        <w:tc>
          <w:tcPr>
            <w:tcW w:w="2072"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7C26CE31" w14:textId="6F0B4F69" w:rsidR="00052BDB" w:rsidRPr="00702DDD" w:rsidRDefault="00C016E8" w:rsidP="00833CA5">
            <w:pPr>
              <w:jc w:val="center"/>
              <w:rPr>
                <w:rFonts w:ascii="Times New Roman" w:hAnsi="Times New Roman" w:cs="Times New Roman"/>
                <w:bCs/>
              </w:rPr>
            </w:pPr>
            <w:r w:rsidRPr="00702DDD">
              <w:rPr>
                <w:rFonts w:ascii="Times New Roman" w:hAnsi="Times New Roman" w:cs="Times New Roman"/>
                <w:bCs/>
              </w:rPr>
              <w:t>0</w:t>
            </w:r>
          </w:p>
        </w:tc>
      </w:tr>
      <w:tr w:rsidR="00C016E8" w:rsidRPr="00702DDD" w14:paraId="589CFB51" w14:textId="77777777" w:rsidTr="00E83386">
        <w:trPr>
          <w:trHeight w:val="269"/>
        </w:trPr>
        <w:tc>
          <w:tcPr>
            <w:tcW w:w="2515" w:type="dxa"/>
            <w:tcBorders>
              <w:top w:val="single" w:sz="8" w:space="0" w:color="FFFFFF"/>
              <w:left w:val="single" w:sz="8" w:space="0" w:color="FFFFFF"/>
              <w:bottom w:val="single" w:sz="8" w:space="0" w:color="FFFFFF"/>
              <w:right w:val="single" w:sz="8" w:space="0" w:color="FFFFFF"/>
            </w:tcBorders>
            <w:shd w:val="clear" w:color="auto" w:fill="FFFFFF"/>
            <w:tcMar>
              <w:top w:w="171" w:type="nil"/>
              <w:left w:w="20" w:type="nil"/>
              <w:right w:w="171" w:type="nil"/>
            </w:tcMar>
          </w:tcPr>
          <w:p w14:paraId="489BB348" w14:textId="77777777" w:rsidR="00C016E8" w:rsidRPr="00702DDD" w:rsidRDefault="00C016E8" w:rsidP="00E83386">
            <w:pPr>
              <w:rPr>
                <w:rFonts w:ascii="Times New Roman" w:hAnsi="Times New Roman" w:cs="Times New Roman"/>
                <w:bCs/>
              </w:rPr>
            </w:pPr>
            <w:r w:rsidRPr="00702DDD">
              <w:rPr>
                <w:rFonts w:ascii="Times New Roman" w:hAnsi="Times New Roman" w:cs="Times New Roman"/>
                <w:bCs/>
              </w:rPr>
              <w:t>Lauderdale</w:t>
            </w:r>
          </w:p>
        </w:tc>
        <w:tc>
          <w:tcPr>
            <w:tcW w:w="1958"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1839BCFB"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20</w:t>
            </w:r>
          </w:p>
        </w:tc>
        <w:tc>
          <w:tcPr>
            <w:tcW w:w="2262"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7A13AB44" w14:textId="77777777" w:rsidR="00C016E8" w:rsidRPr="00702DDD" w:rsidRDefault="00C016E8" w:rsidP="00833CA5">
            <w:pPr>
              <w:jc w:val="center"/>
              <w:rPr>
                <w:rFonts w:ascii="Times New Roman" w:hAnsi="Times New Roman" w:cs="Times New Roman"/>
                <w:bCs/>
              </w:rPr>
            </w:pPr>
            <w:r w:rsidRPr="00702DDD">
              <w:rPr>
                <w:rFonts w:ascii="Times New Roman" w:hAnsi="Times New Roman" w:cs="Times New Roman"/>
                <w:bCs/>
              </w:rPr>
              <w:t>20</w:t>
            </w:r>
          </w:p>
        </w:tc>
        <w:tc>
          <w:tcPr>
            <w:tcW w:w="2072"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5F9E57D9"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10</w:t>
            </w:r>
          </w:p>
        </w:tc>
      </w:tr>
      <w:tr w:rsidR="00C016E8" w:rsidRPr="00702DDD" w14:paraId="45C0E8EC" w14:textId="77777777" w:rsidTr="00E83386">
        <w:trPr>
          <w:trHeight w:val="284"/>
        </w:trPr>
        <w:tc>
          <w:tcPr>
            <w:tcW w:w="2515" w:type="dxa"/>
            <w:tcBorders>
              <w:top w:val="single" w:sz="8" w:space="0" w:color="FFFFFF"/>
              <w:left w:val="single" w:sz="8" w:space="0" w:color="FFFFFF"/>
              <w:bottom w:val="single" w:sz="8" w:space="0" w:color="FFFFFF"/>
              <w:right w:val="single" w:sz="8" w:space="0" w:color="FFFFFF"/>
            </w:tcBorders>
            <w:shd w:val="clear" w:color="auto" w:fill="FFFFFF"/>
            <w:tcMar>
              <w:top w:w="171" w:type="nil"/>
              <w:left w:w="20" w:type="nil"/>
              <w:right w:w="171" w:type="nil"/>
            </w:tcMar>
          </w:tcPr>
          <w:p w14:paraId="19624A50" w14:textId="77777777" w:rsidR="00C016E8" w:rsidRPr="00702DDD" w:rsidRDefault="00C016E8" w:rsidP="00E83386">
            <w:pPr>
              <w:rPr>
                <w:rFonts w:ascii="Times New Roman" w:hAnsi="Times New Roman" w:cs="Times New Roman"/>
                <w:bCs/>
              </w:rPr>
            </w:pPr>
            <w:r w:rsidRPr="00702DDD">
              <w:rPr>
                <w:rFonts w:ascii="Times New Roman" w:hAnsi="Times New Roman" w:cs="Times New Roman"/>
                <w:bCs/>
              </w:rPr>
              <w:t>McNairy</w:t>
            </w:r>
          </w:p>
        </w:tc>
        <w:tc>
          <w:tcPr>
            <w:tcW w:w="1958"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6AC9AA83"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20</w:t>
            </w:r>
          </w:p>
        </w:tc>
        <w:tc>
          <w:tcPr>
            <w:tcW w:w="2262"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559F606B"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30</w:t>
            </w:r>
          </w:p>
        </w:tc>
        <w:tc>
          <w:tcPr>
            <w:tcW w:w="2072"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5E42DA63"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20</w:t>
            </w:r>
          </w:p>
        </w:tc>
      </w:tr>
      <w:tr w:rsidR="00C016E8" w:rsidRPr="00702DDD" w14:paraId="3CB9FCB3" w14:textId="77777777" w:rsidTr="00E83386">
        <w:trPr>
          <w:trHeight w:val="284"/>
        </w:trPr>
        <w:tc>
          <w:tcPr>
            <w:tcW w:w="2515" w:type="dxa"/>
            <w:tcBorders>
              <w:top w:val="single" w:sz="8" w:space="0" w:color="FFFFFF"/>
              <w:left w:val="single" w:sz="8" w:space="0" w:color="FFFFFF"/>
              <w:bottom w:val="single" w:sz="8" w:space="0" w:color="FFFFFF"/>
              <w:right w:val="single" w:sz="8" w:space="0" w:color="FFFFFF"/>
            </w:tcBorders>
            <w:shd w:val="clear" w:color="auto" w:fill="FFFFFF"/>
            <w:tcMar>
              <w:top w:w="171" w:type="nil"/>
              <w:left w:w="20" w:type="nil"/>
              <w:right w:w="171" w:type="nil"/>
            </w:tcMar>
          </w:tcPr>
          <w:p w14:paraId="14B4813A" w14:textId="77777777" w:rsidR="00C016E8" w:rsidRPr="00702DDD" w:rsidRDefault="00C016E8" w:rsidP="00E83386">
            <w:pPr>
              <w:rPr>
                <w:rFonts w:ascii="Times New Roman" w:hAnsi="Times New Roman" w:cs="Times New Roman"/>
                <w:bCs/>
              </w:rPr>
            </w:pPr>
            <w:r w:rsidRPr="00702DDD">
              <w:rPr>
                <w:rFonts w:ascii="Times New Roman" w:hAnsi="Times New Roman" w:cs="Times New Roman"/>
                <w:bCs/>
              </w:rPr>
              <w:t>Morgan</w:t>
            </w:r>
          </w:p>
        </w:tc>
        <w:tc>
          <w:tcPr>
            <w:tcW w:w="1958"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6BCE393A"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30</w:t>
            </w:r>
          </w:p>
        </w:tc>
        <w:tc>
          <w:tcPr>
            <w:tcW w:w="2262"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617657E2"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40</w:t>
            </w:r>
          </w:p>
        </w:tc>
        <w:tc>
          <w:tcPr>
            <w:tcW w:w="2072"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14167603"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20</w:t>
            </w:r>
          </w:p>
        </w:tc>
      </w:tr>
      <w:tr w:rsidR="00C016E8" w:rsidRPr="00702DDD" w14:paraId="6A893A10" w14:textId="77777777" w:rsidTr="00E83386">
        <w:trPr>
          <w:trHeight w:val="284"/>
        </w:trPr>
        <w:tc>
          <w:tcPr>
            <w:tcW w:w="2515" w:type="dxa"/>
            <w:tcBorders>
              <w:top w:val="single" w:sz="8" w:space="0" w:color="FFFFFF"/>
              <w:left w:val="single" w:sz="8" w:space="0" w:color="FFFFFF"/>
              <w:bottom w:val="single" w:sz="8" w:space="0" w:color="FFFFFF"/>
              <w:right w:val="single" w:sz="8" w:space="0" w:color="FFFFFF"/>
            </w:tcBorders>
            <w:shd w:val="clear" w:color="auto" w:fill="FFFFFF"/>
            <w:tcMar>
              <w:top w:w="171" w:type="nil"/>
              <w:left w:w="20" w:type="nil"/>
              <w:right w:w="171" w:type="nil"/>
            </w:tcMar>
          </w:tcPr>
          <w:p w14:paraId="46202DED" w14:textId="77777777" w:rsidR="00C016E8" w:rsidRPr="00702DDD" w:rsidRDefault="00C016E8" w:rsidP="00E83386">
            <w:pPr>
              <w:rPr>
                <w:rFonts w:ascii="Times New Roman" w:hAnsi="Times New Roman" w:cs="Times New Roman"/>
                <w:bCs/>
              </w:rPr>
            </w:pPr>
            <w:r w:rsidRPr="00702DDD">
              <w:rPr>
                <w:rFonts w:ascii="Times New Roman" w:hAnsi="Times New Roman" w:cs="Times New Roman"/>
                <w:bCs/>
              </w:rPr>
              <w:t>Perry</w:t>
            </w:r>
          </w:p>
        </w:tc>
        <w:tc>
          <w:tcPr>
            <w:tcW w:w="1958"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5B8EC133"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30</w:t>
            </w:r>
          </w:p>
        </w:tc>
        <w:tc>
          <w:tcPr>
            <w:tcW w:w="2262"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0E96B525"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80</w:t>
            </w:r>
          </w:p>
        </w:tc>
        <w:tc>
          <w:tcPr>
            <w:tcW w:w="2072"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46B00A55"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20</w:t>
            </w:r>
          </w:p>
        </w:tc>
      </w:tr>
      <w:tr w:rsidR="00C016E8" w:rsidRPr="00702DDD" w14:paraId="20530B68" w14:textId="77777777" w:rsidTr="00E83386">
        <w:trPr>
          <w:trHeight w:val="269"/>
        </w:trPr>
        <w:tc>
          <w:tcPr>
            <w:tcW w:w="2515" w:type="dxa"/>
            <w:tcBorders>
              <w:top w:val="single" w:sz="8" w:space="0" w:color="FFFFFF"/>
              <w:left w:val="single" w:sz="8" w:space="0" w:color="FFFFFF"/>
              <w:bottom w:val="single" w:sz="8" w:space="0" w:color="FFFFFF"/>
              <w:right w:val="single" w:sz="8" w:space="0" w:color="FFFFFF"/>
            </w:tcBorders>
            <w:shd w:val="clear" w:color="auto" w:fill="FFFFFF"/>
            <w:tcMar>
              <w:top w:w="171" w:type="nil"/>
              <w:left w:w="20" w:type="nil"/>
              <w:right w:w="171" w:type="nil"/>
            </w:tcMar>
          </w:tcPr>
          <w:p w14:paraId="2D857A30" w14:textId="77777777" w:rsidR="00C016E8" w:rsidRPr="00702DDD" w:rsidRDefault="00C016E8" w:rsidP="00E83386">
            <w:pPr>
              <w:rPr>
                <w:rFonts w:ascii="Times New Roman" w:hAnsi="Times New Roman" w:cs="Times New Roman"/>
                <w:bCs/>
              </w:rPr>
            </w:pPr>
            <w:r w:rsidRPr="00702DDD">
              <w:rPr>
                <w:rFonts w:ascii="Times New Roman" w:hAnsi="Times New Roman" w:cs="Times New Roman"/>
                <w:bCs/>
              </w:rPr>
              <w:t>Scott</w:t>
            </w:r>
          </w:p>
        </w:tc>
        <w:tc>
          <w:tcPr>
            <w:tcW w:w="1958"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74AD5F5F"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20</w:t>
            </w:r>
          </w:p>
        </w:tc>
        <w:tc>
          <w:tcPr>
            <w:tcW w:w="2262"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3A30BAD8"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60</w:t>
            </w:r>
          </w:p>
        </w:tc>
        <w:tc>
          <w:tcPr>
            <w:tcW w:w="2072" w:type="dxa"/>
            <w:tcBorders>
              <w:top w:val="single" w:sz="8" w:space="0" w:color="FFFFFF"/>
              <w:left w:val="single" w:sz="8" w:space="0" w:color="FFFFFF"/>
              <w:bottom w:val="single" w:sz="8" w:space="0" w:color="FFFFFF"/>
              <w:right w:val="single" w:sz="8" w:space="0" w:color="FFFFFF"/>
            </w:tcBorders>
            <w:shd w:val="clear" w:color="auto" w:fill="auto"/>
            <w:tcMar>
              <w:top w:w="171" w:type="nil"/>
              <w:left w:w="20" w:type="nil"/>
              <w:right w:w="171" w:type="nil"/>
            </w:tcMar>
          </w:tcPr>
          <w:p w14:paraId="7A7CC9B5"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10</w:t>
            </w:r>
          </w:p>
        </w:tc>
      </w:tr>
      <w:tr w:rsidR="00C016E8" w:rsidRPr="00702DDD" w14:paraId="4A09A776" w14:textId="77777777" w:rsidTr="00E83386">
        <w:tblPrEx>
          <w:tblBorders>
            <w:top w:val="nil"/>
          </w:tblBorders>
        </w:tblPrEx>
        <w:trPr>
          <w:trHeight w:val="284"/>
        </w:trPr>
        <w:tc>
          <w:tcPr>
            <w:tcW w:w="2515" w:type="dxa"/>
            <w:tcBorders>
              <w:top w:val="single" w:sz="8" w:space="0" w:color="FFFFFF"/>
              <w:left w:val="single" w:sz="8" w:space="0" w:color="FFFFFF"/>
              <w:bottom w:val="single" w:sz="8" w:space="0" w:color="000000"/>
              <w:right w:val="single" w:sz="8" w:space="0" w:color="FFFFFF"/>
            </w:tcBorders>
            <w:shd w:val="clear" w:color="auto" w:fill="FFFFFF"/>
            <w:tcMar>
              <w:top w:w="171" w:type="nil"/>
              <w:left w:w="20" w:type="nil"/>
              <w:right w:w="171" w:type="nil"/>
            </w:tcMar>
          </w:tcPr>
          <w:p w14:paraId="2CE968ED" w14:textId="77777777" w:rsidR="00C016E8" w:rsidRPr="00702DDD" w:rsidRDefault="00C016E8" w:rsidP="00E83386">
            <w:pPr>
              <w:rPr>
                <w:rFonts w:ascii="Times New Roman" w:hAnsi="Times New Roman" w:cs="Times New Roman"/>
                <w:bCs/>
              </w:rPr>
            </w:pPr>
            <w:r w:rsidRPr="00702DDD">
              <w:rPr>
                <w:rFonts w:ascii="Times New Roman" w:hAnsi="Times New Roman" w:cs="Times New Roman"/>
                <w:bCs/>
              </w:rPr>
              <w:t>Van Buren</w:t>
            </w:r>
          </w:p>
        </w:tc>
        <w:tc>
          <w:tcPr>
            <w:tcW w:w="1958" w:type="dxa"/>
            <w:tcBorders>
              <w:top w:val="single" w:sz="8" w:space="0" w:color="FFFFFF"/>
              <w:left w:val="single" w:sz="8" w:space="0" w:color="FFFFFF"/>
              <w:bottom w:val="single" w:sz="8" w:space="0" w:color="000000"/>
              <w:right w:val="single" w:sz="8" w:space="0" w:color="FFFFFF"/>
            </w:tcBorders>
            <w:shd w:val="clear" w:color="auto" w:fill="auto"/>
            <w:tcMar>
              <w:top w:w="171" w:type="nil"/>
              <w:left w:w="20" w:type="nil"/>
              <w:right w:w="171" w:type="nil"/>
            </w:tcMar>
          </w:tcPr>
          <w:p w14:paraId="116B2544"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40</w:t>
            </w:r>
          </w:p>
        </w:tc>
        <w:tc>
          <w:tcPr>
            <w:tcW w:w="2262" w:type="dxa"/>
            <w:tcBorders>
              <w:top w:val="single" w:sz="8" w:space="0" w:color="FFFFFF"/>
              <w:left w:val="single" w:sz="8" w:space="0" w:color="FFFFFF"/>
              <w:bottom w:val="single" w:sz="8" w:space="0" w:color="000000"/>
              <w:right w:val="single" w:sz="8" w:space="0" w:color="FFFFFF"/>
            </w:tcBorders>
            <w:shd w:val="clear" w:color="auto" w:fill="auto"/>
            <w:tcMar>
              <w:top w:w="171" w:type="nil"/>
              <w:left w:w="20" w:type="nil"/>
              <w:right w:w="171" w:type="nil"/>
            </w:tcMar>
          </w:tcPr>
          <w:p w14:paraId="56815B06"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90</w:t>
            </w:r>
          </w:p>
        </w:tc>
        <w:tc>
          <w:tcPr>
            <w:tcW w:w="2072" w:type="dxa"/>
            <w:tcBorders>
              <w:top w:val="single" w:sz="8" w:space="0" w:color="FFFFFF"/>
              <w:left w:val="single" w:sz="8" w:space="0" w:color="FFFFFF"/>
              <w:bottom w:val="single" w:sz="8" w:space="0" w:color="000000"/>
              <w:right w:val="single" w:sz="8" w:space="0" w:color="FFFFFF"/>
            </w:tcBorders>
            <w:shd w:val="clear" w:color="auto" w:fill="auto"/>
            <w:tcMar>
              <w:top w:w="171" w:type="nil"/>
              <w:left w:w="20" w:type="nil"/>
              <w:right w:w="171" w:type="nil"/>
            </w:tcMar>
          </w:tcPr>
          <w:p w14:paraId="3B8DCD4C" w14:textId="77777777" w:rsidR="00C016E8" w:rsidRPr="00702DDD" w:rsidRDefault="00C016E8" w:rsidP="00E83386">
            <w:pPr>
              <w:jc w:val="center"/>
              <w:rPr>
                <w:rFonts w:ascii="Times New Roman" w:hAnsi="Times New Roman" w:cs="Times New Roman"/>
                <w:bCs/>
              </w:rPr>
            </w:pPr>
            <w:r w:rsidRPr="00702DDD">
              <w:rPr>
                <w:rFonts w:ascii="Times New Roman" w:hAnsi="Times New Roman" w:cs="Times New Roman"/>
                <w:bCs/>
              </w:rPr>
              <w:t>50</w:t>
            </w:r>
          </w:p>
        </w:tc>
      </w:tr>
    </w:tbl>
    <w:p w14:paraId="5AF1FA08" w14:textId="77777777" w:rsidR="00C016E8" w:rsidRPr="00702DDD" w:rsidRDefault="00C016E8" w:rsidP="00C016E8">
      <w:pPr>
        <w:rPr>
          <w:rFonts w:ascii="Times New Roman" w:hAnsi="Times New Roman" w:cs="Times New Roman"/>
          <w:b/>
        </w:rPr>
      </w:pPr>
    </w:p>
    <w:p w14:paraId="1DE27613" w14:textId="77777777" w:rsidR="00C016E8" w:rsidRPr="00702DDD" w:rsidRDefault="00C016E8" w:rsidP="00C016E8">
      <w:pPr>
        <w:rPr>
          <w:rFonts w:ascii="Times New Roman" w:hAnsi="Times New Roman" w:cs="Times New Roman"/>
          <w:b/>
          <w:highlight w:val="green"/>
        </w:rPr>
      </w:pPr>
    </w:p>
    <w:p w14:paraId="2B4AEAE9" w14:textId="77777777" w:rsidR="00C016E8" w:rsidRPr="00702DDD" w:rsidRDefault="00C016E8" w:rsidP="00C016E8">
      <w:pPr>
        <w:rPr>
          <w:rFonts w:ascii="Times New Roman" w:hAnsi="Times New Roman" w:cs="Times New Roman"/>
          <w:b/>
        </w:rPr>
      </w:pPr>
    </w:p>
    <w:p w14:paraId="3C74CAC6" w14:textId="60549CCA" w:rsidR="00C016E8" w:rsidRPr="00702DDD" w:rsidRDefault="00C016E8" w:rsidP="00C016E8">
      <w:pPr>
        <w:rPr>
          <w:rFonts w:ascii="Times New Roman" w:hAnsi="Times New Roman" w:cs="Times New Roman"/>
          <w:b/>
        </w:rPr>
      </w:pPr>
      <w:r w:rsidRPr="00702DDD">
        <w:rPr>
          <w:rFonts w:ascii="Times New Roman" w:hAnsi="Times New Roman" w:cs="Times New Roman"/>
          <w:b/>
        </w:rPr>
        <w:t>Table 2</w:t>
      </w:r>
      <w:r w:rsidR="00C72EA1">
        <w:rPr>
          <w:rFonts w:ascii="Times New Roman" w:hAnsi="Times New Roman" w:cs="Times New Roman"/>
          <w:b/>
        </w:rPr>
        <w:t>.3:</w:t>
      </w:r>
      <w:r w:rsidRPr="00702DDD">
        <w:rPr>
          <w:rFonts w:ascii="Times New Roman" w:hAnsi="Times New Roman" w:cs="Times New Roman"/>
          <w:b/>
        </w:rPr>
        <w:t xml:space="preserve"> 2019 Tennessee Regional Multipliers </w:t>
      </w:r>
    </w:p>
    <w:tbl>
      <w:tblPr>
        <w:tblW w:w="0" w:type="auto"/>
        <w:tblInd w:w="-30" w:type="dxa"/>
        <w:tblLayout w:type="fixed"/>
        <w:tblLook w:val="0000" w:firstRow="0" w:lastRow="0" w:firstColumn="0" w:lastColumn="0" w:noHBand="0" w:noVBand="0"/>
      </w:tblPr>
      <w:tblGrid>
        <w:gridCol w:w="3051"/>
        <w:gridCol w:w="1430"/>
        <w:gridCol w:w="1430"/>
        <w:gridCol w:w="1430"/>
        <w:gridCol w:w="1430"/>
      </w:tblGrid>
      <w:tr w:rsidR="00C016E8" w:rsidRPr="00702DDD" w14:paraId="43F2D7FE" w14:textId="77777777" w:rsidTr="00E83386">
        <w:trPr>
          <w:trHeight w:val="289"/>
        </w:trPr>
        <w:tc>
          <w:tcPr>
            <w:tcW w:w="3051" w:type="dxa"/>
            <w:tcBorders>
              <w:top w:val="single" w:sz="4" w:space="0" w:color="auto"/>
            </w:tcBorders>
            <w:shd w:val="clear" w:color="auto" w:fill="ED7D31" w:themeFill="accent2"/>
          </w:tcPr>
          <w:p w14:paraId="6793EDB0" w14:textId="77777777" w:rsidR="00C016E8" w:rsidRPr="00702DDD" w:rsidRDefault="00C016E8" w:rsidP="00E83386">
            <w:pPr>
              <w:autoSpaceDE w:val="0"/>
              <w:autoSpaceDN w:val="0"/>
              <w:adjustRightInd w:val="0"/>
              <w:rPr>
                <w:rFonts w:ascii="Times New Roman" w:eastAsia="Calibri" w:hAnsi="Times New Roman" w:cs="Times New Roman"/>
                <w:b/>
                <w:bCs/>
                <w:color w:val="000000"/>
                <w:szCs w:val="22"/>
              </w:rPr>
            </w:pPr>
            <w:r w:rsidRPr="00702DDD">
              <w:rPr>
                <w:rFonts w:ascii="Times New Roman" w:eastAsia="Calibri" w:hAnsi="Times New Roman" w:cs="Times New Roman"/>
                <w:b/>
                <w:bCs/>
                <w:i/>
                <w:iCs/>
                <w:color w:val="000000"/>
                <w:szCs w:val="22"/>
              </w:rPr>
              <w:t>Region</w:t>
            </w:r>
          </w:p>
        </w:tc>
        <w:tc>
          <w:tcPr>
            <w:tcW w:w="1430" w:type="dxa"/>
            <w:tcBorders>
              <w:top w:val="single" w:sz="4" w:space="0" w:color="auto"/>
            </w:tcBorders>
            <w:shd w:val="clear" w:color="auto" w:fill="ED7D31" w:themeFill="accent2"/>
          </w:tcPr>
          <w:p w14:paraId="31125806" w14:textId="77777777" w:rsidR="00C016E8" w:rsidRPr="00702DDD" w:rsidRDefault="00C016E8" w:rsidP="00E83386">
            <w:pPr>
              <w:autoSpaceDE w:val="0"/>
              <w:autoSpaceDN w:val="0"/>
              <w:adjustRightInd w:val="0"/>
              <w:jc w:val="center"/>
              <w:rPr>
                <w:rFonts w:ascii="Times New Roman" w:eastAsia="Calibri" w:hAnsi="Times New Roman" w:cs="Times New Roman"/>
                <w:b/>
                <w:bCs/>
                <w:color w:val="000000"/>
                <w:szCs w:val="22"/>
              </w:rPr>
            </w:pPr>
            <w:r w:rsidRPr="00702DDD">
              <w:rPr>
                <w:rFonts w:ascii="Times New Roman" w:eastAsia="Calibri" w:hAnsi="Times New Roman" w:cs="Times New Roman"/>
                <w:b/>
                <w:bCs/>
                <w:i/>
                <w:iCs/>
                <w:color w:val="000000"/>
                <w:szCs w:val="22"/>
              </w:rPr>
              <w:t>Direct</w:t>
            </w:r>
          </w:p>
        </w:tc>
        <w:tc>
          <w:tcPr>
            <w:tcW w:w="1430" w:type="dxa"/>
            <w:tcBorders>
              <w:top w:val="single" w:sz="4" w:space="0" w:color="auto"/>
            </w:tcBorders>
            <w:shd w:val="clear" w:color="auto" w:fill="ED7D31" w:themeFill="accent2"/>
          </w:tcPr>
          <w:p w14:paraId="27C7A4EA" w14:textId="77777777" w:rsidR="00C016E8" w:rsidRPr="00702DDD" w:rsidRDefault="00C016E8" w:rsidP="00E83386">
            <w:pPr>
              <w:autoSpaceDE w:val="0"/>
              <w:autoSpaceDN w:val="0"/>
              <w:adjustRightInd w:val="0"/>
              <w:jc w:val="center"/>
              <w:rPr>
                <w:rFonts w:ascii="Times New Roman" w:eastAsia="Calibri" w:hAnsi="Times New Roman" w:cs="Times New Roman"/>
                <w:b/>
                <w:bCs/>
                <w:color w:val="000000"/>
                <w:szCs w:val="22"/>
              </w:rPr>
            </w:pPr>
            <w:r w:rsidRPr="00702DDD">
              <w:rPr>
                <w:rFonts w:ascii="Times New Roman" w:eastAsia="Calibri" w:hAnsi="Times New Roman" w:cs="Times New Roman"/>
                <w:b/>
                <w:bCs/>
                <w:i/>
                <w:iCs/>
                <w:color w:val="000000"/>
                <w:szCs w:val="22"/>
              </w:rPr>
              <w:t>Indirect</w:t>
            </w:r>
          </w:p>
        </w:tc>
        <w:tc>
          <w:tcPr>
            <w:tcW w:w="1430" w:type="dxa"/>
            <w:tcBorders>
              <w:top w:val="single" w:sz="4" w:space="0" w:color="auto"/>
            </w:tcBorders>
            <w:shd w:val="clear" w:color="auto" w:fill="ED7D31" w:themeFill="accent2"/>
          </w:tcPr>
          <w:p w14:paraId="310E6A78" w14:textId="77777777" w:rsidR="00C016E8" w:rsidRPr="00702DDD" w:rsidRDefault="00C016E8" w:rsidP="00E83386">
            <w:pPr>
              <w:autoSpaceDE w:val="0"/>
              <w:autoSpaceDN w:val="0"/>
              <w:adjustRightInd w:val="0"/>
              <w:jc w:val="center"/>
              <w:rPr>
                <w:rFonts w:ascii="Times New Roman" w:eastAsia="Calibri" w:hAnsi="Times New Roman" w:cs="Times New Roman"/>
                <w:b/>
                <w:bCs/>
                <w:color w:val="000000"/>
                <w:szCs w:val="22"/>
              </w:rPr>
            </w:pPr>
            <w:r w:rsidRPr="00702DDD">
              <w:rPr>
                <w:rFonts w:ascii="Times New Roman" w:eastAsia="Calibri" w:hAnsi="Times New Roman" w:cs="Times New Roman"/>
                <w:b/>
                <w:bCs/>
                <w:i/>
                <w:iCs/>
                <w:color w:val="000000"/>
                <w:szCs w:val="22"/>
              </w:rPr>
              <w:t>Induced</w:t>
            </w:r>
          </w:p>
        </w:tc>
        <w:tc>
          <w:tcPr>
            <w:tcW w:w="1430" w:type="dxa"/>
            <w:tcBorders>
              <w:top w:val="single" w:sz="4" w:space="0" w:color="auto"/>
            </w:tcBorders>
            <w:shd w:val="clear" w:color="auto" w:fill="ED7D31" w:themeFill="accent2"/>
          </w:tcPr>
          <w:p w14:paraId="11173FAF" w14:textId="77777777" w:rsidR="00C016E8" w:rsidRPr="00702DDD" w:rsidRDefault="00C016E8" w:rsidP="00E83386">
            <w:pPr>
              <w:autoSpaceDE w:val="0"/>
              <w:autoSpaceDN w:val="0"/>
              <w:adjustRightInd w:val="0"/>
              <w:jc w:val="center"/>
              <w:rPr>
                <w:rFonts w:ascii="Times New Roman" w:eastAsia="Calibri" w:hAnsi="Times New Roman" w:cs="Times New Roman"/>
                <w:b/>
                <w:bCs/>
                <w:color w:val="000000"/>
                <w:szCs w:val="22"/>
              </w:rPr>
            </w:pPr>
            <w:r w:rsidRPr="00702DDD">
              <w:rPr>
                <w:rFonts w:ascii="Times New Roman" w:eastAsia="Calibri" w:hAnsi="Times New Roman" w:cs="Times New Roman"/>
                <w:b/>
                <w:bCs/>
                <w:i/>
                <w:iCs/>
                <w:color w:val="000000"/>
                <w:szCs w:val="22"/>
              </w:rPr>
              <w:t>Total</w:t>
            </w:r>
          </w:p>
        </w:tc>
      </w:tr>
      <w:tr w:rsidR="00C016E8" w:rsidRPr="00702DDD" w14:paraId="00EC79E4" w14:textId="77777777" w:rsidTr="00E83386">
        <w:trPr>
          <w:trHeight w:val="289"/>
        </w:trPr>
        <w:tc>
          <w:tcPr>
            <w:tcW w:w="3051" w:type="dxa"/>
          </w:tcPr>
          <w:p w14:paraId="565506AF" w14:textId="77777777" w:rsidR="00C016E8" w:rsidRPr="00702DDD" w:rsidRDefault="00C016E8" w:rsidP="00E83386">
            <w:pPr>
              <w:autoSpaceDE w:val="0"/>
              <w:autoSpaceDN w:val="0"/>
              <w:adjustRightInd w:val="0"/>
              <w:rPr>
                <w:rFonts w:ascii="Times New Roman" w:eastAsia="Calibri" w:hAnsi="Times New Roman" w:cs="Times New Roman"/>
                <w:b/>
                <w:bCs/>
                <w:color w:val="000000"/>
                <w:szCs w:val="22"/>
              </w:rPr>
            </w:pPr>
            <w:r w:rsidRPr="00702DDD">
              <w:rPr>
                <w:rFonts w:ascii="Times New Roman" w:eastAsia="Calibri" w:hAnsi="Times New Roman" w:cs="Times New Roman"/>
                <w:b/>
                <w:bCs/>
                <w:color w:val="000000"/>
                <w:szCs w:val="22"/>
              </w:rPr>
              <w:t>Employment</w:t>
            </w:r>
          </w:p>
        </w:tc>
        <w:tc>
          <w:tcPr>
            <w:tcW w:w="1430" w:type="dxa"/>
          </w:tcPr>
          <w:p w14:paraId="16EE587E"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p>
        </w:tc>
        <w:tc>
          <w:tcPr>
            <w:tcW w:w="1430" w:type="dxa"/>
          </w:tcPr>
          <w:p w14:paraId="50C5A959"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p>
        </w:tc>
        <w:tc>
          <w:tcPr>
            <w:tcW w:w="1430" w:type="dxa"/>
          </w:tcPr>
          <w:p w14:paraId="49FE916D"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p>
        </w:tc>
        <w:tc>
          <w:tcPr>
            <w:tcW w:w="1430" w:type="dxa"/>
          </w:tcPr>
          <w:p w14:paraId="461DD11F"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p>
        </w:tc>
      </w:tr>
      <w:tr w:rsidR="00C016E8" w:rsidRPr="00702DDD" w14:paraId="6D6E5A43" w14:textId="77777777" w:rsidTr="00E83386">
        <w:trPr>
          <w:trHeight w:val="289"/>
        </w:trPr>
        <w:tc>
          <w:tcPr>
            <w:tcW w:w="3051" w:type="dxa"/>
          </w:tcPr>
          <w:p w14:paraId="0B0CDB53" w14:textId="77777777" w:rsidR="00C016E8" w:rsidRPr="00702DDD" w:rsidRDefault="00C016E8" w:rsidP="00E83386">
            <w:pPr>
              <w:autoSpaceDE w:val="0"/>
              <w:autoSpaceDN w:val="0"/>
              <w:adjustRightInd w:val="0"/>
              <w:rPr>
                <w:rFonts w:ascii="Times New Roman" w:eastAsia="Calibri" w:hAnsi="Times New Roman" w:cs="Times New Roman"/>
                <w:i/>
                <w:iCs/>
                <w:color w:val="000000"/>
                <w:szCs w:val="22"/>
              </w:rPr>
            </w:pPr>
            <w:r w:rsidRPr="00702DDD">
              <w:rPr>
                <w:rFonts w:ascii="Times New Roman" w:eastAsia="Calibri" w:hAnsi="Times New Roman" w:cs="Times New Roman"/>
                <w:color w:val="000000"/>
                <w:szCs w:val="22"/>
              </w:rPr>
              <w:t>Northwest</w:t>
            </w:r>
          </w:p>
        </w:tc>
        <w:tc>
          <w:tcPr>
            <w:tcW w:w="1430" w:type="dxa"/>
          </w:tcPr>
          <w:p w14:paraId="0746BB2D" w14:textId="77777777" w:rsidR="00C016E8" w:rsidRPr="00702DDD" w:rsidRDefault="00C016E8" w:rsidP="00E83386">
            <w:pPr>
              <w:autoSpaceDE w:val="0"/>
              <w:autoSpaceDN w:val="0"/>
              <w:adjustRightInd w:val="0"/>
              <w:jc w:val="center"/>
              <w:rPr>
                <w:rFonts w:ascii="Times New Roman" w:eastAsia="Calibri" w:hAnsi="Times New Roman" w:cs="Times New Roman"/>
                <w:i/>
                <w:iCs/>
                <w:color w:val="000000"/>
                <w:szCs w:val="22"/>
              </w:rPr>
            </w:pPr>
            <w:r w:rsidRPr="00702DDD">
              <w:rPr>
                <w:rFonts w:ascii="Times New Roman" w:eastAsia="Calibri" w:hAnsi="Times New Roman" w:cs="Times New Roman"/>
                <w:color w:val="000000"/>
                <w:szCs w:val="22"/>
              </w:rPr>
              <w:t>1.00</w:t>
            </w:r>
          </w:p>
        </w:tc>
        <w:tc>
          <w:tcPr>
            <w:tcW w:w="1430" w:type="dxa"/>
          </w:tcPr>
          <w:p w14:paraId="3F8758EB" w14:textId="77777777" w:rsidR="00C016E8" w:rsidRPr="00702DDD" w:rsidRDefault="00C016E8" w:rsidP="00E83386">
            <w:pPr>
              <w:autoSpaceDE w:val="0"/>
              <w:autoSpaceDN w:val="0"/>
              <w:adjustRightInd w:val="0"/>
              <w:jc w:val="center"/>
              <w:rPr>
                <w:rFonts w:ascii="Times New Roman" w:eastAsia="Calibri" w:hAnsi="Times New Roman" w:cs="Times New Roman"/>
                <w:i/>
                <w:iCs/>
                <w:color w:val="000000"/>
                <w:szCs w:val="22"/>
              </w:rPr>
            </w:pPr>
            <w:r w:rsidRPr="00702DDD">
              <w:rPr>
                <w:rFonts w:ascii="Times New Roman" w:eastAsia="Calibri" w:hAnsi="Times New Roman" w:cs="Times New Roman"/>
                <w:color w:val="000000"/>
                <w:szCs w:val="22"/>
              </w:rPr>
              <w:t>0.73</w:t>
            </w:r>
          </w:p>
        </w:tc>
        <w:tc>
          <w:tcPr>
            <w:tcW w:w="1430" w:type="dxa"/>
          </w:tcPr>
          <w:p w14:paraId="466B0DF8" w14:textId="77777777" w:rsidR="00C016E8" w:rsidRPr="00702DDD" w:rsidRDefault="00C016E8" w:rsidP="00E83386">
            <w:pPr>
              <w:autoSpaceDE w:val="0"/>
              <w:autoSpaceDN w:val="0"/>
              <w:adjustRightInd w:val="0"/>
              <w:jc w:val="center"/>
              <w:rPr>
                <w:rFonts w:ascii="Times New Roman" w:eastAsia="Calibri" w:hAnsi="Times New Roman" w:cs="Times New Roman"/>
                <w:i/>
                <w:iCs/>
                <w:color w:val="000000"/>
                <w:szCs w:val="22"/>
              </w:rPr>
            </w:pPr>
            <w:r w:rsidRPr="00702DDD">
              <w:rPr>
                <w:rFonts w:ascii="Times New Roman" w:eastAsia="Calibri" w:hAnsi="Times New Roman" w:cs="Times New Roman"/>
                <w:color w:val="000000"/>
                <w:szCs w:val="22"/>
              </w:rPr>
              <w:t>0.35</w:t>
            </w:r>
          </w:p>
        </w:tc>
        <w:tc>
          <w:tcPr>
            <w:tcW w:w="1430" w:type="dxa"/>
          </w:tcPr>
          <w:p w14:paraId="1403B61E" w14:textId="77777777" w:rsidR="00C016E8" w:rsidRPr="00702DDD" w:rsidRDefault="00C016E8" w:rsidP="00E83386">
            <w:pPr>
              <w:autoSpaceDE w:val="0"/>
              <w:autoSpaceDN w:val="0"/>
              <w:adjustRightInd w:val="0"/>
              <w:jc w:val="center"/>
              <w:rPr>
                <w:rFonts w:ascii="Times New Roman" w:eastAsia="Calibri" w:hAnsi="Times New Roman" w:cs="Times New Roman"/>
                <w:i/>
                <w:iCs/>
                <w:color w:val="000000"/>
                <w:szCs w:val="22"/>
              </w:rPr>
            </w:pPr>
            <w:r w:rsidRPr="00702DDD">
              <w:rPr>
                <w:rFonts w:ascii="Times New Roman" w:eastAsia="Calibri" w:hAnsi="Times New Roman" w:cs="Times New Roman"/>
                <w:color w:val="000000"/>
                <w:szCs w:val="22"/>
              </w:rPr>
              <w:t>2.08</w:t>
            </w:r>
          </w:p>
        </w:tc>
      </w:tr>
      <w:tr w:rsidR="00C016E8" w:rsidRPr="00702DDD" w14:paraId="42BBA4BF" w14:textId="77777777" w:rsidTr="00E83386">
        <w:trPr>
          <w:trHeight w:val="289"/>
        </w:trPr>
        <w:tc>
          <w:tcPr>
            <w:tcW w:w="3051" w:type="dxa"/>
          </w:tcPr>
          <w:p w14:paraId="3D89B37A"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Northern Middle</w:t>
            </w:r>
          </w:p>
        </w:tc>
        <w:tc>
          <w:tcPr>
            <w:tcW w:w="1430" w:type="dxa"/>
          </w:tcPr>
          <w:p w14:paraId="66B721F7"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Pr>
          <w:p w14:paraId="1A9EE7FC"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0.89</w:t>
            </w:r>
          </w:p>
        </w:tc>
        <w:tc>
          <w:tcPr>
            <w:tcW w:w="1430" w:type="dxa"/>
          </w:tcPr>
          <w:p w14:paraId="5D366D8F"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0.67</w:t>
            </w:r>
          </w:p>
        </w:tc>
        <w:tc>
          <w:tcPr>
            <w:tcW w:w="1430" w:type="dxa"/>
          </w:tcPr>
          <w:p w14:paraId="0C15FDF0"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2.56</w:t>
            </w:r>
          </w:p>
        </w:tc>
      </w:tr>
      <w:tr w:rsidR="00C016E8" w:rsidRPr="00702DDD" w14:paraId="65EBB710" w14:textId="77777777" w:rsidTr="00E83386">
        <w:trPr>
          <w:trHeight w:val="289"/>
        </w:trPr>
        <w:tc>
          <w:tcPr>
            <w:tcW w:w="3051" w:type="dxa"/>
          </w:tcPr>
          <w:p w14:paraId="33AC14F2"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Upper Cumberland</w:t>
            </w:r>
          </w:p>
        </w:tc>
        <w:tc>
          <w:tcPr>
            <w:tcW w:w="1430" w:type="dxa"/>
          </w:tcPr>
          <w:p w14:paraId="6BAC4E6B"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Pr>
          <w:p w14:paraId="4C495C27"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0.75</w:t>
            </w:r>
          </w:p>
        </w:tc>
        <w:tc>
          <w:tcPr>
            <w:tcW w:w="1430" w:type="dxa"/>
          </w:tcPr>
          <w:p w14:paraId="3561129E"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0.17</w:t>
            </w:r>
          </w:p>
        </w:tc>
        <w:tc>
          <w:tcPr>
            <w:tcW w:w="1430" w:type="dxa"/>
          </w:tcPr>
          <w:p w14:paraId="6814180E"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1.92</w:t>
            </w:r>
          </w:p>
        </w:tc>
      </w:tr>
      <w:tr w:rsidR="00C016E8" w:rsidRPr="00702DDD" w14:paraId="26F9E26A" w14:textId="77777777" w:rsidTr="00E83386">
        <w:trPr>
          <w:trHeight w:val="289"/>
        </w:trPr>
        <w:tc>
          <w:tcPr>
            <w:tcW w:w="3051" w:type="dxa"/>
          </w:tcPr>
          <w:p w14:paraId="1EDAC2D2"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East</w:t>
            </w:r>
          </w:p>
        </w:tc>
        <w:tc>
          <w:tcPr>
            <w:tcW w:w="1430" w:type="dxa"/>
          </w:tcPr>
          <w:p w14:paraId="4970BC3E"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Pr>
          <w:p w14:paraId="04F27B15"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0.82</w:t>
            </w:r>
          </w:p>
        </w:tc>
        <w:tc>
          <w:tcPr>
            <w:tcW w:w="1430" w:type="dxa"/>
          </w:tcPr>
          <w:p w14:paraId="65687EF6"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0.58</w:t>
            </w:r>
          </w:p>
        </w:tc>
        <w:tc>
          <w:tcPr>
            <w:tcW w:w="1430" w:type="dxa"/>
          </w:tcPr>
          <w:p w14:paraId="74DB9541"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2.40</w:t>
            </w:r>
          </w:p>
        </w:tc>
      </w:tr>
      <w:tr w:rsidR="00C016E8" w:rsidRPr="00702DDD" w14:paraId="2A22E4FA" w14:textId="77777777" w:rsidTr="00E83386">
        <w:trPr>
          <w:trHeight w:val="289"/>
        </w:trPr>
        <w:tc>
          <w:tcPr>
            <w:tcW w:w="3051" w:type="dxa"/>
          </w:tcPr>
          <w:p w14:paraId="5B6FC377"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Northeast</w:t>
            </w:r>
          </w:p>
        </w:tc>
        <w:tc>
          <w:tcPr>
            <w:tcW w:w="1430" w:type="dxa"/>
          </w:tcPr>
          <w:p w14:paraId="69AA8697"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Pr>
          <w:p w14:paraId="4DFA514E"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0.76</w:t>
            </w:r>
          </w:p>
        </w:tc>
        <w:tc>
          <w:tcPr>
            <w:tcW w:w="1430" w:type="dxa"/>
          </w:tcPr>
          <w:p w14:paraId="170E003E"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0.50</w:t>
            </w:r>
          </w:p>
        </w:tc>
        <w:tc>
          <w:tcPr>
            <w:tcW w:w="1430" w:type="dxa"/>
          </w:tcPr>
          <w:p w14:paraId="0F2C1B60"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2.26</w:t>
            </w:r>
          </w:p>
        </w:tc>
      </w:tr>
      <w:tr w:rsidR="00C016E8" w:rsidRPr="00702DDD" w14:paraId="1BEECD44" w14:textId="77777777" w:rsidTr="00E83386">
        <w:trPr>
          <w:trHeight w:val="289"/>
        </w:trPr>
        <w:tc>
          <w:tcPr>
            <w:tcW w:w="3051" w:type="dxa"/>
          </w:tcPr>
          <w:p w14:paraId="17B72004"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Southeast</w:t>
            </w:r>
          </w:p>
        </w:tc>
        <w:tc>
          <w:tcPr>
            <w:tcW w:w="1430" w:type="dxa"/>
          </w:tcPr>
          <w:p w14:paraId="67540115"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Pr>
          <w:p w14:paraId="1CBA7559"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0.81</w:t>
            </w:r>
          </w:p>
        </w:tc>
        <w:tc>
          <w:tcPr>
            <w:tcW w:w="1430" w:type="dxa"/>
          </w:tcPr>
          <w:p w14:paraId="38348E55"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0.67</w:t>
            </w:r>
          </w:p>
        </w:tc>
        <w:tc>
          <w:tcPr>
            <w:tcW w:w="1430" w:type="dxa"/>
          </w:tcPr>
          <w:p w14:paraId="534512CB"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2.47</w:t>
            </w:r>
          </w:p>
        </w:tc>
      </w:tr>
      <w:tr w:rsidR="00C016E8" w:rsidRPr="00702DDD" w14:paraId="6839E91B" w14:textId="77777777" w:rsidTr="00E83386">
        <w:trPr>
          <w:trHeight w:val="289"/>
        </w:trPr>
        <w:tc>
          <w:tcPr>
            <w:tcW w:w="3051" w:type="dxa"/>
          </w:tcPr>
          <w:p w14:paraId="3345632D"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Southern Middle</w:t>
            </w:r>
          </w:p>
        </w:tc>
        <w:tc>
          <w:tcPr>
            <w:tcW w:w="1430" w:type="dxa"/>
          </w:tcPr>
          <w:p w14:paraId="07FA750A"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Pr>
          <w:p w14:paraId="2E68C33F"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0.64</w:t>
            </w:r>
          </w:p>
        </w:tc>
        <w:tc>
          <w:tcPr>
            <w:tcW w:w="1430" w:type="dxa"/>
          </w:tcPr>
          <w:p w14:paraId="04170DB9"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0.36</w:t>
            </w:r>
          </w:p>
        </w:tc>
        <w:tc>
          <w:tcPr>
            <w:tcW w:w="1430" w:type="dxa"/>
          </w:tcPr>
          <w:p w14:paraId="037630C7"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2.00</w:t>
            </w:r>
          </w:p>
        </w:tc>
      </w:tr>
      <w:tr w:rsidR="00C016E8" w:rsidRPr="00702DDD" w14:paraId="5BD23E61" w14:textId="77777777" w:rsidTr="00E83386">
        <w:trPr>
          <w:trHeight w:val="289"/>
        </w:trPr>
        <w:tc>
          <w:tcPr>
            <w:tcW w:w="3051" w:type="dxa"/>
          </w:tcPr>
          <w:p w14:paraId="10B08E19"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Southwest</w:t>
            </w:r>
          </w:p>
        </w:tc>
        <w:tc>
          <w:tcPr>
            <w:tcW w:w="1430" w:type="dxa"/>
          </w:tcPr>
          <w:p w14:paraId="60480E07"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Pr>
          <w:p w14:paraId="474EFE2E"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0.70</w:t>
            </w:r>
          </w:p>
        </w:tc>
        <w:tc>
          <w:tcPr>
            <w:tcW w:w="1430" w:type="dxa"/>
          </w:tcPr>
          <w:p w14:paraId="3C7A0A2C"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0.25</w:t>
            </w:r>
          </w:p>
        </w:tc>
        <w:tc>
          <w:tcPr>
            <w:tcW w:w="1430" w:type="dxa"/>
          </w:tcPr>
          <w:p w14:paraId="30E4FD32"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1.95</w:t>
            </w:r>
          </w:p>
        </w:tc>
      </w:tr>
      <w:tr w:rsidR="00C016E8" w:rsidRPr="00702DDD" w14:paraId="35DAEC03" w14:textId="77777777" w:rsidTr="00E83386">
        <w:trPr>
          <w:trHeight w:val="289"/>
        </w:trPr>
        <w:tc>
          <w:tcPr>
            <w:tcW w:w="3051" w:type="dxa"/>
            <w:tcBorders>
              <w:bottom w:val="single" w:sz="4" w:space="0" w:color="auto"/>
            </w:tcBorders>
          </w:tcPr>
          <w:p w14:paraId="2BAFF990"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Greater Memphis</w:t>
            </w:r>
          </w:p>
        </w:tc>
        <w:tc>
          <w:tcPr>
            <w:tcW w:w="1430" w:type="dxa"/>
            <w:tcBorders>
              <w:bottom w:val="single" w:sz="4" w:space="0" w:color="auto"/>
            </w:tcBorders>
          </w:tcPr>
          <w:p w14:paraId="1905D97D"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Borders>
              <w:bottom w:val="single" w:sz="4" w:space="0" w:color="auto"/>
            </w:tcBorders>
          </w:tcPr>
          <w:p w14:paraId="10755187"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0.85</w:t>
            </w:r>
          </w:p>
        </w:tc>
        <w:tc>
          <w:tcPr>
            <w:tcW w:w="1430" w:type="dxa"/>
            <w:tcBorders>
              <w:bottom w:val="single" w:sz="4" w:space="0" w:color="auto"/>
            </w:tcBorders>
          </w:tcPr>
          <w:p w14:paraId="7FC55599"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1.18</w:t>
            </w:r>
          </w:p>
        </w:tc>
        <w:tc>
          <w:tcPr>
            <w:tcW w:w="1430" w:type="dxa"/>
            <w:tcBorders>
              <w:bottom w:val="single" w:sz="4" w:space="0" w:color="auto"/>
            </w:tcBorders>
          </w:tcPr>
          <w:p w14:paraId="5071B934"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3.03</w:t>
            </w:r>
          </w:p>
        </w:tc>
      </w:tr>
      <w:tr w:rsidR="00C016E8" w:rsidRPr="00702DDD" w14:paraId="31086132" w14:textId="77777777" w:rsidTr="00E83386">
        <w:trPr>
          <w:trHeight w:val="289"/>
        </w:trPr>
        <w:tc>
          <w:tcPr>
            <w:tcW w:w="3051" w:type="dxa"/>
            <w:tcBorders>
              <w:top w:val="single" w:sz="4" w:space="0" w:color="auto"/>
            </w:tcBorders>
          </w:tcPr>
          <w:p w14:paraId="2A9D0D0D"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b/>
                <w:bCs/>
                <w:color w:val="000000"/>
                <w:szCs w:val="22"/>
              </w:rPr>
              <w:t xml:space="preserve">Labor Income </w:t>
            </w:r>
          </w:p>
        </w:tc>
        <w:tc>
          <w:tcPr>
            <w:tcW w:w="1430" w:type="dxa"/>
            <w:tcBorders>
              <w:top w:val="single" w:sz="4" w:space="0" w:color="auto"/>
            </w:tcBorders>
          </w:tcPr>
          <w:p w14:paraId="660A7D05"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p>
        </w:tc>
        <w:tc>
          <w:tcPr>
            <w:tcW w:w="1430" w:type="dxa"/>
            <w:tcBorders>
              <w:top w:val="single" w:sz="4" w:space="0" w:color="auto"/>
            </w:tcBorders>
          </w:tcPr>
          <w:p w14:paraId="3B6B05BA"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p>
        </w:tc>
        <w:tc>
          <w:tcPr>
            <w:tcW w:w="1430" w:type="dxa"/>
            <w:tcBorders>
              <w:top w:val="single" w:sz="4" w:space="0" w:color="auto"/>
            </w:tcBorders>
          </w:tcPr>
          <w:p w14:paraId="13C79367"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p>
        </w:tc>
        <w:tc>
          <w:tcPr>
            <w:tcW w:w="1430" w:type="dxa"/>
            <w:tcBorders>
              <w:top w:val="single" w:sz="4" w:space="0" w:color="auto"/>
            </w:tcBorders>
          </w:tcPr>
          <w:p w14:paraId="6A6EA04C"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p>
        </w:tc>
      </w:tr>
      <w:tr w:rsidR="00C016E8" w:rsidRPr="00702DDD" w14:paraId="7C5E2032" w14:textId="77777777" w:rsidTr="00E83386">
        <w:trPr>
          <w:trHeight w:val="289"/>
        </w:trPr>
        <w:tc>
          <w:tcPr>
            <w:tcW w:w="3051" w:type="dxa"/>
          </w:tcPr>
          <w:p w14:paraId="29858FFC"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Northwest</w:t>
            </w:r>
          </w:p>
        </w:tc>
        <w:tc>
          <w:tcPr>
            <w:tcW w:w="1430" w:type="dxa"/>
          </w:tcPr>
          <w:p w14:paraId="03F181B4"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Pr>
          <w:p w14:paraId="630990FC"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0.47</w:t>
            </w:r>
          </w:p>
        </w:tc>
        <w:tc>
          <w:tcPr>
            <w:tcW w:w="1430" w:type="dxa"/>
          </w:tcPr>
          <w:p w14:paraId="010BEF0A"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0.19</w:t>
            </w:r>
          </w:p>
        </w:tc>
        <w:tc>
          <w:tcPr>
            <w:tcW w:w="1430" w:type="dxa"/>
          </w:tcPr>
          <w:p w14:paraId="41DDFDCB"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1.66</w:t>
            </w:r>
          </w:p>
        </w:tc>
      </w:tr>
      <w:tr w:rsidR="00C016E8" w:rsidRPr="00702DDD" w14:paraId="10B56772" w14:textId="77777777" w:rsidTr="00E83386">
        <w:trPr>
          <w:trHeight w:val="289"/>
        </w:trPr>
        <w:tc>
          <w:tcPr>
            <w:tcW w:w="3051" w:type="dxa"/>
          </w:tcPr>
          <w:p w14:paraId="42062675" w14:textId="77777777" w:rsidR="00C016E8" w:rsidRPr="00702DDD" w:rsidRDefault="00C016E8" w:rsidP="00E83386">
            <w:pPr>
              <w:autoSpaceDE w:val="0"/>
              <w:autoSpaceDN w:val="0"/>
              <w:adjustRightInd w:val="0"/>
              <w:rPr>
                <w:rFonts w:ascii="Times New Roman" w:eastAsia="Calibri" w:hAnsi="Times New Roman" w:cs="Times New Roman"/>
                <w:b/>
                <w:bCs/>
                <w:color w:val="000000"/>
                <w:szCs w:val="22"/>
              </w:rPr>
            </w:pPr>
            <w:r w:rsidRPr="00702DDD">
              <w:rPr>
                <w:rFonts w:ascii="Times New Roman" w:eastAsia="Calibri" w:hAnsi="Times New Roman" w:cs="Times New Roman"/>
                <w:color w:val="000000"/>
                <w:szCs w:val="22"/>
              </w:rPr>
              <w:t>Northern Middle</w:t>
            </w:r>
          </w:p>
        </w:tc>
        <w:tc>
          <w:tcPr>
            <w:tcW w:w="1430" w:type="dxa"/>
          </w:tcPr>
          <w:p w14:paraId="00FE3FEF"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Pr>
          <w:p w14:paraId="34E756BE"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0.79</w:t>
            </w:r>
          </w:p>
        </w:tc>
        <w:tc>
          <w:tcPr>
            <w:tcW w:w="1430" w:type="dxa"/>
          </w:tcPr>
          <w:p w14:paraId="29F7833A"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0.53</w:t>
            </w:r>
          </w:p>
        </w:tc>
        <w:tc>
          <w:tcPr>
            <w:tcW w:w="1430" w:type="dxa"/>
          </w:tcPr>
          <w:p w14:paraId="17722300"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2.33</w:t>
            </w:r>
          </w:p>
        </w:tc>
      </w:tr>
      <w:tr w:rsidR="00C016E8" w:rsidRPr="00702DDD" w14:paraId="0D83F2F6" w14:textId="77777777" w:rsidTr="00E83386">
        <w:trPr>
          <w:trHeight w:val="289"/>
        </w:trPr>
        <w:tc>
          <w:tcPr>
            <w:tcW w:w="3051" w:type="dxa"/>
          </w:tcPr>
          <w:p w14:paraId="1A4E313C" w14:textId="77777777" w:rsidR="00C016E8" w:rsidRPr="00702DDD" w:rsidRDefault="00C016E8" w:rsidP="00E83386">
            <w:pPr>
              <w:autoSpaceDE w:val="0"/>
              <w:autoSpaceDN w:val="0"/>
              <w:adjustRightInd w:val="0"/>
              <w:rPr>
                <w:rFonts w:ascii="Times New Roman" w:eastAsia="Calibri" w:hAnsi="Times New Roman" w:cs="Times New Roman"/>
                <w:i/>
                <w:iCs/>
                <w:color w:val="000000"/>
                <w:szCs w:val="22"/>
              </w:rPr>
            </w:pPr>
            <w:r w:rsidRPr="00702DDD">
              <w:rPr>
                <w:rFonts w:ascii="Times New Roman" w:eastAsia="Calibri" w:hAnsi="Times New Roman" w:cs="Times New Roman"/>
                <w:color w:val="000000"/>
                <w:szCs w:val="22"/>
              </w:rPr>
              <w:t>Upper Cumberland</w:t>
            </w:r>
          </w:p>
        </w:tc>
        <w:tc>
          <w:tcPr>
            <w:tcW w:w="1430" w:type="dxa"/>
          </w:tcPr>
          <w:p w14:paraId="44C37817" w14:textId="77777777" w:rsidR="00C016E8" w:rsidRPr="00702DDD" w:rsidRDefault="00C016E8" w:rsidP="00E83386">
            <w:pPr>
              <w:autoSpaceDE w:val="0"/>
              <w:autoSpaceDN w:val="0"/>
              <w:adjustRightInd w:val="0"/>
              <w:jc w:val="center"/>
              <w:rPr>
                <w:rFonts w:ascii="Times New Roman" w:eastAsia="Calibri" w:hAnsi="Times New Roman" w:cs="Times New Roman"/>
                <w:i/>
                <w:iCs/>
                <w:color w:val="000000"/>
                <w:szCs w:val="22"/>
              </w:rPr>
            </w:pPr>
            <w:r w:rsidRPr="00702DDD">
              <w:rPr>
                <w:rFonts w:ascii="Times New Roman" w:eastAsia="Calibri" w:hAnsi="Times New Roman" w:cs="Times New Roman"/>
                <w:color w:val="000000"/>
                <w:szCs w:val="22"/>
              </w:rPr>
              <w:t>1.00</w:t>
            </w:r>
          </w:p>
        </w:tc>
        <w:tc>
          <w:tcPr>
            <w:tcW w:w="1430" w:type="dxa"/>
          </w:tcPr>
          <w:p w14:paraId="19E2EFC6" w14:textId="77777777" w:rsidR="00C016E8" w:rsidRPr="00702DDD" w:rsidRDefault="00C016E8" w:rsidP="00E83386">
            <w:pPr>
              <w:autoSpaceDE w:val="0"/>
              <w:autoSpaceDN w:val="0"/>
              <w:adjustRightInd w:val="0"/>
              <w:jc w:val="center"/>
              <w:rPr>
                <w:rFonts w:ascii="Times New Roman" w:eastAsia="Calibri" w:hAnsi="Times New Roman" w:cs="Times New Roman"/>
                <w:i/>
                <w:iCs/>
                <w:color w:val="000000"/>
                <w:szCs w:val="22"/>
              </w:rPr>
            </w:pPr>
            <w:r w:rsidRPr="00702DDD">
              <w:rPr>
                <w:rFonts w:ascii="Times New Roman" w:eastAsia="Calibri" w:hAnsi="Times New Roman" w:cs="Times New Roman"/>
                <w:color w:val="000000"/>
                <w:szCs w:val="22"/>
              </w:rPr>
              <w:t>4.22</w:t>
            </w:r>
          </w:p>
        </w:tc>
        <w:tc>
          <w:tcPr>
            <w:tcW w:w="1430" w:type="dxa"/>
          </w:tcPr>
          <w:p w14:paraId="32153FD2" w14:textId="77777777" w:rsidR="00C016E8" w:rsidRPr="00702DDD" w:rsidRDefault="00C016E8" w:rsidP="00E83386">
            <w:pPr>
              <w:autoSpaceDE w:val="0"/>
              <w:autoSpaceDN w:val="0"/>
              <w:adjustRightInd w:val="0"/>
              <w:jc w:val="center"/>
              <w:rPr>
                <w:rFonts w:ascii="Times New Roman" w:eastAsia="Calibri" w:hAnsi="Times New Roman" w:cs="Times New Roman"/>
                <w:i/>
                <w:iCs/>
                <w:color w:val="000000"/>
                <w:szCs w:val="22"/>
              </w:rPr>
            </w:pPr>
            <w:r w:rsidRPr="00702DDD">
              <w:rPr>
                <w:rFonts w:ascii="Times New Roman" w:eastAsia="Calibri" w:hAnsi="Times New Roman" w:cs="Times New Roman"/>
                <w:color w:val="000000"/>
                <w:szCs w:val="22"/>
              </w:rPr>
              <w:t>0.80</w:t>
            </w:r>
          </w:p>
        </w:tc>
        <w:tc>
          <w:tcPr>
            <w:tcW w:w="1430" w:type="dxa"/>
          </w:tcPr>
          <w:p w14:paraId="743E1A4D" w14:textId="77777777" w:rsidR="00C016E8" w:rsidRPr="00702DDD" w:rsidRDefault="00C016E8" w:rsidP="00E83386">
            <w:pPr>
              <w:autoSpaceDE w:val="0"/>
              <w:autoSpaceDN w:val="0"/>
              <w:adjustRightInd w:val="0"/>
              <w:jc w:val="center"/>
              <w:rPr>
                <w:rFonts w:ascii="Times New Roman" w:eastAsia="Calibri" w:hAnsi="Times New Roman" w:cs="Times New Roman"/>
                <w:i/>
                <w:iCs/>
                <w:color w:val="000000"/>
                <w:szCs w:val="22"/>
              </w:rPr>
            </w:pPr>
            <w:r w:rsidRPr="00702DDD">
              <w:rPr>
                <w:rFonts w:ascii="Times New Roman" w:eastAsia="Calibri" w:hAnsi="Times New Roman" w:cs="Times New Roman"/>
                <w:color w:val="000000"/>
                <w:szCs w:val="22"/>
              </w:rPr>
              <w:t>6.02</w:t>
            </w:r>
          </w:p>
        </w:tc>
      </w:tr>
      <w:tr w:rsidR="00C016E8" w:rsidRPr="00702DDD" w14:paraId="654A4F88" w14:textId="77777777" w:rsidTr="00E83386">
        <w:trPr>
          <w:trHeight w:val="289"/>
        </w:trPr>
        <w:tc>
          <w:tcPr>
            <w:tcW w:w="3051" w:type="dxa"/>
          </w:tcPr>
          <w:p w14:paraId="1A0C8BEE"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East</w:t>
            </w:r>
          </w:p>
        </w:tc>
        <w:tc>
          <w:tcPr>
            <w:tcW w:w="1430" w:type="dxa"/>
          </w:tcPr>
          <w:p w14:paraId="6E60E4A7"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Pr>
          <w:p w14:paraId="1630C78B"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0.97</w:t>
            </w:r>
          </w:p>
        </w:tc>
        <w:tc>
          <w:tcPr>
            <w:tcW w:w="1430" w:type="dxa"/>
          </w:tcPr>
          <w:p w14:paraId="6863D01F"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0.52</w:t>
            </w:r>
          </w:p>
        </w:tc>
        <w:tc>
          <w:tcPr>
            <w:tcW w:w="1430" w:type="dxa"/>
          </w:tcPr>
          <w:p w14:paraId="5834310B"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2.50</w:t>
            </w:r>
          </w:p>
        </w:tc>
      </w:tr>
      <w:tr w:rsidR="00C016E8" w:rsidRPr="00702DDD" w14:paraId="33E7BEE9" w14:textId="77777777" w:rsidTr="00E83386">
        <w:trPr>
          <w:trHeight w:val="289"/>
        </w:trPr>
        <w:tc>
          <w:tcPr>
            <w:tcW w:w="3051" w:type="dxa"/>
          </w:tcPr>
          <w:p w14:paraId="6ED9FAC1"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Northeast</w:t>
            </w:r>
          </w:p>
        </w:tc>
        <w:tc>
          <w:tcPr>
            <w:tcW w:w="1430" w:type="dxa"/>
          </w:tcPr>
          <w:p w14:paraId="3B75C2F6"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Pr>
          <w:p w14:paraId="2FC53328"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0.68</w:t>
            </w:r>
          </w:p>
        </w:tc>
        <w:tc>
          <w:tcPr>
            <w:tcW w:w="1430" w:type="dxa"/>
          </w:tcPr>
          <w:p w14:paraId="3B484C90"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0.35</w:t>
            </w:r>
          </w:p>
        </w:tc>
        <w:tc>
          <w:tcPr>
            <w:tcW w:w="1430" w:type="dxa"/>
          </w:tcPr>
          <w:p w14:paraId="5FAE11A5"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2.03</w:t>
            </w:r>
          </w:p>
        </w:tc>
      </w:tr>
      <w:tr w:rsidR="00C016E8" w:rsidRPr="00702DDD" w14:paraId="0CF897EB" w14:textId="77777777" w:rsidTr="00E83386">
        <w:trPr>
          <w:trHeight w:val="289"/>
        </w:trPr>
        <w:tc>
          <w:tcPr>
            <w:tcW w:w="3051" w:type="dxa"/>
          </w:tcPr>
          <w:p w14:paraId="5C93AD8F"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Southeast</w:t>
            </w:r>
          </w:p>
        </w:tc>
        <w:tc>
          <w:tcPr>
            <w:tcW w:w="1430" w:type="dxa"/>
          </w:tcPr>
          <w:p w14:paraId="28763AA4"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Pr>
          <w:p w14:paraId="5AB46A70"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0.45</w:t>
            </w:r>
          </w:p>
        </w:tc>
        <w:tc>
          <w:tcPr>
            <w:tcW w:w="1430" w:type="dxa"/>
          </w:tcPr>
          <w:p w14:paraId="566421C1"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0.29</w:t>
            </w:r>
          </w:p>
        </w:tc>
        <w:tc>
          <w:tcPr>
            <w:tcW w:w="1430" w:type="dxa"/>
          </w:tcPr>
          <w:p w14:paraId="5A6FC580"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1.74</w:t>
            </w:r>
          </w:p>
        </w:tc>
      </w:tr>
      <w:tr w:rsidR="00C016E8" w:rsidRPr="00702DDD" w14:paraId="369FD8B3" w14:textId="77777777" w:rsidTr="00E83386">
        <w:trPr>
          <w:trHeight w:val="289"/>
        </w:trPr>
        <w:tc>
          <w:tcPr>
            <w:tcW w:w="3051" w:type="dxa"/>
          </w:tcPr>
          <w:p w14:paraId="37E8D2BC"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Southern Middle</w:t>
            </w:r>
          </w:p>
        </w:tc>
        <w:tc>
          <w:tcPr>
            <w:tcW w:w="1430" w:type="dxa"/>
          </w:tcPr>
          <w:p w14:paraId="79E95142"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Pr>
          <w:p w14:paraId="06DF3E73"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0.46</w:t>
            </w:r>
          </w:p>
        </w:tc>
        <w:tc>
          <w:tcPr>
            <w:tcW w:w="1430" w:type="dxa"/>
          </w:tcPr>
          <w:p w14:paraId="3D6B83CA"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0.20</w:t>
            </w:r>
          </w:p>
        </w:tc>
        <w:tc>
          <w:tcPr>
            <w:tcW w:w="1430" w:type="dxa"/>
          </w:tcPr>
          <w:p w14:paraId="60ABB732"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1.66</w:t>
            </w:r>
          </w:p>
        </w:tc>
      </w:tr>
      <w:tr w:rsidR="00C016E8" w:rsidRPr="00702DDD" w14:paraId="528D7F3B" w14:textId="77777777" w:rsidTr="00E83386">
        <w:trPr>
          <w:trHeight w:val="289"/>
        </w:trPr>
        <w:tc>
          <w:tcPr>
            <w:tcW w:w="3051" w:type="dxa"/>
          </w:tcPr>
          <w:p w14:paraId="2D491535"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Southwest</w:t>
            </w:r>
          </w:p>
        </w:tc>
        <w:tc>
          <w:tcPr>
            <w:tcW w:w="1430" w:type="dxa"/>
          </w:tcPr>
          <w:p w14:paraId="67BF6559"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Pr>
          <w:p w14:paraId="349FF208"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1.03</w:t>
            </w:r>
          </w:p>
        </w:tc>
        <w:tc>
          <w:tcPr>
            <w:tcW w:w="1430" w:type="dxa"/>
          </w:tcPr>
          <w:p w14:paraId="7714E98E"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0.30</w:t>
            </w:r>
          </w:p>
        </w:tc>
        <w:tc>
          <w:tcPr>
            <w:tcW w:w="1430" w:type="dxa"/>
          </w:tcPr>
          <w:p w14:paraId="7850E5D1"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2.33</w:t>
            </w:r>
          </w:p>
        </w:tc>
      </w:tr>
      <w:tr w:rsidR="00C016E8" w:rsidRPr="00702DDD" w14:paraId="6A83E157" w14:textId="77777777" w:rsidTr="00E83386">
        <w:trPr>
          <w:trHeight w:val="289"/>
        </w:trPr>
        <w:tc>
          <w:tcPr>
            <w:tcW w:w="3051" w:type="dxa"/>
            <w:tcBorders>
              <w:bottom w:val="single" w:sz="4" w:space="0" w:color="auto"/>
            </w:tcBorders>
          </w:tcPr>
          <w:p w14:paraId="1956E176"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Greater Memphis</w:t>
            </w:r>
          </w:p>
        </w:tc>
        <w:tc>
          <w:tcPr>
            <w:tcW w:w="1430" w:type="dxa"/>
            <w:tcBorders>
              <w:bottom w:val="single" w:sz="4" w:space="0" w:color="auto"/>
            </w:tcBorders>
          </w:tcPr>
          <w:p w14:paraId="35143C57"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Borders>
              <w:bottom w:val="single" w:sz="4" w:space="0" w:color="auto"/>
            </w:tcBorders>
          </w:tcPr>
          <w:p w14:paraId="645BB297"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0.28</w:t>
            </w:r>
          </w:p>
        </w:tc>
        <w:tc>
          <w:tcPr>
            <w:tcW w:w="1430" w:type="dxa"/>
            <w:tcBorders>
              <w:bottom w:val="single" w:sz="4" w:space="0" w:color="auto"/>
            </w:tcBorders>
          </w:tcPr>
          <w:p w14:paraId="2CDF34A8"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0.33</w:t>
            </w:r>
          </w:p>
        </w:tc>
        <w:tc>
          <w:tcPr>
            <w:tcW w:w="1430" w:type="dxa"/>
            <w:tcBorders>
              <w:bottom w:val="single" w:sz="4" w:space="0" w:color="auto"/>
            </w:tcBorders>
          </w:tcPr>
          <w:p w14:paraId="09F3D6CB"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1.61</w:t>
            </w:r>
          </w:p>
        </w:tc>
      </w:tr>
      <w:tr w:rsidR="00C016E8" w:rsidRPr="00702DDD" w14:paraId="02843B50" w14:textId="77777777" w:rsidTr="00E83386">
        <w:trPr>
          <w:trHeight w:val="289"/>
        </w:trPr>
        <w:tc>
          <w:tcPr>
            <w:tcW w:w="3051" w:type="dxa"/>
            <w:tcBorders>
              <w:top w:val="single" w:sz="4" w:space="0" w:color="auto"/>
            </w:tcBorders>
          </w:tcPr>
          <w:p w14:paraId="6068BE44"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b/>
                <w:bCs/>
                <w:color w:val="000000"/>
                <w:szCs w:val="22"/>
              </w:rPr>
              <w:t>Value Added</w:t>
            </w:r>
          </w:p>
        </w:tc>
        <w:tc>
          <w:tcPr>
            <w:tcW w:w="1430" w:type="dxa"/>
            <w:tcBorders>
              <w:top w:val="single" w:sz="4" w:space="0" w:color="auto"/>
            </w:tcBorders>
          </w:tcPr>
          <w:p w14:paraId="2D58139E"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p>
        </w:tc>
        <w:tc>
          <w:tcPr>
            <w:tcW w:w="1430" w:type="dxa"/>
            <w:tcBorders>
              <w:top w:val="single" w:sz="4" w:space="0" w:color="auto"/>
            </w:tcBorders>
          </w:tcPr>
          <w:p w14:paraId="26F550DE"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p>
        </w:tc>
        <w:tc>
          <w:tcPr>
            <w:tcW w:w="1430" w:type="dxa"/>
            <w:tcBorders>
              <w:top w:val="single" w:sz="4" w:space="0" w:color="auto"/>
            </w:tcBorders>
          </w:tcPr>
          <w:p w14:paraId="2C2C1E87"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p>
        </w:tc>
        <w:tc>
          <w:tcPr>
            <w:tcW w:w="1430" w:type="dxa"/>
            <w:tcBorders>
              <w:top w:val="single" w:sz="4" w:space="0" w:color="auto"/>
            </w:tcBorders>
          </w:tcPr>
          <w:p w14:paraId="339BFEA1"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p>
        </w:tc>
      </w:tr>
      <w:tr w:rsidR="00C016E8" w:rsidRPr="00702DDD" w14:paraId="78BB7459" w14:textId="77777777" w:rsidTr="00E83386">
        <w:trPr>
          <w:trHeight w:val="289"/>
        </w:trPr>
        <w:tc>
          <w:tcPr>
            <w:tcW w:w="3051" w:type="dxa"/>
          </w:tcPr>
          <w:p w14:paraId="25E410DB"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Northwest</w:t>
            </w:r>
          </w:p>
        </w:tc>
        <w:tc>
          <w:tcPr>
            <w:tcW w:w="1430" w:type="dxa"/>
          </w:tcPr>
          <w:p w14:paraId="39675C28"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Pr>
          <w:p w14:paraId="4D4736A8"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0.27</w:t>
            </w:r>
          </w:p>
        </w:tc>
        <w:tc>
          <w:tcPr>
            <w:tcW w:w="1430" w:type="dxa"/>
          </w:tcPr>
          <w:p w14:paraId="4008B9DA"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0.13</w:t>
            </w:r>
          </w:p>
        </w:tc>
        <w:tc>
          <w:tcPr>
            <w:tcW w:w="1430" w:type="dxa"/>
          </w:tcPr>
          <w:p w14:paraId="29CEAC79"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1.40</w:t>
            </w:r>
          </w:p>
        </w:tc>
      </w:tr>
      <w:tr w:rsidR="00C016E8" w:rsidRPr="00702DDD" w14:paraId="76B8F40F" w14:textId="77777777" w:rsidTr="00E83386">
        <w:trPr>
          <w:trHeight w:val="289"/>
        </w:trPr>
        <w:tc>
          <w:tcPr>
            <w:tcW w:w="3051" w:type="dxa"/>
          </w:tcPr>
          <w:p w14:paraId="4A6B64BB"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Northern Middle</w:t>
            </w:r>
          </w:p>
        </w:tc>
        <w:tc>
          <w:tcPr>
            <w:tcW w:w="1430" w:type="dxa"/>
          </w:tcPr>
          <w:p w14:paraId="15043114"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Pr>
          <w:p w14:paraId="5CDB8941"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0.44</w:t>
            </w:r>
          </w:p>
        </w:tc>
        <w:tc>
          <w:tcPr>
            <w:tcW w:w="1430" w:type="dxa"/>
          </w:tcPr>
          <w:p w14:paraId="6D2D7D45"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0.33</w:t>
            </w:r>
          </w:p>
        </w:tc>
        <w:tc>
          <w:tcPr>
            <w:tcW w:w="1430" w:type="dxa"/>
          </w:tcPr>
          <w:p w14:paraId="052BA72C"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1.77</w:t>
            </w:r>
          </w:p>
        </w:tc>
      </w:tr>
      <w:tr w:rsidR="00C016E8" w:rsidRPr="00702DDD" w14:paraId="4D8D1BDC" w14:textId="77777777" w:rsidTr="00E83386">
        <w:trPr>
          <w:trHeight w:val="289"/>
        </w:trPr>
        <w:tc>
          <w:tcPr>
            <w:tcW w:w="3051" w:type="dxa"/>
          </w:tcPr>
          <w:p w14:paraId="3077E2AE" w14:textId="77777777" w:rsidR="00C016E8" w:rsidRPr="00702DDD" w:rsidRDefault="00C016E8" w:rsidP="00E83386">
            <w:pPr>
              <w:autoSpaceDE w:val="0"/>
              <w:autoSpaceDN w:val="0"/>
              <w:adjustRightInd w:val="0"/>
              <w:rPr>
                <w:rFonts w:ascii="Times New Roman" w:eastAsia="Calibri" w:hAnsi="Times New Roman" w:cs="Times New Roman"/>
                <w:b/>
                <w:bCs/>
                <w:color w:val="000000"/>
                <w:szCs w:val="22"/>
              </w:rPr>
            </w:pPr>
            <w:r w:rsidRPr="00702DDD">
              <w:rPr>
                <w:rFonts w:ascii="Times New Roman" w:eastAsia="Calibri" w:hAnsi="Times New Roman" w:cs="Times New Roman"/>
                <w:color w:val="000000"/>
                <w:szCs w:val="22"/>
              </w:rPr>
              <w:t>Upper Cumberland</w:t>
            </w:r>
          </w:p>
        </w:tc>
        <w:tc>
          <w:tcPr>
            <w:tcW w:w="1430" w:type="dxa"/>
          </w:tcPr>
          <w:p w14:paraId="023FF12D"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Pr>
          <w:p w14:paraId="6A13F528"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0.75</w:t>
            </w:r>
          </w:p>
        </w:tc>
        <w:tc>
          <w:tcPr>
            <w:tcW w:w="1430" w:type="dxa"/>
          </w:tcPr>
          <w:p w14:paraId="1AB0E703"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0.18</w:t>
            </w:r>
          </w:p>
        </w:tc>
        <w:tc>
          <w:tcPr>
            <w:tcW w:w="1430" w:type="dxa"/>
          </w:tcPr>
          <w:p w14:paraId="0F9B22A7"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1.93</w:t>
            </w:r>
          </w:p>
        </w:tc>
      </w:tr>
      <w:tr w:rsidR="00C016E8" w:rsidRPr="00702DDD" w14:paraId="59B24703" w14:textId="77777777" w:rsidTr="00E83386">
        <w:trPr>
          <w:trHeight w:val="289"/>
        </w:trPr>
        <w:tc>
          <w:tcPr>
            <w:tcW w:w="3051" w:type="dxa"/>
          </w:tcPr>
          <w:p w14:paraId="3972B3CB" w14:textId="77777777" w:rsidR="00C016E8" w:rsidRPr="00702DDD" w:rsidRDefault="00C016E8" w:rsidP="00E83386">
            <w:pPr>
              <w:autoSpaceDE w:val="0"/>
              <w:autoSpaceDN w:val="0"/>
              <w:adjustRightInd w:val="0"/>
              <w:rPr>
                <w:rFonts w:ascii="Times New Roman" w:eastAsia="Calibri" w:hAnsi="Times New Roman" w:cs="Times New Roman"/>
                <w:i/>
                <w:iCs/>
                <w:color w:val="000000"/>
                <w:szCs w:val="22"/>
              </w:rPr>
            </w:pPr>
            <w:r w:rsidRPr="00702DDD">
              <w:rPr>
                <w:rFonts w:ascii="Times New Roman" w:eastAsia="Calibri" w:hAnsi="Times New Roman" w:cs="Times New Roman"/>
                <w:color w:val="000000"/>
                <w:szCs w:val="22"/>
              </w:rPr>
              <w:t>East</w:t>
            </w:r>
          </w:p>
        </w:tc>
        <w:tc>
          <w:tcPr>
            <w:tcW w:w="1430" w:type="dxa"/>
          </w:tcPr>
          <w:p w14:paraId="006849AB" w14:textId="77777777" w:rsidR="00C016E8" w:rsidRPr="00702DDD" w:rsidRDefault="00C016E8" w:rsidP="00E83386">
            <w:pPr>
              <w:autoSpaceDE w:val="0"/>
              <w:autoSpaceDN w:val="0"/>
              <w:adjustRightInd w:val="0"/>
              <w:jc w:val="center"/>
              <w:rPr>
                <w:rFonts w:ascii="Times New Roman" w:eastAsia="Calibri" w:hAnsi="Times New Roman" w:cs="Times New Roman"/>
                <w:i/>
                <w:iCs/>
                <w:color w:val="000000"/>
                <w:szCs w:val="22"/>
              </w:rPr>
            </w:pPr>
            <w:r w:rsidRPr="00702DDD">
              <w:rPr>
                <w:rFonts w:ascii="Times New Roman" w:eastAsia="Calibri" w:hAnsi="Times New Roman" w:cs="Times New Roman"/>
                <w:color w:val="000000"/>
                <w:szCs w:val="22"/>
              </w:rPr>
              <w:t>1.00</w:t>
            </w:r>
          </w:p>
        </w:tc>
        <w:tc>
          <w:tcPr>
            <w:tcW w:w="1430" w:type="dxa"/>
          </w:tcPr>
          <w:p w14:paraId="3BDECD35" w14:textId="77777777" w:rsidR="00C016E8" w:rsidRPr="00702DDD" w:rsidRDefault="00C016E8" w:rsidP="00E83386">
            <w:pPr>
              <w:autoSpaceDE w:val="0"/>
              <w:autoSpaceDN w:val="0"/>
              <w:adjustRightInd w:val="0"/>
              <w:jc w:val="center"/>
              <w:rPr>
                <w:rFonts w:ascii="Times New Roman" w:eastAsia="Calibri" w:hAnsi="Times New Roman" w:cs="Times New Roman"/>
                <w:i/>
                <w:iCs/>
                <w:color w:val="000000"/>
                <w:szCs w:val="22"/>
              </w:rPr>
            </w:pPr>
            <w:r w:rsidRPr="00702DDD">
              <w:rPr>
                <w:rFonts w:ascii="Times New Roman" w:eastAsia="Calibri" w:hAnsi="Times New Roman" w:cs="Times New Roman"/>
                <w:color w:val="000000"/>
                <w:szCs w:val="22"/>
              </w:rPr>
              <w:t>0.50</w:t>
            </w:r>
          </w:p>
        </w:tc>
        <w:tc>
          <w:tcPr>
            <w:tcW w:w="1430" w:type="dxa"/>
          </w:tcPr>
          <w:p w14:paraId="6D734AE9" w14:textId="77777777" w:rsidR="00C016E8" w:rsidRPr="00702DDD" w:rsidRDefault="00C016E8" w:rsidP="00E83386">
            <w:pPr>
              <w:autoSpaceDE w:val="0"/>
              <w:autoSpaceDN w:val="0"/>
              <w:adjustRightInd w:val="0"/>
              <w:jc w:val="center"/>
              <w:rPr>
                <w:rFonts w:ascii="Times New Roman" w:eastAsia="Calibri" w:hAnsi="Times New Roman" w:cs="Times New Roman"/>
                <w:i/>
                <w:iCs/>
                <w:color w:val="000000"/>
                <w:szCs w:val="22"/>
              </w:rPr>
            </w:pPr>
            <w:r w:rsidRPr="00702DDD">
              <w:rPr>
                <w:rFonts w:ascii="Times New Roman" w:eastAsia="Calibri" w:hAnsi="Times New Roman" w:cs="Times New Roman"/>
                <w:color w:val="000000"/>
                <w:szCs w:val="22"/>
              </w:rPr>
              <w:t>0.32</w:t>
            </w:r>
          </w:p>
        </w:tc>
        <w:tc>
          <w:tcPr>
            <w:tcW w:w="1430" w:type="dxa"/>
          </w:tcPr>
          <w:p w14:paraId="7B0DC101" w14:textId="77777777" w:rsidR="00C016E8" w:rsidRPr="00702DDD" w:rsidRDefault="00C016E8" w:rsidP="00E83386">
            <w:pPr>
              <w:autoSpaceDE w:val="0"/>
              <w:autoSpaceDN w:val="0"/>
              <w:adjustRightInd w:val="0"/>
              <w:jc w:val="center"/>
              <w:rPr>
                <w:rFonts w:ascii="Times New Roman" w:eastAsia="Calibri" w:hAnsi="Times New Roman" w:cs="Times New Roman"/>
                <w:i/>
                <w:iCs/>
                <w:color w:val="000000"/>
                <w:szCs w:val="22"/>
              </w:rPr>
            </w:pPr>
            <w:r w:rsidRPr="00702DDD">
              <w:rPr>
                <w:rFonts w:ascii="Times New Roman" w:eastAsia="Calibri" w:hAnsi="Times New Roman" w:cs="Times New Roman"/>
                <w:color w:val="000000"/>
                <w:szCs w:val="22"/>
              </w:rPr>
              <w:t>1.81</w:t>
            </w:r>
          </w:p>
        </w:tc>
      </w:tr>
      <w:tr w:rsidR="00C016E8" w:rsidRPr="00702DDD" w14:paraId="3FDDA54F" w14:textId="77777777" w:rsidTr="00E83386">
        <w:trPr>
          <w:trHeight w:val="289"/>
        </w:trPr>
        <w:tc>
          <w:tcPr>
            <w:tcW w:w="3051" w:type="dxa"/>
          </w:tcPr>
          <w:p w14:paraId="275B1D7A"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Northeast</w:t>
            </w:r>
          </w:p>
        </w:tc>
        <w:tc>
          <w:tcPr>
            <w:tcW w:w="1430" w:type="dxa"/>
          </w:tcPr>
          <w:p w14:paraId="6D868D8F"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Pr>
          <w:p w14:paraId="5DF1A8A6"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0.35</w:t>
            </w:r>
          </w:p>
        </w:tc>
        <w:tc>
          <w:tcPr>
            <w:tcW w:w="1430" w:type="dxa"/>
          </w:tcPr>
          <w:p w14:paraId="1ADFD255"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0.22</w:t>
            </w:r>
          </w:p>
        </w:tc>
        <w:tc>
          <w:tcPr>
            <w:tcW w:w="1430" w:type="dxa"/>
          </w:tcPr>
          <w:p w14:paraId="1794BB2F"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1.57</w:t>
            </w:r>
          </w:p>
        </w:tc>
      </w:tr>
      <w:tr w:rsidR="00C016E8" w:rsidRPr="00702DDD" w14:paraId="055ED946" w14:textId="77777777" w:rsidTr="00E83386">
        <w:trPr>
          <w:trHeight w:val="289"/>
        </w:trPr>
        <w:tc>
          <w:tcPr>
            <w:tcW w:w="3051" w:type="dxa"/>
          </w:tcPr>
          <w:p w14:paraId="351B9A1F"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Southeast</w:t>
            </w:r>
          </w:p>
        </w:tc>
        <w:tc>
          <w:tcPr>
            <w:tcW w:w="1430" w:type="dxa"/>
          </w:tcPr>
          <w:p w14:paraId="7EF4699B"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Pr>
          <w:p w14:paraId="0184510E"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0.25</w:t>
            </w:r>
          </w:p>
        </w:tc>
        <w:tc>
          <w:tcPr>
            <w:tcW w:w="1430" w:type="dxa"/>
          </w:tcPr>
          <w:p w14:paraId="4C262F5F"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0.20</w:t>
            </w:r>
          </w:p>
        </w:tc>
        <w:tc>
          <w:tcPr>
            <w:tcW w:w="1430" w:type="dxa"/>
          </w:tcPr>
          <w:p w14:paraId="6FF42C92"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1.45</w:t>
            </w:r>
          </w:p>
        </w:tc>
      </w:tr>
      <w:tr w:rsidR="00C016E8" w:rsidRPr="00702DDD" w14:paraId="348FC101" w14:textId="77777777" w:rsidTr="00E83386">
        <w:trPr>
          <w:trHeight w:val="289"/>
        </w:trPr>
        <w:tc>
          <w:tcPr>
            <w:tcW w:w="3051" w:type="dxa"/>
          </w:tcPr>
          <w:p w14:paraId="22C20C34"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Southern Middle</w:t>
            </w:r>
          </w:p>
        </w:tc>
        <w:tc>
          <w:tcPr>
            <w:tcW w:w="1430" w:type="dxa"/>
          </w:tcPr>
          <w:p w14:paraId="095ADC18"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Pr>
          <w:p w14:paraId="7DBA36D8"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0.26</w:t>
            </w:r>
          </w:p>
        </w:tc>
        <w:tc>
          <w:tcPr>
            <w:tcW w:w="1430" w:type="dxa"/>
          </w:tcPr>
          <w:p w14:paraId="6BD6EA29"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0.14</w:t>
            </w:r>
          </w:p>
        </w:tc>
        <w:tc>
          <w:tcPr>
            <w:tcW w:w="1430" w:type="dxa"/>
          </w:tcPr>
          <w:p w14:paraId="2EE2241A"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1.40</w:t>
            </w:r>
          </w:p>
        </w:tc>
      </w:tr>
      <w:tr w:rsidR="00C016E8" w:rsidRPr="00702DDD" w14:paraId="4AAFD4D6" w14:textId="77777777" w:rsidTr="00E83386">
        <w:trPr>
          <w:trHeight w:val="289"/>
        </w:trPr>
        <w:tc>
          <w:tcPr>
            <w:tcW w:w="3051" w:type="dxa"/>
          </w:tcPr>
          <w:p w14:paraId="09EC08C0"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Southwest</w:t>
            </w:r>
          </w:p>
        </w:tc>
        <w:tc>
          <w:tcPr>
            <w:tcW w:w="1430" w:type="dxa"/>
          </w:tcPr>
          <w:p w14:paraId="3F1868DE"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Pr>
          <w:p w14:paraId="267BF28E"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0.51</w:t>
            </w:r>
          </w:p>
        </w:tc>
        <w:tc>
          <w:tcPr>
            <w:tcW w:w="1430" w:type="dxa"/>
          </w:tcPr>
          <w:p w14:paraId="7C14E642"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0.18</w:t>
            </w:r>
          </w:p>
        </w:tc>
        <w:tc>
          <w:tcPr>
            <w:tcW w:w="1430" w:type="dxa"/>
          </w:tcPr>
          <w:p w14:paraId="48D2666A"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1.69</w:t>
            </w:r>
          </w:p>
        </w:tc>
      </w:tr>
      <w:tr w:rsidR="00C016E8" w:rsidRPr="00702DDD" w14:paraId="26FC3090" w14:textId="77777777" w:rsidTr="00E83386">
        <w:trPr>
          <w:trHeight w:val="289"/>
        </w:trPr>
        <w:tc>
          <w:tcPr>
            <w:tcW w:w="3051" w:type="dxa"/>
            <w:tcBorders>
              <w:bottom w:val="single" w:sz="4" w:space="0" w:color="auto"/>
            </w:tcBorders>
          </w:tcPr>
          <w:p w14:paraId="5684F7E6"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Greater Memphis</w:t>
            </w:r>
          </w:p>
        </w:tc>
        <w:tc>
          <w:tcPr>
            <w:tcW w:w="1430" w:type="dxa"/>
            <w:tcBorders>
              <w:bottom w:val="single" w:sz="4" w:space="0" w:color="auto"/>
            </w:tcBorders>
          </w:tcPr>
          <w:p w14:paraId="46270A72"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Borders>
              <w:bottom w:val="single" w:sz="4" w:space="0" w:color="auto"/>
            </w:tcBorders>
          </w:tcPr>
          <w:p w14:paraId="62C893B9"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0.28</w:t>
            </w:r>
          </w:p>
        </w:tc>
        <w:tc>
          <w:tcPr>
            <w:tcW w:w="1430" w:type="dxa"/>
            <w:tcBorders>
              <w:bottom w:val="single" w:sz="4" w:space="0" w:color="auto"/>
            </w:tcBorders>
          </w:tcPr>
          <w:p w14:paraId="43D81804"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0.37</w:t>
            </w:r>
          </w:p>
        </w:tc>
        <w:tc>
          <w:tcPr>
            <w:tcW w:w="1430" w:type="dxa"/>
            <w:tcBorders>
              <w:bottom w:val="single" w:sz="4" w:space="0" w:color="auto"/>
            </w:tcBorders>
          </w:tcPr>
          <w:p w14:paraId="541E3C4D"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1.65</w:t>
            </w:r>
          </w:p>
        </w:tc>
      </w:tr>
    </w:tbl>
    <w:p w14:paraId="20730101" w14:textId="1926505C" w:rsidR="00D20D63" w:rsidRPr="00702DDD" w:rsidRDefault="00D20D63">
      <w:pPr>
        <w:rPr>
          <w:rFonts w:ascii="Times New Roman" w:hAnsi="Times New Roman" w:cs="Times New Roman"/>
          <w:b/>
        </w:rPr>
      </w:pPr>
      <w:r w:rsidRPr="00702DDD">
        <w:rPr>
          <w:rFonts w:ascii="Times New Roman" w:hAnsi="Times New Roman" w:cs="Times New Roman"/>
          <w:b/>
        </w:rPr>
        <w:lastRenderedPageBreak/>
        <w:t>Table 2.</w:t>
      </w:r>
      <w:r w:rsidR="00C72EA1">
        <w:rPr>
          <w:rFonts w:ascii="Times New Roman" w:hAnsi="Times New Roman" w:cs="Times New Roman"/>
          <w:b/>
        </w:rPr>
        <w:t xml:space="preserve">3: </w:t>
      </w:r>
      <w:r w:rsidRPr="00702DDD">
        <w:rPr>
          <w:rFonts w:ascii="Times New Roman" w:hAnsi="Times New Roman" w:cs="Times New Roman"/>
          <w:b/>
        </w:rPr>
        <w:t xml:space="preserve">Continued </w:t>
      </w:r>
    </w:p>
    <w:tbl>
      <w:tblPr>
        <w:tblW w:w="0" w:type="auto"/>
        <w:tblInd w:w="-30" w:type="dxa"/>
        <w:tblLayout w:type="fixed"/>
        <w:tblLook w:val="0000" w:firstRow="0" w:lastRow="0" w:firstColumn="0" w:lastColumn="0" w:noHBand="0" w:noVBand="0"/>
      </w:tblPr>
      <w:tblGrid>
        <w:gridCol w:w="3051"/>
        <w:gridCol w:w="1430"/>
        <w:gridCol w:w="1430"/>
        <w:gridCol w:w="1430"/>
        <w:gridCol w:w="1430"/>
      </w:tblGrid>
      <w:tr w:rsidR="00C016E8" w:rsidRPr="00702DDD" w14:paraId="472C351A" w14:textId="77777777" w:rsidTr="00E83386">
        <w:trPr>
          <w:trHeight w:val="289"/>
        </w:trPr>
        <w:tc>
          <w:tcPr>
            <w:tcW w:w="3051" w:type="dxa"/>
            <w:tcBorders>
              <w:top w:val="single" w:sz="4" w:space="0" w:color="auto"/>
            </w:tcBorders>
          </w:tcPr>
          <w:p w14:paraId="33DFCEF1"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b/>
                <w:bCs/>
                <w:color w:val="000000"/>
                <w:szCs w:val="22"/>
              </w:rPr>
              <w:t>Output</w:t>
            </w:r>
          </w:p>
        </w:tc>
        <w:tc>
          <w:tcPr>
            <w:tcW w:w="1430" w:type="dxa"/>
            <w:tcBorders>
              <w:top w:val="single" w:sz="4" w:space="0" w:color="auto"/>
            </w:tcBorders>
          </w:tcPr>
          <w:p w14:paraId="2C12CA18"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p>
        </w:tc>
        <w:tc>
          <w:tcPr>
            <w:tcW w:w="1430" w:type="dxa"/>
            <w:tcBorders>
              <w:top w:val="single" w:sz="4" w:space="0" w:color="auto"/>
            </w:tcBorders>
          </w:tcPr>
          <w:p w14:paraId="67DFCCB0"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p>
        </w:tc>
        <w:tc>
          <w:tcPr>
            <w:tcW w:w="1430" w:type="dxa"/>
            <w:tcBorders>
              <w:top w:val="single" w:sz="4" w:space="0" w:color="auto"/>
            </w:tcBorders>
          </w:tcPr>
          <w:p w14:paraId="0FBC7134"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p>
        </w:tc>
        <w:tc>
          <w:tcPr>
            <w:tcW w:w="1430" w:type="dxa"/>
            <w:tcBorders>
              <w:top w:val="single" w:sz="4" w:space="0" w:color="auto"/>
            </w:tcBorders>
          </w:tcPr>
          <w:p w14:paraId="4B4F95A2"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p>
        </w:tc>
      </w:tr>
      <w:tr w:rsidR="00C016E8" w:rsidRPr="00702DDD" w14:paraId="7BDC2894" w14:textId="77777777" w:rsidTr="00E83386">
        <w:trPr>
          <w:trHeight w:val="289"/>
        </w:trPr>
        <w:tc>
          <w:tcPr>
            <w:tcW w:w="3051" w:type="dxa"/>
          </w:tcPr>
          <w:p w14:paraId="05FE0AB4"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Northwest</w:t>
            </w:r>
          </w:p>
        </w:tc>
        <w:tc>
          <w:tcPr>
            <w:tcW w:w="1430" w:type="dxa"/>
          </w:tcPr>
          <w:p w14:paraId="7DED5036"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Pr>
          <w:p w14:paraId="142B29FF"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0.33</w:t>
            </w:r>
          </w:p>
        </w:tc>
        <w:tc>
          <w:tcPr>
            <w:tcW w:w="1430" w:type="dxa"/>
          </w:tcPr>
          <w:p w14:paraId="56F6D136"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0.14</w:t>
            </w:r>
          </w:p>
        </w:tc>
        <w:tc>
          <w:tcPr>
            <w:tcW w:w="1430" w:type="dxa"/>
          </w:tcPr>
          <w:p w14:paraId="55C4D996"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1.47</w:t>
            </w:r>
          </w:p>
        </w:tc>
      </w:tr>
      <w:tr w:rsidR="00C016E8" w:rsidRPr="00702DDD" w14:paraId="0C41A001" w14:textId="77777777" w:rsidTr="00E83386">
        <w:trPr>
          <w:trHeight w:val="289"/>
        </w:trPr>
        <w:tc>
          <w:tcPr>
            <w:tcW w:w="3051" w:type="dxa"/>
          </w:tcPr>
          <w:p w14:paraId="480DB4D8"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Northern Middle</w:t>
            </w:r>
          </w:p>
        </w:tc>
        <w:tc>
          <w:tcPr>
            <w:tcW w:w="1430" w:type="dxa"/>
          </w:tcPr>
          <w:p w14:paraId="50DF9EB4"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Pr>
          <w:p w14:paraId="2DD8503C"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0.47</w:t>
            </w:r>
          </w:p>
        </w:tc>
        <w:tc>
          <w:tcPr>
            <w:tcW w:w="1430" w:type="dxa"/>
          </w:tcPr>
          <w:p w14:paraId="5E8AD667"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0.32</w:t>
            </w:r>
          </w:p>
        </w:tc>
        <w:tc>
          <w:tcPr>
            <w:tcW w:w="1430" w:type="dxa"/>
          </w:tcPr>
          <w:p w14:paraId="0F5007A3"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1.78</w:t>
            </w:r>
          </w:p>
        </w:tc>
      </w:tr>
      <w:tr w:rsidR="00C016E8" w:rsidRPr="00702DDD" w14:paraId="780C846F" w14:textId="77777777" w:rsidTr="00E83386">
        <w:trPr>
          <w:trHeight w:val="289"/>
        </w:trPr>
        <w:tc>
          <w:tcPr>
            <w:tcW w:w="3051" w:type="dxa"/>
          </w:tcPr>
          <w:p w14:paraId="4CA40B26"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Upper Cumberland</w:t>
            </w:r>
          </w:p>
        </w:tc>
        <w:tc>
          <w:tcPr>
            <w:tcW w:w="1430" w:type="dxa"/>
          </w:tcPr>
          <w:p w14:paraId="4C4C80E7"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Pr>
          <w:p w14:paraId="2DF9FE6D"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0.52</w:t>
            </w:r>
          </w:p>
        </w:tc>
        <w:tc>
          <w:tcPr>
            <w:tcW w:w="1430" w:type="dxa"/>
          </w:tcPr>
          <w:p w14:paraId="6AA273A3"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0.10</w:t>
            </w:r>
          </w:p>
        </w:tc>
        <w:tc>
          <w:tcPr>
            <w:tcW w:w="1430" w:type="dxa"/>
          </w:tcPr>
          <w:p w14:paraId="753B1E76"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1.62</w:t>
            </w:r>
          </w:p>
        </w:tc>
      </w:tr>
      <w:tr w:rsidR="00C016E8" w:rsidRPr="00702DDD" w14:paraId="7B8EAEFC" w14:textId="77777777" w:rsidTr="00E83386">
        <w:trPr>
          <w:trHeight w:val="289"/>
        </w:trPr>
        <w:tc>
          <w:tcPr>
            <w:tcW w:w="3051" w:type="dxa"/>
          </w:tcPr>
          <w:p w14:paraId="13418200" w14:textId="77777777" w:rsidR="00C016E8" w:rsidRPr="00702DDD" w:rsidRDefault="00C016E8" w:rsidP="00E83386">
            <w:pPr>
              <w:autoSpaceDE w:val="0"/>
              <w:autoSpaceDN w:val="0"/>
              <w:adjustRightInd w:val="0"/>
              <w:rPr>
                <w:rFonts w:ascii="Times New Roman" w:eastAsia="Calibri" w:hAnsi="Times New Roman" w:cs="Times New Roman"/>
                <w:b/>
                <w:bCs/>
                <w:color w:val="000000"/>
                <w:szCs w:val="22"/>
              </w:rPr>
            </w:pPr>
            <w:r w:rsidRPr="00702DDD">
              <w:rPr>
                <w:rFonts w:ascii="Times New Roman" w:eastAsia="Calibri" w:hAnsi="Times New Roman" w:cs="Times New Roman"/>
                <w:color w:val="000000"/>
                <w:szCs w:val="22"/>
              </w:rPr>
              <w:t>East</w:t>
            </w:r>
          </w:p>
        </w:tc>
        <w:tc>
          <w:tcPr>
            <w:tcW w:w="1430" w:type="dxa"/>
          </w:tcPr>
          <w:p w14:paraId="5324EE39"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Pr>
          <w:p w14:paraId="4AD3F1B3"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0.48</w:t>
            </w:r>
          </w:p>
        </w:tc>
        <w:tc>
          <w:tcPr>
            <w:tcW w:w="1430" w:type="dxa"/>
          </w:tcPr>
          <w:p w14:paraId="3FEC3692"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0.28</w:t>
            </w:r>
          </w:p>
        </w:tc>
        <w:tc>
          <w:tcPr>
            <w:tcW w:w="1430" w:type="dxa"/>
          </w:tcPr>
          <w:p w14:paraId="63F65102"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1.77</w:t>
            </w:r>
          </w:p>
        </w:tc>
      </w:tr>
      <w:tr w:rsidR="00C016E8" w:rsidRPr="00702DDD" w14:paraId="42A4F9F0" w14:textId="77777777" w:rsidTr="00E83386">
        <w:trPr>
          <w:trHeight w:val="289"/>
        </w:trPr>
        <w:tc>
          <w:tcPr>
            <w:tcW w:w="3051" w:type="dxa"/>
          </w:tcPr>
          <w:p w14:paraId="2BDC0404" w14:textId="77777777" w:rsidR="00C016E8" w:rsidRPr="00702DDD" w:rsidRDefault="00C016E8" w:rsidP="00E83386">
            <w:pPr>
              <w:autoSpaceDE w:val="0"/>
              <w:autoSpaceDN w:val="0"/>
              <w:adjustRightInd w:val="0"/>
              <w:rPr>
                <w:rFonts w:ascii="Times New Roman" w:eastAsia="Calibri" w:hAnsi="Times New Roman" w:cs="Times New Roman"/>
                <w:i/>
                <w:iCs/>
                <w:color w:val="000000"/>
                <w:szCs w:val="22"/>
              </w:rPr>
            </w:pPr>
            <w:r w:rsidRPr="00702DDD">
              <w:rPr>
                <w:rFonts w:ascii="Times New Roman" w:eastAsia="Calibri" w:hAnsi="Times New Roman" w:cs="Times New Roman"/>
                <w:color w:val="000000"/>
                <w:szCs w:val="22"/>
              </w:rPr>
              <w:t>Northeast</w:t>
            </w:r>
          </w:p>
        </w:tc>
        <w:tc>
          <w:tcPr>
            <w:tcW w:w="1430" w:type="dxa"/>
          </w:tcPr>
          <w:p w14:paraId="3292DAB5" w14:textId="77777777" w:rsidR="00C016E8" w:rsidRPr="00702DDD" w:rsidRDefault="00C016E8" w:rsidP="00E83386">
            <w:pPr>
              <w:autoSpaceDE w:val="0"/>
              <w:autoSpaceDN w:val="0"/>
              <w:adjustRightInd w:val="0"/>
              <w:jc w:val="center"/>
              <w:rPr>
                <w:rFonts w:ascii="Times New Roman" w:eastAsia="Calibri" w:hAnsi="Times New Roman" w:cs="Times New Roman"/>
                <w:i/>
                <w:iCs/>
                <w:color w:val="000000"/>
                <w:szCs w:val="22"/>
              </w:rPr>
            </w:pPr>
            <w:r w:rsidRPr="00702DDD">
              <w:rPr>
                <w:rFonts w:ascii="Times New Roman" w:eastAsia="Calibri" w:hAnsi="Times New Roman" w:cs="Times New Roman"/>
                <w:color w:val="000000"/>
                <w:szCs w:val="22"/>
              </w:rPr>
              <w:t>1.00</w:t>
            </w:r>
          </w:p>
        </w:tc>
        <w:tc>
          <w:tcPr>
            <w:tcW w:w="1430" w:type="dxa"/>
          </w:tcPr>
          <w:p w14:paraId="46DD0FA5" w14:textId="77777777" w:rsidR="00C016E8" w:rsidRPr="00702DDD" w:rsidRDefault="00C016E8" w:rsidP="00E83386">
            <w:pPr>
              <w:autoSpaceDE w:val="0"/>
              <w:autoSpaceDN w:val="0"/>
              <w:adjustRightInd w:val="0"/>
              <w:jc w:val="center"/>
              <w:rPr>
                <w:rFonts w:ascii="Times New Roman" w:eastAsia="Calibri" w:hAnsi="Times New Roman" w:cs="Times New Roman"/>
                <w:i/>
                <w:iCs/>
                <w:color w:val="000000"/>
                <w:szCs w:val="22"/>
              </w:rPr>
            </w:pPr>
            <w:r w:rsidRPr="00702DDD">
              <w:rPr>
                <w:rFonts w:ascii="Times New Roman" w:eastAsia="Calibri" w:hAnsi="Times New Roman" w:cs="Times New Roman"/>
                <w:color w:val="000000"/>
                <w:szCs w:val="22"/>
              </w:rPr>
              <w:t>0.40</w:t>
            </w:r>
          </w:p>
        </w:tc>
        <w:tc>
          <w:tcPr>
            <w:tcW w:w="1430" w:type="dxa"/>
          </w:tcPr>
          <w:p w14:paraId="29AE0821" w14:textId="77777777" w:rsidR="00C016E8" w:rsidRPr="00702DDD" w:rsidRDefault="00C016E8" w:rsidP="00E83386">
            <w:pPr>
              <w:autoSpaceDE w:val="0"/>
              <w:autoSpaceDN w:val="0"/>
              <w:adjustRightInd w:val="0"/>
              <w:jc w:val="center"/>
              <w:rPr>
                <w:rFonts w:ascii="Times New Roman" w:eastAsia="Calibri" w:hAnsi="Times New Roman" w:cs="Times New Roman"/>
                <w:i/>
                <w:iCs/>
                <w:color w:val="000000"/>
                <w:szCs w:val="22"/>
              </w:rPr>
            </w:pPr>
            <w:r w:rsidRPr="00702DDD">
              <w:rPr>
                <w:rFonts w:ascii="Times New Roman" w:eastAsia="Calibri" w:hAnsi="Times New Roman" w:cs="Times New Roman"/>
                <w:color w:val="000000"/>
                <w:szCs w:val="22"/>
              </w:rPr>
              <w:t>0.21</w:t>
            </w:r>
          </w:p>
        </w:tc>
        <w:tc>
          <w:tcPr>
            <w:tcW w:w="1430" w:type="dxa"/>
          </w:tcPr>
          <w:p w14:paraId="147AB601" w14:textId="77777777" w:rsidR="00C016E8" w:rsidRPr="00702DDD" w:rsidRDefault="00C016E8" w:rsidP="00E83386">
            <w:pPr>
              <w:autoSpaceDE w:val="0"/>
              <w:autoSpaceDN w:val="0"/>
              <w:adjustRightInd w:val="0"/>
              <w:jc w:val="center"/>
              <w:rPr>
                <w:rFonts w:ascii="Times New Roman" w:eastAsia="Calibri" w:hAnsi="Times New Roman" w:cs="Times New Roman"/>
                <w:i/>
                <w:iCs/>
                <w:color w:val="000000"/>
                <w:szCs w:val="22"/>
              </w:rPr>
            </w:pPr>
            <w:r w:rsidRPr="00702DDD">
              <w:rPr>
                <w:rFonts w:ascii="Times New Roman" w:eastAsia="Calibri" w:hAnsi="Times New Roman" w:cs="Times New Roman"/>
                <w:color w:val="000000"/>
                <w:szCs w:val="22"/>
              </w:rPr>
              <w:t>1.60</w:t>
            </w:r>
          </w:p>
        </w:tc>
      </w:tr>
      <w:tr w:rsidR="00C016E8" w:rsidRPr="00702DDD" w14:paraId="4445F091" w14:textId="77777777" w:rsidTr="00E83386">
        <w:trPr>
          <w:trHeight w:val="289"/>
        </w:trPr>
        <w:tc>
          <w:tcPr>
            <w:tcW w:w="3051" w:type="dxa"/>
          </w:tcPr>
          <w:p w14:paraId="4E154128"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Southeast</w:t>
            </w:r>
          </w:p>
        </w:tc>
        <w:tc>
          <w:tcPr>
            <w:tcW w:w="1430" w:type="dxa"/>
          </w:tcPr>
          <w:p w14:paraId="207174A0"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Pr>
          <w:p w14:paraId="3B93D07A"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0.32</w:t>
            </w:r>
          </w:p>
        </w:tc>
        <w:tc>
          <w:tcPr>
            <w:tcW w:w="1430" w:type="dxa"/>
          </w:tcPr>
          <w:p w14:paraId="30B1B48F"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0.22</w:t>
            </w:r>
          </w:p>
        </w:tc>
        <w:tc>
          <w:tcPr>
            <w:tcW w:w="1430" w:type="dxa"/>
          </w:tcPr>
          <w:p w14:paraId="2C689C6E"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1.54</w:t>
            </w:r>
          </w:p>
        </w:tc>
      </w:tr>
      <w:tr w:rsidR="00C016E8" w:rsidRPr="00702DDD" w14:paraId="6EFF01AF" w14:textId="77777777" w:rsidTr="00E83386">
        <w:trPr>
          <w:trHeight w:val="289"/>
        </w:trPr>
        <w:tc>
          <w:tcPr>
            <w:tcW w:w="3051" w:type="dxa"/>
          </w:tcPr>
          <w:p w14:paraId="4A2AC4E4"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Southern Middle</w:t>
            </w:r>
          </w:p>
        </w:tc>
        <w:tc>
          <w:tcPr>
            <w:tcW w:w="1430" w:type="dxa"/>
          </w:tcPr>
          <w:p w14:paraId="65D02CFA"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Pr>
          <w:p w14:paraId="7E5A5DF7"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0.30</w:t>
            </w:r>
          </w:p>
        </w:tc>
        <w:tc>
          <w:tcPr>
            <w:tcW w:w="1430" w:type="dxa"/>
          </w:tcPr>
          <w:p w14:paraId="6BD3C331"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0.15</w:t>
            </w:r>
          </w:p>
        </w:tc>
        <w:tc>
          <w:tcPr>
            <w:tcW w:w="1430" w:type="dxa"/>
          </w:tcPr>
          <w:p w14:paraId="35F40F62"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1.44</w:t>
            </w:r>
          </w:p>
        </w:tc>
      </w:tr>
      <w:tr w:rsidR="00C016E8" w:rsidRPr="00702DDD" w14:paraId="66C6BDBE" w14:textId="77777777" w:rsidTr="00E83386">
        <w:trPr>
          <w:trHeight w:val="289"/>
        </w:trPr>
        <w:tc>
          <w:tcPr>
            <w:tcW w:w="3051" w:type="dxa"/>
          </w:tcPr>
          <w:p w14:paraId="47F083AB"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Southwest</w:t>
            </w:r>
          </w:p>
        </w:tc>
        <w:tc>
          <w:tcPr>
            <w:tcW w:w="1430" w:type="dxa"/>
          </w:tcPr>
          <w:p w14:paraId="70F822F1"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Pr>
          <w:p w14:paraId="7A615FFF"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0.45</w:t>
            </w:r>
          </w:p>
        </w:tc>
        <w:tc>
          <w:tcPr>
            <w:tcW w:w="1430" w:type="dxa"/>
          </w:tcPr>
          <w:p w14:paraId="04ACC1EF"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0.13</w:t>
            </w:r>
          </w:p>
        </w:tc>
        <w:tc>
          <w:tcPr>
            <w:tcW w:w="1430" w:type="dxa"/>
          </w:tcPr>
          <w:p w14:paraId="7298B0E2"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1.58</w:t>
            </w:r>
          </w:p>
        </w:tc>
      </w:tr>
      <w:tr w:rsidR="00C016E8" w:rsidRPr="00702DDD" w14:paraId="69DDD1F2" w14:textId="77777777" w:rsidTr="00E83386">
        <w:trPr>
          <w:trHeight w:val="289"/>
        </w:trPr>
        <w:tc>
          <w:tcPr>
            <w:tcW w:w="3051" w:type="dxa"/>
            <w:tcBorders>
              <w:bottom w:val="single" w:sz="4" w:space="0" w:color="auto"/>
            </w:tcBorders>
          </w:tcPr>
          <w:p w14:paraId="716A14BC" w14:textId="77777777" w:rsidR="00C016E8" w:rsidRPr="00702DDD" w:rsidRDefault="00C016E8" w:rsidP="00E83386">
            <w:pPr>
              <w:autoSpaceDE w:val="0"/>
              <w:autoSpaceDN w:val="0"/>
              <w:adjustRightInd w:val="0"/>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Greater Memphis</w:t>
            </w:r>
          </w:p>
        </w:tc>
        <w:tc>
          <w:tcPr>
            <w:tcW w:w="1430" w:type="dxa"/>
            <w:tcBorders>
              <w:bottom w:val="single" w:sz="4" w:space="0" w:color="auto"/>
            </w:tcBorders>
          </w:tcPr>
          <w:p w14:paraId="0DAA7406"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1.00</w:t>
            </w:r>
          </w:p>
        </w:tc>
        <w:tc>
          <w:tcPr>
            <w:tcW w:w="1430" w:type="dxa"/>
            <w:tcBorders>
              <w:bottom w:val="single" w:sz="4" w:space="0" w:color="auto"/>
            </w:tcBorders>
          </w:tcPr>
          <w:p w14:paraId="5F31CA3E"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0.36</w:t>
            </w:r>
          </w:p>
        </w:tc>
        <w:tc>
          <w:tcPr>
            <w:tcW w:w="1430" w:type="dxa"/>
            <w:tcBorders>
              <w:bottom w:val="single" w:sz="4" w:space="0" w:color="auto"/>
            </w:tcBorders>
          </w:tcPr>
          <w:p w14:paraId="142891FB"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0.42</w:t>
            </w:r>
          </w:p>
        </w:tc>
        <w:tc>
          <w:tcPr>
            <w:tcW w:w="1430" w:type="dxa"/>
            <w:tcBorders>
              <w:bottom w:val="single" w:sz="4" w:space="0" w:color="auto"/>
            </w:tcBorders>
          </w:tcPr>
          <w:p w14:paraId="7374FB69"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szCs w:val="22"/>
              </w:rPr>
            </w:pPr>
            <w:r w:rsidRPr="00702DDD">
              <w:rPr>
                <w:rFonts w:ascii="Times New Roman" w:eastAsia="Calibri" w:hAnsi="Times New Roman" w:cs="Times New Roman"/>
                <w:color w:val="000000"/>
                <w:szCs w:val="22"/>
              </w:rPr>
              <w:t>1.77</w:t>
            </w:r>
          </w:p>
        </w:tc>
      </w:tr>
    </w:tbl>
    <w:p w14:paraId="7DCC12D8" w14:textId="411BBDF5" w:rsidR="00C016E8" w:rsidRPr="00702DDD" w:rsidRDefault="00C016E8" w:rsidP="00C016E8">
      <w:pPr>
        <w:rPr>
          <w:rFonts w:ascii="Times New Roman" w:hAnsi="Times New Roman" w:cs="Times New Roman"/>
          <w:b/>
          <w:highlight w:val="green"/>
        </w:rPr>
      </w:pPr>
    </w:p>
    <w:p w14:paraId="6053406F" w14:textId="77777777" w:rsidR="00D20D63" w:rsidRPr="00702DDD" w:rsidRDefault="00D20D63" w:rsidP="00C016E8">
      <w:pPr>
        <w:rPr>
          <w:rFonts w:ascii="Times New Roman" w:hAnsi="Times New Roman" w:cs="Times New Roman"/>
          <w:b/>
          <w:highlight w:val="green"/>
        </w:rPr>
      </w:pPr>
    </w:p>
    <w:p w14:paraId="18FBD1D2" w14:textId="77777777" w:rsidR="00C016E8" w:rsidRPr="00702DDD" w:rsidRDefault="00C016E8" w:rsidP="00C016E8">
      <w:pPr>
        <w:rPr>
          <w:rFonts w:ascii="Times New Roman" w:hAnsi="Times New Roman" w:cs="Times New Roman"/>
          <w:b/>
          <w:highlight w:val="green"/>
        </w:rPr>
      </w:pPr>
    </w:p>
    <w:p w14:paraId="0FAD27C1" w14:textId="519112DD" w:rsidR="00C016E8" w:rsidRPr="00702DDD" w:rsidRDefault="00C016E8" w:rsidP="00C016E8">
      <w:pPr>
        <w:rPr>
          <w:rFonts w:ascii="Times New Roman" w:hAnsi="Times New Roman" w:cs="Times New Roman"/>
          <w:b/>
        </w:rPr>
      </w:pPr>
      <w:r w:rsidRPr="00702DDD">
        <w:rPr>
          <w:rFonts w:ascii="Times New Roman" w:hAnsi="Times New Roman" w:cs="Times New Roman"/>
          <w:b/>
        </w:rPr>
        <w:t>Table 2.</w:t>
      </w:r>
      <w:r w:rsidR="00C72EA1">
        <w:rPr>
          <w:rFonts w:ascii="Times New Roman" w:hAnsi="Times New Roman" w:cs="Times New Roman"/>
          <w:b/>
        </w:rPr>
        <w:t>4:</w:t>
      </w:r>
      <w:r w:rsidRPr="00702DDD">
        <w:rPr>
          <w:rFonts w:ascii="Times New Roman" w:hAnsi="Times New Roman" w:cs="Times New Roman"/>
          <w:b/>
        </w:rPr>
        <w:t xml:space="preserve"> 2019 Tennessee Employment Impacts by ATPI Method Allocation (in Jobs)</w:t>
      </w:r>
    </w:p>
    <w:tbl>
      <w:tblPr>
        <w:tblW w:w="8793" w:type="dxa"/>
        <w:tblInd w:w="-30" w:type="dxa"/>
        <w:tblBorders>
          <w:top w:val="single" w:sz="4" w:space="0" w:color="auto"/>
          <w:bottom w:val="single" w:sz="4" w:space="0" w:color="auto"/>
        </w:tblBorders>
        <w:tblLayout w:type="fixed"/>
        <w:tblLook w:val="0000" w:firstRow="0" w:lastRow="0" w:firstColumn="0" w:lastColumn="0" w:noHBand="0" w:noVBand="0"/>
      </w:tblPr>
      <w:tblGrid>
        <w:gridCol w:w="2901"/>
        <w:gridCol w:w="1473"/>
        <w:gridCol w:w="1473"/>
        <w:gridCol w:w="1473"/>
        <w:gridCol w:w="1473"/>
      </w:tblGrid>
      <w:tr w:rsidR="00C016E8" w:rsidRPr="00702DDD" w14:paraId="75F91B8C" w14:textId="77777777" w:rsidTr="00E83386">
        <w:trPr>
          <w:trHeight w:val="294"/>
        </w:trPr>
        <w:tc>
          <w:tcPr>
            <w:tcW w:w="2901" w:type="dxa"/>
            <w:shd w:val="clear" w:color="auto" w:fill="ED7D31" w:themeFill="accent2"/>
          </w:tcPr>
          <w:p w14:paraId="00DACF04" w14:textId="77777777" w:rsidR="00C016E8" w:rsidRPr="00702DDD" w:rsidRDefault="00C016E8" w:rsidP="00E83386">
            <w:pPr>
              <w:autoSpaceDE w:val="0"/>
              <w:autoSpaceDN w:val="0"/>
              <w:adjustRightInd w:val="0"/>
              <w:rPr>
                <w:rFonts w:ascii="Times New Roman" w:eastAsia="Calibri" w:hAnsi="Times New Roman" w:cs="Times New Roman"/>
                <w:b/>
                <w:bCs/>
                <w:i/>
                <w:iCs/>
                <w:color w:val="000000"/>
                <w:szCs w:val="22"/>
              </w:rPr>
            </w:pPr>
            <w:bookmarkStart w:id="78" w:name="_Hlk94614810"/>
            <w:r w:rsidRPr="00702DDD">
              <w:rPr>
                <w:rFonts w:ascii="Times New Roman" w:eastAsia="Calibri" w:hAnsi="Times New Roman" w:cs="Times New Roman"/>
                <w:b/>
                <w:bCs/>
                <w:i/>
                <w:iCs/>
                <w:color w:val="000000"/>
                <w:szCs w:val="22"/>
              </w:rPr>
              <w:t>Regions</w:t>
            </w:r>
          </w:p>
        </w:tc>
        <w:tc>
          <w:tcPr>
            <w:tcW w:w="1473" w:type="dxa"/>
            <w:shd w:val="clear" w:color="auto" w:fill="ED7D31" w:themeFill="accent2"/>
          </w:tcPr>
          <w:p w14:paraId="65446CE5" w14:textId="77777777" w:rsidR="00C016E8" w:rsidRPr="00702DDD" w:rsidRDefault="00C016E8" w:rsidP="00E83386">
            <w:pPr>
              <w:autoSpaceDE w:val="0"/>
              <w:autoSpaceDN w:val="0"/>
              <w:adjustRightInd w:val="0"/>
              <w:jc w:val="center"/>
              <w:rPr>
                <w:rFonts w:ascii="Times New Roman" w:eastAsia="Calibri" w:hAnsi="Times New Roman" w:cs="Times New Roman"/>
                <w:b/>
                <w:bCs/>
                <w:i/>
                <w:iCs/>
                <w:color w:val="000000"/>
                <w:szCs w:val="22"/>
              </w:rPr>
            </w:pPr>
            <w:r w:rsidRPr="00702DDD">
              <w:rPr>
                <w:rFonts w:ascii="Times New Roman" w:eastAsia="Calibri" w:hAnsi="Times New Roman" w:cs="Times New Roman"/>
                <w:b/>
                <w:bCs/>
                <w:i/>
                <w:iCs/>
                <w:color w:val="000000"/>
                <w:szCs w:val="22"/>
              </w:rPr>
              <w:t>Direct</w:t>
            </w:r>
          </w:p>
        </w:tc>
        <w:tc>
          <w:tcPr>
            <w:tcW w:w="1473" w:type="dxa"/>
            <w:shd w:val="clear" w:color="auto" w:fill="ED7D31" w:themeFill="accent2"/>
          </w:tcPr>
          <w:p w14:paraId="0D127FFC" w14:textId="77777777" w:rsidR="00C016E8" w:rsidRPr="00702DDD" w:rsidRDefault="00C016E8" w:rsidP="00E83386">
            <w:pPr>
              <w:autoSpaceDE w:val="0"/>
              <w:autoSpaceDN w:val="0"/>
              <w:adjustRightInd w:val="0"/>
              <w:jc w:val="center"/>
              <w:rPr>
                <w:rFonts w:ascii="Times New Roman" w:eastAsia="Calibri" w:hAnsi="Times New Roman" w:cs="Times New Roman"/>
                <w:b/>
                <w:bCs/>
                <w:i/>
                <w:iCs/>
                <w:color w:val="000000"/>
                <w:szCs w:val="22"/>
              </w:rPr>
            </w:pPr>
            <w:r w:rsidRPr="00702DDD">
              <w:rPr>
                <w:rFonts w:ascii="Times New Roman" w:eastAsia="Calibri" w:hAnsi="Times New Roman" w:cs="Times New Roman"/>
                <w:b/>
                <w:bCs/>
                <w:i/>
                <w:iCs/>
                <w:color w:val="000000"/>
                <w:szCs w:val="22"/>
              </w:rPr>
              <w:t>Indirect</w:t>
            </w:r>
          </w:p>
        </w:tc>
        <w:tc>
          <w:tcPr>
            <w:tcW w:w="1473" w:type="dxa"/>
            <w:shd w:val="clear" w:color="auto" w:fill="ED7D31" w:themeFill="accent2"/>
          </w:tcPr>
          <w:p w14:paraId="19C4AFFB" w14:textId="77777777" w:rsidR="00C016E8" w:rsidRPr="00702DDD" w:rsidRDefault="00C016E8" w:rsidP="00E83386">
            <w:pPr>
              <w:autoSpaceDE w:val="0"/>
              <w:autoSpaceDN w:val="0"/>
              <w:adjustRightInd w:val="0"/>
              <w:jc w:val="center"/>
              <w:rPr>
                <w:rFonts w:ascii="Times New Roman" w:eastAsia="Calibri" w:hAnsi="Times New Roman" w:cs="Times New Roman"/>
                <w:b/>
                <w:bCs/>
                <w:i/>
                <w:iCs/>
                <w:color w:val="000000"/>
                <w:szCs w:val="22"/>
              </w:rPr>
            </w:pPr>
            <w:r w:rsidRPr="00702DDD">
              <w:rPr>
                <w:rFonts w:ascii="Times New Roman" w:eastAsia="Calibri" w:hAnsi="Times New Roman" w:cs="Times New Roman"/>
                <w:b/>
                <w:bCs/>
                <w:i/>
                <w:iCs/>
                <w:color w:val="000000"/>
                <w:szCs w:val="22"/>
              </w:rPr>
              <w:t>Induced</w:t>
            </w:r>
          </w:p>
        </w:tc>
        <w:tc>
          <w:tcPr>
            <w:tcW w:w="1473" w:type="dxa"/>
            <w:shd w:val="clear" w:color="auto" w:fill="ED7D31" w:themeFill="accent2"/>
          </w:tcPr>
          <w:p w14:paraId="299FE3F6" w14:textId="77777777" w:rsidR="00C016E8" w:rsidRPr="00702DDD" w:rsidRDefault="00C016E8" w:rsidP="00E83386">
            <w:pPr>
              <w:autoSpaceDE w:val="0"/>
              <w:autoSpaceDN w:val="0"/>
              <w:adjustRightInd w:val="0"/>
              <w:jc w:val="center"/>
              <w:rPr>
                <w:rFonts w:ascii="Times New Roman" w:eastAsia="Calibri" w:hAnsi="Times New Roman" w:cs="Times New Roman"/>
                <w:b/>
                <w:bCs/>
                <w:i/>
                <w:iCs/>
                <w:color w:val="000000"/>
                <w:szCs w:val="22"/>
              </w:rPr>
            </w:pPr>
            <w:r w:rsidRPr="00702DDD">
              <w:rPr>
                <w:rFonts w:ascii="Times New Roman" w:eastAsia="Calibri" w:hAnsi="Times New Roman" w:cs="Times New Roman"/>
                <w:b/>
                <w:bCs/>
                <w:i/>
                <w:iCs/>
                <w:color w:val="000000"/>
                <w:szCs w:val="22"/>
              </w:rPr>
              <w:t>Total</w:t>
            </w:r>
          </w:p>
        </w:tc>
      </w:tr>
      <w:tr w:rsidR="00C016E8" w:rsidRPr="00702DDD" w14:paraId="36FADC89" w14:textId="77777777" w:rsidTr="00E83386">
        <w:trPr>
          <w:trHeight w:val="294"/>
        </w:trPr>
        <w:tc>
          <w:tcPr>
            <w:tcW w:w="2901" w:type="dxa"/>
          </w:tcPr>
          <w:p w14:paraId="70A2B920" w14:textId="77777777" w:rsidR="00C016E8" w:rsidRPr="00702DDD" w:rsidRDefault="00C016E8" w:rsidP="00E83386">
            <w:pPr>
              <w:autoSpaceDE w:val="0"/>
              <w:autoSpaceDN w:val="0"/>
              <w:adjustRightInd w:val="0"/>
              <w:rPr>
                <w:rFonts w:ascii="Times New Roman" w:eastAsia="Calibri" w:hAnsi="Times New Roman" w:cs="Times New Roman"/>
                <w:b/>
                <w:bCs/>
                <w:iCs/>
                <w:color w:val="000000"/>
                <w:szCs w:val="22"/>
              </w:rPr>
            </w:pPr>
            <w:r w:rsidRPr="00702DDD">
              <w:rPr>
                <w:rFonts w:ascii="Times New Roman" w:eastAsia="Calibri" w:hAnsi="Times New Roman" w:cs="Times New Roman"/>
                <w:b/>
                <w:bCs/>
                <w:iCs/>
                <w:color w:val="000000"/>
                <w:szCs w:val="22"/>
              </w:rPr>
              <w:t>MHI</w:t>
            </w:r>
          </w:p>
        </w:tc>
        <w:tc>
          <w:tcPr>
            <w:tcW w:w="1473" w:type="dxa"/>
          </w:tcPr>
          <w:p w14:paraId="2DA4F6CA"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p>
        </w:tc>
        <w:tc>
          <w:tcPr>
            <w:tcW w:w="1473" w:type="dxa"/>
          </w:tcPr>
          <w:p w14:paraId="2C9C6818"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p>
        </w:tc>
        <w:tc>
          <w:tcPr>
            <w:tcW w:w="1473" w:type="dxa"/>
          </w:tcPr>
          <w:p w14:paraId="075229DA"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p>
        </w:tc>
        <w:tc>
          <w:tcPr>
            <w:tcW w:w="1473" w:type="dxa"/>
          </w:tcPr>
          <w:p w14:paraId="761C4E75"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p>
        </w:tc>
      </w:tr>
      <w:tr w:rsidR="00C016E8" w:rsidRPr="00702DDD" w14:paraId="5D0AE304" w14:textId="77777777" w:rsidTr="00E83386">
        <w:trPr>
          <w:trHeight w:val="294"/>
        </w:trPr>
        <w:tc>
          <w:tcPr>
            <w:tcW w:w="2901" w:type="dxa"/>
          </w:tcPr>
          <w:p w14:paraId="50EB3B53"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Northwest</w:t>
            </w:r>
          </w:p>
        </w:tc>
        <w:tc>
          <w:tcPr>
            <w:tcW w:w="1473" w:type="dxa"/>
          </w:tcPr>
          <w:p w14:paraId="6B4FCAE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510.12</w:t>
            </w:r>
          </w:p>
        </w:tc>
        <w:tc>
          <w:tcPr>
            <w:tcW w:w="1473" w:type="dxa"/>
          </w:tcPr>
          <w:p w14:paraId="6F27BB09"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374.19</w:t>
            </w:r>
          </w:p>
        </w:tc>
        <w:tc>
          <w:tcPr>
            <w:tcW w:w="1473" w:type="dxa"/>
          </w:tcPr>
          <w:p w14:paraId="623F2E3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177.70</w:t>
            </w:r>
          </w:p>
        </w:tc>
        <w:tc>
          <w:tcPr>
            <w:tcW w:w="1473" w:type="dxa"/>
          </w:tcPr>
          <w:p w14:paraId="2CDE08F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1,062.00</w:t>
            </w:r>
          </w:p>
        </w:tc>
      </w:tr>
      <w:tr w:rsidR="00C016E8" w:rsidRPr="00702DDD" w14:paraId="721BF034" w14:textId="77777777" w:rsidTr="00E83386">
        <w:trPr>
          <w:trHeight w:val="294"/>
        </w:trPr>
        <w:tc>
          <w:tcPr>
            <w:tcW w:w="2901" w:type="dxa"/>
          </w:tcPr>
          <w:p w14:paraId="05B3F0E4"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Northern Middle</w:t>
            </w:r>
          </w:p>
        </w:tc>
        <w:tc>
          <w:tcPr>
            <w:tcW w:w="1473" w:type="dxa"/>
          </w:tcPr>
          <w:p w14:paraId="632D0589"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52.99</w:t>
            </w:r>
          </w:p>
        </w:tc>
        <w:tc>
          <w:tcPr>
            <w:tcW w:w="1473" w:type="dxa"/>
          </w:tcPr>
          <w:p w14:paraId="513A472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46.99</w:t>
            </w:r>
          </w:p>
        </w:tc>
        <w:tc>
          <w:tcPr>
            <w:tcW w:w="1473" w:type="dxa"/>
          </w:tcPr>
          <w:p w14:paraId="43C7F8E9"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35.49</w:t>
            </w:r>
          </w:p>
        </w:tc>
        <w:tc>
          <w:tcPr>
            <w:tcW w:w="1473" w:type="dxa"/>
          </w:tcPr>
          <w:p w14:paraId="69A4CB6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135.47</w:t>
            </w:r>
          </w:p>
        </w:tc>
      </w:tr>
      <w:tr w:rsidR="00C016E8" w:rsidRPr="00702DDD" w14:paraId="2B2B5C7B" w14:textId="77777777" w:rsidTr="00E83386">
        <w:trPr>
          <w:trHeight w:val="294"/>
        </w:trPr>
        <w:tc>
          <w:tcPr>
            <w:tcW w:w="2901" w:type="dxa"/>
          </w:tcPr>
          <w:p w14:paraId="34DAE72A"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Upper Cumberland</w:t>
            </w:r>
          </w:p>
        </w:tc>
        <w:tc>
          <w:tcPr>
            <w:tcW w:w="1473" w:type="dxa"/>
          </w:tcPr>
          <w:p w14:paraId="4CE2FBDE"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885.28</w:t>
            </w:r>
          </w:p>
        </w:tc>
        <w:tc>
          <w:tcPr>
            <w:tcW w:w="1473" w:type="dxa"/>
          </w:tcPr>
          <w:p w14:paraId="3AE543A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665.73</w:t>
            </w:r>
          </w:p>
        </w:tc>
        <w:tc>
          <w:tcPr>
            <w:tcW w:w="1473" w:type="dxa"/>
          </w:tcPr>
          <w:p w14:paraId="0861F70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150.12</w:t>
            </w:r>
          </w:p>
        </w:tc>
        <w:tc>
          <w:tcPr>
            <w:tcW w:w="1473" w:type="dxa"/>
          </w:tcPr>
          <w:p w14:paraId="314E7D5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1,701.13</w:t>
            </w:r>
          </w:p>
        </w:tc>
      </w:tr>
      <w:tr w:rsidR="00C016E8" w:rsidRPr="00702DDD" w14:paraId="03BCC070" w14:textId="77777777" w:rsidTr="00E83386">
        <w:trPr>
          <w:trHeight w:val="294"/>
        </w:trPr>
        <w:tc>
          <w:tcPr>
            <w:tcW w:w="2901" w:type="dxa"/>
          </w:tcPr>
          <w:p w14:paraId="3987A769"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East</w:t>
            </w:r>
          </w:p>
        </w:tc>
        <w:tc>
          <w:tcPr>
            <w:tcW w:w="1473" w:type="dxa"/>
          </w:tcPr>
          <w:p w14:paraId="242E40F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572.26</w:t>
            </w:r>
          </w:p>
        </w:tc>
        <w:tc>
          <w:tcPr>
            <w:tcW w:w="1473" w:type="dxa"/>
          </w:tcPr>
          <w:p w14:paraId="1D7FD539"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467.89</w:t>
            </w:r>
          </w:p>
        </w:tc>
        <w:tc>
          <w:tcPr>
            <w:tcW w:w="1473" w:type="dxa"/>
          </w:tcPr>
          <w:p w14:paraId="4C239EB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331.90</w:t>
            </w:r>
          </w:p>
        </w:tc>
        <w:tc>
          <w:tcPr>
            <w:tcW w:w="1473" w:type="dxa"/>
          </w:tcPr>
          <w:p w14:paraId="0D8D608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1,372.05</w:t>
            </w:r>
          </w:p>
        </w:tc>
      </w:tr>
      <w:tr w:rsidR="00C016E8" w:rsidRPr="00702DDD" w14:paraId="58377666" w14:textId="77777777" w:rsidTr="00E83386">
        <w:trPr>
          <w:trHeight w:val="294"/>
        </w:trPr>
        <w:tc>
          <w:tcPr>
            <w:tcW w:w="2901" w:type="dxa"/>
          </w:tcPr>
          <w:p w14:paraId="7B2F2E4C"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Northeast</w:t>
            </w:r>
          </w:p>
        </w:tc>
        <w:tc>
          <w:tcPr>
            <w:tcW w:w="1473" w:type="dxa"/>
          </w:tcPr>
          <w:p w14:paraId="5C1020DB"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364.35</w:t>
            </w:r>
          </w:p>
        </w:tc>
        <w:tc>
          <w:tcPr>
            <w:tcW w:w="1473" w:type="dxa"/>
          </w:tcPr>
          <w:p w14:paraId="71C9462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276.63</w:t>
            </w:r>
          </w:p>
        </w:tc>
        <w:tc>
          <w:tcPr>
            <w:tcW w:w="1473" w:type="dxa"/>
          </w:tcPr>
          <w:p w14:paraId="519522C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181.23</w:t>
            </w:r>
          </w:p>
        </w:tc>
        <w:tc>
          <w:tcPr>
            <w:tcW w:w="1473" w:type="dxa"/>
          </w:tcPr>
          <w:p w14:paraId="6164199D"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822.20</w:t>
            </w:r>
          </w:p>
        </w:tc>
      </w:tr>
      <w:tr w:rsidR="00C016E8" w:rsidRPr="00702DDD" w14:paraId="73F4CC33" w14:textId="77777777" w:rsidTr="00E83386">
        <w:trPr>
          <w:trHeight w:val="294"/>
        </w:trPr>
        <w:tc>
          <w:tcPr>
            <w:tcW w:w="2901" w:type="dxa"/>
          </w:tcPr>
          <w:p w14:paraId="62C60324"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Southeast</w:t>
            </w:r>
          </w:p>
        </w:tc>
        <w:tc>
          <w:tcPr>
            <w:tcW w:w="1473" w:type="dxa"/>
          </w:tcPr>
          <w:p w14:paraId="61735EFB"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225.87</w:t>
            </w:r>
          </w:p>
        </w:tc>
        <w:tc>
          <w:tcPr>
            <w:tcW w:w="1473" w:type="dxa"/>
          </w:tcPr>
          <w:p w14:paraId="220FBA6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182.07</w:t>
            </w:r>
          </w:p>
        </w:tc>
        <w:tc>
          <w:tcPr>
            <w:tcW w:w="1473" w:type="dxa"/>
          </w:tcPr>
          <w:p w14:paraId="506E8E2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150.40</w:t>
            </w:r>
          </w:p>
        </w:tc>
        <w:tc>
          <w:tcPr>
            <w:tcW w:w="1473" w:type="dxa"/>
          </w:tcPr>
          <w:p w14:paraId="3C5069B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558.34</w:t>
            </w:r>
          </w:p>
        </w:tc>
      </w:tr>
      <w:tr w:rsidR="00C016E8" w:rsidRPr="00702DDD" w14:paraId="3A7A6D1F" w14:textId="77777777" w:rsidTr="00E83386">
        <w:trPr>
          <w:trHeight w:val="294"/>
        </w:trPr>
        <w:tc>
          <w:tcPr>
            <w:tcW w:w="2901" w:type="dxa"/>
          </w:tcPr>
          <w:p w14:paraId="114AB33F"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Southern Middle</w:t>
            </w:r>
          </w:p>
        </w:tc>
        <w:tc>
          <w:tcPr>
            <w:tcW w:w="1473" w:type="dxa"/>
          </w:tcPr>
          <w:p w14:paraId="79CB2EF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283.87</w:t>
            </w:r>
          </w:p>
        </w:tc>
        <w:tc>
          <w:tcPr>
            <w:tcW w:w="1473" w:type="dxa"/>
          </w:tcPr>
          <w:p w14:paraId="02D55A4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181.00</w:t>
            </w:r>
          </w:p>
        </w:tc>
        <w:tc>
          <w:tcPr>
            <w:tcW w:w="1473" w:type="dxa"/>
          </w:tcPr>
          <w:p w14:paraId="4DF41CCB"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102.47</w:t>
            </w:r>
          </w:p>
        </w:tc>
        <w:tc>
          <w:tcPr>
            <w:tcW w:w="1473" w:type="dxa"/>
          </w:tcPr>
          <w:p w14:paraId="290185E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567.34</w:t>
            </w:r>
          </w:p>
        </w:tc>
      </w:tr>
      <w:tr w:rsidR="00C016E8" w:rsidRPr="00702DDD" w14:paraId="0996464B" w14:textId="77777777" w:rsidTr="00E83386">
        <w:trPr>
          <w:trHeight w:val="294"/>
        </w:trPr>
        <w:tc>
          <w:tcPr>
            <w:tcW w:w="2901" w:type="dxa"/>
          </w:tcPr>
          <w:p w14:paraId="05B90A51"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Southwest</w:t>
            </w:r>
          </w:p>
        </w:tc>
        <w:tc>
          <w:tcPr>
            <w:tcW w:w="1473" w:type="dxa"/>
          </w:tcPr>
          <w:p w14:paraId="26CD86E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457.81</w:t>
            </w:r>
          </w:p>
        </w:tc>
        <w:tc>
          <w:tcPr>
            <w:tcW w:w="1473" w:type="dxa"/>
          </w:tcPr>
          <w:p w14:paraId="35BD8F6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320.65</w:t>
            </w:r>
          </w:p>
        </w:tc>
        <w:tc>
          <w:tcPr>
            <w:tcW w:w="1473" w:type="dxa"/>
          </w:tcPr>
          <w:p w14:paraId="44335ECD"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115.54</w:t>
            </w:r>
          </w:p>
        </w:tc>
        <w:tc>
          <w:tcPr>
            <w:tcW w:w="1473" w:type="dxa"/>
          </w:tcPr>
          <w:p w14:paraId="01C8A609"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894.00</w:t>
            </w:r>
          </w:p>
        </w:tc>
      </w:tr>
      <w:tr w:rsidR="00C016E8" w:rsidRPr="00702DDD" w14:paraId="7E28B803" w14:textId="77777777" w:rsidTr="00E83386">
        <w:trPr>
          <w:trHeight w:val="294"/>
        </w:trPr>
        <w:tc>
          <w:tcPr>
            <w:tcW w:w="2901" w:type="dxa"/>
            <w:tcBorders>
              <w:bottom w:val="nil"/>
            </w:tcBorders>
          </w:tcPr>
          <w:p w14:paraId="6513665D"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Greater Memphis</w:t>
            </w:r>
          </w:p>
        </w:tc>
        <w:tc>
          <w:tcPr>
            <w:tcW w:w="1473" w:type="dxa"/>
            <w:tcBorders>
              <w:bottom w:val="nil"/>
            </w:tcBorders>
          </w:tcPr>
          <w:p w14:paraId="344AFAA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44.90</w:t>
            </w:r>
          </w:p>
        </w:tc>
        <w:tc>
          <w:tcPr>
            <w:tcW w:w="1473" w:type="dxa"/>
            <w:tcBorders>
              <w:bottom w:val="nil"/>
            </w:tcBorders>
          </w:tcPr>
          <w:p w14:paraId="3B7FCE4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38.30</w:t>
            </w:r>
          </w:p>
        </w:tc>
        <w:tc>
          <w:tcPr>
            <w:tcW w:w="1473" w:type="dxa"/>
            <w:tcBorders>
              <w:bottom w:val="nil"/>
            </w:tcBorders>
          </w:tcPr>
          <w:p w14:paraId="3118AD2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53.02</w:t>
            </w:r>
          </w:p>
        </w:tc>
        <w:tc>
          <w:tcPr>
            <w:tcW w:w="1473" w:type="dxa"/>
            <w:tcBorders>
              <w:bottom w:val="nil"/>
            </w:tcBorders>
          </w:tcPr>
          <w:p w14:paraId="1AB71EE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136.21</w:t>
            </w:r>
          </w:p>
        </w:tc>
      </w:tr>
      <w:tr w:rsidR="00C016E8" w:rsidRPr="00702DDD" w14:paraId="791C3936" w14:textId="77777777" w:rsidTr="00E83386">
        <w:trPr>
          <w:trHeight w:val="294"/>
        </w:trPr>
        <w:tc>
          <w:tcPr>
            <w:tcW w:w="2901" w:type="dxa"/>
            <w:tcBorders>
              <w:top w:val="nil"/>
              <w:bottom w:val="single" w:sz="4" w:space="0" w:color="auto"/>
            </w:tcBorders>
            <w:shd w:val="clear" w:color="auto" w:fill="auto"/>
          </w:tcPr>
          <w:p w14:paraId="7B284B37" w14:textId="77777777" w:rsidR="00C016E8" w:rsidRPr="00702DDD" w:rsidRDefault="00C016E8" w:rsidP="00E83386">
            <w:pPr>
              <w:autoSpaceDE w:val="0"/>
              <w:autoSpaceDN w:val="0"/>
              <w:adjustRightInd w:val="0"/>
              <w:rPr>
                <w:rFonts w:ascii="Times New Roman" w:eastAsia="Calibri" w:hAnsi="Times New Roman" w:cs="Times New Roman"/>
                <w:bCs/>
                <w:i/>
                <w:iCs/>
                <w:color w:val="000000"/>
                <w:szCs w:val="22"/>
              </w:rPr>
            </w:pPr>
            <w:r w:rsidRPr="00702DDD">
              <w:rPr>
                <w:rFonts w:ascii="Times New Roman" w:eastAsia="Calibri" w:hAnsi="Times New Roman" w:cs="Times New Roman"/>
                <w:bCs/>
                <w:i/>
                <w:iCs/>
                <w:color w:val="000000"/>
                <w:szCs w:val="22"/>
              </w:rPr>
              <w:t>Aggregate</w:t>
            </w:r>
          </w:p>
        </w:tc>
        <w:tc>
          <w:tcPr>
            <w:tcW w:w="1473" w:type="dxa"/>
            <w:tcBorders>
              <w:top w:val="nil"/>
              <w:bottom w:val="single" w:sz="4" w:space="0" w:color="auto"/>
            </w:tcBorders>
            <w:shd w:val="clear" w:color="auto" w:fill="auto"/>
          </w:tcPr>
          <w:p w14:paraId="53DA6E3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3,397.45</w:t>
            </w:r>
          </w:p>
        </w:tc>
        <w:tc>
          <w:tcPr>
            <w:tcW w:w="1473" w:type="dxa"/>
            <w:tcBorders>
              <w:top w:val="nil"/>
              <w:bottom w:val="single" w:sz="4" w:space="0" w:color="auto"/>
            </w:tcBorders>
            <w:shd w:val="clear" w:color="auto" w:fill="auto"/>
          </w:tcPr>
          <w:p w14:paraId="7DC25FA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2,553.45</w:t>
            </w:r>
          </w:p>
        </w:tc>
        <w:tc>
          <w:tcPr>
            <w:tcW w:w="1473" w:type="dxa"/>
            <w:tcBorders>
              <w:top w:val="nil"/>
              <w:bottom w:val="single" w:sz="4" w:space="0" w:color="auto"/>
            </w:tcBorders>
            <w:shd w:val="clear" w:color="auto" w:fill="auto"/>
          </w:tcPr>
          <w:p w14:paraId="24DDAF84"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1,297.87</w:t>
            </w:r>
          </w:p>
        </w:tc>
        <w:tc>
          <w:tcPr>
            <w:tcW w:w="1473" w:type="dxa"/>
            <w:tcBorders>
              <w:top w:val="nil"/>
              <w:bottom w:val="single" w:sz="4" w:space="0" w:color="auto"/>
            </w:tcBorders>
            <w:shd w:val="clear" w:color="auto" w:fill="auto"/>
          </w:tcPr>
          <w:p w14:paraId="67A3270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7,248.74</w:t>
            </w:r>
          </w:p>
        </w:tc>
      </w:tr>
      <w:tr w:rsidR="00C016E8" w:rsidRPr="00702DDD" w14:paraId="337AB4BA" w14:textId="77777777" w:rsidTr="00E83386">
        <w:trPr>
          <w:trHeight w:val="294"/>
        </w:trPr>
        <w:tc>
          <w:tcPr>
            <w:tcW w:w="2901" w:type="dxa"/>
            <w:tcBorders>
              <w:top w:val="single" w:sz="4" w:space="0" w:color="auto"/>
            </w:tcBorders>
            <w:shd w:val="clear" w:color="auto" w:fill="auto"/>
          </w:tcPr>
          <w:p w14:paraId="4ACBC361" w14:textId="77777777" w:rsidR="00C016E8" w:rsidRPr="00702DDD" w:rsidRDefault="00C016E8" w:rsidP="00E83386">
            <w:pPr>
              <w:autoSpaceDE w:val="0"/>
              <w:autoSpaceDN w:val="0"/>
              <w:adjustRightInd w:val="0"/>
              <w:rPr>
                <w:rFonts w:ascii="Times New Roman" w:eastAsia="Calibri" w:hAnsi="Times New Roman" w:cs="Times New Roman"/>
                <w:b/>
                <w:bCs/>
                <w:iCs/>
                <w:color w:val="000000"/>
                <w:szCs w:val="22"/>
              </w:rPr>
            </w:pPr>
            <w:r w:rsidRPr="00702DDD">
              <w:rPr>
                <w:rFonts w:ascii="Times New Roman" w:eastAsia="Calibri" w:hAnsi="Times New Roman" w:cs="Times New Roman"/>
                <w:b/>
                <w:bCs/>
                <w:iCs/>
                <w:color w:val="000000"/>
                <w:szCs w:val="22"/>
              </w:rPr>
              <w:t>Simple Avg</w:t>
            </w:r>
          </w:p>
        </w:tc>
        <w:tc>
          <w:tcPr>
            <w:tcW w:w="1473" w:type="dxa"/>
            <w:tcBorders>
              <w:top w:val="single" w:sz="4" w:space="0" w:color="auto"/>
            </w:tcBorders>
            <w:shd w:val="clear" w:color="auto" w:fill="auto"/>
          </w:tcPr>
          <w:p w14:paraId="0613365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p>
        </w:tc>
        <w:tc>
          <w:tcPr>
            <w:tcW w:w="1473" w:type="dxa"/>
            <w:tcBorders>
              <w:top w:val="single" w:sz="4" w:space="0" w:color="auto"/>
            </w:tcBorders>
            <w:shd w:val="clear" w:color="auto" w:fill="auto"/>
          </w:tcPr>
          <w:p w14:paraId="2A18296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p>
        </w:tc>
        <w:tc>
          <w:tcPr>
            <w:tcW w:w="1473" w:type="dxa"/>
            <w:tcBorders>
              <w:top w:val="single" w:sz="4" w:space="0" w:color="auto"/>
            </w:tcBorders>
            <w:shd w:val="clear" w:color="auto" w:fill="auto"/>
          </w:tcPr>
          <w:p w14:paraId="7BF93C0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p>
        </w:tc>
        <w:tc>
          <w:tcPr>
            <w:tcW w:w="1473" w:type="dxa"/>
            <w:tcBorders>
              <w:top w:val="single" w:sz="4" w:space="0" w:color="auto"/>
            </w:tcBorders>
            <w:shd w:val="clear" w:color="auto" w:fill="auto"/>
          </w:tcPr>
          <w:p w14:paraId="238153DB"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p>
        </w:tc>
      </w:tr>
      <w:tr w:rsidR="00C016E8" w:rsidRPr="00702DDD" w14:paraId="30A9370B" w14:textId="77777777" w:rsidTr="00E83386">
        <w:trPr>
          <w:trHeight w:val="294"/>
        </w:trPr>
        <w:tc>
          <w:tcPr>
            <w:tcW w:w="2901" w:type="dxa"/>
            <w:shd w:val="clear" w:color="auto" w:fill="auto"/>
          </w:tcPr>
          <w:p w14:paraId="057417F2"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Northwest</w:t>
            </w:r>
          </w:p>
        </w:tc>
        <w:tc>
          <w:tcPr>
            <w:tcW w:w="1473" w:type="dxa"/>
            <w:shd w:val="clear" w:color="auto" w:fill="auto"/>
          </w:tcPr>
          <w:p w14:paraId="51C7404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317.41</w:t>
            </w:r>
          </w:p>
        </w:tc>
        <w:tc>
          <w:tcPr>
            <w:tcW w:w="1473" w:type="dxa"/>
            <w:shd w:val="clear" w:color="auto" w:fill="auto"/>
          </w:tcPr>
          <w:p w14:paraId="63F8F74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232.83</w:t>
            </w:r>
          </w:p>
        </w:tc>
        <w:tc>
          <w:tcPr>
            <w:tcW w:w="1473" w:type="dxa"/>
            <w:shd w:val="clear" w:color="auto" w:fill="auto"/>
          </w:tcPr>
          <w:p w14:paraId="6133F7D9"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110.57</w:t>
            </w:r>
          </w:p>
        </w:tc>
        <w:tc>
          <w:tcPr>
            <w:tcW w:w="1473" w:type="dxa"/>
            <w:shd w:val="clear" w:color="auto" w:fill="auto"/>
          </w:tcPr>
          <w:p w14:paraId="21B8267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660.8</w:t>
            </w:r>
          </w:p>
        </w:tc>
      </w:tr>
      <w:tr w:rsidR="00C016E8" w:rsidRPr="00702DDD" w14:paraId="736EDE5D" w14:textId="77777777" w:rsidTr="00E83386">
        <w:trPr>
          <w:trHeight w:val="294"/>
        </w:trPr>
        <w:tc>
          <w:tcPr>
            <w:tcW w:w="2901" w:type="dxa"/>
            <w:shd w:val="clear" w:color="auto" w:fill="auto"/>
          </w:tcPr>
          <w:p w14:paraId="66B16C39"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Northern Middle</w:t>
            </w:r>
          </w:p>
        </w:tc>
        <w:tc>
          <w:tcPr>
            <w:tcW w:w="1473" w:type="dxa"/>
            <w:shd w:val="clear" w:color="auto" w:fill="auto"/>
          </w:tcPr>
          <w:p w14:paraId="3F91AEA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211.97</w:t>
            </w:r>
          </w:p>
        </w:tc>
        <w:tc>
          <w:tcPr>
            <w:tcW w:w="1473" w:type="dxa"/>
            <w:shd w:val="clear" w:color="auto" w:fill="auto"/>
          </w:tcPr>
          <w:p w14:paraId="52E5543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187.95</w:t>
            </w:r>
          </w:p>
        </w:tc>
        <w:tc>
          <w:tcPr>
            <w:tcW w:w="1473" w:type="dxa"/>
            <w:shd w:val="clear" w:color="auto" w:fill="auto"/>
          </w:tcPr>
          <w:p w14:paraId="42DCBA3E"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141.97</w:t>
            </w:r>
          </w:p>
        </w:tc>
        <w:tc>
          <w:tcPr>
            <w:tcW w:w="1473" w:type="dxa"/>
            <w:shd w:val="clear" w:color="auto" w:fill="auto"/>
          </w:tcPr>
          <w:p w14:paraId="28E1A47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541.89</w:t>
            </w:r>
          </w:p>
        </w:tc>
      </w:tr>
      <w:tr w:rsidR="00C016E8" w:rsidRPr="00702DDD" w14:paraId="6C26645A" w14:textId="77777777" w:rsidTr="00E83386">
        <w:trPr>
          <w:trHeight w:val="294"/>
        </w:trPr>
        <w:tc>
          <w:tcPr>
            <w:tcW w:w="2901" w:type="dxa"/>
            <w:shd w:val="clear" w:color="auto" w:fill="auto"/>
          </w:tcPr>
          <w:p w14:paraId="7F558905"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Upper Cumberland</w:t>
            </w:r>
          </w:p>
        </w:tc>
        <w:tc>
          <w:tcPr>
            <w:tcW w:w="1473" w:type="dxa"/>
            <w:shd w:val="clear" w:color="auto" w:fill="auto"/>
          </w:tcPr>
          <w:p w14:paraId="0F76931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637.4</w:t>
            </w:r>
          </w:p>
        </w:tc>
        <w:tc>
          <w:tcPr>
            <w:tcW w:w="1473" w:type="dxa"/>
            <w:shd w:val="clear" w:color="auto" w:fill="auto"/>
          </w:tcPr>
          <w:p w14:paraId="52F64A40"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479.33</w:t>
            </w:r>
          </w:p>
        </w:tc>
        <w:tc>
          <w:tcPr>
            <w:tcW w:w="1473" w:type="dxa"/>
            <w:shd w:val="clear" w:color="auto" w:fill="auto"/>
          </w:tcPr>
          <w:p w14:paraId="4D8B521D"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108.09</w:t>
            </w:r>
          </w:p>
        </w:tc>
        <w:tc>
          <w:tcPr>
            <w:tcW w:w="1473" w:type="dxa"/>
            <w:shd w:val="clear" w:color="auto" w:fill="auto"/>
          </w:tcPr>
          <w:p w14:paraId="74DA0CB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1,224.81</w:t>
            </w:r>
          </w:p>
        </w:tc>
      </w:tr>
      <w:tr w:rsidR="00C016E8" w:rsidRPr="00702DDD" w14:paraId="36AD99E3" w14:textId="77777777" w:rsidTr="00E83386">
        <w:trPr>
          <w:trHeight w:val="294"/>
        </w:trPr>
        <w:tc>
          <w:tcPr>
            <w:tcW w:w="2901" w:type="dxa"/>
            <w:shd w:val="clear" w:color="auto" w:fill="auto"/>
          </w:tcPr>
          <w:p w14:paraId="17E4C06B"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East</w:t>
            </w:r>
          </w:p>
        </w:tc>
        <w:tc>
          <w:tcPr>
            <w:tcW w:w="1473" w:type="dxa"/>
            <w:shd w:val="clear" w:color="auto" w:fill="auto"/>
          </w:tcPr>
          <w:p w14:paraId="3DB675C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661.28</w:t>
            </w:r>
          </w:p>
        </w:tc>
        <w:tc>
          <w:tcPr>
            <w:tcW w:w="1473" w:type="dxa"/>
            <w:shd w:val="clear" w:color="auto" w:fill="auto"/>
          </w:tcPr>
          <w:p w14:paraId="1BD03F6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540.67</w:t>
            </w:r>
          </w:p>
        </w:tc>
        <w:tc>
          <w:tcPr>
            <w:tcW w:w="1473" w:type="dxa"/>
            <w:shd w:val="clear" w:color="auto" w:fill="auto"/>
          </w:tcPr>
          <w:p w14:paraId="1F1C7D60"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383.53</w:t>
            </w:r>
          </w:p>
        </w:tc>
        <w:tc>
          <w:tcPr>
            <w:tcW w:w="1473" w:type="dxa"/>
            <w:shd w:val="clear" w:color="auto" w:fill="auto"/>
          </w:tcPr>
          <w:p w14:paraId="23029F7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1,585.48</w:t>
            </w:r>
          </w:p>
        </w:tc>
      </w:tr>
      <w:tr w:rsidR="00C016E8" w:rsidRPr="00702DDD" w14:paraId="5EB62DCC" w14:textId="77777777" w:rsidTr="00E83386">
        <w:trPr>
          <w:trHeight w:val="294"/>
        </w:trPr>
        <w:tc>
          <w:tcPr>
            <w:tcW w:w="2901" w:type="dxa"/>
            <w:shd w:val="clear" w:color="auto" w:fill="auto"/>
          </w:tcPr>
          <w:p w14:paraId="3CF56FA2"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Northeast</w:t>
            </w:r>
          </w:p>
        </w:tc>
        <w:tc>
          <w:tcPr>
            <w:tcW w:w="1473" w:type="dxa"/>
            <w:shd w:val="clear" w:color="auto" w:fill="auto"/>
          </w:tcPr>
          <w:p w14:paraId="2EC86F59"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340.06</w:t>
            </w:r>
          </w:p>
        </w:tc>
        <w:tc>
          <w:tcPr>
            <w:tcW w:w="1473" w:type="dxa"/>
            <w:shd w:val="clear" w:color="auto" w:fill="auto"/>
          </w:tcPr>
          <w:p w14:paraId="5A646679"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258.19</w:t>
            </w:r>
          </w:p>
        </w:tc>
        <w:tc>
          <w:tcPr>
            <w:tcW w:w="1473" w:type="dxa"/>
            <w:shd w:val="clear" w:color="auto" w:fill="auto"/>
          </w:tcPr>
          <w:p w14:paraId="58BC1230"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169.15</w:t>
            </w:r>
          </w:p>
        </w:tc>
        <w:tc>
          <w:tcPr>
            <w:tcW w:w="1473" w:type="dxa"/>
            <w:shd w:val="clear" w:color="auto" w:fill="auto"/>
          </w:tcPr>
          <w:p w14:paraId="42129A4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767.39</w:t>
            </w:r>
          </w:p>
        </w:tc>
      </w:tr>
      <w:tr w:rsidR="00C016E8" w:rsidRPr="00702DDD" w14:paraId="29219714" w14:textId="77777777" w:rsidTr="00E83386">
        <w:trPr>
          <w:trHeight w:val="309"/>
        </w:trPr>
        <w:tc>
          <w:tcPr>
            <w:tcW w:w="2901" w:type="dxa"/>
            <w:shd w:val="clear" w:color="auto" w:fill="auto"/>
          </w:tcPr>
          <w:p w14:paraId="0E07E34C"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Southeast</w:t>
            </w:r>
          </w:p>
        </w:tc>
        <w:tc>
          <w:tcPr>
            <w:tcW w:w="1473" w:type="dxa"/>
            <w:shd w:val="clear" w:color="auto" w:fill="auto"/>
          </w:tcPr>
          <w:p w14:paraId="5FA79B9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289.12</w:t>
            </w:r>
          </w:p>
        </w:tc>
        <w:tc>
          <w:tcPr>
            <w:tcW w:w="1473" w:type="dxa"/>
            <w:shd w:val="clear" w:color="auto" w:fill="auto"/>
          </w:tcPr>
          <w:p w14:paraId="3C081C6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233.05</w:t>
            </w:r>
          </w:p>
        </w:tc>
        <w:tc>
          <w:tcPr>
            <w:tcW w:w="1473" w:type="dxa"/>
            <w:shd w:val="clear" w:color="auto" w:fill="auto"/>
          </w:tcPr>
          <w:p w14:paraId="1E35CE7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192.51</w:t>
            </w:r>
          </w:p>
        </w:tc>
        <w:tc>
          <w:tcPr>
            <w:tcW w:w="1473" w:type="dxa"/>
            <w:shd w:val="clear" w:color="auto" w:fill="auto"/>
          </w:tcPr>
          <w:p w14:paraId="113E968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714.68</w:t>
            </w:r>
          </w:p>
        </w:tc>
      </w:tr>
      <w:tr w:rsidR="00C016E8" w:rsidRPr="00702DDD" w14:paraId="4B6608F7" w14:textId="77777777" w:rsidTr="00E83386">
        <w:trPr>
          <w:trHeight w:val="309"/>
        </w:trPr>
        <w:tc>
          <w:tcPr>
            <w:tcW w:w="2901" w:type="dxa"/>
            <w:shd w:val="clear" w:color="auto" w:fill="auto"/>
          </w:tcPr>
          <w:p w14:paraId="08ADB289"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Southern Middle</w:t>
            </w:r>
          </w:p>
        </w:tc>
        <w:tc>
          <w:tcPr>
            <w:tcW w:w="1473" w:type="dxa"/>
            <w:shd w:val="clear" w:color="auto" w:fill="auto"/>
          </w:tcPr>
          <w:p w14:paraId="0AA6E43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317.94</w:t>
            </w:r>
          </w:p>
        </w:tc>
        <w:tc>
          <w:tcPr>
            <w:tcW w:w="1473" w:type="dxa"/>
            <w:shd w:val="clear" w:color="auto" w:fill="auto"/>
          </w:tcPr>
          <w:p w14:paraId="3F8D355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202.72</w:t>
            </w:r>
          </w:p>
        </w:tc>
        <w:tc>
          <w:tcPr>
            <w:tcW w:w="1473" w:type="dxa"/>
            <w:shd w:val="clear" w:color="auto" w:fill="auto"/>
          </w:tcPr>
          <w:p w14:paraId="274543D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114.76</w:t>
            </w:r>
          </w:p>
        </w:tc>
        <w:tc>
          <w:tcPr>
            <w:tcW w:w="1473" w:type="dxa"/>
            <w:shd w:val="clear" w:color="auto" w:fill="auto"/>
          </w:tcPr>
          <w:p w14:paraId="27498AFE"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635.42</w:t>
            </w:r>
          </w:p>
        </w:tc>
      </w:tr>
      <w:tr w:rsidR="00C016E8" w:rsidRPr="00702DDD" w14:paraId="284B4098" w14:textId="77777777" w:rsidTr="00E83386">
        <w:trPr>
          <w:trHeight w:val="309"/>
        </w:trPr>
        <w:tc>
          <w:tcPr>
            <w:tcW w:w="2901" w:type="dxa"/>
            <w:shd w:val="clear" w:color="auto" w:fill="auto"/>
          </w:tcPr>
          <w:p w14:paraId="2472CBA4"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Southwest</w:t>
            </w:r>
          </w:p>
        </w:tc>
        <w:tc>
          <w:tcPr>
            <w:tcW w:w="1473" w:type="dxa"/>
            <w:shd w:val="clear" w:color="auto" w:fill="auto"/>
          </w:tcPr>
          <w:p w14:paraId="62FB193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366.25</w:t>
            </w:r>
          </w:p>
        </w:tc>
        <w:tc>
          <w:tcPr>
            <w:tcW w:w="1473" w:type="dxa"/>
            <w:shd w:val="clear" w:color="auto" w:fill="auto"/>
          </w:tcPr>
          <w:p w14:paraId="5603F7A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256.52</w:t>
            </w:r>
          </w:p>
        </w:tc>
        <w:tc>
          <w:tcPr>
            <w:tcW w:w="1473" w:type="dxa"/>
            <w:shd w:val="clear" w:color="auto" w:fill="auto"/>
          </w:tcPr>
          <w:p w14:paraId="714087E0"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92.44</w:t>
            </w:r>
          </w:p>
        </w:tc>
        <w:tc>
          <w:tcPr>
            <w:tcW w:w="1473" w:type="dxa"/>
            <w:shd w:val="clear" w:color="auto" w:fill="auto"/>
          </w:tcPr>
          <w:p w14:paraId="53A97DC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715.2</w:t>
            </w:r>
          </w:p>
        </w:tc>
      </w:tr>
      <w:tr w:rsidR="00C016E8" w:rsidRPr="00702DDD" w14:paraId="0A011228" w14:textId="77777777" w:rsidTr="00E83386">
        <w:trPr>
          <w:trHeight w:val="309"/>
        </w:trPr>
        <w:tc>
          <w:tcPr>
            <w:tcW w:w="2901" w:type="dxa"/>
            <w:tcBorders>
              <w:bottom w:val="nil"/>
            </w:tcBorders>
            <w:shd w:val="clear" w:color="auto" w:fill="auto"/>
          </w:tcPr>
          <w:p w14:paraId="69F9C003"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Greater Memphis</w:t>
            </w:r>
          </w:p>
        </w:tc>
        <w:tc>
          <w:tcPr>
            <w:tcW w:w="1473" w:type="dxa"/>
            <w:tcBorders>
              <w:bottom w:val="nil"/>
            </w:tcBorders>
            <w:shd w:val="clear" w:color="auto" w:fill="auto"/>
          </w:tcPr>
          <w:p w14:paraId="2D48272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107.76</w:t>
            </w:r>
          </w:p>
        </w:tc>
        <w:tc>
          <w:tcPr>
            <w:tcW w:w="1473" w:type="dxa"/>
            <w:tcBorders>
              <w:bottom w:val="nil"/>
            </w:tcBorders>
            <w:shd w:val="clear" w:color="auto" w:fill="auto"/>
          </w:tcPr>
          <w:p w14:paraId="4412EADE"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91.91</w:t>
            </w:r>
          </w:p>
        </w:tc>
        <w:tc>
          <w:tcPr>
            <w:tcW w:w="1473" w:type="dxa"/>
            <w:tcBorders>
              <w:bottom w:val="nil"/>
            </w:tcBorders>
            <w:shd w:val="clear" w:color="auto" w:fill="auto"/>
          </w:tcPr>
          <w:p w14:paraId="24C92F7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127.24</w:t>
            </w:r>
          </w:p>
        </w:tc>
        <w:tc>
          <w:tcPr>
            <w:tcW w:w="1473" w:type="dxa"/>
            <w:tcBorders>
              <w:bottom w:val="nil"/>
            </w:tcBorders>
            <w:shd w:val="clear" w:color="auto" w:fill="auto"/>
          </w:tcPr>
          <w:p w14:paraId="552F133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326.92</w:t>
            </w:r>
          </w:p>
        </w:tc>
      </w:tr>
      <w:tr w:rsidR="00C016E8" w:rsidRPr="00702DDD" w14:paraId="3AFA3E11" w14:textId="77777777" w:rsidTr="00E83386">
        <w:trPr>
          <w:trHeight w:val="309"/>
        </w:trPr>
        <w:tc>
          <w:tcPr>
            <w:tcW w:w="2901" w:type="dxa"/>
            <w:tcBorders>
              <w:top w:val="nil"/>
              <w:bottom w:val="single" w:sz="4" w:space="0" w:color="auto"/>
            </w:tcBorders>
            <w:shd w:val="clear" w:color="auto" w:fill="auto"/>
          </w:tcPr>
          <w:p w14:paraId="66222E98" w14:textId="77777777" w:rsidR="00C016E8" w:rsidRPr="00702DDD" w:rsidRDefault="00C016E8" w:rsidP="00E83386">
            <w:pPr>
              <w:autoSpaceDE w:val="0"/>
              <w:autoSpaceDN w:val="0"/>
              <w:adjustRightInd w:val="0"/>
              <w:rPr>
                <w:rFonts w:ascii="Times New Roman" w:eastAsia="Calibri" w:hAnsi="Times New Roman" w:cs="Times New Roman"/>
                <w:bCs/>
                <w:i/>
                <w:iCs/>
                <w:color w:val="000000"/>
                <w:szCs w:val="22"/>
              </w:rPr>
            </w:pPr>
            <w:r w:rsidRPr="00702DDD">
              <w:rPr>
                <w:rFonts w:ascii="Times New Roman" w:eastAsia="Calibri" w:hAnsi="Times New Roman" w:cs="Times New Roman"/>
                <w:bCs/>
                <w:i/>
                <w:iCs/>
                <w:color w:val="000000"/>
                <w:szCs w:val="22"/>
              </w:rPr>
              <w:t>Aggregate</w:t>
            </w:r>
          </w:p>
        </w:tc>
        <w:tc>
          <w:tcPr>
            <w:tcW w:w="1473" w:type="dxa"/>
            <w:tcBorders>
              <w:top w:val="nil"/>
              <w:bottom w:val="single" w:sz="4" w:space="0" w:color="auto"/>
            </w:tcBorders>
            <w:shd w:val="clear" w:color="auto" w:fill="auto"/>
          </w:tcPr>
          <w:p w14:paraId="4862618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3,249.19</w:t>
            </w:r>
          </w:p>
        </w:tc>
        <w:tc>
          <w:tcPr>
            <w:tcW w:w="1473" w:type="dxa"/>
            <w:tcBorders>
              <w:top w:val="nil"/>
              <w:bottom w:val="single" w:sz="4" w:space="0" w:color="auto"/>
            </w:tcBorders>
            <w:shd w:val="clear" w:color="auto" w:fill="auto"/>
          </w:tcPr>
          <w:p w14:paraId="01451A0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2,483.17</w:t>
            </w:r>
          </w:p>
        </w:tc>
        <w:tc>
          <w:tcPr>
            <w:tcW w:w="1473" w:type="dxa"/>
            <w:tcBorders>
              <w:top w:val="nil"/>
              <w:bottom w:val="single" w:sz="4" w:space="0" w:color="auto"/>
            </w:tcBorders>
            <w:shd w:val="clear" w:color="auto" w:fill="auto"/>
          </w:tcPr>
          <w:p w14:paraId="5303E35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1,440.26</w:t>
            </w:r>
          </w:p>
        </w:tc>
        <w:tc>
          <w:tcPr>
            <w:tcW w:w="1473" w:type="dxa"/>
            <w:tcBorders>
              <w:top w:val="nil"/>
              <w:bottom w:val="single" w:sz="4" w:space="0" w:color="auto"/>
            </w:tcBorders>
            <w:shd w:val="clear" w:color="auto" w:fill="auto"/>
          </w:tcPr>
          <w:p w14:paraId="5735834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7,172.59</w:t>
            </w:r>
          </w:p>
        </w:tc>
      </w:tr>
      <w:tr w:rsidR="00C016E8" w:rsidRPr="00702DDD" w14:paraId="4EFFC17B" w14:textId="77777777" w:rsidTr="00E83386">
        <w:trPr>
          <w:trHeight w:val="309"/>
        </w:trPr>
        <w:tc>
          <w:tcPr>
            <w:tcW w:w="2901" w:type="dxa"/>
            <w:tcBorders>
              <w:top w:val="single" w:sz="4" w:space="0" w:color="auto"/>
            </w:tcBorders>
            <w:shd w:val="clear" w:color="auto" w:fill="auto"/>
          </w:tcPr>
          <w:p w14:paraId="2D2BF502" w14:textId="77777777" w:rsidR="00C016E8" w:rsidRPr="00702DDD" w:rsidRDefault="00C016E8" w:rsidP="00E83386">
            <w:pPr>
              <w:autoSpaceDE w:val="0"/>
              <w:autoSpaceDN w:val="0"/>
              <w:adjustRightInd w:val="0"/>
              <w:rPr>
                <w:rFonts w:ascii="Times New Roman" w:eastAsia="Calibri" w:hAnsi="Times New Roman" w:cs="Times New Roman"/>
                <w:b/>
                <w:bCs/>
                <w:iCs/>
                <w:color w:val="000000"/>
                <w:szCs w:val="22"/>
              </w:rPr>
            </w:pPr>
            <w:r w:rsidRPr="00702DDD">
              <w:rPr>
                <w:rFonts w:ascii="Times New Roman" w:eastAsia="Calibri" w:hAnsi="Times New Roman" w:cs="Times New Roman"/>
                <w:b/>
                <w:bCs/>
                <w:iCs/>
                <w:color w:val="000000"/>
                <w:szCs w:val="22"/>
              </w:rPr>
              <w:t>Neg Scaled Avg</w:t>
            </w:r>
          </w:p>
        </w:tc>
        <w:tc>
          <w:tcPr>
            <w:tcW w:w="1473" w:type="dxa"/>
            <w:tcBorders>
              <w:top w:val="single" w:sz="4" w:space="0" w:color="auto"/>
            </w:tcBorders>
            <w:shd w:val="clear" w:color="auto" w:fill="auto"/>
          </w:tcPr>
          <w:p w14:paraId="0A63179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p>
        </w:tc>
        <w:tc>
          <w:tcPr>
            <w:tcW w:w="1473" w:type="dxa"/>
            <w:tcBorders>
              <w:top w:val="single" w:sz="4" w:space="0" w:color="auto"/>
            </w:tcBorders>
            <w:shd w:val="clear" w:color="auto" w:fill="auto"/>
          </w:tcPr>
          <w:p w14:paraId="168D72E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p>
        </w:tc>
        <w:tc>
          <w:tcPr>
            <w:tcW w:w="1473" w:type="dxa"/>
            <w:tcBorders>
              <w:top w:val="single" w:sz="4" w:space="0" w:color="auto"/>
            </w:tcBorders>
            <w:shd w:val="clear" w:color="auto" w:fill="auto"/>
          </w:tcPr>
          <w:p w14:paraId="4B7D900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p>
        </w:tc>
        <w:tc>
          <w:tcPr>
            <w:tcW w:w="1473" w:type="dxa"/>
            <w:tcBorders>
              <w:top w:val="single" w:sz="4" w:space="0" w:color="auto"/>
            </w:tcBorders>
            <w:shd w:val="clear" w:color="auto" w:fill="auto"/>
          </w:tcPr>
          <w:p w14:paraId="2B0A8E3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p>
        </w:tc>
      </w:tr>
      <w:tr w:rsidR="00C016E8" w:rsidRPr="00702DDD" w14:paraId="338283E5" w14:textId="77777777" w:rsidTr="00E83386">
        <w:trPr>
          <w:trHeight w:val="309"/>
        </w:trPr>
        <w:tc>
          <w:tcPr>
            <w:tcW w:w="2901" w:type="dxa"/>
            <w:shd w:val="clear" w:color="auto" w:fill="auto"/>
          </w:tcPr>
          <w:p w14:paraId="44AE672C"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Northwest</w:t>
            </w:r>
          </w:p>
        </w:tc>
        <w:tc>
          <w:tcPr>
            <w:tcW w:w="1473" w:type="dxa"/>
            <w:shd w:val="clear" w:color="auto" w:fill="auto"/>
          </w:tcPr>
          <w:p w14:paraId="71B8D48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465.37</w:t>
            </w:r>
          </w:p>
        </w:tc>
        <w:tc>
          <w:tcPr>
            <w:tcW w:w="1473" w:type="dxa"/>
            <w:shd w:val="clear" w:color="auto" w:fill="auto"/>
          </w:tcPr>
          <w:p w14:paraId="5ABD4AAE"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341.36</w:t>
            </w:r>
          </w:p>
        </w:tc>
        <w:tc>
          <w:tcPr>
            <w:tcW w:w="1473" w:type="dxa"/>
            <w:shd w:val="clear" w:color="auto" w:fill="auto"/>
          </w:tcPr>
          <w:p w14:paraId="2AE6CBC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162.11</w:t>
            </w:r>
          </w:p>
        </w:tc>
        <w:tc>
          <w:tcPr>
            <w:tcW w:w="1473" w:type="dxa"/>
            <w:shd w:val="clear" w:color="auto" w:fill="auto"/>
          </w:tcPr>
          <w:p w14:paraId="73237D1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968.84</w:t>
            </w:r>
          </w:p>
        </w:tc>
      </w:tr>
      <w:tr w:rsidR="00C016E8" w:rsidRPr="00702DDD" w14:paraId="5092F38D" w14:textId="77777777" w:rsidTr="00E83386">
        <w:trPr>
          <w:trHeight w:val="309"/>
        </w:trPr>
        <w:tc>
          <w:tcPr>
            <w:tcW w:w="2901" w:type="dxa"/>
            <w:shd w:val="clear" w:color="auto" w:fill="auto"/>
          </w:tcPr>
          <w:p w14:paraId="310AA602"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Northern Middle</w:t>
            </w:r>
          </w:p>
        </w:tc>
        <w:tc>
          <w:tcPr>
            <w:tcW w:w="1473" w:type="dxa"/>
            <w:shd w:val="clear" w:color="auto" w:fill="auto"/>
          </w:tcPr>
          <w:p w14:paraId="008F6EF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48.34</w:t>
            </w:r>
          </w:p>
        </w:tc>
        <w:tc>
          <w:tcPr>
            <w:tcW w:w="1473" w:type="dxa"/>
            <w:shd w:val="clear" w:color="auto" w:fill="auto"/>
          </w:tcPr>
          <w:p w14:paraId="19A01A0D"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42.87</w:t>
            </w:r>
          </w:p>
        </w:tc>
        <w:tc>
          <w:tcPr>
            <w:tcW w:w="1473" w:type="dxa"/>
            <w:shd w:val="clear" w:color="auto" w:fill="auto"/>
          </w:tcPr>
          <w:p w14:paraId="2E1419ED"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32.38</w:t>
            </w:r>
          </w:p>
        </w:tc>
        <w:tc>
          <w:tcPr>
            <w:tcW w:w="1473" w:type="dxa"/>
            <w:shd w:val="clear" w:color="auto" w:fill="auto"/>
          </w:tcPr>
          <w:p w14:paraId="543356B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123.59</w:t>
            </w:r>
          </w:p>
        </w:tc>
      </w:tr>
      <w:tr w:rsidR="00C016E8" w:rsidRPr="00702DDD" w14:paraId="41E2980A" w14:textId="77777777" w:rsidTr="00E83386">
        <w:trPr>
          <w:trHeight w:val="309"/>
        </w:trPr>
        <w:tc>
          <w:tcPr>
            <w:tcW w:w="2901" w:type="dxa"/>
            <w:shd w:val="clear" w:color="auto" w:fill="auto"/>
          </w:tcPr>
          <w:p w14:paraId="30963F71"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Upper Cumberland</w:t>
            </w:r>
          </w:p>
        </w:tc>
        <w:tc>
          <w:tcPr>
            <w:tcW w:w="1473" w:type="dxa"/>
            <w:shd w:val="clear" w:color="auto" w:fill="auto"/>
          </w:tcPr>
          <w:p w14:paraId="0F0C9604"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807.62</w:t>
            </w:r>
          </w:p>
        </w:tc>
        <w:tc>
          <w:tcPr>
            <w:tcW w:w="1473" w:type="dxa"/>
            <w:shd w:val="clear" w:color="auto" w:fill="auto"/>
          </w:tcPr>
          <w:p w14:paraId="70E3C14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607.33</w:t>
            </w:r>
          </w:p>
        </w:tc>
        <w:tc>
          <w:tcPr>
            <w:tcW w:w="1473" w:type="dxa"/>
            <w:shd w:val="clear" w:color="auto" w:fill="auto"/>
          </w:tcPr>
          <w:p w14:paraId="6C7A0ED0"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136.95</w:t>
            </w:r>
          </w:p>
        </w:tc>
        <w:tc>
          <w:tcPr>
            <w:tcW w:w="1473" w:type="dxa"/>
            <w:shd w:val="clear" w:color="auto" w:fill="auto"/>
          </w:tcPr>
          <w:p w14:paraId="21973BE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1,551.91</w:t>
            </w:r>
          </w:p>
        </w:tc>
      </w:tr>
      <w:tr w:rsidR="00C016E8" w:rsidRPr="00702DDD" w14:paraId="077EF292" w14:textId="77777777" w:rsidTr="00E83386">
        <w:trPr>
          <w:trHeight w:val="309"/>
        </w:trPr>
        <w:tc>
          <w:tcPr>
            <w:tcW w:w="2901" w:type="dxa"/>
            <w:shd w:val="clear" w:color="auto" w:fill="auto"/>
          </w:tcPr>
          <w:p w14:paraId="2CEF802A"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East</w:t>
            </w:r>
          </w:p>
        </w:tc>
        <w:tc>
          <w:tcPr>
            <w:tcW w:w="1473" w:type="dxa"/>
            <w:shd w:val="clear" w:color="auto" w:fill="auto"/>
          </w:tcPr>
          <w:p w14:paraId="7B149E80"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580.07</w:t>
            </w:r>
          </w:p>
        </w:tc>
        <w:tc>
          <w:tcPr>
            <w:tcW w:w="1473" w:type="dxa"/>
            <w:shd w:val="clear" w:color="auto" w:fill="auto"/>
          </w:tcPr>
          <w:p w14:paraId="61118D2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474.28</w:t>
            </w:r>
          </w:p>
        </w:tc>
        <w:tc>
          <w:tcPr>
            <w:tcW w:w="1473" w:type="dxa"/>
            <w:shd w:val="clear" w:color="auto" w:fill="auto"/>
          </w:tcPr>
          <w:p w14:paraId="79603C4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336.43</w:t>
            </w:r>
          </w:p>
        </w:tc>
        <w:tc>
          <w:tcPr>
            <w:tcW w:w="1473" w:type="dxa"/>
            <w:shd w:val="clear" w:color="auto" w:fill="auto"/>
          </w:tcPr>
          <w:p w14:paraId="7BF52AF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1,390.78</w:t>
            </w:r>
          </w:p>
        </w:tc>
      </w:tr>
    </w:tbl>
    <w:p w14:paraId="23208BA2" w14:textId="69A8E65A" w:rsidR="00D20D63" w:rsidRPr="00702DDD" w:rsidRDefault="00D20D63">
      <w:pPr>
        <w:rPr>
          <w:rFonts w:ascii="Times New Roman" w:hAnsi="Times New Roman" w:cs="Times New Roman"/>
          <w:b/>
        </w:rPr>
      </w:pPr>
      <w:r w:rsidRPr="00702DDD">
        <w:rPr>
          <w:rFonts w:ascii="Times New Roman" w:hAnsi="Times New Roman" w:cs="Times New Roman"/>
          <w:b/>
        </w:rPr>
        <w:lastRenderedPageBreak/>
        <w:t>Table 2.</w:t>
      </w:r>
      <w:r w:rsidR="00C72EA1">
        <w:rPr>
          <w:rFonts w:ascii="Times New Roman" w:hAnsi="Times New Roman" w:cs="Times New Roman"/>
          <w:b/>
        </w:rPr>
        <w:t>4:</w:t>
      </w:r>
      <w:r w:rsidRPr="00702DDD">
        <w:rPr>
          <w:rFonts w:ascii="Times New Roman" w:hAnsi="Times New Roman" w:cs="Times New Roman"/>
          <w:b/>
        </w:rPr>
        <w:t xml:space="preserve"> Continued </w:t>
      </w:r>
    </w:p>
    <w:tbl>
      <w:tblPr>
        <w:tblW w:w="8793" w:type="dxa"/>
        <w:tblInd w:w="-30" w:type="dxa"/>
        <w:tblBorders>
          <w:top w:val="single" w:sz="4" w:space="0" w:color="auto"/>
          <w:bottom w:val="single" w:sz="4" w:space="0" w:color="auto"/>
        </w:tblBorders>
        <w:tblLayout w:type="fixed"/>
        <w:tblLook w:val="0000" w:firstRow="0" w:lastRow="0" w:firstColumn="0" w:lastColumn="0" w:noHBand="0" w:noVBand="0"/>
      </w:tblPr>
      <w:tblGrid>
        <w:gridCol w:w="2901"/>
        <w:gridCol w:w="1473"/>
        <w:gridCol w:w="1473"/>
        <w:gridCol w:w="1473"/>
        <w:gridCol w:w="1473"/>
      </w:tblGrid>
      <w:tr w:rsidR="00C016E8" w:rsidRPr="00702DDD" w14:paraId="4C4CB35C" w14:textId="77777777" w:rsidTr="00E83386">
        <w:trPr>
          <w:trHeight w:val="309"/>
        </w:trPr>
        <w:tc>
          <w:tcPr>
            <w:tcW w:w="2901" w:type="dxa"/>
            <w:shd w:val="clear" w:color="auto" w:fill="auto"/>
          </w:tcPr>
          <w:p w14:paraId="2C2C899B"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Northeast</w:t>
            </w:r>
          </w:p>
        </w:tc>
        <w:tc>
          <w:tcPr>
            <w:tcW w:w="1473" w:type="dxa"/>
            <w:shd w:val="clear" w:color="auto" w:fill="auto"/>
          </w:tcPr>
          <w:p w14:paraId="43A7CC7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387.79</w:t>
            </w:r>
          </w:p>
        </w:tc>
        <w:tc>
          <w:tcPr>
            <w:tcW w:w="1473" w:type="dxa"/>
            <w:shd w:val="clear" w:color="auto" w:fill="auto"/>
          </w:tcPr>
          <w:p w14:paraId="175C8E5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294.42</w:t>
            </w:r>
          </w:p>
        </w:tc>
        <w:tc>
          <w:tcPr>
            <w:tcW w:w="1473" w:type="dxa"/>
            <w:shd w:val="clear" w:color="auto" w:fill="auto"/>
          </w:tcPr>
          <w:p w14:paraId="54CD3230"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192.89</w:t>
            </w:r>
          </w:p>
        </w:tc>
        <w:tc>
          <w:tcPr>
            <w:tcW w:w="1473" w:type="dxa"/>
            <w:shd w:val="clear" w:color="auto" w:fill="auto"/>
          </w:tcPr>
          <w:p w14:paraId="5F0B371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875.09</w:t>
            </w:r>
          </w:p>
        </w:tc>
      </w:tr>
      <w:tr w:rsidR="00C016E8" w:rsidRPr="00702DDD" w14:paraId="158B1547" w14:textId="77777777" w:rsidTr="00E83386">
        <w:trPr>
          <w:trHeight w:val="309"/>
        </w:trPr>
        <w:tc>
          <w:tcPr>
            <w:tcW w:w="2901" w:type="dxa"/>
            <w:shd w:val="clear" w:color="auto" w:fill="auto"/>
          </w:tcPr>
          <w:p w14:paraId="3589B9FF"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Southeast</w:t>
            </w:r>
          </w:p>
        </w:tc>
        <w:tc>
          <w:tcPr>
            <w:tcW w:w="1473" w:type="dxa"/>
            <w:shd w:val="clear" w:color="auto" w:fill="auto"/>
          </w:tcPr>
          <w:p w14:paraId="7FB142D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288.48</w:t>
            </w:r>
          </w:p>
        </w:tc>
        <w:tc>
          <w:tcPr>
            <w:tcW w:w="1473" w:type="dxa"/>
            <w:shd w:val="clear" w:color="auto" w:fill="auto"/>
          </w:tcPr>
          <w:p w14:paraId="4E5E8F8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232.54</w:t>
            </w:r>
          </w:p>
        </w:tc>
        <w:tc>
          <w:tcPr>
            <w:tcW w:w="1473" w:type="dxa"/>
            <w:shd w:val="clear" w:color="auto" w:fill="auto"/>
          </w:tcPr>
          <w:p w14:paraId="1CB4B19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192.09</w:t>
            </w:r>
          </w:p>
        </w:tc>
        <w:tc>
          <w:tcPr>
            <w:tcW w:w="1473" w:type="dxa"/>
            <w:shd w:val="clear" w:color="auto" w:fill="auto"/>
          </w:tcPr>
          <w:p w14:paraId="5B0CCFC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713.11</w:t>
            </w:r>
          </w:p>
        </w:tc>
      </w:tr>
      <w:tr w:rsidR="00C016E8" w:rsidRPr="00702DDD" w14:paraId="34135276" w14:textId="77777777" w:rsidTr="00E83386">
        <w:trPr>
          <w:trHeight w:val="309"/>
        </w:trPr>
        <w:tc>
          <w:tcPr>
            <w:tcW w:w="2901" w:type="dxa"/>
            <w:shd w:val="clear" w:color="auto" w:fill="auto"/>
          </w:tcPr>
          <w:p w14:paraId="13BC096E"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Southern Middle</w:t>
            </w:r>
          </w:p>
        </w:tc>
        <w:tc>
          <w:tcPr>
            <w:tcW w:w="1473" w:type="dxa"/>
            <w:shd w:val="clear" w:color="auto" w:fill="auto"/>
          </w:tcPr>
          <w:p w14:paraId="2FC28320"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207.18</w:t>
            </w:r>
          </w:p>
        </w:tc>
        <w:tc>
          <w:tcPr>
            <w:tcW w:w="1473" w:type="dxa"/>
            <w:shd w:val="clear" w:color="auto" w:fill="auto"/>
          </w:tcPr>
          <w:p w14:paraId="542D250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132.1</w:t>
            </w:r>
          </w:p>
        </w:tc>
        <w:tc>
          <w:tcPr>
            <w:tcW w:w="1473" w:type="dxa"/>
            <w:shd w:val="clear" w:color="auto" w:fill="auto"/>
          </w:tcPr>
          <w:p w14:paraId="62F1BB6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74.78</w:t>
            </w:r>
          </w:p>
        </w:tc>
        <w:tc>
          <w:tcPr>
            <w:tcW w:w="1473" w:type="dxa"/>
            <w:shd w:val="clear" w:color="auto" w:fill="auto"/>
          </w:tcPr>
          <w:p w14:paraId="6EAE698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414.06</w:t>
            </w:r>
          </w:p>
        </w:tc>
      </w:tr>
      <w:tr w:rsidR="00C016E8" w:rsidRPr="00702DDD" w14:paraId="0621C4E3" w14:textId="77777777" w:rsidTr="00E83386">
        <w:trPr>
          <w:trHeight w:val="309"/>
        </w:trPr>
        <w:tc>
          <w:tcPr>
            <w:tcW w:w="2901" w:type="dxa"/>
            <w:shd w:val="clear" w:color="auto" w:fill="auto"/>
          </w:tcPr>
          <w:p w14:paraId="644F3A6D"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Southwest</w:t>
            </w:r>
          </w:p>
        </w:tc>
        <w:tc>
          <w:tcPr>
            <w:tcW w:w="1473" w:type="dxa"/>
            <w:shd w:val="clear" w:color="auto" w:fill="auto"/>
          </w:tcPr>
          <w:p w14:paraId="4E816554"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487.26</w:t>
            </w:r>
          </w:p>
        </w:tc>
        <w:tc>
          <w:tcPr>
            <w:tcW w:w="1473" w:type="dxa"/>
            <w:shd w:val="clear" w:color="auto" w:fill="auto"/>
          </w:tcPr>
          <w:p w14:paraId="55191969"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341.27</w:t>
            </w:r>
          </w:p>
        </w:tc>
        <w:tc>
          <w:tcPr>
            <w:tcW w:w="1473" w:type="dxa"/>
            <w:shd w:val="clear" w:color="auto" w:fill="auto"/>
          </w:tcPr>
          <w:p w14:paraId="3EF0BF70"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122.98</w:t>
            </w:r>
          </w:p>
        </w:tc>
        <w:tc>
          <w:tcPr>
            <w:tcW w:w="1473" w:type="dxa"/>
            <w:shd w:val="clear" w:color="auto" w:fill="auto"/>
          </w:tcPr>
          <w:p w14:paraId="34ED13E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951.51</w:t>
            </w:r>
          </w:p>
        </w:tc>
      </w:tr>
      <w:tr w:rsidR="00C016E8" w:rsidRPr="00702DDD" w14:paraId="0457FBB8" w14:textId="77777777" w:rsidTr="00E83386">
        <w:trPr>
          <w:trHeight w:val="309"/>
        </w:trPr>
        <w:tc>
          <w:tcPr>
            <w:tcW w:w="2901" w:type="dxa"/>
            <w:tcBorders>
              <w:bottom w:val="nil"/>
            </w:tcBorders>
            <w:shd w:val="clear" w:color="auto" w:fill="auto"/>
          </w:tcPr>
          <w:p w14:paraId="588AF9E0"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Greater Memphis</w:t>
            </w:r>
          </w:p>
        </w:tc>
        <w:tc>
          <w:tcPr>
            <w:tcW w:w="1473" w:type="dxa"/>
            <w:tcBorders>
              <w:bottom w:val="nil"/>
            </w:tcBorders>
            <w:shd w:val="clear" w:color="auto" w:fill="auto"/>
          </w:tcPr>
          <w:p w14:paraId="66A0F62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81.92</w:t>
            </w:r>
          </w:p>
        </w:tc>
        <w:tc>
          <w:tcPr>
            <w:tcW w:w="1473" w:type="dxa"/>
            <w:tcBorders>
              <w:bottom w:val="nil"/>
            </w:tcBorders>
            <w:shd w:val="clear" w:color="auto" w:fill="auto"/>
          </w:tcPr>
          <w:p w14:paraId="4810A9C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69.87</w:t>
            </w:r>
          </w:p>
        </w:tc>
        <w:tc>
          <w:tcPr>
            <w:tcW w:w="1473" w:type="dxa"/>
            <w:tcBorders>
              <w:bottom w:val="nil"/>
            </w:tcBorders>
            <w:shd w:val="clear" w:color="auto" w:fill="auto"/>
          </w:tcPr>
          <w:p w14:paraId="424D650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96.74</w:t>
            </w:r>
          </w:p>
        </w:tc>
        <w:tc>
          <w:tcPr>
            <w:tcW w:w="1473" w:type="dxa"/>
            <w:tcBorders>
              <w:bottom w:val="nil"/>
            </w:tcBorders>
            <w:shd w:val="clear" w:color="auto" w:fill="auto"/>
          </w:tcPr>
          <w:p w14:paraId="2E29601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248.53</w:t>
            </w:r>
          </w:p>
        </w:tc>
      </w:tr>
      <w:tr w:rsidR="00C016E8" w:rsidRPr="00702DDD" w14:paraId="78E05531" w14:textId="77777777" w:rsidTr="00E83386">
        <w:trPr>
          <w:trHeight w:val="309"/>
        </w:trPr>
        <w:tc>
          <w:tcPr>
            <w:tcW w:w="2901" w:type="dxa"/>
            <w:tcBorders>
              <w:top w:val="nil"/>
              <w:bottom w:val="single" w:sz="4" w:space="0" w:color="auto"/>
            </w:tcBorders>
            <w:shd w:val="clear" w:color="auto" w:fill="auto"/>
          </w:tcPr>
          <w:p w14:paraId="3E607F83" w14:textId="77777777" w:rsidR="00C016E8" w:rsidRPr="00702DDD" w:rsidRDefault="00C016E8" w:rsidP="00E83386">
            <w:pPr>
              <w:autoSpaceDE w:val="0"/>
              <w:autoSpaceDN w:val="0"/>
              <w:adjustRightInd w:val="0"/>
              <w:rPr>
                <w:rFonts w:ascii="Times New Roman" w:eastAsia="Calibri" w:hAnsi="Times New Roman" w:cs="Times New Roman"/>
                <w:bCs/>
                <w:i/>
                <w:iCs/>
                <w:color w:val="000000"/>
                <w:szCs w:val="22"/>
              </w:rPr>
            </w:pPr>
            <w:r w:rsidRPr="00702DDD">
              <w:rPr>
                <w:rFonts w:ascii="Times New Roman" w:eastAsia="Calibri" w:hAnsi="Times New Roman" w:cs="Times New Roman"/>
                <w:bCs/>
                <w:i/>
                <w:iCs/>
                <w:color w:val="000000"/>
                <w:szCs w:val="22"/>
              </w:rPr>
              <w:t>Aggregate</w:t>
            </w:r>
          </w:p>
        </w:tc>
        <w:tc>
          <w:tcPr>
            <w:tcW w:w="1473" w:type="dxa"/>
            <w:tcBorders>
              <w:top w:val="nil"/>
              <w:bottom w:val="single" w:sz="4" w:space="0" w:color="auto"/>
            </w:tcBorders>
            <w:shd w:val="clear" w:color="auto" w:fill="auto"/>
          </w:tcPr>
          <w:p w14:paraId="17088AE0"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3,354.03</w:t>
            </w:r>
          </w:p>
        </w:tc>
        <w:tc>
          <w:tcPr>
            <w:tcW w:w="1473" w:type="dxa"/>
            <w:tcBorders>
              <w:top w:val="nil"/>
              <w:bottom w:val="single" w:sz="4" w:space="0" w:color="auto"/>
            </w:tcBorders>
            <w:shd w:val="clear" w:color="auto" w:fill="auto"/>
          </w:tcPr>
          <w:p w14:paraId="3DC4756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2,536.04</w:t>
            </w:r>
          </w:p>
        </w:tc>
        <w:tc>
          <w:tcPr>
            <w:tcW w:w="1473" w:type="dxa"/>
            <w:tcBorders>
              <w:top w:val="nil"/>
              <w:bottom w:val="single" w:sz="4" w:space="0" w:color="auto"/>
            </w:tcBorders>
            <w:shd w:val="clear" w:color="auto" w:fill="auto"/>
          </w:tcPr>
          <w:p w14:paraId="34D831C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1,347.35</w:t>
            </w:r>
          </w:p>
        </w:tc>
        <w:tc>
          <w:tcPr>
            <w:tcW w:w="1473" w:type="dxa"/>
            <w:tcBorders>
              <w:top w:val="nil"/>
              <w:bottom w:val="single" w:sz="4" w:space="0" w:color="auto"/>
            </w:tcBorders>
            <w:shd w:val="clear" w:color="auto" w:fill="auto"/>
          </w:tcPr>
          <w:p w14:paraId="64FA7ED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7,237.42</w:t>
            </w:r>
          </w:p>
        </w:tc>
      </w:tr>
      <w:bookmarkEnd w:id="78"/>
    </w:tbl>
    <w:p w14:paraId="51313242" w14:textId="1E883F14" w:rsidR="00C016E8" w:rsidRPr="00702DDD" w:rsidRDefault="00C016E8" w:rsidP="00C016E8">
      <w:pPr>
        <w:rPr>
          <w:rFonts w:ascii="Times New Roman" w:hAnsi="Times New Roman" w:cs="Times New Roman"/>
          <w:b/>
          <w:highlight w:val="green"/>
        </w:rPr>
      </w:pPr>
    </w:p>
    <w:p w14:paraId="6BE8AB78" w14:textId="77777777" w:rsidR="00E2746C" w:rsidRPr="00702DDD" w:rsidRDefault="00E2746C" w:rsidP="00C016E8">
      <w:pPr>
        <w:rPr>
          <w:rFonts w:ascii="Times New Roman" w:hAnsi="Times New Roman" w:cs="Times New Roman"/>
          <w:b/>
          <w:highlight w:val="green"/>
        </w:rPr>
      </w:pPr>
    </w:p>
    <w:p w14:paraId="6761F8BF" w14:textId="77777777" w:rsidR="00C016E8" w:rsidRPr="00702DDD" w:rsidRDefault="00C016E8" w:rsidP="00C016E8">
      <w:pPr>
        <w:rPr>
          <w:rFonts w:ascii="Times New Roman" w:hAnsi="Times New Roman" w:cs="Times New Roman"/>
          <w:b/>
          <w:highlight w:val="green"/>
        </w:rPr>
      </w:pPr>
    </w:p>
    <w:p w14:paraId="2DF15843" w14:textId="09510522" w:rsidR="00C016E8" w:rsidRPr="00702DDD" w:rsidRDefault="00C016E8" w:rsidP="00C016E8">
      <w:pPr>
        <w:rPr>
          <w:rFonts w:ascii="Times New Roman" w:hAnsi="Times New Roman" w:cs="Times New Roman"/>
          <w:b/>
          <w:highlight w:val="green"/>
        </w:rPr>
      </w:pPr>
      <w:r w:rsidRPr="00702DDD">
        <w:rPr>
          <w:rFonts w:ascii="Times New Roman" w:hAnsi="Times New Roman" w:cs="Times New Roman"/>
          <w:b/>
        </w:rPr>
        <w:t>Table 2.</w:t>
      </w:r>
      <w:r w:rsidR="00C72EA1">
        <w:rPr>
          <w:rFonts w:ascii="Times New Roman" w:hAnsi="Times New Roman" w:cs="Times New Roman"/>
          <w:b/>
        </w:rPr>
        <w:t>5:</w:t>
      </w:r>
      <w:r w:rsidRPr="00702DDD">
        <w:rPr>
          <w:rFonts w:ascii="Times New Roman" w:hAnsi="Times New Roman" w:cs="Times New Roman"/>
          <w:b/>
        </w:rPr>
        <w:t xml:space="preserve"> 2019 </w:t>
      </w:r>
      <w:bookmarkStart w:id="79" w:name="_Hlk94615902"/>
      <w:r w:rsidRPr="00702DDD">
        <w:rPr>
          <w:rFonts w:ascii="Times New Roman" w:hAnsi="Times New Roman" w:cs="Times New Roman"/>
          <w:b/>
        </w:rPr>
        <w:t>Tennessee Labor Income Impacts by ATPI Method Allocation (in Dollars)</w:t>
      </w:r>
    </w:p>
    <w:tbl>
      <w:tblPr>
        <w:tblW w:w="8793" w:type="dxa"/>
        <w:tblInd w:w="-30" w:type="dxa"/>
        <w:tblBorders>
          <w:top w:val="single" w:sz="4" w:space="0" w:color="auto"/>
          <w:bottom w:val="single" w:sz="4" w:space="0" w:color="auto"/>
        </w:tblBorders>
        <w:tblLayout w:type="fixed"/>
        <w:tblLook w:val="0000" w:firstRow="0" w:lastRow="0" w:firstColumn="0" w:lastColumn="0" w:noHBand="0" w:noVBand="0"/>
      </w:tblPr>
      <w:tblGrid>
        <w:gridCol w:w="2901"/>
        <w:gridCol w:w="1473"/>
        <w:gridCol w:w="1473"/>
        <w:gridCol w:w="1473"/>
        <w:gridCol w:w="1473"/>
      </w:tblGrid>
      <w:tr w:rsidR="00C016E8" w:rsidRPr="00702DDD" w14:paraId="76E1C552" w14:textId="77777777" w:rsidTr="00E83386">
        <w:trPr>
          <w:trHeight w:val="294"/>
        </w:trPr>
        <w:tc>
          <w:tcPr>
            <w:tcW w:w="2901" w:type="dxa"/>
            <w:shd w:val="clear" w:color="auto" w:fill="ED7D31" w:themeFill="accent2"/>
          </w:tcPr>
          <w:p w14:paraId="1ED3D882" w14:textId="77777777" w:rsidR="00C016E8" w:rsidRPr="00702DDD" w:rsidRDefault="00C016E8" w:rsidP="00E83386">
            <w:pPr>
              <w:autoSpaceDE w:val="0"/>
              <w:autoSpaceDN w:val="0"/>
              <w:adjustRightInd w:val="0"/>
              <w:rPr>
                <w:rFonts w:ascii="Times New Roman" w:eastAsia="Calibri" w:hAnsi="Times New Roman" w:cs="Times New Roman"/>
                <w:b/>
                <w:bCs/>
                <w:i/>
                <w:iCs/>
                <w:color w:val="000000"/>
                <w:szCs w:val="22"/>
              </w:rPr>
            </w:pPr>
            <w:bookmarkStart w:id="80" w:name="_Hlk94615922"/>
            <w:bookmarkEnd w:id="79"/>
            <w:r w:rsidRPr="00702DDD">
              <w:rPr>
                <w:rFonts w:ascii="Times New Roman" w:eastAsia="Calibri" w:hAnsi="Times New Roman" w:cs="Times New Roman"/>
                <w:b/>
                <w:bCs/>
                <w:i/>
                <w:iCs/>
                <w:color w:val="000000"/>
                <w:szCs w:val="22"/>
              </w:rPr>
              <w:t>Regions</w:t>
            </w:r>
          </w:p>
        </w:tc>
        <w:tc>
          <w:tcPr>
            <w:tcW w:w="1473" w:type="dxa"/>
            <w:shd w:val="clear" w:color="auto" w:fill="ED7D31" w:themeFill="accent2"/>
          </w:tcPr>
          <w:p w14:paraId="4025C8B8" w14:textId="77777777" w:rsidR="00C016E8" w:rsidRPr="00702DDD" w:rsidRDefault="00C016E8" w:rsidP="00E83386">
            <w:pPr>
              <w:autoSpaceDE w:val="0"/>
              <w:autoSpaceDN w:val="0"/>
              <w:adjustRightInd w:val="0"/>
              <w:jc w:val="center"/>
              <w:rPr>
                <w:rFonts w:ascii="Times New Roman" w:eastAsia="Calibri" w:hAnsi="Times New Roman" w:cs="Times New Roman"/>
                <w:b/>
                <w:bCs/>
                <w:i/>
                <w:iCs/>
                <w:color w:val="000000"/>
                <w:szCs w:val="22"/>
              </w:rPr>
            </w:pPr>
            <w:r w:rsidRPr="00702DDD">
              <w:rPr>
                <w:rFonts w:ascii="Times New Roman" w:eastAsia="Calibri" w:hAnsi="Times New Roman" w:cs="Times New Roman"/>
                <w:b/>
                <w:bCs/>
                <w:i/>
                <w:iCs/>
                <w:color w:val="000000"/>
                <w:szCs w:val="22"/>
              </w:rPr>
              <w:t>Direct</w:t>
            </w:r>
          </w:p>
        </w:tc>
        <w:tc>
          <w:tcPr>
            <w:tcW w:w="1473" w:type="dxa"/>
            <w:shd w:val="clear" w:color="auto" w:fill="ED7D31" w:themeFill="accent2"/>
          </w:tcPr>
          <w:p w14:paraId="04921E5A" w14:textId="77777777" w:rsidR="00C016E8" w:rsidRPr="00702DDD" w:rsidRDefault="00C016E8" w:rsidP="00E83386">
            <w:pPr>
              <w:autoSpaceDE w:val="0"/>
              <w:autoSpaceDN w:val="0"/>
              <w:adjustRightInd w:val="0"/>
              <w:jc w:val="center"/>
              <w:rPr>
                <w:rFonts w:ascii="Times New Roman" w:eastAsia="Calibri" w:hAnsi="Times New Roman" w:cs="Times New Roman"/>
                <w:b/>
                <w:bCs/>
                <w:i/>
                <w:iCs/>
                <w:color w:val="000000"/>
                <w:szCs w:val="22"/>
              </w:rPr>
            </w:pPr>
            <w:r w:rsidRPr="00702DDD">
              <w:rPr>
                <w:rFonts w:ascii="Times New Roman" w:eastAsia="Calibri" w:hAnsi="Times New Roman" w:cs="Times New Roman"/>
                <w:b/>
                <w:bCs/>
                <w:i/>
                <w:iCs/>
                <w:color w:val="000000"/>
                <w:szCs w:val="22"/>
              </w:rPr>
              <w:t>Indirect</w:t>
            </w:r>
          </w:p>
        </w:tc>
        <w:tc>
          <w:tcPr>
            <w:tcW w:w="1473" w:type="dxa"/>
            <w:shd w:val="clear" w:color="auto" w:fill="ED7D31" w:themeFill="accent2"/>
          </w:tcPr>
          <w:p w14:paraId="74A31E8F" w14:textId="77777777" w:rsidR="00C016E8" w:rsidRPr="00702DDD" w:rsidRDefault="00C016E8" w:rsidP="00E83386">
            <w:pPr>
              <w:autoSpaceDE w:val="0"/>
              <w:autoSpaceDN w:val="0"/>
              <w:adjustRightInd w:val="0"/>
              <w:jc w:val="center"/>
              <w:rPr>
                <w:rFonts w:ascii="Times New Roman" w:eastAsia="Calibri" w:hAnsi="Times New Roman" w:cs="Times New Roman"/>
                <w:b/>
                <w:bCs/>
                <w:i/>
                <w:iCs/>
                <w:color w:val="000000"/>
                <w:szCs w:val="22"/>
              </w:rPr>
            </w:pPr>
            <w:r w:rsidRPr="00702DDD">
              <w:rPr>
                <w:rFonts w:ascii="Times New Roman" w:eastAsia="Calibri" w:hAnsi="Times New Roman" w:cs="Times New Roman"/>
                <w:b/>
                <w:bCs/>
                <w:i/>
                <w:iCs/>
                <w:color w:val="000000"/>
                <w:szCs w:val="22"/>
              </w:rPr>
              <w:t>Induced</w:t>
            </w:r>
          </w:p>
        </w:tc>
        <w:tc>
          <w:tcPr>
            <w:tcW w:w="1473" w:type="dxa"/>
            <w:shd w:val="clear" w:color="auto" w:fill="ED7D31" w:themeFill="accent2"/>
          </w:tcPr>
          <w:p w14:paraId="30D8592C" w14:textId="77777777" w:rsidR="00C016E8" w:rsidRPr="00702DDD" w:rsidRDefault="00C016E8" w:rsidP="00E83386">
            <w:pPr>
              <w:autoSpaceDE w:val="0"/>
              <w:autoSpaceDN w:val="0"/>
              <w:adjustRightInd w:val="0"/>
              <w:jc w:val="center"/>
              <w:rPr>
                <w:rFonts w:ascii="Times New Roman" w:eastAsia="Calibri" w:hAnsi="Times New Roman" w:cs="Times New Roman"/>
                <w:b/>
                <w:bCs/>
                <w:i/>
                <w:iCs/>
                <w:color w:val="000000"/>
                <w:szCs w:val="22"/>
              </w:rPr>
            </w:pPr>
            <w:r w:rsidRPr="00702DDD">
              <w:rPr>
                <w:rFonts w:ascii="Times New Roman" w:eastAsia="Calibri" w:hAnsi="Times New Roman" w:cs="Times New Roman"/>
                <w:b/>
                <w:bCs/>
                <w:i/>
                <w:iCs/>
                <w:color w:val="000000"/>
                <w:szCs w:val="22"/>
              </w:rPr>
              <w:t>Total</w:t>
            </w:r>
          </w:p>
        </w:tc>
      </w:tr>
      <w:tr w:rsidR="00C016E8" w:rsidRPr="00702DDD" w14:paraId="18AC8E81" w14:textId="77777777" w:rsidTr="00E83386">
        <w:trPr>
          <w:trHeight w:val="294"/>
        </w:trPr>
        <w:tc>
          <w:tcPr>
            <w:tcW w:w="2901" w:type="dxa"/>
          </w:tcPr>
          <w:p w14:paraId="4E5BE0E9" w14:textId="77777777" w:rsidR="00C016E8" w:rsidRPr="00702DDD" w:rsidRDefault="00C016E8" w:rsidP="00E83386">
            <w:pPr>
              <w:autoSpaceDE w:val="0"/>
              <w:autoSpaceDN w:val="0"/>
              <w:adjustRightInd w:val="0"/>
              <w:rPr>
                <w:rFonts w:ascii="Times New Roman" w:eastAsia="Calibri" w:hAnsi="Times New Roman" w:cs="Times New Roman"/>
                <w:b/>
                <w:bCs/>
                <w:iCs/>
                <w:color w:val="000000"/>
                <w:szCs w:val="22"/>
              </w:rPr>
            </w:pPr>
            <w:r w:rsidRPr="00702DDD">
              <w:rPr>
                <w:rFonts w:ascii="Times New Roman" w:eastAsia="Calibri" w:hAnsi="Times New Roman" w:cs="Times New Roman"/>
                <w:b/>
                <w:bCs/>
                <w:iCs/>
                <w:color w:val="000000"/>
                <w:szCs w:val="22"/>
              </w:rPr>
              <w:t>MHI</w:t>
            </w:r>
          </w:p>
        </w:tc>
        <w:tc>
          <w:tcPr>
            <w:tcW w:w="1473" w:type="dxa"/>
          </w:tcPr>
          <w:p w14:paraId="35D029E1"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p>
        </w:tc>
        <w:tc>
          <w:tcPr>
            <w:tcW w:w="1473" w:type="dxa"/>
          </w:tcPr>
          <w:p w14:paraId="0DE37169"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p>
        </w:tc>
        <w:tc>
          <w:tcPr>
            <w:tcW w:w="1473" w:type="dxa"/>
          </w:tcPr>
          <w:p w14:paraId="6982865C"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p>
        </w:tc>
        <w:tc>
          <w:tcPr>
            <w:tcW w:w="1473" w:type="dxa"/>
          </w:tcPr>
          <w:p w14:paraId="4F69609F"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p>
        </w:tc>
      </w:tr>
      <w:tr w:rsidR="00C016E8" w:rsidRPr="00702DDD" w14:paraId="55B4FE49" w14:textId="77777777" w:rsidTr="00E83386">
        <w:trPr>
          <w:trHeight w:val="294"/>
        </w:trPr>
        <w:tc>
          <w:tcPr>
            <w:tcW w:w="2901" w:type="dxa"/>
          </w:tcPr>
          <w:p w14:paraId="2EE39D11"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Northwest</w:t>
            </w:r>
          </w:p>
        </w:tc>
        <w:tc>
          <w:tcPr>
            <w:tcW w:w="1473" w:type="dxa"/>
          </w:tcPr>
          <w:p w14:paraId="6D0D6379"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34,750,658</w:t>
            </w:r>
          </w:p>
        </w:tc>
        <w:tc>
          <w:tcPr>
            <w:tcW w:w="1473" w:type="dxa"/>
          </w:tcPr>
          <w:p w14:paraId="35AE120B"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16,454,417</w:t>
            </w:r>
          </w:p>
        </w:tc>
        <w:tc>
          <w:tcPr>
            <w:tcW w:w="1473" w:type="dxa"/>
          </w:tcPr>
          <w:p w14:paraId="71F6F7D9"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6,633,933</w:t>
            </w:r>
          </w:p>
        </w:tc>
        <w:tc>
          <w:tcPr>
            <w:tcW w:w="1473" w:type="dxa"/>
          </w:tcPr>
          <w:p w14:paraId="2A8F4774"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57,839,008</w:t>
            </w:r>
          </w:p>
        </w:tc>
      </w:tr>
      <w:tr w:rsidR="00C016E8" w:rsidRPr="00702DDD" w14:paraId="7F2F74B5" w14:textId="77777777" w:rsidTr="00E83386">
        <w:trPr>
          <w:trHeight w:val="294"/>
        </w:trPr>
        <w:tc>
          <w:tcPr>
            <w:tcW w:w="2901" w:type="dxa"/>
          </w:tcPr>
          <w:p w14:paraId="1B8C2BDC"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Northern Middle</w:t>
            </w:r>
          </w:p>
        </w:tc>
        <w:tc>
          <w:tcPr>
            <w:tcW w:w="1473" w:type="dxa"/>
          </w:tcPr>
          <w:p w14:paraId="6B7B5BA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4,206,419</w:t>
            </w:r>
          </w:p>
        </w:tc>
        <w:tc>
          <w:tcPr>
            <w:tcW w:w="1473" w:type="dxa"/>
          </w:tcPr>
          <w:p w14:paraId="76771EFB"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3,339,969</w:t>
            </w:r>
          </w:p>
        </w:tc>
        <w:tc>
          <w:tcPr>
            <w:tcW w:w="1473" w:type="dxa"/>
          </w:tcPr>
          <w:p w14:paraId="52EC67D0"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2,242,728</w:t>
            </w:r>
          </w:p>
        </w:tc>
        <w:tc>
          <w:tcPr>
            <w:tcW w:w="1473" w:type="dxa"/>
          </w:tcPr>
          <w:p w14:paraId="52576E4E"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9,789,116</w:t>
            </w:r>
          </w:p>
        </w:tc>
      </w:tr>
      <w:tr w:rsidR="00C016E8" w:rsidRPr="00702DDD" w14:paraId="1A361C61" w14:textId="77777777" w:rsidTr="00E83386">
        <w:trPr>
          <w:trHeight w:val="294"/>
        </w:trPr>
        <w:tc>
          <w:tcPr>
            <w:tcW w:w="2901" w:type="dxa"/>
          </w:tcPr>
          <w:p w14:paraId="5A9D43CE"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Upper Cumberland</w:t>
            </w:r>
          </w:p>
        </w:tc>
        <w:tc>
          <w:tcPr>
            <w:tcW w:w="1473" w:type="dxa"/>
          </w:tcPr>
          <w:p w14:paraId="5E3F200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7,091,213</w:t>
            </w:r>
          </w:p>
        </w:tc>
        <w:tc>
          <w:tcPr>
            <w:tcW w:w="1473" w:type="dxa"/>
          </w:tcPr>
          <w:p w14:paraId="36BBD554"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29,927,583</w:t>
            </w:r>
          </w:p>
        </w:tc>
        <w:tc>
          <w:tcPr>
            <w:tcW w:w="1473" w:type="dxa"/>
          </w:tcPr>
          <w:p w14:paraId="5EF3C0DE"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5,668,756</w:t>
            </w:r>
          </w:p>
        </w:tc>
        <w:tc>
          <w:tcPr>
            <w:tcW w:w="1473" w:type="dxa"/>
          </w:tcPr>
          <w:p w14:paraId="483AFE2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42,687,552</w:t>
            </w:r>
          </w:p>
        </w:tc>
      </w:tr>
      <w:tr w:rsidR="00C016E8" w:rsidRPr="00702DDD" w14:paraId="1860A5EB" w14:textId="77777777" w:rsidTr="00E83386">
        <w:trPr>
          <w:trHeight w:val="294"/>
        </w:trPr>
        <w:tc>
          <w:tcPr>
            <w:tcW w:w="2901" w:type="dxa"/>
          </w:tcPr>
          <w:p w14:paraId="28EB7DC5"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East</w:t>
            </w:r>
          </w:p>
        </w:tc>
        <w:tc>
          <w:tcPr>
            <w:tcW w:w="1473" w:type="dxa"/>
          </w:tcPr>
          <w:p w14:paraId="6D44C1C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30,033,635</w:t>
            </w:r>
          </w:p>
        </w:tc>
        <w:tc>
          <w:tcPr>
            <w:tcW w:w="1473" w:type="dxa"/>
          </w:tcPr>
          <w:p w14:paraId="01CC1AD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29,212,927</w:t>
            </w:r>
          </w:p>
        </w:tc>
        <w:tc>
          <w:tcPr>
            <w:tcW w:w="1473" w:type="dxa"/>
          </w:tcPr>
          <w:p w14:paraId="0E2E484E"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15,755,088</w:t>
            </w:r>
          </w:p>
        </w:tc>
        <w:tc>
          <w:tcPr>
            <w:tcW w:w="1473" w:type="dxa"/>
          </w:tcPr>
          <w:p w14:paraId="20989389"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75,001,650</w:t>
            </w:r>
          </w:p>
        </w:tc>
      </w:tr>
      <w:tr w:rsidR="00C016E8" w:rsidRPr="00702DDD" w14:paraId="1EC9D80B" w14:textId="77777777" w:rsidTr="00E83386">
        <w:trPr>
          <w:trHeight w:val="294"/>
        </w:trPr>
        <w:tc>
          <w:tcPr>
            <w:tcW w:w="2901" w:type="dxa"/>
          </w:tcPr>
          <w:p w14:paraId="4EC9F639"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Northeast</w:t>
            </w:r>
          </w:p>
        </w:tc>
        <w:tc>
          <w:tcPr>
            <w:tcW w:w="1473" w:type="dxa"/>
          </w:tcPr>
          <w:p w14:paraId="34F7B7FB"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21,489,193</w:t>
            </w:r>
          </w:p>
        </w:tc>
        <w:tc>
          <w:tcPr>
            <w:tcW w:w="1473" w:type="dxa"/>
          </w:tcPr>
          <w:p w14:paraId="1E59F8C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14,542,227</w:t>
            </w:r>
          </w:p>
        </w:tc>
        <w:tc>
          <w:tcPr>
            <w:tcW w:w="1473" w:type="dxa"/>
          </w:tcPr>
          <w:p w14:paraId="7CA9563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7,586,348</w:t>
            </w:r>
          </w:p>
        </w:tc>
        <w:tc>
          <w:tcPr>
            <w:tcW w:w="1473" w:type="dxa"/>
          </w:tcPr>
          <w:p w14:paraId="075D3BC0"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43,617,768</w:t>
            </w:r>
          </w:p>
        </w:tc>
      </w:tr>
      <w:tr w:rsidR="00C016E8" w:rsidRPr="00702DDD" w14:paraId="3ED9B4B2" w14:textId="77777777" w:rsidTr="00E83386">
        <w:trPr>
          <w:trHeight w:val="294"/>
        </w:trPr>
        <w:tc>
          <w:tcPr>
            <w:tcW w:w="2901" w:type="dxa"/>
          </w:tcPr>
          <w:p w14:paraId="4071E6AD"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Southeast</w:t>
            </w:r>
          </w:p>
        </w:tc>
        <w:tc>
          <w:tcPr>
            <w:tcW w:w="1473" w:type="dxa"/>
          </w:tcPr>
          <w:p w14:paraId="6CAB5C0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24,186,402</w:t>
            </w:r>
          </w:p>
        </w:tc>
        <w:tc>
          <w:tcPr>
            <w:tcW w:w="1473" w:type="dxa"/>
          </w:tcPr>
          <w:p w14:paraId="04F668F0"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10,884,641</w:t>
            </w:r>
          </w:p>
        </w:tc>
        <w:tc>
          <w:tcPr>
            <w:tcW w:w="1473" w:type="dxa"/>
          </w:tcPr>
          <w:p w14:paraId="7C24845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7,026,645</w:t>
            </w:r>
          </w:p>
        </w:tc>
        <w:tc>
          <w:tcPr>
            <w:tcW w:w="1473" w:type="dxa"/>
          </w:tcPr>
          <w:p w14:paraId="1FF616E9"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42,097,688</w:t>
            </w:r>
          </w:p>
        </w:tc>
      </w:tr>
      <w:tr w:rsidR="00C016E8" w:rsidRPr="00702DDD" w14:paraId="20A089E2" w14:textId="77777777" w:rsidTr="00E83386">
        <w:trPr>
          <w:trHeight w:val="294"/>
        </w:trPr>
        <w:tc>
          <w:tcPr>
            <w:tcW w:w="2901" w:type="dxa"/>
          </w:tcPr>
          <w:p w14:paraId="40F5F884"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Southern Middle</w:t>
            </w:r>
          </w:p>
        </w:tc>
        <w:tc>
          <w:tcPr>
            <w:tcW w:w="1473" w:type="dxa"/>
          </w:tcPr>
          <w:p w14:paraId="374BB05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19,853,177</w:t>
            </w:r>
          </w:p>
        </w:tc>
        <w:tc>
          <w:tcPr>
            <w:tcW w:w="1473" w:type="dxa"/>
          </w:tcPr>
          <w:p w14:paraId="6DB942B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9,205,770</w:t>
            </w:r>
          </w:p>
        </w:tc>
        <w:tc>
          <w:tcPr>
            <w:tcW w:w="1473" w:type="dxa"/>
          </w:tcPr>
          <w:p w14:paraId="77412E09"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3,932,135</w:t>
            </w:r>
          </w:p>
        </w:tc>
        <w:tc>
          <w:tcPr>
            <w:tcW w:w="1473" w:type="dxa"/>
          </w:tcPr>
          <w:p w14:paraId="1A8FFB1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32,991,082</w:t>
            </w:r>
          </w:p>
        </w:tc>
      </w:tr>
      <w:tr w:rsidR="00C016E8" w:rsidRPr="00702DDD" w14:paraId="5474CE67" w14:textId="77777777" w:rsidTr="00E83386">
        <w:trPr>
          <w:trHeight w:val="294"/>
        </w:trPr>
        <w:tc>
          <w:tcPr>
            <w:tcW w:w="2901" w:type="dxa"/>
          </w:tcPr>
          <w:p w14:paraId="49D6657D"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Southwest</w:t>
            </w:r>
          </w:p>
        </w:tc>
        <w:tc>
          <w:tcPr>
            <w:tcW w:w="1473" w:type="dxa"/>
          </w:tcPr>
          <w:p w14:paraId="410043B4"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15,070,164</w:t>
            </w:r>
          </w:p>
        </w:tc>
        <w:tc>
          <w:tcPr>
            <w:tcW w:w="1473" w:type="dxa"/>
          </w:tcPr>
          <w:p w14:paraId="42321B5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15,586,114</w:t>
            </w:r>
          </w:p>
        </w:tc>
        <w:tc>
          <w:tcPr>
            <w:tcW w:w="1473" w:type="dxa"/>
          </w:tcPr>
          <w:p w14:paraId="174EE4D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4,455,545</w:t>
            </w:r>
          </w:p>
        </w:tc>
        <w:tc>
          <w:tcPr>
            <w:tcW w:w="1473" w:type="dxa"/>
          </w:tcPr>
          <w:p w14:paraId="48ADF3F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35,111,823</w:t>
            </w:r>
          </w:p>
        </w:tc>
      </w:tr>
      <w:tr w:rsidR="00C016E8" w:rsidRPr="00702DDD" w14:paraId="099D08E2" w14:textId="77777777" w:rsidTr="00E83386">
        <w:trPr>
          <w:trHeight w:val="294"/>
        </w:trPr>
        <w:tc>
          <w:tcPr>
            <w:tcW w:w="2901" w:type="dxa"/>
            <w:tcBorders>
              <w:bottom w:val="nil"/>
            </w:tcBorders>
          </w:tcPr>
          <w:p w14:paraId="201F1B70"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Greater Memphis</w:t>
            </w:r>
          </w:p>
        </w:tc>
        <w:tc>
          <w:tcPr>
            <w:tcW w:w="1473" w:type="dxa"/>
            <w:tcBorders>
              <w:bottom w:val="nil"/>
            </w:tcBorders>
          </w:tcPr>
          <w:p w14:paraId="646C5F3E"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8,256,195</w:t>
            </w:r>
          </w:p>
        </w:tc>
        <w:tc>
          <w:tcPr>
            <w:tcW w:w="1473" w:type="dxa"/>
            <w:tcBorders>
              <w:bottom w:val="nil"/>
            </w:tcBorders>
          </w:tcPr>
          <w:p w14:paraId="2C8EB94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2,329,193</w:t>
            </w:r>
          </w:p>
        </w:tc>
        <w:tc>
          <w:tcPr>
            <w:tcW w:w="1473" w:type="dxa"/>
            <w:tcBorders>
              <w:bottom w:val="nil"/>
            </w:tcBorders>
          </w:tcPr>
          <w:p w14:paraId="7A666D8B"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2,696,934</w:t>
            </w:r>
          </w:p>
        </w:tc>
        <w:tc>
          <w:tcPr>
            <w:tcW w:w="1473" w:type="dxa"/>
            <w:tcBorders>
              <w:bottom w:val="nil"/>
            </w:tcBorders>
          </w:tcPr>
          <w:p w14:paraId="468579C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13,282,322</w:t>
            </w:r>
          </w:p>
        </w:tc>
      </w:tr>
      <w:tr w:rsidR="00C016E8" w:rsidRPr="00702DDD" w14:paraId="09182AB6" w14:textId="77777777" w:rsidTr="00E83386">
        <w:trPr>
          <w:trHeight w:val="294"/>
        </w:trPr>
        <w:tc>
          <w:tcPr>
            <w:tcW w:w="2901" w:type="dxa"/>
            <w:tcBorders>
              <w:top w:val="nil"/>
              <w:bottom w:val="single" w:sz="4" w:space="0" w:color="auto"/>
            </w:tcBorders>
            <w:shd w:val="clear" w:color="auto" w:fill="auto"/>
          </w:tcPr>
          <w:p w14:paraId="686A6DD0" w14:textId="77777777" w:rsidR="00C016E8" w:rsidRPr="00702DDD" w:rsidRDefault="00C016E8" w:rsidP="00E83386">
            <w:pPr>
              <w:autoSpaceDE w:val="0"/>
              <w:autoSpaceDN w:val="0"/>
              <w:adjustRightInd w:val="0"/>
              <w:rPr>
                <w:rFonts w:ascii="Times New Roman" w:eastAsia="Calibri" w:hAnsi="Times New Roman" w:cs="Times New Roman"/>
                <w:bCs/>
                <w:i/>
                <w:iCs/>
                <w:color w:val="000000"/>
                <w:szCs w:val="22"/>
              </w:rPr>
            </w:pPr>
            <w:r w:rsidRPr="00702DDD">
              <w:rPr>
                <w:rFonts w:ascii="Times New Roman" w:eastAsia="Calibri" w:hAnsi="Times New Roman" w:cs="Times New Roman"/>
                <w:bCs/>
                <w:i/>
                <w:iCs/>
                <w:color w:val="000000"/>
                <w:szCs w:val="22"/>
              </w:rPr>
              <w:t>Aggregate</w:t>
            </w:r>
          </w:p>
        </w:tc>
        <w:tc>
          <w:tcPr>
            <w:tcW w:w="1473" w:type="dxa"/>
            <w:tcBorders>
              <w:top w:val="nil"/>
              <w:bottom w:val="single" w:sz="4" w:space="0" w:color="auto"/>
            </w:tcBorders>
            <w:shd w:val="clear" w:color="auto" w:fill="auto"/>
          </w:tcPr>
          <w:p w14:paraId="5603A8BE"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164,937,055</w:t>
            </w:r>
          </w:p>
        </w:tc>
        <w:tc>
          <w:tcPr>
            <w:tcW w:w="1473" w:type="dxa"/>
            <w:tcBorders>
              <w:top w:val="nil"/>
              <w:bottom w:val="single" w:sz="4" w:space="0" w:color="auto"/>
            </w:tcBorders>
            <w:shd w:val="clear" w:color="auto" w:fill="auto"/>
          </w:tcPr>
          <w:p w14:paraId="656D553E"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131,482,841</w:t>
            </w:r>
          </w:p>
        </w:tc>
        <w:tc>
          <w:tcPr>
            <w:tcW w:w="1473" w:type="dxa"/>
            <w:tcBorders>
              <w:top w:val="nil"/>
              <w:bottom w:val="single" w:sz="4" w:space="0" w:color="auto"/>
            </w:tcBorders>
            <w:shd w:val="clear" w:color="auto" w:fill="auto"/>
          </w:tcPr>
          <w:p w14:paraId="2E6C0BA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55,998,111</w:t>
            </w:r>
          </w:p>
        </w:tc>
        <w:tc>
          <w:tcPr>
            <w:tcW w:w="1473" w:type="dxa"/>
            <w:tcBorders>
              <w:top w:val="nil"/>
              <w:bottom w:val="single" w:sz="4" w:space="0" w:color="auto"/>
            </w:tcBorders>
            <w:shd w:val="clear" w:color="auto" w:fill="auto"/>
          </w:tcPr>
          <w:p w14:paraId="02080799"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352,418,007</w:t>
            </w:r>
          </w:p>
        </w:tc>
      </w:tr>
      <w:tr w:rsidR="00C016E8" w:rsidRPr="00702DDD" w14:paraId="0ABB30B3" w14:textId="77777777" w:rsidTr="00E83386">
        <w:trPr>
          <w:trHeight w:val="294"/>
        </w:trPr>
        <w:tc>
          <w:tcPr>
            <w:tcW w:w="2901" w:type="dxa"/>
            <w:tcBorders>
              <w:top w:val="single" w:sz="4" w:space="0" w:color="auto"/>
              <w:bottom w:val="nil"/>
            </w:tcBorders>
            <w:shd w:val="clear" w:color="auto" w:fill="auto"/>
          </w:tcPr>
          <w:p w14:paraId="7F2B4F73" w14:textId="77777777" w:rsidR="00C016E8" w:rsidRPr="00702DDD" w:rsidRDefault="00C016E8" w:rsidP="00E83386">
            <w:pPr>
              <w:autoSpaceDE w:val="0"/>
              <w:autoSpaceDN w:val="0"/>
              <w:adjustRightInd w:val="0"/>
              <w:rPr>
                <w:rFonts w:ascii="Times New Roman" w:eastAsia="Calibri" w:hAnsi="Times New Roman" w:cs="Times New Roman"/>
                <w:b/>
                <w:bCs/>
                <w:iCs/>
                <w:color w:val="000000"/>
                <w:szCs w:val="22"/>
              </w:rPr>
            </w:pPr>
            <w:r w:rsidRPr="00702DDD">
              <w:rPr>
                <w:rFonts w:ascii="Times New Roman" w:eastAsia="Calibri" w:hAnsi="Times New Roman" w:cs="Times New Roman"/>
                <w:b/>
                <w:bCs/>
                <w:iCs/>
                <w:color w:val="000000"/>
                <w:szCs w:val="22"/>
              </w:rPr>
              <w:t>Simple Avg</w:t>
            </w:r>
          </w:p>
        </w:tc>
        <w:tc>
          <w:tcPr>
            <w:tcW w:w="1473" w:type="dxa"/>
            <w:tcBorders>
              <w:top w:val="single" w:sz="4" w:space="0" w:color="auto"/>
              <w:left w:val="nil"/>
              <w:bottom w:val="nil"/>
              <w:right w:val="nil"/>
            </w:tcBorders>
            <w:shd w:val="clear" w:color="auto" w:fill="auto"/>
            <w:vAlign w:val="bottom"/>
          </w:tcPr>
          <w:p w14:paraId="3B93DC9D"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p>
        </w:tc>
        <w:tc>
          <w:tcPr>
            <w:tcW w:w="1473" w:type="dxa"/>
            <w:tcBorders>
              <w:top w:val="single" w:sz="4" w:space="0" w:color="auto"/>
              <w:left w:val="nil"/>
              <w:bottom w:val="nil"/>
              <w:right w:val="nil"/>
            </w:tcBorders>
            <w:shd w:val="clear" w:color="auto" w:fill="auto"/>
            <w:vAlign w:val="bottom"/>
          </w:tcPr>
          <w:p w14:paraId="328348AE"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p>
        </w:tc>
        <w:tc>
          <w:tcPr>
            <w:tcW w:w="1473" w:type="dxa"/>
            <w:tcBorders>
              <w:top w:val="single" w:sz="4" w:space="0" w:color="auto"/>
              <w:left w:val="nil"/>
              <w:bottom w:val="nil"/>
              <w:right w:val="nil"/>
            </w:tcBorders>
            <w:shd w:val="clear" w:color="auto" w:fill="auto"/>
            <w:vAlign w:val="bottom"/>
          </w:tcPr>
          <w:p w14:paraId="71880649"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p>
        </w:tc>
        <w:tc>
          <w:tcPr>
            <w:tcW w:w="1473" w:type="dxa"/>
            <w:tcBorders>
              <w:top w:val="single" w:sz="4" w:space="0" w:color="auto"/>
              <w:left w:val="nil"/>
              <w:bottom w:val="nil"/>
              <w:right w:val="nil"/>
            </w:tcBorders>
            <w:shd w:val="clear" w:color="auto" w:fill="auto"/>
            <w:vAlign w:val="bottom"/>
          </w:tcPr>
          <w:p w14:paraId="0A661EE0"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p>
        </w:tc>
      </w:tr>
      <w:tr w:rsidR="00C016E8" w:rsidRPr="00702DDD" w14:paraId="467FE395" w14:textId="77777777" w:rsidTr="00E83386">
        <w:trPr>
          <w:trHeight w:val="294"/>
        </w:trPr>
        <w:tc>
          <w:tcPr>
            <w:tcW w:w="2901" w:type="dxa"/>
            <w:tcBorders>
              <w:top w:val="nil"/>
            </w:tcBorders>
            <w:shd w:val="clear" w:color="auto" w:fill="auto"/>
          </w:tcPr>
          <w:p w14:paraId="4A47F4C8"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Northwest</w:t>
            </w:r>
          </w:p>
        </w:tc>
        <w:tc>
          <w:tcPr>
            <w:tcW w:w="1473" w:type="dxa"/>
            <w:tcBorders>
              <w:top w:val="nil"/>
              <w:left w:val="nil"/>
              <w:bottom w:val="nil"/>
              <w:right w:val="nil"/>
            </w:tcBorders>
            <w:shd w:val="clear" w:color="auto" w:fill="auto"/>
            <w:vAlign w:val="bottom"/>
          </w:tcPr>
          <w:p w14:paraId="4586678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21,622,632</w:t>
            </w:r>
          </w:p>
        </w:tc>
        <w:tc>
          <w:tcPr>
            <w:tcW w:w="1473" w:type="dxa"/>
            <w:tcBorders>
              <w:top w:val="nil"/>
              <w:left w:val="nil"/>
              <w:bottom w:val="nil"/>
              <w:right w:val="nil"/>
            </w:tcBorders>
            <w:shd w:val="clear" w:color="auto" w:fill="auto"/>
            <w:vAlign w:val="bottom"/>
          </w:tcPr>
          <w:p w14:paraId="503DD1A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10,238,304</w:t>
            </w:r>
          </w:p>
        </w:tc>
        <w:tc>
          <w:tcPr>
            <w:tcW w:w="1473" w:type="dxa"/>
            <w:tcBorders>
              <w:top w:val="nil"/>
              <w:left w:val="nil"/>
              <w:bottom w:val="nil"/>
              <w:right w:val="nil"/>
            </w:tcBorders>
            <w:shd w:val="clear" w:color="auto" w:fill="auto"/>
            <w:vAlign w:val="bottom"/>
          </w:tcPr>
          <w:p w14:paraId="6EA19F74"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4,127,780</w:t>
            </w:r>
          </w:p>
        </w:tc>
        <w:tc>
          <w:tcPr>
            <w:tcW w:w="1473" w:type="dxa"/>
            <w:tcBorders>
              <w:top w:val="nil"/>
              <w:left w:val="nil"/>
              <w:bottom w:val="nil"/>
              <w:right w:val="nil"/>
            </w:tcBorders>
            <w:shd w:val="clear" w:color="auto" w:fill="auto"/>
            <w:vAlign w:val="bottom"/>
          </w:tcPr>
          <w:p w14:paraId="496F1B8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35,988,716</w:t>
            </w:r>
          </w:p>
        </w:tc>
      </w:tr>
      <w:tr w:rsidR="00C016E8" w:rsidRPr="00702DDD" w14:paraId="0791C893" w14:textId="77777777" w:rsidTr="00E83386">
        <w:trPr>
          <w:trHeight w:val="294"/>
        </w:trPr>
        <w:tc>
          <w:tcPr>
            <w:tcW w:w="2901" w:type="dxa"/>
            <w:shd w:val="clear" w:color="auto" w:fill="auto"/>
          </w:tcPr>
          <w:p w14:paraId="334AA74B"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Northern Middle</w:t>
            </w:r>
          </w:p>
        </w:tc>
        <w:tc>
          <w:tcPr>
            <w:tcW w:w="1473" w:type="dxa"/>
            <w:tcBorders>
              <w:top w:val="nil"/>
              <w:left w:val="nil"/>
              <w:bottom w:val="nil"/>
              <w:right w:val="nil"/>
            </w:tcBorders>
            <w:shd w:val="clear" w:color="auto" w:fill="auto"/>
            <w:vAlign w:val="bottom"/>
          </w:tcPr>
          <w:p w14:paraId="5200ABC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16,825,677</w:t>
            </w:r>
          </w:p>
        </w:tc>
        <w:tc>
          <w:tcPr>
            <w:tcW w:w="1473" w:type="dxa"/>
            <w:tcBorders>
              <w:top w:val="nil"/>
              <w:left w:val="nil"/>
              <w:bottom w:val="nil"/>
              <w:right w:val="nil"/>
            </w:tcBorders>
            <w:shd w:val="clear" w:color="auto" w:fill="auto"/>
            <w:vAlign w:val="bottom"/>
          </w:tcPr>
          <w:p w14:paraId="7EC9FE3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13,359,878</w:t>
            </w:r>
          </w:p>
        </w:tc>
        <w:tc>
          <w:tcPr>
            <w:tcW w:w="1473" w:type="dxa"/>
            <w:tcBorders>
              <w:top w:val="nil"/>
              <w:left w:val="nil"/>
              <w:bottom w:val="nil"/>
              <w:right w:val="nil"/>
            </w:tcBorders>
            <w:shd w:val="clear" w:color="auto" w:fill="auto"/>
            <w:vAlign w:val="bottom"/>
          </w:tcPr>
          <w:p w14:paraId="2629EABB"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8,970,911</w:t>
            </w:r>
          </w:p>
        </w:tc>
        <w:tc>
          <w:tcPr>
            <w:tcW w:w="1473" w:type="dxa"/>
            <w:tcBorders>
              <w:top w:val="nil"/>
              <w:left w:val="nil"/>
              <w:bottom w:val="nil"/>
              <w:right w:val="nil"/>
            </w:tcBorders>
            <w:shd w:val="clear" w:color="auto" w:fill="auto"/>
            <w:vAlign w:val="bottom"/>
          </w:tcPr>
          <w:p w14:paraId="311ED9AE"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39,156,465</w:t>
            </w:r>
          </w:p>
        </w:tc>
      </w:tr>
      <w:tr w:rsidR="00C016E8" w:rsidRPr="00702DDD" w14:paraId="5787D8F4" w14:textId="77777777" w:rsidTr="00E83386">
        <w:trPr>
          <w:trHeight w:val="294"/>
        </w:trPr>
        <w:tc>
          <w:tcPr>
            <w:tcW w:w="2901" w:type="dxa"/>
            <w:shd w:val="clear" w:color="auto" w:fill="auto"/>
          </w:tcPr>
          <w:p w14:paraId="7EC85324"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Upper Cumberland</w:t>
            </w:r>
          </w:p>
        </w:tc>
        <w:tc>
          <w:tcPr>
            <w:tcW w:w="1473" w:type="dxa"/>
            <w:tcBorders>
              <w:top w:val="nil"/>
              <w:left w:val="nil"/>
              <w:bottom w:val="nil"/>
              <w:right w:val="nil"/>
            </w:tcBorders>
            <w:shd w:val="clear" w:color="auto" w:fill="auto"/>
            <w:vAlign w:val="bottom"/>
          </w:tcPr>
          <w:p w14:paraId="662A7E9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5,105,673</w:t>
            </w:r>
          </w:p>
        </w:tc>
        <w:tc>
          <w:tcPr>
            <w:tcW w:w="1473" w:type="dxa"/>
            <w:tcBorders>
              <w:top w:val="nil"/>
              <w:left w:val="nil"/>
              <w:bottom w:val="nil"/>
              <w:right w:val="nil"/>
            </w:tcBorders>
            <w:shd w:val="clear" w:color="auto" w:fill="auto"/>
            <w:vAlign w:val="bottom"/>
          </w:tcPr>
          <w:p w14:paraId="07466F80"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21,547,860</w:t>
            </w:r>
          </w:p>
        </w:tc>
        <w:tc>
          <w:tcPr>
            <w:tcW w:w="1473" w:type="dxa"/>
            <w:tcBorders>
              <w:top w:val="nil"/>
              <w:left w:val="nil"/>
              <w:bottom w:val="nil"/>
              <w:right w:val="nil"/>
            </w:tcBorders>
            <w:shd w:val="clear" w:color="auto" w:fill="auto"/>
            <w:vAlign w:val="bottom"/>
          </w:tcPr>
          <w:p w14:paraId="3430276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4,081,504</w:t>
            </w:r>
          </w:p>
        </w:tc>
        <w:tc>
          <w:tcPr>
            <w:tcW w:w="1473" w:type="dxa"/>
            <w:tcBorders>
              <w:top w:val="nil"/>
              <w:left w:val="nil"/>
              <w:bottom w:val="nil"/>
              <w:right w:val="nil"/>
            </w:tcBorders>
            <w:shd w:val="clear" w:color="auto" w:fill="auto"/>
            <w:vAlign w:val="bottom"/>
          </w:tcPr>
          <w:p w14:paraId="3664E3E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30,735,037</w:t>
            </w:r>
          </w:p>
        </w:tc>
      </w:tr>
      <w:tr w:rsidR="00C016E8" w:rsidRPr="00702DDD" w14:paraId="5290F622" w14:textId="77777777" w:rsidTr="00E83386">
        <w:trPr>
          <w:trHeight w:val="294"/>
        </w:trPr>
        <w:tc>
          <w:tcPr>
            <w:tcW w:w="2901" w:type="dxa"/>
            <w:shd w:val="clear" w:color="auto" w:fill="auto"/>
          </w:tcPr>
          <w:p w14:paraId="119ADFC9"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East</w:t>
            </w:r>
          </w:p>
        </w:tc>
        <w:tc>
          <w:tcPr>
            <w:tcW w:w="1473" w:type="dxa"/>
            <w:tcBorders>
              <w:top w:val="nil"/>
              <w:left w:val="nil"/>
              <w:bottom w:val="nil"/>
              <w:right w:val="nil"/>
            </w:tcBorders>
            <w:shd w:val="clear" w:color="auto" w:fill="auto"/>
            <w:vAlign w:val="bottom"/>
          </w:tcPr>
          <w:p w14:paraId="7D87DF0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34,705,534</w:t>
            </w:r>
          </w:p>
        </w:tc>
        <w:tc>
          <w:tcPr>
            <w:tcW w:w="1473" w:type="dxa"/>
            <w:tcBorders>
              <w:top w:val="nil"/>
              <w:left w:val="nil"/>
              <w:bottom w:val="nil"/>
              <w:right w:val="nil"/>
            </w:tcBorders>
            <w:shd w:val="clear" w:color="auto" w:fill="auto"/>
            <w:vAlign w:val="bottom"/>
          </w:tcPr>
          <w:p w14:paraId="60834A6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33,757,160</w:t>
            </w:r>
          </w:p>
        </w:tc>
        <w:tc>
          <w:tcPr>
            <w:tcW w:w="1473" w:type="dxa"/>
            <w:tcBorders>
              <w:top w:val="nil"/>
              <w:left w:val="nil"/>
              <w:bottom w:val="nil"/>
              <w:right w:val="nil"/>
            </w:tcBorders>
            <w:shd w:val="clear" w:color="auto" w:fill="auto"/>
            <w:vAlign w:val="bottom"/>
          </w:tcPr>
          <w:p w14:paraId="27C978C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18,205,879</w:t>
            </w:r>
          </w:p>
        </w:tc>
        <w:tc>
          <w:tcPr>
            <w:tcW w:w="1473" w:type="dxa"/>
            <w:tcBorders>
              <w:top w:val="nil"/>
              <w:left w:val="nil"/>
              <w:bottom w:val="nil"/>
              <w:right w:val="nil"/>
            </w:tcBorders>
            <w:shd w:val="clear" w:color="auto" w:fill="auto"/>
            <w:vAlign w:val="bottom"/>
          </w:tcPr>
          <w:p w14:paraId="772B48B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86,668,573</w:t>
            </w:r>
          </w:p>
        </w:tc>
      </w:tr>
      <w:tr w:rsidR="00C016E8" w:rsidRPr="00702DDD" w14:paraId="2A5EF590" w14:textId="77777777" w:rsidTr="00E83386">
        <w:trPr>
          <w:trHeight w:val="294"/>
        </w:trPr>
        <w:tc>
          <w:tcPr>
            <w:tcW w:w="2901" w:type="dxa"/>
            <w:shd w:val="clear" w:color="auto" w:fill="auto"/>
          </w:tcPr>
          <w:p w14:paraId="1E3F60FA"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Northeast</w:t>
            </w:r>
          </w:p>
        </w:tc>
        <w:tc>
          <w:tcPr>
            <w:tcW w:w="1473" w:type="dxa"/>
            <w:tcBorders>
              <w:top w:val="nil"/>
              <w:left w:val="nil"/>
              <w:bottom w:val="nil"/>
              <w:right w:val="nil"/>
            </w:tcBorders>
            <w:shd w:val="clear" w:color="auto" w:fill="auto"/>
            <w:vAlign w:val="bottom"/>
          </w:tcPr>
          <w:p w14:paraId="00781C8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20,056,580</w:t>
            </w:r>
          </w:p>
        </w:tc>
        <w:tc>
          <w:tcPr>
            <w:tcW w:w="1473" w:type="dxa"/>
            <w:tcBorders>
              <w:top w:val="nil"/>
              <w:left w:val="nil"/>
              <w:bottom w:val="nil"/>
              <w:right w:val="nil"/>
            </w:tcBorders>
            <w:shd w:val="clear" w:color="auto" w:fill="auto"/>
            <w:vAlign w:val="bottom"/>
          </w:tcPr>
          <w:p w14:paraId="1AEA57D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13,572,745</w:t>
            </w:r>
          </w:p>
        </w:tc>
        <w:tc>
          <w:tcPr>
            <w:tcW w:w="1473" w:type="dxa"/>
            <w:tcBorders>
              <w:top w:val="nil"/>
              <w:left w:val="nil"/>
              <w:bottom w:val="nil"/>
              <w:right w:val="nil"/>
            </w:tcBorders>
            <w:shd w:val="clear" w:color="auto" w:fill="auto"/>
            <w:vAlign w:val="bottom"/>
          </w:tcPr>
          <w:p w14:paraId="2B3941FB"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7,080,591</w:t>
            </w:r>
          </w:p>
        </w:tc>
        <w:tc>
          <w:tcPr>
            <w:tcW w:w="1473" w:type="dxa"/>
            <w:tcBorders>
              <w:top w:val="nil"/>
              <w:left w:val="nil"/>
              <w:bottom w:val="nil"/>
              <w:right w:val="nil"/>
            </w:tcBorders>
            <w:shd w:val="clear" w:color="auto" w:fill="auto"/>
            <w:vAlign w:val="bottom"/>
          </w:tcPr>
          <w:p w14:paraId="4EA4FBD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40,709,917</w:t>
            </w:r>
          </w:p>
        </w:tc>
      </w:tr>
      <w:tr w:rsidR="00C016E8" w:rsidRPr="00702DDD" w14:paraId="443632BE" w14:textId="77777777" w:rsidTr="00E83386">
        <w:trPr>
          <w:trHeight w:val="309"/>
        </w:trPr>
        <w:tc>
          <w:tcPr>
            <w:tcW w:w="2901" w:type="dxa"/>
            <w:shd w:val="clear" w:color="auto" w:fill="auto"/>
          </w:tcPr>
          <w:p w14:paraId="17FF4DD0"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Southeast</w:t>
            </w:r>
          </w:p>
        </w:tc>
        <w:tc>
          <w:tcPr>
            <w:tcW w:w="1473" w:type="dxa"/>
            <w:tcBorders>
              <w:top w:val="nil"/>
              <w:left w:val="nil"/>
              <w:bottom w:val="nil"/>
              <w:right w:val="nil"/>
            </w:tcBorders>
            <w:shd w:val="clear" w:color="auto" w:fill="auto"/>
            <w:vAlign w:val="bottom"/>
          </w:tcPr>
          <w:p w14:paraId="3858D664"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30,958,594</w:t>
            </w:r>
          </w:p>
        </w:tc>
        <w:tc>
          <w:tcPr>
            <w:tcW w:w="1473" w:type="dxa"/>
            <w:tcBorders>
              <w:top w:val="nil"/>
              <w:left w:val="nil"/>
              <w:bottom w:val="nil"/>
              <w:right w:val="nil"/>
            </w:tcBorders>
            <w:shd w:val="clear" w:color="auto" w:fill="auto"/>
            <w:vAlign w:val="bottom"/>
          </w:tcPr>
          <w:p w14:paraId="43258C2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13,932,341</w:t>
            </w:r>
          </w:p>
        </w:tc>
        <w:tc>
          <w:tcPr>
            <w:tcW w:w="1473" w:type="dxa"/>
            <w:tcBorders>
              <w:top w:val="nil"/>
              <w:left w:val="nil"/>
              <w:bottom w:val="nil"/>
              <w:right w:val="nil"/>
            </w:tcBorders>
            <w:shd w:val="clear" w:color="auto" w:fill="auto"/>
            <w:vAlign w:val="bottom"/>
          </w:tcPr>
          <w:p w14:paraId="127E752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8,994,106</w:t>
            </w:r>
          </w:p>
        </w:tc>
        <w:tc>
          <w:tcPr>
            <w:tcW w:w="1473" w:type="dxa"/>
            <w:tcBorders>
              <w:top w:val="nil"/>
              <w:left w:val="nil"/>
              <w:bottom w:val="nil"/>
              <w:right w:val="nil"/>
            </w:tcBorders>
            <w:shd w:val="clear" w:color="auto" w:fill="auto"/>
            <w:vAlign w:val="bottom"/>
          </w:tcPr>
          <w:p w14:paraId="18605F5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53,885,040</w:t>
            </w:r>
          </w:p>
        </w:tc>
      </w:tr>
      <w:tr w:rsidR="00C016E8" w:rsidRPr="00702DDD" w14:paraId="4D3E78E5" w14:textId="77777777" w:rsidTr="00E83386">
        <w:trPr>
          <w:trHeight w:val="309"/>
        </w:trPr>
        <w:tc>
          <w:tcPr>
            <w:tcW w:w="2901" w:type="dxa"/>
            <w:shd w:val="clear" w:color="auto" w:fill="auto"/>
          </w:tcPr>
          <w:p w14:paraId="6E458E51"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Southern Middle</w:t>
            </w:r>
          </w:p>
        </w:tc>
        <w:tc>
          <w:tcPr>
            <w:tcW w:w="1473" w:type="dxa"/>
            <w:tcBorders>
              <w:top w:val="nil"/>
              <w:left w:val="nil"/>
              <w:bottom w:val="nil"/>
              <w:right w:val="nil"/>
            </w:tcBorders>
            <w:shd w:val="clear" w:color="auto" w:fill="auto"/>
            <w:vAlign w:val="bottom"/>
          </w:tcPr>
          <w:p w14:paraId="7D71BDD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22,235,558</w:t>
            </w:r>
          </w:p>
        </w:tc>
        <w:tc>
          <w:tcPr>
            <w:tcW w:w="1473" w:type="dxa"/>
            <w:tcBorders>
              <w:top w:val="nil"/>
              <w:left w:val="nil"/>
              <w:bottom w:val="nil"/>
              <w:right w:val="nil"/>
            </w:tcBorders>
            <w:shd w:val="clear" w:color="auto" w:fill="auto"/>
            <w:vAlign w:val="bottom"/>
          </w:tcPr>
          <w:p w14:paraId="0F8C1FF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10,310,462</w:t>
            </w:r>
          </w:p>
        </w:tc>
        <w:tc>
          <w:tcPr>
            <w:tcW w:w="1473" w:type="dxa"/>
            <w:tcBorders>
              <w:top w:val="nil"/>
              <w:left w:val="nil"/>
              <w:bottom w:val="nil"/>
              <w:right w:val="nil"/>
            </w:tcBorders>
            <w:shd w:val="clear" w:color="auto" w:fill="auto"/>
            <w:vAlign w:val="bottom"/>
          </w:tcPr>
          <w:p w14:paraId="0DB4331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4,403,991</w:t>
            </w:r>
          </w:p>
        </w:tc>
        <w:tc>
          <w:tcPr>
            <w:tcW w:w="1473" w:type="dxa"/>
            <w:tcBorders>
              <w:top w:val="nil"/>
              <w:left w:val="nil"/>
              <w:bottom w:val="nil"/>
              <w:right w:val="nil"/>
            </w:tcBorders>
            <w:shd w:val="clear" w:color="auto" w:fill="auto"/>
            <w:vAlign w:val="bottom"/>
          </w:tcPr>
          <w:p w14:paraId="551978D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36,950,012</w:t>
            </w:r>
          </w:p>
        </w:tc>
      </w:tr>
      <w:tr w:rsidR="00C016E8" w:rsidRPr="00702DDD" w14:paraId="64D4BBB1" w14:textId="77777777" w:rsidTr="00E83386">
        <w:trPr>
          <w:trHeight w:val="309"/>
        </w:trPr>
        <w:tc>
          <w:tcPr>
            <w:tcW w:w="2901" w:type="dxa"/>
            <w:shd w:val="clear" w:color="auto" w:fill="auto"/>
          </w:tcPr>
          <w:p w14:paraId="70B0D563"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Southwest</w:t>
            </w:r>
          </w:p>
        </w:tc>
        <w:tc>
          <w:tcPr>
            <w:tcW w:w="1473" w:type="dxa"/>
            <w:tcBorders>
              <w:top w:val="nil"/>
              <w:left w:val="nil"/>
              <w:bottom w:val="nil"/>
              <w:right w:val="nil"/>
            </w:tcBorders>
            <w:shd w:val="clear" w:color="auto" w:fill="auto"/>
            <w:vAlign w:val="bottom"/>
          </w:tcPr>
          <w:p w14:paraId="4AF71BE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12,056,131</w:t>
            </w:r>
          </w:p>
        </w:tc>
        <w:tc>
          <w:tcPr>
            <w:tcW w:w="1473" w:type="dxa"/>
            <w:tcBorders>
              <w:top w:val="nil"/>
              <w:left w:val="nil"/>
              <w:bottom w:val="nil"/>
              <w:right w:val="nil"/>
            </w:tcBorders>
            <w:shd w:val="clear" w:color="auto" w:fill="auto"/>
            <w:vAlign w:val="bottom"/>
          </w:tcPr>
          <w:p w14:paraId="04F5ED7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12,468,891</w:t>
            </w:r>
          </w:p>
        </w:tc>
        <w:tc>
          <w:tcPr>
            <w:tcW w:w="1473" w:type="dxa"/>
            <w:tcBorders>
              <w:top w:val="nil"/>
              <w:left w:val="nil"/>
              <w:bottom w:val="nil"/>
              <w:right w:val="nil"/>
            </w:tcBorders>
            <w:shd w:val="clear" w:color="auto" w:fill="auto"/>
            <w:vAlign w:val="bottom"/>
          </w:tcPr>
          <w:p w14:paraId="69A2EC4D"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3,564,436</w:t>
            </w:r>
          </w:p>
        </w:tc>
        <w:tc>
          <w:tcPr>
            <w:tcW w:w="1473" w:type="dxa"/>
            <w:tcBorders>
              <w:top w:val="nil"/>
              <w:left w:val="nil"/>
              <w:bottom w:val="nil"/>
              <w:right w:val="nil"/>
            </w:tcBorders>
            <w:shd w:val="clear" w:color="auto" w:fill="auto"/>
            <w:vAlign w:val="bottom"/>
          </w:tcPr>
          <w:p w14:paraId="2A50478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28,089,458</w:t>
            </w:r>
          </w:p>
        </w:tc>
      </w:tr>
      <w:tr w:rsidR="00C016E8" w:rsidRPr="00702DDD" w14:paraId="2AC7FAB7" w14:textId="77777777" w:rsidTr="00E83386">
        <w:trPr>
          <w:trHeight w:val="309"/>
        </w:trPr>
        <w:tc>
          <w:tcPr>
            <w:tcW w:w="2901" w:type="dxa"/>
            <w:tcBorders>
              <w:bottom w:val="nil"/>
            </w:tcBorders>
            <w:shd w:val="clear" w:color="auto" w:fill="auto"/>
          </w:tcPr>
          <w:p w14:paraId="5031513D"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Greater Memphis</w:t>
            </w:r>
          </w:p>
        </w:tc>
        <w:tc>
          <w:tcPr>
            <w:tcW w:w="1473" w:type="dxa"/>
            <w:tcBorders>
              <w:top w:val="nil"/>
              <w:left w:val="nil"/>
              <w:bottom w:val="nil"/>
              <w:right w:val="nil"/>
            </w:tcBorders>
            <w:shd w:val="clear" w:color="auto" w:fill="auto"/>
            <w:vAlign w:val="bottom"/>
          </w:tcPr>
          <w:p w14:paraId="0F06662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19,814,867</w:t>
            </w:r>
          </w:p>
        </w:tc>
        <w:tc>
          <w:tcPr>
            <w:tcW w:w="1473" w:type="dxa"/>
            <w:tcBorders>
              <w:top w:val="nil"/>
              <w:left w:val="nil"/>
              <w:bottom w:val="nil"/>
              <w:right w:val="nil"/>
            </w:tcBorders>
            <w:shd w:val="clear" w:color="auto" w:fill="auto"/>
            <w:vAlign w:val="bottom"/>
          </w:tcPr>
          <w:p w14:paraId="0388D91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5,590,062</w:t>
            </w:r>
          </w:p>
        </w:tc>
        <w:tc>
          <w:tcPr>
            <w:tcW w:w="1473" w:type="dxa"/>
            <w:tcBorders>
              <w:top w:val="nil"/>
              <w:left w:val="nil"/>
              <w:bottom w:val="nil"/>
              <w:right w:val="nil"/>
            </w:tcBorders>
            <w:shd w:val="clear" w:color="auto" w:fill="auto"/>
            <w:vAlign w:val="bottom"/>
          </w:tcPr>
          <w:p w14:paraId="33FCACFB"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6,472,643</w:t>
            </w:r>
          </w:p>
        </w:tc>
        <w:tc>
          <w:tcPr>
            <w:tcW w:w="1473" w:type="dxa"/>
            <w:tcBorders>
              <w:top w:val="nil"/>
              <w:left w:val="nil"/>
              <w:bottom w:val="nil"/>
              <w:right w:val="nil"/>
            </w:tcBorders>
            <w:shd w:val="clear" w:color="auto" w:fill="auto"/>
            <w:vAlign w:val="bottom"/>
          </w:tcPr>
          <w:p w14:paraId="7F84F56B"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31,877,572</w:t>
            </w:r>
          </w:p>
        </w:tc>
      </w:tr>
      <w:tr w:rsidR="00C016E8" w:rsidRPr="00702DDD" w14:paraId="42991A40" w14:textId="77777777" w:rsidTr="00E83386">
        <w:trPr>
          <w:trHeight w:val="309"/>
        </w:trPr>
        <w:tc>
          <w:tcPr>
            <w:tcW w:w="2901" w:type="dxa"/>
            <w:tcBorders>
              <w:top w:val="nil"/>
              <w:left w:val="nil"/>
              <w:bottom w:val="single" w:sz="4" w:space="0" w:color="auto"/>
              <w:right w:val="nil"/>
            </w:tcBorders>
            <w:shd w:val="clear" w:color="auto" w:fill="auto"/>
          </w:tcPr>
          <w:p w14:paraId="54EA073C" w14:textId="77777777" w:rsidR="00C016E8" w:rsidRPr="00702DDD" w:rsidRDefault="00C016E8" w:rsidP="00E83386">
            <w:pPr>
              <w:autoSpaceDE w:val="0"/>
              <w:autoSpaceDN w:val="0"/>
              <w:adjustRightInd w:val="0"/>
              <w:rPr>
                <w:rFonts w:ascii="Times New Roman" w:eastAsia="Calibri" w:hAnsi="Times New Roman" w:cs="Times New Roman"/>
                <w:bCs/>
                <w:i/>
                <w:iCs/>
                <w:color w:val="000000"/>
              </w:rPr>
            </w:pPr>
            <w:r w:rsidRPr="00702DDD">
              <w:rPr>
                <w:rFonts w:ascii="Times New Roman" w:hAnsi="Times New Roman" w:cs="Times New Roman"/>
                <w:i/>
                <w:color w:val="000000"/>
              </w:rPr>
              <w:t>Aggregate</w:t>
            </w:r>
          </w:p>
        </w:tc>
        <w:tc>
          <w:tcPr>
            <w:tcW w:w="1473" w:type="dxa"/>
            <w:tcBorders>
              <w:top w:val="nil"/>
              <w:left w:val="nil"/>
              <w:bottom w:val="single" w:sz="4" w:space="0" w:color="auto"/>
              <w:right w:val="nil"/>
            </w:tcBorders>
            <w:shd w:val="clear" w:color="auto" w:fill="auto"/>
          </w:tcPr>
          <w:p w14:paraId="312470F3" w14:textId="77777777" w:rsidR="00C016E8" w:rsidRPr="00702DDD" w:rsidRDefault="00C016E8" w:rsidP="00E83386">
            <w:pPr>
              <w:autoSpaceDE w:val="0"/>
              <w:autoSpaceDN w:val="0"/>
              <w:adjustRightInd w:val="0"/>
              <w:jc w:val="center"/>
              <w:rPr>
                <w:rFonts w:ascii="Times New Roman" w:hAnsi="Times New Roman" w:cs="Times New Roman"/>
                <w:color w:val="000000"/>
              </w:rPr>
            </w:pPr>
            <w:r w:rsidRPr="00702DDD">
              <w:rPr>
                <w:rFonts w:ascii="Times New Roman" w:hAnsi="Times New Roman" w:cs="Times New Roman"/>
                <w:color w:val="000000"/>
              </w:rPr>
              <w:t>183,381,246</w:t>
            </w:r>
          </w:p>
        </w:tc>
        <w:tc>
          <w:tcPr>
            <w:tcW w:w="1473" w:type="dxa"/>
            <w:tcBorders>
              <w:top w:val="nil"/>
              <w:left w:val="nil"/>
              <w:bottom w:val="single" w:sz="4" w:space="0" w:color="auto"/>
              <w:right w:val="nil"/>
            </w:tcBorders>
            <w:shd w:val="clear" w:color="auto" w:fill="auto"/>
          </w:tcPr>
          <w:p w14:paraId="5E0DE02F" w14:textId="77777777" w:rsidR="00C016E8" w:rsidRPr="00702DDD" w:rsidRDefault="00C016E8" w:rsidP="00E83386">
            <w:pPr>
              <w:autoSpaceDE w:val="0"/>
              <w:autoSpaceDN w:val="0"/>
              <w:adjustRightInd w:val="0"/>
              <w:jc w:val="center"/>
              <w:rPr>
                <w:rFonts w:ascii="Times New Roman" w:hAnsi="Times New Roman" w:cs="Times New Roman"/>
                <w:color w:val="000000"/>
              </w:rPr>
            </w:pPr>
            <w:r w:rsidRPr="00702DDD">
              <w:rPr>
                <w:rFonts w:ascii="Times New Roman" w:hAnsi="Times New Roman" w:cs="Times New Roman"/>
                <w:color w:val="000000"/>
              </w:rPr>
              <w:t>134,777,704</w:t>
            </w:r>
          </w:p>
        </w:tc>
        <w:tc>
          <w:tcPr>
            <w:tcW w:w="1473" w:type="dxa"/>
            <w:tcBorders>
              <w:top w:val="nil"/>
              <w:left w:val="nil"/>
              <w:bottom w:val="single" w:sz="4" w:space="0" w:color="auto"/>
              <w:right w:val="nil"/>
            </w:tcBorders>
            <w:shd w:val="clear" w:color="auto" w:fill="auto"/>
          </w:tcPr>
          <w:p w14:paraId="555E56F8" w14:textId="77777777" w:rsidR="00C016E8" w:rsidRPr="00702DDD" w:rsidRDefault="00C016E8" w:rsidP="00E83386">
            <w:pPr>
              <w:autoSpaceDE w:val="0"/>
              <w:autoSpaceDN w:val="0"/>
              <w:adjustRightInd w:val="0"/>
              <w:jc w:val="center"/>
              <w:rPr>
                <w:rFonts w:ascii="Times New Roman" w:hAnsi="Times New Roman" w:cs="Times New Roman"/>
                <w:color w:val="000000"/>
              </w:rPr>
            </w:pPr>
            <w:r w:rsidRPr="00702DDD">
              <w:rPr>
                <w:rFonts w:ascii="Times New Roman" w:hAnsi="Times New Roman" w:cs="Times New Roman"/>
                <w:color w:val="000000"/>
              </w:rPr>
              <w:t>65,901,841</w:t>
            </w:r>
          </w:p>
        </w:tc>
        <w:tc>
          <w:tcPr>
            <w:tcW w:w="1473" w:type="dxa"/>
            <w:tcBorders>
              <w:top w:val="nil"/>
              <w:left w:val="nil"/>
              <w:bottom w:val="single" w:sz="4" w:space="0" w:color="auto"/>
              <w:right w:val="nil"/>
            </w:tcBorders>
            <w:shd w:val="clear" w:color="auto" w:fill="auto"/>
          </w:tcPr>
          <w:p w14:paraId="1F3B5784" w14:textId="77777777" w:rsidR="00C016E8" w:rsidRPr="00702DDD" w:rsidRDefault="00C016E8" w:rsidP="00E83386">
            <w:pPr>
              <w:autoSpaceDE w:val="0"/>
              <w:autoSpaceDN w:val="0"/>
              <w:adjustRightInd w:val="0"/>
              <w:jc w:val="center"/>
              <w:rPr>
                <w:rFonts w:ascii="Times New Roman" w:hAnsi="Times New Roman" w:cs="Times New Roman"/>
                <w:color w:val="000000"/>
              </w:rPr>
            </w:pPr>
            <w:r w:rsidRPr="00702DDD">
              <w:rPr>
                <w:rFonts w:ascii="Times New Roman" w:hAnsi="Times New Roman" w:cs="Times New Roman"/>
                <w:color w:val="000000"/>
              </w:rPr>
              <w:t>384,060,791</w:t>
            </w:r>
          </w:p>
        </w:tc>
      </w:tr>
      <w:tr w:rsidR="00C016E8" w:rsidRPr="00702DDD" w14:paraId="518E4AC1" w14:textId="77777777" w:rsidTr="00E83386">
        <w:trPr>
          <w:trHeight w:val="309"/>
        </w:trPr>
        <w:tc>
          <w:tcPr>
            <w:tcW w:w="2901" w:type="dxa"/>
            <w:tcBorders>
              <w:top w:val="single" w:sz="4" w:space="0" w:color="auto"/>
            </w:tcBorders>
            <w:shd w:val="clear" w:color="auto" w:fill="auto"/>
          </w:tcPr>
          <w:p w14:paraId="0690E50A" w14:textId="77777777" w:rsidR="00C016E8" w:rsidRPr="00702DDD" w:rsidRDefault="00C016E8" w:rsidP="00E83386">
            <w:pPr>
              <w:autoSpaceDE w:val="0"/>
              <w:autoSpaceDN w:val="0"/>
              <w:adjustRightInd w:val="0"/>
              <w:rPr>
                <w:rFonts w:ascii="Times New Roman" w:eastAsia="Calibri" w:hAnsi="Times New Roman" w:cs="Times New Roman"/>
                <w:b/>
                <w:bCs/>
                <w:iCs/>
                <w:color w:val="000000"/>
                <w:szCs w:val="22"/>
              </w:rPr>
            </w:pPr>
            <w:r w:rsidRPr="00702DDD">
              <w:rPr>
                <w:rFonts w:ascii="Times New Roman" w:eastAsia="Calibri" w:hAnsi="Times New Roman" w:cs="Times New Roman"/>
                <w:b/>
                <w:bCs/>
                <w:iCs/>
                <w:color w:val="000000"/>
                <w:szCs w:val="22"/>
              </w:rPr>
              <w:t>Neg Scaled Avg</w:t>
            </w:r>
          </w:p>
        </w:tc>
        <w:tc>
          <w:tcPr>
            <w:tcW w:w="1473" w:type="dxa"/>
            <w:tcBorders>
              <w:top w:val="single" w:sz="4" w:space="0" w:color="auto"/>
            </w:tcBorders>
            <w:shd w:val="clear" w:color="auto" w:fill="auto"/>
          </w:tcPr>
          <w:p w14:paraId="7FAF77A9"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p>
        </w:tc>
        <w:tc>
          <w:tcPr>
            <w:tcW w:w="1473" w:type="dxa"/>
            <w:tcBorders>
              <w:top w:val="single" w:sz="4" w:space="0" w:color="auto"/>
            </w:tcBorders>
            <w:shd w:val="clear" w:color="auto" w:fill="auto"/>
          </w:tcPr>
          <w:p w14:paraId="098E961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p>
        </w:tc>
        <w:tc>
          <w:tcPr>
            <w:tcW w:w="1473" w:type="dxa"/>
            <w:tcBorders>
              <w:top w:val="single" w:sz="4" w:space="0" w:color="auto"/>
            </w:tcBorders>
            <w:shd w:val="clear" w:color="auto" w:fill="auto"/>
          </w:tcPr>
          <w:p w14:paraId="3E20C86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p>
        </w:tc>
        <w:tc>
          <w:tcPr>
            <w:tcW w:w="1473" w:type="dxa"/>
            <w:tcBorders>
              <w:top w:val="single" w:sz="4" w:space="0" w:color="auto"/>
            </w:tcBorders>
            <w:shd w:val="clear" w:color="auto" w:fill="auto"/>
          </w:tcPr>
          <w:p w14:paraId="0AB4B4F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p>
        </w:tc>
      </w:tr>
      <w:tr w:rsidR="00C016E8" w:rsidRPr="00702DDD" w14:paraId="187D6681" w14:textId="77777777" w:rsidTr="00E83386">
        <w:trPr>
          <w:trHeight w:val="309"/>
        </w:trPr>
        <w:tc>
          <w:tcPr>
            <w:tcW w:w="2901" w:type="dxa"/>
            <w:shd w:val="clear" w:color="auto" w:fill="auto"/>
          </w:tcPr>
          <w:p w14:paraId="5AD6B9B6"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Northwest</w:t>
            </w:r>
          </w:p>
        </w:tc>
        <w:tc>
          <w:tcPr>
            <w:tcW w:w="1473" w:type="dxa"/>
            <w:tcBorders>
              <w:top w:val="nil"/>
              <w:left w:val="nil"/>
              <w:bottom w:val="nil"/>
              <w:right w:val="nil"/>
            </w:tcBorders>
            <w:shd w:val="clear" w:color="auto" w:fill="auto"/>
            <w:vAlign w:val="bottom"/>
          </w:tcPr>
          <w:p w14:paraId="7A9F4EA9"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31,702,355</w:t>
            </w:r>
          </w:p>
        </w:tc>
        <w:tc>
          <w:tcPr>
            <w:tcW w:w="1473" w:type="dxa"/>
            <w:tcBorders>
              <w:top w:val="nil"/>
              <w:left w:val="nil"/>
              <w:bottom w:val="nil"/>
              <w:right w:val="nil"/>
            </w:tcBorders>
            <w:shd w:val="clear" w:color="auto" w:fill="auto"/>
            <w:vAlign w:val="bottom"/>
          </w:tcPr>
          <w:p w14:paraId="4C99978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15,011,047</w:t>
            </w:r>
          </w:p>
        </w:tc>
        <w:tc>
          <w:tcPr>
            <w:tcW w:w="1473" w:type="dxa"/>
            <w:tcBorders>
              <w:top w:val="nil"/>
              <w:left w:val="nil"/>
              <w:bottom w:val="nil"/>
              <w:right w:val="nil"/>
            </w:tcBorders>
            <w:shd w:val="clear" w:color="auto" w:fill="auto"/>
            <w:vAlign w:val="bottom"/>
          </w:tcPr>
          <w:p w14:paraId="3B57639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6,052,009</w:t>
            </w:r>
          </w:p>
        </w:tc>
        <w:tc>
          <w:tcPr>
            <w:tcW w:w="1473" w:type="dxa"/>
            <w:tcBorders>
              <w:top w:val="nil"/>
              <w:left w:val="nil"/>
              <w:bottom w:val="nil"/>
              <w:right w:val="nil"/>
            </w:tcBorders>
            <w:shd w:val="clear" w:color="auto" w:fill="auto"/>
            <w:vAlign w:val="bottom"/>
          </w:tcPr>
          <w:p w14:paraId="2293BB19"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52,765,411</w:t>
            </w:r>
          </w:p>
        </w:tc>
      </w:tr>
      <w:tr w:rsidR="00C016E8" w:rsidRPr="00702DDD" w14:paraId="4DFA4967" w14:textId="77777777" w:rsidTr="00E83386">
        <w:trPr>
          <w:trHeight w:val="309"/>
        </w:trPr>
        <w:tc>
          <w:tcPr>
            <w:tcW w:w="2901" w:type="dxa"/>
            <w:shd w:val="clear" w:color="auto" w:fill="auto"/>
          </w:tcPr>
          <w:p w14:paraId="1DD23417"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Northern Middle</w:t>
            </w:r>
          </w:p>
        </w:tc>
        <w:tc>
          <w:tcPr>
            <w:tcW w:w="1473" w:type="dxa"/>
            <w:tcBorders>
              <w:top w:val="nil"/>
              <w:left w:val="nil"/>
              <w:bottom w:val="nil"/>
              <w:right w:val="nil"/>
            </w:tcBorders>
            <w:shd w:val="clear" w:color="auto" w:fill="auto"/>
            <w:vAlign w:val="bottom"/>
          </w:tcPr>
          <w:p w14:paraId="242505F0"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3,837,435</w:t>
            </w:r>
          </w:p>
        </w:tc>
        <w:tc>
          <w:tcPr>
            <w:tcW w:w="1473" w:type="dxa"/>
            <w:tcBorders>
              <w:top w:val="nil"/>
              <w:left w:val="nil"/>
              <w:bottom w:val="nil"/>
              <w:right w:val="nil"/>
            </w:tcBorders>
            <w:shd w:val="clear" w:color="auto" w:fill="auto"/>
            <w:vAlign w:val="bottom"/>
          </w:tcPr>
          <w:p w14:paraId="3B6188C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3,046,990</w:t>
            </w:r>
          </w:p>
        </w:tc>
        <w:tc>
          <w:tcPr>
            <w:tcW w:w="1473" w:type="dxa"/>
            <w:tcBorders>
              <w:top w:val="nil"/>
              <w:left w:val="nil"/>
              <w:bottom w:val="nil"/>
              <w:right w:val="nil"/>
            </w:tcBorders>
            <w:shd w:val="clear" w:color="auto" w:fill="auto"/>
            <w:vAlign w:val="bottom"/>
          </w:tcPr>
          <w:p w14:paraId="27C903CD"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2,045,997</w:t>
            </w:r>
          </w:p>
        </w:tc>
        <w:tc>
          <w:tcPr>
            <w:tcW w:w="1473" w:type="dxa"/>
            <w:tcBorders>
              <w:top w:val="nil"/>
              <w:left w:val="nil"/>
              <w:bottom w:val="nil"/>
              <w:right w:val="nil"/>
            </w:tcBorders>
            <w:shd w:val="clear" w:color="auto" w:fill="auto"/>
            <w:vAlign w:val="bottom"/>
          </w:tcPr>
          <w:p w14:paraId="65A38A3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8,930,422</w:t>
            </w:r>
          </w:p>
        </w:tc>
      </w:tr>
      <w:tr w:rsidR="00C016E8" w:rsidRPr="00702DDD" w14:paraId="7B336DE1" w14:textId="77777777" w:rsidTr="00E83386">
        <w:trPr>
          <w:trHeight w:val="309"/>
        </w:trPr>
        <w:tc>
          <w:tcPr>
            <w:tcW w:w="2901" w:type="dxa"/>
            <w:shd w:val="clear" w:color="auto" w:fill="auto"/>
          </w:tcPr>
          <w:p w14:paraId="15DEE410"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Upper Cumberland</w:t>
            </w:r>
          </w:p>
        </w:tc>
        <w:tc>
          <w:tcPr>
            <w:tcW w:w="1473" w:type="dxa"/>
            <w:tcBorders>
              <w:top w:val="nil"/>
              <w:left w:val="nil"/>
              <w:bottom w:val="nil"/>
              <w:right w:val="nil"/>
            </w:tcBorders>
            <w:shd w:val="clear" w:color="auto" w:fill="auto"/>
            <w:vAlign w:val="bottom"/>
          </w:tcPr>
          <w:p w14:paraId="22E00604"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6,469,177</w:t>
            </w:r>
          </w:p>
        </w:tc>
        <w:tc>
          <w:tcPr>
            <w:tcW w:w="1473" w:type="dxa"/>
            <w:tcBorders>
              <w:top w:val="nil"/>
              <w:left w:val="nil"/>
              <w:bottom w:val="nil"/>
              <w:right w:val="nil"/>
            </w:tcBorders>
            <w:shd w:val="clear" w:color="auto" w:fill="auto"/>
            <w:vAlign w:val="bottom"/>
          </w:tcPr>
          <w:p w14:paraId="075396E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27,302,356</w:t>
            </w:r>
          </w:p>
        </w:tc>
        <w:tc>
          <w:tcPr>
            <w:tcW w:w="1473" w:type="dxa"/>
            <w:tcBorders>
              <w:top w:val="nil"/>
              <w:left w:val="nil"/>
              <w:bottom w:val="nil"/>
              <w:right w:val="nil"/>
            </w:tcBorders>
            <w:shd w:val="clear" w:color="auto" w:fill="auto"/>
            <w:vAlign w:val="bottom"/>
          </w:tcPr>
          <w:p w14:paraId="2CCFFDE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5,171,497</w:t>
            </w:r>
          </w:p>
        </w:tc>
        <w:tc>
          <w:tcPr>
            <w:tcW w:w="1473" w:type="dxa"/>
            <w:tcBorders>
              <w:top w:val="nil"/>
              <w:left w:val="nil"/>
              <w:bottom w:val="nil"/>
              <w:right w:val="nil"/>
            </w:tcBorders>
            <w:shd w:val="clear" w:color="auto" w:fill="auto"/>
            <w:vAlign w:val="bottom"/>
          </w:tcPr>
          <w:p w14:paraId="424C10F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38,943,030</w:t>
            </w:r>
          </w:p>
        </w:tc>
      </w:tr>
      <w:tr w:rsidR="00C016E8" w:rsidRPr="00702DDD" w14:paraId="7C6C524E" w14:textId="77777777" w:rsidTr="00E83386">
        <w:trPr>
          <w:trHeight w:val="309"/>
        </w:trPr>
        <w:tc>
          <w:tcPr>
            <w:tcW w:w="2901" w:type="dxa"/>
            <w:shd w:val="clear" w:color="auto" w:fill="auto"/>
          </w:tcPr>
          <w:p w14:paraId="7F0B39A2"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East</w:t>
            </w:r>
          </w:p>
        </w:tc>
        <w:tc>
          <w:tcPr>
            <w:tcW w:w="1473" w:type="dxa"/>
            <w:tcBorders>
              <w:top w:val="nil"/>
              <w:left w:val="nil"/>
              <w:bottom w:val="nil"/>
              <w:right w:val="nil"/>
            </w:tcBorders>
            <w:shd w:val="clear" w:color="auto" w:fill="auto"/>
            <w:vAlign w:val="bottom"/>
          </w:tcPr>
          <w:p w14:paraId="6CAF077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30,443,450</w:t>
            </w:r>
          </w:p>
        </w:tc>
        <w:tc>
          <w:tcPr>
            <w:tcW w:w="1473" w:type="dxa"/>
            <w:tcBorders>
              <w:top w:val="nil"/>
              <w:left w:val="nil"/>
              <w:bottom w:val="nil"/>
              <w:right w:val="nil"/>
            </w:tcBorders>
            <w:shd w:val="clear" w:color="auto" w:fill="auto"/>
            <w:vAlign w:val="bottom"/>
          </w:tcPr>
          <w:p w14:paraId="11BD632E"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29,611,544</w:t>
            </w:r>
          </w:p>
        </w:tc>
        <w:tc>
          <w:tcPr>
            <w:tcW w:w="1473" w:type="dxa"/>
            <w:tcBorders>
              <w:top w:val="nil"/>
              <w:left w:val="nil"/>
              <w:bottom w:val="nil"/>
              <w:right w:val="nil"/>
            </w:tcBorders>
            <w:shd w:val="clear" w:color="auto" w:fill="auto"/>
            <w:vAlign w:val="bottom"/>
          </w:tcPr>
          <w:p w14:paraId="2992893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15,970,070</w:t>
            </w:r>
          </w:p>
        </w:tc>
        <w:tc>
          <w:tcPr>
            <w:tcW w:w="1473" w:type="dxa"/>
            <w:tcBorders>
              <w:top w:val="nil"/>
              <w:left w:val="nil"/>
              <w:bottom w:val="nil"/>
              <w:right w:val="nil"/>
            </w:tcBorders>
            <w:shd w:val="clear" w:color="auto" w:fill="auto"/>
            <w:vAlign w:val="bottom"/>
          </w:tcPr>
          <w:p w14:paraId="75A60074"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76,025,064</w:t>
            </w:r>
          </w:p>
        </w:tc>
      </w:tr>
      <w:tr w:rsidR="00C016E8" w:rsidRPr="00702DDD" w14:paraId="05B69C37" w14:textId="77777777" w:rsidTr="00E83386">
        <w:trPr>
          <w:trHeight w:val="309"/>
        </w:trPr>
        <w:tc>
          <w:tcPr>
            <w:tcW w:w="2901" w:type="dxa"/>
            <w:shd w:val="clear" w:color="auto" w:fill="auto"/>
          </w:tcPr>
          <w:p w14:paraId="629E7764"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Northeast</w:t>
            </w:r>
          </w:p>
        </w:tc>
        <w:tc>
          <w:tcPr>
            <w:tcW w:w="1473" w:type="dxa"/>
            <w:tcBorders>
              <w:top w:val="nil"/>
              <w:left w:val="nil"/>
              <w:bottom w:val="nil"/>
              <w:right w:val="nil"/>
            </w:tcBorders>
            <w:shd w:val="clear" w:color="auto" w:fill="auto"/>
            <w:vAlign w:val="bottom"/>
          </w:tcPr>
          <w:p w14:paraId="7457174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22,871,539</w:t>
            </w:r>
          </w:p>
        </w:tc>
        <w:tc>
          <w:tcPr>
            <w:tcW w:w="1473" w:type="dxa"/>
            <w:tcBorders>
              <w:top w:val="nil"/>
              <w:left w:val="nil"/>
              <w:bottom w:val="nil"/>
              <w:right w:val="nil"/>
            </w:tcBorders>
            <w:shd w:val="clear" w:color="auto" w:fill="auto"/>
            <w:vAlign w:val="bottom"/>
          </w:tcPr>
          <w:p w14:paraId="4C2625B0"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15,477,692</w:t>
            </w:r>
          </w:p>
        </w:tc>
        <w:tc>
          <w:tcPr>
            <w:tcW w:w="1473" w:type="dxa"/>
            <w:tcBorders>
              <w:top w:val="nil"/>
              <w:left w:val="nil"/>
              <w:bottom w:val="nil"/>
              <w:right w:val="nil"/>
            </w:tcBorders>
            <w:shd w:val="clear" w:color="auto" w:fill="auto"/>
            <w:vAlign w:val="bottom"/>
          </w:tcPr>
          <w:p w14:paraId="6E80B1AB"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8,074,359</w:t>
            </w:r>
          </w:p>
        </w:tc>
        <w:tc>
          <w:tcPr>
            <w:tcW w:w="1473" w:type="dxa"/>
            <w:tcBorders>
              <w:top w:val="nil"/>
              <w:left w:val="nil"/>
              <w:bottom w:val="nil"/>
              <w:right w:val="nil"/>
            </w:tcBorders>
            <w:shd w:val="clear" w:color="auto" w:fill="auto"/>
            <w:vAlign w:val="bottom"/>
          </w:tcPr>
          <w:p w14:paraId="5A2CDA1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46,423,590</w:t>
            </w:r>
          </w:p>
        </w:tc>
      </w:tr>
      <w:tr w:rsidR="00C016E8" w:rsidRPr="00702DDD" w14:paraId="2CC9294A" w14:textId="77777777" w:rsidTr="00E83386">
        <w:trPr>
          <w:trHeight w:val="309"/>
        </w:trPr>
        <w:tc>
          <w:tcPr>
            <w:tcW w:w="2901" w:type="dxa"/>
            <w:shd w:val="clear" w:color="auto" w:fill="auto"/>
          </w:tcPr>
          <w:p w14:paraId="49939BE2"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Southeast</w:t>
            </w:r>
          </w:p>
        </w:tc>
        <w:tc>
          <w:tcPr>
            <w:tcW w:w="1473" w:type="dxa"/>
            <w:tcBorders>
              <w:top w:val="nil"/>
              <w:left w:val="nil"/>
              <w:bottom w:val="nil"/>
              <w:right w:val="nil"/>
            </w:tcBorders>
            <w:shd w:val="clear" w:color="auto" w:fill="auto"/>
            <w:vAlign w:val="bottom"/>
          </w:tcPr>
          <w:p w14:paraId="3ED005E4"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30,890,702</w:t>
            </w:r>
          </w:p>
        </w:tc>
        <w:tc>
          <w:tcPr>
            <w:tcW w:w="1473" w:type="dxa"/>
            <w:tcBorders>
              <w:top w:val="nil"/>
              <w:left w:val="nil"/>
              <w:bottom w:val="nil"/>
              <w:right w:val="nil"/>
            </w:tcBorders>
            <w:shd w:val="clear" w:color="auto" w:fill="auto"/>
            <w:vAlign w:val="bottom"/>
          </w:tcPr>
          <w:p w14:paraId="4D7EDF0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13,901,787</w:t>
            </w:r>
          </w:p>
        </w:tc>
        <w:tc>
          <w:tcPr>
            <w:tcW w:w="1473" w:type="dxa"/>
            <w:tcBorders>
              <w:top w:val="nil"/>
              <w:left w:val="nil"/>
              <w:bottom w:val="nil"/>
              <w:right w:val="nil"/>
            </w:tcBorders>
            <w:shd w:val="clear" w:color="auto" w:fill="auto"/>
            <w:vAlign w:val="bottom"/>
          </w:tcPr>
          <w:p w14:paraId="173F22A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8,974,382</w:t>
            </w:r>
          </w:p>
        </w:tc>
        <w:tc>
          <w:tcPr>
            <w:tcW w:w="1473" w:type="dxa"/>
            <w:tcBorders>
              <w:top w:val="nil"/>
              <w:left w:val="nil"/>
              <w:bottom w:val="nil"/>
              <w:right w:val="nil"/>
            </w:tcBorders>
            <w:shd w:val="clear" w:color="auto" w:fill="auto"/>
            <w:vAlign w:val="bottom"/>
          </w:tcPr>
          <w:p w14:paraId="6C20437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53,766,872</w:t>
            </w:r>
          </w:p>
        </w:tc>
      </w:tr>
      <w:tr w:rsidR="00C016E8" w:rsidRPr="00702DDD" w14:paraId="203C4B82" w14:textId="77777777" w:rsidTr="00E2746C">
        <w:trPr>
          <w:trHeight w:val="309"/>
        </w:trPr>
        <w:tc>
          <w:tcPr>
            <w:tcW w:w="2901" w:type="dxa"/>
            <w:tcBorders>
              <w:bottom w:val="nil"/>
            </w:tcBorders>
            <w:shd w:val="clear" w:color="auto" w:fill="auto"/>
          </w:tcPr>
          <w:p w14:paraId="3C41B581"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Southern Middle</w:t>
            </w:r>
          </w:p>
        </w:tc>
        <w:tc>
          <w:tcPr>
            <w:tcW w:w="1473" w:type="dxa"/>
            <w:tcBorders>
              <w:top w:val="nil"/>
              <w:left w:val="nil"/>
              <w:bottom w:val="nil"/>
              <w:right w:val="nil"/>
            </w:tcBorders>
            <w:shd w:val="clear" w:color="auto" w:fill="auto"/>
            <w:vAlign w:val="bottom"/>
          </w:tcPr>
          <w:p w14:paraId="3FDCE37D"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14,489,336</w:t>
            </w:r>
          </w:p>
        </w:tc>
        <w:tc>
          <w:tcPr>
            <w:tcW w:w="1473" w:type="dxa"/>
            <w:tcBorders>
              <w:top w:val="nil"/>
              <w:left w:val="nil"/>
              <w:bottom w:val="nil"/>
              <w:right w:val="nil"/>
            </w:tcBorders>
            <w:shd w:val="clear" w:color="auto" w:fill="auto"/>
            <w:vAlign w:val="bottom"/>
          </w:tcPr>
          <w:p w14:paraId="1810132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6,718,597</w:t>
            </w:r>
          </w:p>
        </w:tc>
        <w:tc>
          <w:tcPr>
            <w:tcW w:w="1473" w:type="dxa"/>
            <w:tcBorders>
              <w:top w:val="nil"/>
              <w:left w:val="nil"/>
              <w:bottom w:val="nil"/>
              <w:right w:val="nil"/>
            </w:tcBorders>
            <w:shd w:val="clear" w:color="auto" w:fill="auto"/>
            <w:vAlign w:val="bottom"/>
          </w:tcPr>
          <w:p w14:paraId="3BBB390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2,869,769</w:t>
            </w:r>
          </w:p>
        </w:tc>
        <w:tc>
          <w:tcPr>
            <w:tcW w:w="1473" w:type="dxa"/>
            <w:tcBorders>
              <w:top w:val="nil"/>
              <w:left w:val="nil"/>
              <w:bottom w:val="nil"/>
              <w:right w:val="nil"/>
            </w:tcBorders>
            <w:shd w:val="clear" w:color="auto" w:fill="auto"/>
            <w:vAlign w:val="bottom"/>
          </w:tcPr>
          <w:p w14:paraId="1887791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24,077,702</w:t>
            </w:r>
          </w:p>
        </w:tc>
      </w:tr>
      <w:tr w:rsidR="00C016E8" w:rsidRPr="00702DDD" w14:paraId="4EF7CBAA" w14:textId="77777777" w:rsidTr="00E2746C">
        <w:trPr>
          <w:trHeight w:val="309"/>
        </w:trPr>
        <w:tc>
          <w:tcPr>
            <w:tcW w:w="2901" w:type="dxa"/>
            <w:tcBorders>
              <w:top w:val="nil"/>
              <w:bottom w:val="single" w:sz="4" w:space="0" w:color="auto"/>
            </w:tcBorders>
            <w:shd w:val="clear" w:color="auto" w:fill="auto"/>
          </w:tcPr>
          <w:p w14:paraId="442974E5"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Southwest</w:t>
            </w:r>
          </w:p>
        </w:tc>
        <w:tc>
          <w:tcPr>
            <w:tcW w:w="1473" w:type="dxa"/>
            <w:tcBorders>
              <w:top w:val="nil"/>
              <w:left w:val="nil"/>
              <w:bottom w:val="single" w:sz="4" w:space="0" w:color="auto"/>
              <w:right w:val="nil"/>
            </w:tcBorders>
            <w:shd w:val="clear" w:color="auto" w:fill="auto"/>
            <w:vAlign w:val="bottom"/>
          </w:tcPr>
          <w:p w14:paraId="057657A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16,039,590</w:t>
            </w:r>
          </w:p>
        </w:tc>
        <w:tc>
          <w:tcPr>
            <w:tcW w:w="1473" w:type="dxa"/>
            <w:tcBorders>
              <w:top w:val="nil"/>
              <w:left w:val="nil"/>
              <w:bottom w:val="single" w:sz="4" w:space="0" w:color="auto"/>
              <w:right w:val="nil"/>
            </w:tcBorders>
            <w:shd w:val="clear" w:color="auto" w:fill="auto"/>
            <w:vAlign w:val="bottom"/>
          </w:tcPr>
          <w:p w14:paraId="280D48B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16,588,730</w:t>
            </w:r>
          </w:p>
        </w:tc>
        <w:tc>
          <w:tcPr>
            <w:tcW w:w="1473" w:type="dxa"/>
            <w:tcBorders>
              <w:top w:val="nil"/>
              <w:left w:val="nil"/>
              <w:bottom w:val="single" w:sz="4" w:space="0" w:color="auto"/>
              <w:right w:val="nil"/>
            </w:tcBorders>
            <w:shd w:val="clear" w:color="auto" w:fill="auto"/>
            <w:vAlign w:val="bottom"/>
          </w:tcPr>
          <w:p w14:paraId="20AB139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4,742,159</w:t>
            </w:r>
          </w:p>
        </w:tc>
        <w:tc>
          <w:tcPr>
            <w:tcW w:w="1473" w:type="dxa"/>
            <w:tcBorders>
              <w:top w:val="nil"/>
              <w:left w:val="nil"/>
              <w:bottom w:val="single" w:sz="4" w:space="0" w:color="auto"/>
              <w:right w:val="nil"/>
            </w:tcBorders>
            <w:shd w:val="clear" w:color="auto" w:fill="auto"/>
            <w:vAlign w:val="bottom"/>
          </w:tcPr>
          <w:p w14:paraId="5E1B0E1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37,370,478</w:t>
            </w:r>
          </w:p>
        </w:tc>
      </w:tr>
    </w:tbl>
    <w:p w14:paraId="33F3924A" w14:textId="4513F1AD" w:rsidR="00E2746C" w:rsidRPr="00702DDD" w:rsidRDefault="00E2746C">
      <w:pPr>
        <w:rPr>
          <w:rFonts w:ascii="Times New Roman" w:hAnsi="Times New Roman" w:cs="Times New Roman"/>
          <w:b/>
        </w:rPr>
      </w:pPr>
      <w:r w:rsidRPr="00702DDD">
        <w:rPr>
          <w:rFonts w:ascii="Times New Roman" w:hAnsi="Times New Roman" w:cs="Times New Roman"/>
          <w:b/>
        </w:rPr>
        <w:lastRenderedPageBreak/>
        <w:t>Table 2.</w:t>
      </w:r>
      <w:r w:rsidR="00C72EA1">
        <w:rPr>
          <w:rFonts w:ascii="Times New Roman" w:hAnsi="Times New Roman" w:cs="Times New Roman"/>
          <w:b/>
        </w:rPr>
        <w:t>5:</w:t>
      </w:r>
      <w:r w:rsidRPr="00702DDD">
        <w:rPr>
          <w:rFonts w:ascii="Times New Roman" w:hAnsi="Times New Roman" w:cs="Times New Roman"/>
          <w:b/>
        </w:rPr>
        <w:t xml:space="preserve"> Continued </w:t>
      </w:r>
    </w:p>
    <w:tbl>
      <w:tblPr>
        <w:tblW w:w="8793" w:type="dxa"/>
        <w:tblInd w:w="-30" w:type="dxa"/>
        <w:tblBorders>
          <w:top w:val="single" w:sz="4" w:space="0" w:color="auto"/>
          <w:bottom w:val="single" w:sz="4" w:space="0" w:color="auto"/>
        </w:tblBorders>
        <w:tblLayout w:type="fixed"/>
        <w:tblLook w:val="0000" w:firstRow="0" w:lastRow="0" w:firstColumn="0" w:lastColumn="0" w:noHBand="0" w:noVBand="0"/>
      </w:tblPr>
      <w:tblGrid>
        <w:gridCol w:w="2901"/>
        <w:gridCol w:w="1473"/>
        <w:gridCol w:w="1473"/>
        <w:gridCol w:w="1473"/>
        <w:gridCol w:w="1473"/>
      </w:tblGrid>
      <w:tr w:rsidR="00C016E8" w:rsidRPr="00702DDD" w14:paraId="27FF48D3" w14:textId="77777777" w:rsidTr="00E2746C">
        <w:trPr>
          <w:trHeight w:val="309"/>
        </w:trPr>
        <w:tc>
          <w:tcPr>
            <w:tcW w:w="2901" w:type="dxa"/>
            <w:tcBorders>
              <w:top w:val="single" w:sz="4" w:space="0" w:color="auto"/>
              <w:bottom w:val="nil"/>
            </w:tcBorders>
            <w:shd w:val="clear" w:color="auto" w:fill="auto"/>
          </w:tcPr>
          <w:p w14:paraId="134D0DA8"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Greater Memphis</w:t>
            </w:r>
          </w:p>
        </w:tc>
        <w:tc>
          <w:tcPr>
            <w:tcW w:w="1473" w:type="dxa"/>
            <w:tcBorders>
              <w:top w:val="single" w:sz="4" w:space="0" w:color="auto"/>
              <w:left w:val="nil"/>
              <w:bottom w:val="nil"/>
              <w:right w:val="nil"/>
            </w:tcBorders>
            <w:shd w:val="clear" w:color="auto" w:fill="auto"/>
            <w:vAlign w:val="bottom"/>
          </w:tcPr>
          <w:p w14:paraId="0E1191CB"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15,063,934</w:t>
            </w:r>
          </w:p>
        </w:tc>
        <w:tc>
          <w:tcPr>
            <w:tcW w:w="1473" w:type="dxa"/>
            <w:tcBorders>
              <w:top w:val="single" w:sz="4" w:space="0" w:color="auto"/>
              <w:left w:val="nil"/>
              <w:bottom w:val="nil"/>
              <w:right w:val="nil"/>
            </w:tcBorders>
            <w:shd w:val="clear" w:color="auto" w:fill="auto"/>
            <w:vAlign w:val="bottom"/>
          </w:tcPr>
          <w:p w14:paraId="5312CF3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4,249,755</w:t>
            </w:r>
          </w:p>
        </w:tc>
        <w:tc>
          <w:tcPr>
            <w:tcW w:w="1473" w:type="dxa"/>
            <w:tcBorders>
              <w:top w:val="single" w:sz="4" w:space="0" w:color="auto"/>
              <w:left w:val="nil"/>
              <w:bottom w:val="nil"/>
              <w:right w:val="nil"/>
            </w:tcBorders>
            <w:shd w:val="clear" w:color="auto" w:fill="auto"/>
            <w:vAlign w:val="bottom"/>
          </w:tcPr>
          <w:p w14:paraId="13A4733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4,920,722</w:t>
            </w:r>
          </w:p>
        </w:tc>
        <w:tc>
          <w:tcPr>
            <w:tcW w:w="1473" w:type="dxa"/>
            <w:tcBorders>
              <w:top w:val="single" w:sz="4" w:space="0" w:color="auto"/>
              <w:left w:val="nil"/>
              <w:bottom w:val="nil"/>
              <w:right w:val="nil"/>
            </w:tcBorders>
            <w:shd w:val="clear" w:color="auto" w:fill="auto"/>
            <w:vAlign w:val="bottom"/>
          </w:tcPr>
          <w:p w14:paraId="26E4864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24,234,411</w:t>
            </w:r>
          </w:p>
        </w:tc>
      </w:tr>
      <w:tr w:rsidR="00C016E8" w:rsidRPr="00702DDD" w14:paraId="2418D79A" w14:textId="77777777" w:rsidTr="00E83386">
        <w:trPr>
          <w:trHeight w:val="309"/>
        </w:trPr>
        <w:tc>
          <w:tcPr>
            <w:tcW w:w="2901" w:type="dxa"/>
            <w:tcBorders>
              <w:top w:val="nil"/>
              <w:bottom w:val="single" w:sz="4" w:space="0" w:color="auto"/>
            </w:tcBorders>
            <w:shd w:val="clear" w:color="auto" w:fill="auto"/>
          </w:tcPr>
          <w:p w14:paraId="07999EFF" w14:textId="77777777" w:rsidR="00C016E8" w:rsidRPr="00702DDD" w:rsidRDefault="00C016E8" w:rsidP="00E83386">
            <w:pPr>
              <w:autoSpaceDE w:val="0"/>
              <w:autoSpaceDN w:val="0"/>
              <w:adjustRightInd w:val="0"/>
              <w:rPr>
                <w:rFonts w:ascii="Times New Roman" w:eastAsia="Calibri" w:hAnsi="Times New Roman" w:cs="Times New Roman"/>
                <w:bCs/>
                <w:i/>
                <w:iCs/>
                <w:color w:val="000000"/>
                <w:szCs w:val="22"/>
              </w:rPr>
            </w:pPr>
            <w:r w:rsidRPr="00702DDD">
              <w:rPr>
                <w:rFonts w:ascii="Times New Roman" w:eastAsia="Calibri" w:hAnsi="Times New Roman" w:cs="Times New Roman"/>
                <w:bCs/>
                <w:i/>
                <w:iCs/>
                <w:color w:val="000000"/>
                <w:szCs w:val="22"/>
              </w:rPr>
              <w:t>Aggregate</w:t>
            </w:r>
          </w:p>
        </w:tc>
        <w:tc>
          <w:tcPr>
            <w:tcW w:w="1473" w:type="dxa"/>
            <w:tcBorders>
              <w:top w:val="nil"/>
              <w:left w:val="nil"/>
              <w:bottom w:val="single" w:sz="4" w:space="0" w:color="auto"/>
              <w:right w:val="nil"/>
            </w:tcBorders>
            <w:shd w:val="clear" w:color="auto" w:fill="auto"/>
          </w:tcPr>
          <w:p w14:paraId="2B755609"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171,807,518</w:t>
            </w:r>
          </w:p>
        </w:tc>
        <w:tc>
          <w:tcPr>
            <w:tcW w:w="1473" w:type="dxa"/>
            <w:tcBorders>
              <w:top w:val="nil"/>
              <w:left w:val="nil"/>
              <w:bottom w:val="single" w:sz="4" w:space="0" w:color="auto"/>
              <w:right w:val="nil"/>
            </w:tcBorders>
            <w:shd w:val="clear" w:color="auto" w:fill="auto"/>
          </w:tcPr>
          <w:p w14:paraId="4F724FFD"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131,908,498</w:t>
            </w:r>
          </w:p>
        </w:tc>
        <w:tc>
          <w:tcPr>
            <w:tcW w:w="1473" w:type="dxa"/>
            <w:tcBorders>
              <w:top w:val="nil"/>
              <w:left w:val="nil"/>
              <w:bottom w:val="single" w:sz="4" w:space="0" w:color="auto"/>
              <w:right w:val="nil"/>
            </w:tcBorders>
            <w:shd w:val="clear" w:color="auto" w:fill="auto"/>
          </w:tcPr>
          <w:p w14:paraId="6F738A0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58,820,963</w:t>
            </w:r>
          </w:p>
        </w:tc>
        <w:tc>
          <w:tcPr>
            <w:tcW w:w="1473" w:type="dxa"/>
            <w:tcBorders>
              <w:top w:val="nil"/>
              <w:left w:val="nil"/>
              <w:bottom w:val="single" w:sz="4" w:space="0" w:color="auto"/>
              <w:right w:val="nil"/>
            </w:tcBorders>
            <w:shd w:val="clear" w:color="auto" w:fill="auto"/>
          </w:tcPr>
          <w:p w14:paraId="3E82342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362,536,979</w:t>
            </w:r>
          </w:p>
        </w:tc>
      </w:tr>
      <w:bookmarkEnd w:id="80"/>
    </w:tbl>
    <w:p w14:paraId="6813F154" w14:textId="2FC4C8C2" w:rsidR="00C016E8" w:rsidRPr="00702DDD" w:rsidRDefault="00C016E8" w:rsidP="00C016E8">
      <w:pPr>
        <w:rPr>
          <w:rFonts w:ascii="Times New Roman" w:hAnsi="Times New Roman" w:cs="Times New Roman"/>
          <w:b/>
          <w:highlight w:val="green"/>
        </w:rPr>
      </w:pPr>
    </w:p>
    <w:p w14:paraId="2B567E23" w14:textId="7735258D" w:rsidR="00E2746C" w:rsidRPr="00702DDD" w:rsidRDefault="00E2746C" w:rsidP="00C016E8">
      <w:pPr>
        <w:rPr>
          <w:rFonts w:ascii="Times New Roman" w:hAnsi="Times New Roman" w:cs="Times New Roman"/>
          <w:b/>
          <w:highlight w:val="green"/>
        </w:rPr>
      </w:pPr>
    </w:p>
    <w:p w14:paraId="4CEE82FD" w14:textId="77777777" w:rsidR="00E2746C" w:rsidRPr="00702DDD" w:rsidRDefault="00E2746C" w:rsidP="00C016E8">
      <w:pPr>
        <w:rPr>
          <w:rFonts w:ascii="Times New Roman" w:hAnsi="Times New Roman" w:cs="Times New Roman"/>
          <w:b/>
          <w:highlight w:val="green"/>
        </w:rPr>
      </w:pPr>
    </w:p>
    <w:p w14:paraId="7EEB5FE9" w14:textId="556DA245" w:rsidR="00C016E8" w:rsidRPr="00702DDD" w:rsidRDefault="00C016E8" w:rsidP="00C016E8">
      <w:pPr>
        <w:rPr>
          <w:rFonts w:ascii="Times New Roman" w:hAnsi="Times New Roman" w:cs="Times New Roman"/>
          <w:b/>
          <w:highlight w:val="green"/>
        </w:rPr>
      </w:pPr>
      <w:bookmarkStart w:id="81" w:name="_Hlk94616105"/>
      <w:r w:rsidRPr="00702DDD">
        <w:rPr>
          <w:rFonts w:ascii="Times New Roman" w:hAnsi="Times New Roman" w:cs="Times New Roman"/>
          <w:b/>
        </w:rPr>
        <w:t>Table 2.</w:t>
      </w:r>
      <w:r w:rsidR="00C72EA1">
        <w:rPr>
          <w:rFonts w:ascii="Times New Roman" w:hAnsi="Times New Roman" w:cs="Times New Roman"/>
          <w:b/>
        </w:rPr>
        <w:t>6:</w:t>
      </w:r>
      <w:r w:rsidRPr="00702DDD">
        <w:rPr>
          <w:rFonts w:ascii="Times New Roman" w:hAnsi="Times New Roman" w:cs="Times New Roman"/>
          <w:b/>
        </w:rPr>
        <w:t xml:space="preserve"> 2019 Tennessee Value Added Impacts by ATPI Method Allocation (in Dollars)</w:t>
      </w:r>
    </w:p>
    <w:tbl>
      <w:tblPr>
        <w:tblW w:w="8793" w:type="dxa"/>
        <w:tblInd w:w="-30" w:type="dxa"/>
        <w:tblBorders>
          <w:top w:val="single" w:sz="4" w:space="0" w:color="auto"/>
          <w:bottom w:val="single" w:sz="4" w:space="0" w:color="auto"/>
        </w:tblBorders>
        <w:tblLayout w:type="fixed"/>
        <w:tblLook w:val="0000" w:firstRow="0" w:lastRow="0" w:firstColumn="0" w:lastColumn="0" w:noHBand="0" w:noVBand="0"/>
      </w:tblPr>
      <w:tblGrid>
        <w:gridCol w:w="2859"/>
        <w:gridCol w:w="1454"/>
        <w:gridCol w:w="1454"/>
        <w:gridCol w:w="1454"/>
        <w:gridCol w:w="1454"/>
        <w:gridCol w:w="118"/>
      </w:tblGrid>
      <w:tr w:rsidR="00C016E8" w:rsidRPr="00702DDD" w14:paraId="6BFDA35A" w14:textId="77777777" w:rsidTr="00E83386">
        <w:trPr>
          <w:gridAfter w:val="1"/>
          <w:wAfter w:w="120" w:type="dxa"/>
          <w:trHeight w:val="294"/>
        </w:trPr>
        <w:tc>
          <w:tcPr>
            <w:tcW w:w="2901" w:type="dxa"/>
            <w:shd w:val="clear" w:color="auto" w:fill="ED7D31" w:themeFill="accent2"/>
          </w:tcPr>
          <w:bookmarkEnd w:id="81"/>
          <w:p w14:paraId="26CB6010" w14:textId="77777777" w:rsidR="00C016E8" w:rsidRPr="00702DDD" w:rsidRDefault="00C016E8" w:rsidP="00E83386">
            <w:pPr>
              <w:autoSpaceDE w:val="0"/>
              <w:autoSpaceDN w:val="0"/>
              <w:adjustRightInd w:val="0"/>
              <w:rPr>
                <w:rFonts w:ascii="Times New Roman" w:eastAsia="Calibri" w:hAnsi="Times New Roman" w:cs="Times New Roman"/>
                <w:b/>
                <w:bCs/>
                <w:i/>
                <w:iCs/>
                <w:color w:val="000000"/>
                <w:szCs w:val="22"/>
              </w:rPr>
            </w:pPr>
            <w:r w:rsidRPr="00702DDD">
              <w:rPr>
                <w:rFonts w:ascii="Times New Roman" w:eastAsia="Calibri" w:hAnsi="Times New Roman" w:cs="Times New Roman"/>
                <w:b/>
                <w:bCs/>
                <w:i/>
                <w:iCs/>
                <w:color w:val="000000"/>
                <w:szCs w:val="22"/>
              </w:rPr>
              <w:t>Regions</w:t>
            </w:r>
          </w:p>
        </w:tc>
        <w:tc>
          <w:tcPr>
            <w:tcW w:w="1473" w:type="dxa"/>
            <w:shd w:val="clear" w:color="auto" w:fill="ED7D31" w:themeFill="accent2"/>
          </w:tcPr>
          <w:p w14:paraId="6331075F" w14:textId="77777777" w:rsidR="00C016E8" w:rsidRPr="00702DDD" w:rsidRDefault="00C016E8" w:rsidP="00E83386">
            <w:pPr>
              <w:autoSpaceDE w:val="0"/>
              <w:autoSpaceDN w:val="0"/>
              <w:adjustRightInd w:val="0"/>
              <w:jc w:val="center"/>
              <w:rPr>
                <w:rFonts w:ascii="Times New Roman" w:eastAsia="Calibri" w:hAnsi="Times New Roman" w:cs="Times New Roman"/>
                <w:b/>
                <w:bCs/>
                <w:i/>
                <w:iCs/>
                <w:color w:val="000000"/>
                <w:szCs w:val="22"/>
              </w:rPr>
            </w:pPr>
            <w:r w:rsidRPr="00702DDD">
              <w:rPr>
                <w:rFonts w:ascii="Times New Roman" w:eastAsia="Calibri" w:hAnsi="Times New Roman" w:cs="Times New Roman"/>
                <w:b/>
                <w:bCs/>
                <w:i/>
                <w:iCs/>
                <w:color w:val="000000"/>
                <w:szCs w:val="22"/>
              </w:rPr>
              <w:t>Direct</w:t>
            </w:r>
          </w:p>
        </w:tc>
        <w:tc>
          <w:tcPr>
            <w:tcW w:w="1473" w:type="dxa"/>
            <w:shd w:val="clear" w:color="auto" w:fill="ED7D31" w:themeFill="accent2"/>
          </w:tcPr>
          <w:p w14:paraId="6AF4C53D" w14:textId="77777777" w:rsidR="00C016E8" w:rsidRPr="00702DDD" w:rsidRDefault="00C016E8" w:rsidP="00E83386">
            <w:pPr>
              <w:autoSpaceDE w:val="0"/>
              <w:autoSpaceDN w:val="0"/>
              <w:adjustRightInd w:val="0"/>
              <w:jc w:val="center"/>
              <w:rPr>
                <w:rFonts w:ascii="Times New Roman" w:eastAsia="Calibri" w:hAnsi="Times New Roman" w:cs="Times New Roman"/>
                <w:b/>
                <w:bCs/>
                <w:i/>
                <w:iCs/>
                <w:color w:val="000000"/>
                <w:szCs w:val="22"/>
              </w:rPr>
            </w:pPr>
            <w:r w:rsidRPr="00702DDD">
              <w:rPr>
                <w:rFonts w:ascii="Times New Roman" w:eastAsia="Calibri" w:hAnsi="Times New Roman" w:cs="Times New Roman"/>
                <w:b/>
                <w:bCs/>
                <w:i/>
                <w:iCs/>
                <w:color w:val="000000"/>
                <w:szCs w:val="22"/>
              </w:rPr>
              <w:t>Indirect</w:t>
            </w:r>
          </w:p>
        </w:tc>
        <w:tc>
          <w:tcPr>
            <w:tcW w:w="1473" w:type="dxa"/>
            <w:shd w:val="clear" w:color="auto" w:fill="ED7D31" w:themeFill="accent2"/>
          </w:tcPr>
          <w:p w14:paraId="4B3FAD6B" w14:textId="77777777" w:rsidR="00C016E8" w:rsidRPr="00702DDD" w:rsidRDefault="00C016E8" w:rsidP="00E83386">
            <w:pPr>
              <w:autoSpaceDE w:val="0"/>
              <w:autoSpaceDN w:val="0"/>
              <w:adjustRightInd w:val="0"/>
              <w:jc w:val="center"/>
              <w:rPr>
                <w:rFonts w:ascii="Times New Roman" w:eastAsia="Calibri" w:hAnsi="Times New Roman" w:cs="Times New Roman"/>
                <w:b/>
                <w:bCs/>
                <w:i/>
                <w:iCs/>
                <w:color w:val="000000"/>
                <w:szCs w:val="22"/>
              </w:rPr>
            </w:pPr>
            <w:r w:rsidRPr="00702DDD">
              <w:rPr>
                <w:rFonts w:ascii="Times New Roman" w:eastAsia="Calibri" w:hAnsi="Times New Roman" w:cs="Times New Roman"/>
                <w:b/>
                <w:bCs/>
                <w:i/>
                <w:iCs/>
                <w:color w:val="000000"/>
                <w:szCs w:val="22"/>
              </w:rPr>
              <w:t>Induced</w:t>
            </w:r>
          </w:p>
        </w:tc>
        <w:tc>
          <w:tcPr>
            <w:tcW w:w="1473" w:type="dxa"/>
            <w:shd w:val="clear" w:color="auto" w:fill="ED7D31" w:themeFill="accent2"/>
          </w:tcPr>
          <w:p w14:paraId="64ECD03D" w14:textId="77777777" w:rsidR="00C016E8" w:rsidRPr="00702DDD" w:rsidRDefault="00C016E8" w:rsidP="00E83386">
            <w:pPr>
              <w:autoSpaceDE w:val="0"/>
              <w:autoSpaceDN w:val="0"/>
              <w:adjustRightInd w:val="0"/>
              <w:jc w:val="center"/>
              <w:rPr>
                <w:rFonts w:ascii="Times New Roman" w:eastAsia="Calibri" w:hAnsi="Times New Roman" w:cs="Times New Roman"/>
                <w:b/>
                <w:bCs/>
                <w:i/>
                <w:iCs/>
                <w:color w:val="000000"/>
                <w:szCs w:val="22"/>
              </w:rPr>
            </w:pPr>
            <w:r w:rsidRPr="00702DDD">
              <w:rPr>
                <w:rFonts w:ascii="Times New Roman" w:eastAsia="Calibri" w:hAnsi="Times New Roman" w:cs="Times New Roman"/>
                <w:b/>
                <w:bCs/>
                <w:i/>
                <w:iCs/>
                <w:color w:val="000000"/>
                <w:szCs w:val="22"/>
              </w:rPr>
              <w:t>Total</w:t>
            </w:r>
          </w:p>
        </w:tc>
      </w:tr>
      <w:tr w:rsidR="00C016E8" w:rsidRPr="00702DDD" w14:paraId="10FCF9D7" w14:textId="77777777" w:rsidTr="00E83386">
        <w:trPr>
          <w:gridAfter w:val="1"/>
          <w:wAfter w:w="120" w:type="dxa"/>
          <w:trHeight w:val="294"/>
        </w:trPr>
        <w:tc>
          <w:tcPr>
            <w:tcW w:w="2901" w:type="dxa"/>
          </w:tcPr>
          <w:p w14:paraId="7C70A2D0" w14:textId="77777777" w:rsidR="00C016E8" w:rsidRPr="00702DDD" w:rsidRDefault="00C016E8" w:rsidP="00E83386">
            <w:pPr>
              <w:autoSpaceDE w:val="0"/>
              <w:autoSpaceDN w:val="0"/>
              <w:adjustRightInd w:val="0"/>
              <w:rPr>
                <w:rFonts w:ascii="Times New Roman" w:eastAsia="Calibri" w:hAnsi="Times New Roman" w:cs="Times New Roman"/>
                <w:b/>
                <w:bCs/>
                <w:iCs/>
                <w:color w:val="000000"/>
                <w:szCs w:val="22"/>
              </w:rPr>
            </w:pPr>
            <w:r w:rsidRPr="00702DDD">
              <w:rPr>
                <w:rFonts w:ascii="Times New Roman" w:eastAsia="Calibri" w:hAnsi="Times New Roman" w:cs="Times New Roman"/>
                <w:b/>
                <w:bCs/>
                <w:iCs/>
                <w:color w:val="000000"/>
                <w:szCs w:val="22"/>
              </w:rPr>
              <w:t>MHI</w:t>
            </w:r>
          </w:p>
        </w:tc>
        <w:tc>
          <w:tcPr>
            <w:tcW w:w="1473" w:type="dxa"/>
          </w:tcPr>
          <w:p w14:paraId="0822EDCB"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p>
        </w:tc>
        <w:tc>
          <w:tcPr>
            <w:tcW w:w="1473" w:type="dxa"/>
          </w:tcPr>
          <w:p w14:paraId="3F092B56"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p>
        </w:tc>
        <w:tc>
          <w:tcPr>
            <w:tcW w:w="1473" w:type="dxa"/>
          </w:tcPr>
          <w:p w14:paraId="5DD04A9F"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p>
        </w:tc>
        <w:tc>
          <w:tcPr>
            <w:tcW w:w="1473" w:type="dxa"/>
          </w:tcPr>
          <w:p w14:paraId="1ACBA170"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p>
        </w:tc>
      </w:tr>
      <w:tr w:rsidR="00C016E8" w:rsidRPr="00702DDD" w14:paraId="1D863EBD" w14:textId="77777777" w:rsidTr="00E83386">
        <w:trPr>
          <w:gridAfter w:val="1"/>
          <w:wAfter w:w="120" w:type="dxa"/>
          <w:trHeight w:val="294"/>
        </w:trPr>
        <w:tc>
          <w:tcPr>
            <w:tcW w:w="2901" w:type="dxa"/>
          </w:tcPr>
          <w:p w14:paraId="540970C4"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Northwest</w:t>
            </w:r>
          </w:p>
        </w:tc>
        <w:tc>
          <w:tcPr>
            <w:tcW w:w="1473" w:type="dxa"/>
            <w:tcBorders>
              <w:top w:val="nil"/>
              <w:left w:val="nil"/>
              <w:bottom w:val="nil"/>
              <w:right w:val="nil"/>
            </w:tcBorders>
            <w:shd w:val="clear" w:color="auto" w:fill="auto"/>
            <w:vAlign w:val="bottom"/>
          </w:tcPr>
          <w:p w14:paraId="0937E9D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96,523,523</w:t>
            </w:r>
          </w:p>
        </w:tc>
        <w:tc>
          <w:tcPr>
            <w:tcW w:w="1473" w:type="dxa"/>
            <w:tcBorders>
              <w:top w:val="nil"/>
              <w:left w:val="nil"/>
              <w:bottom w:val="nil"/>
              <w:right w:val="nil"/>
            </w:tcBorders>
            <w:shd w:val="clear" w:color="auto" w:fill="auto"/>
            <w:vAlign w:val="bottom"/>
          </w:tcPr>
          <w:p w14:paraId="4113BB3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25,683,819</w:t>
            </w:r>
          </w:p>
        </w:tc>
        <w:tc>
          <w:tcPr>
            <w:tcW w:w="1473" w:type="dxa"/>
            <w:tcBorders>
              <w:top w:val="nil"/>
              <w:left w:val="nil"/>
              <w:bottom w:val="nil"/>
              <w:right w:val="nil"/>
            </w:tcBorders>
            <w:shd w:val="clear" w:color="auto" w:fill="auto"/>
            <w:vAlign w:val="bottom"/>
          </w:tcPr>
          <w:p w14:paraId="2D03324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12,928,402</w:t>
            </w:r>
          </w:p>
        </w:tc>
        <w:tc>
          <w:tcPr>
            <w:tcW w:w="1473" w:type="dxa"/>
            <w:tcBorders>
              <w:top w:val="nil"/>
              <w:left w:val="nil"/>
              <w:bottom w:val="nil"/>
              <w:right w:val="nil"/>
            </w:tcBorders>
            <w:shd w:val="clear" w:color="auto" w:fill="auto"/>
            <w:vAlign w:val="bottom"/>
          </w:tcPr>
          <w:p w14:paraId="6EADD30B"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135,135,744</w:t>
            </w:r>
          </w:p>
        </w:tc>
      </w:tr>
      <w:tr w:rsidR="00C016E8" w:rsidRPr="00702DDD" w14:paraId="3250AA3B" w14:textId="77777777" w:rsidTr="00E83386">
        <w:trPr>
          <w:gridAfter w:val="1"/>
          <w:wAfter w:w="120" w:type="dxa"/>
          <w:trHeight w:val="294"/>
        </w:trPr>
        <w:tc>
          <w:tcPr>
            <w:tcW w:w="2901" w:type="dxa"/>
          </w:tcPr>
          <w:p w14:paraId="4221A84F"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Northern Middle</w:t>
            </w:r>
          </w:p>
        </w:tc>
        <w:tc>
          <w:tcPr>
            <w:tcW w:w="1473" w:type="dxa"/>
            <w:tcBorders>
              <w:top w:val="nil"/>
              <w:left w:val="nil"/>
              <w:bottom w:val="nil"/>
              <w:right w:val="nil"/>
            </w:tcBorders>
            <w:shd w:val="clear" w:color="auto" w:fill="auto"/>
            <w:vAlign w:val="bottom"/>
          </w:tcPr>
          <w:p w14:paraId="2042BBC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11,278,110</w:t>
            </w:r>
          </w:p>
        </w:tc>
        <w:tc>
          <w:tcPr>
            <w:tcW w:w="1473" w:type="dxa"/>
            <w:tcBorders>
              <w:top w:val="nil"/>
              <w:left w:val="nil"/>
              <w:bottom w:val="nil"/>
              <w:right w:val="nil"/>
            </w:tcBorders>
            <w:shd w:val="clear" w:color="auto" w:fill="auto"/>
            <w:vAlign w:val="bottom"/>
          </w:tcPr>
          <w:p w14:paraId="3B29F23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4,938,634</w:t>
            </w:r>
          </w:p>
        </w:tc>
        <w:tc>
          <w:tcPr>
            <w:tcW w:w="1473" w:type="dxa"/>
            <w:tcBorders>
              <w:top w:val="nil"/>
              <w:left w:val="nil"/>
              <w:bottom w:val="nil"/>
              <w:right w:val="nil"/>
            </w:tcBorders>
            <w:shd w:val="clear" w:color="auto" w:fill="auto"/>
            <w:vAlign w:val="bottom"/>
          </w:tcPr>
          <w:p w14:paraId="533F1C8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3,702,478</w:t>
            </w:r>
          </w:p>
        </w:tc>
        <w:tc>
          <w:tcPr>
            <w:tcW w:w="1473" w:type="dxa"/>
            <w:tcBorders>
              <w:top w:val="nil"/>
              <w:left w:val="nil"/>
              <w:bottom w:val="nil"/>
              <w:right w:val="nil"/>
            </w:tcBorders>
            <w:shd w:val="clear" w:color="auto" w:fill="auto"/>
            <w:vAlign w:val="bottom"/>
          </w:tcPr>
          <w:p w14:paraId="37361F04"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19,919,223</w:t>
            </w:r>
          </w:p>
        </w:tc>
      </w:tr>
      <w:tr w:rsidR="00C016E8" w:rsidRPr="00702DDD" w14:paraId="3ABBECC7" w14:textId="77777777" w:rsidTr="00E83386">
        <w:trPr>
          <w:gridAfter w:val="1"/>
          <w:wAfter w:w="120" w:type="dxa"/>
          <w:trHeight w:val="294"/>
        </w:trPr>
        <w:tc>
          <w:tcPr>
            <w:tcW w:w="2901" w:type="dxa"/>
          </w:tcPr>
          <w:p w14:paraId="5B9F61BD"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Upper Cumberland</w:t>
            </w:r>
          </w:p>
        </w:tc>
        <w:tc>
          <w:tcPr>
            <w:tcW w:w="1473" w:type="dxa"/>
            <w:tcBorders>
              <w:top w:val="nil"/>
              <w:left w:val="nil"/>
              <w:bottom w:val="nil"/>
              <w:right w:val="nil"/>
            </w:tcBorders>
            <w:shd w:val="clear" w:color="auto" w:fill="auto"/>
            <w:vAlign w:val="bottom"/>
          </w:tcPr>
          <w:p w14:paraId="0C75745E"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59,454,431</w:t>
            </w:r>
          </w:p>
        </w:tc>
        <w:tc>
          <w:tcPr>
            <w:tcW w:w="1473" w:type="dxa"/>
            <w:tcBorders>
              <w:top w:val="nil"/>
              <w:left w:val="nil"/>
              <w:bottom w:val="nil"/>
              <w:right w:val="nil"/>
            </w:tcBorders>
            <w:shd w:val="clear" w:color="auto" w:fill="auto"/>
            <w:vAlign w:val="bottom"/>
          </w:tcPr>
          <w:p w14:paraId="10FDF26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44,775,601</w:t>
            </w:r>
          </w:p>
        </w:tc>
        <w:tc>
          <w:tcPr>
            <w:tcW w:w="1473" w:type="dxa"/>
            <w:tcBorders>
              <w:top w:val="nil"/>
              <w:left w:val="nil"/>
              <w:bottom w:val="nil"/>
              <w:right w:val="nil"/>
            </w:tcBorders>
            <w:shd w:val="clear" w:color="auto" w:fill="auto"/>
            <w:vAlign w:val="bottom"/>
          </w:tcPr>
          <w:p w14:paraId="7949DC84"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10,733,308</w:t>
            </w:r>
          </w:p>
        </w:tc>
        <w:tc>
          <w:tcPr>
            <w:tcW w:w="1473" w:type="dxa"/>
            <w:tcBorders>
              <w:top w:val="nil"/>
              <w:left w:val="nil"/>
              <w:bottom w:val="nil"/>
              <w:right w:val="nil"/>
            </w:tcBorders>
            <w:shd w:val="clear" w:color="auto" w:fill="auto"/>
            <w:vAlign w:val="bottom"/>
          </w:tcPr>
          <w:p w14:paraId="219DB88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114,963,340</w:t>
            </w:r>
          </w:p>
        </w:tc>
      </w:tr>
      <w:tr w:rsidR="00C016E8" w:rsidRPr="00702DDD" w14:paraId="3F1A3A62" w14:textId="77777777" w:rsidTr="00E83386">
        <w:trPr>
          <w:gridAfter w:val="1"/>
          <w:wAfter w:w="120" w:type="dxa"/>
          <w:trHeight w:val="294"/>
        </w:trPr>
        <w:tc>
          <w:tcPr>
            <w:tcW w:w="2901" w:type="dxa"/>
          </w:tcPr>
          <w:p w14:paraId="567765CF"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East</w:t>
            </w:r>
          </w:p>
        </w:tc>
        <w:tc>
          <w:tcPr>
            <w:tcW w:w="1473" w:type="dxa"/>
            <w:tcBorders>
              <w:top w:val="nil"/>
              <w:left w:val="nil"/>
              <w:bottom w:val="nil"/>
              <w:right w:val="nil"/>
            </w:tcBorders>
            <w:shd w:val="clear" w:color="auto" w:fill="auto"/>
            <w:vAlign w:val="bottom"/>
          </w:tcPr>
          <w:p w14:paraId="3D89960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87,198,607</w:t>
            </w:r>
          </w:p>
        </w:tc>
        <w:tc>
          <w:tcPr>
            <w:tcW w:w="1473" w:type="dxa"/>
            <w:tcBorders>
              <w:top w:val="nil"/>
              <w:left w:val="nil"/>
              <w:bottom w:val="nil"/>
              <w:right w:val="nil"/>
            </w:tcBorders>
            <w:shd w:val="clear" w:color="auto" w:fill="auto"/>
            <w:vAlign w:val="bottom"/>
          </w:tcPr>
          <w:p w14:paraId="624D96F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43,165,602</w:t>
            </w:r>
          </w:p>
        </w:tc>
        <w:tc>
          <w:tcPr>
            <w:tcW w:w="1473" w:type="dxa"/>
            <w:tcBorders>
              <w:top w:val="nil"/>
              <w:left w:val="nil"/>
              <w:bottom w:val="nil"/>
              <w:right w:val="nil"/>
            </w:tcBorders>
            <w:shd w:val="clear" w:color="auto" w:fill="auto"/>
            <w:vAlign w:val="bottom"/>
          </w:tcPr>
          <w:p w14:paraId="55A51DF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27,575,942</w:t>
            </w:r>
          </w:p>
        </w:tc>
        <w:tc>
          <w:tcPr>
            <w:tcW w:w="1473" w:type="dxa"/>
            <w:tcBorders>
              <w:top w:val="nil"/>
              <w:left w:val="nil"/>
              <w:bottom w:val="nil"/>
              <w:right w:val="nil"/>
            </w:tcBorders>
            <w:shd w:val="clear" w:color="auto" w:fill="auto"/>
            <w:vAlign w:val="bottom"/>
          </w:tcPr>
          <w:p w14:paraId="3A7BEC04"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157,940,151</w:t>
            </w:r>
          </w:p>
        </w:tc>
      </w:tr>
      <w:tr w:rsidR="00C016E8" w:rsidRPr="00702DDD" w14:paraId="1D10FDA2" w14:textId="77777777" w:rsidTr="00E83386">
        <w:trPr>
          <w:gridAfter w:val="1"/>
          <w:wAfter w:w="120" w:type="dxa"/>
          <w:trHeight w:val="294"/>
        </w:trPr>
        <w:tc>
          <w:tcPr>
            <w:tcW w:w="2901" w:type="dxa"/>
          </w:tcPr>
          <w:p w14:paraId="6C3E8EC6"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Northeast</w:t>
            </w:r>
          </w:p>
        </w:tc>
        <w:tc>
          <w:tcPr>
            <w:tcW w:w="1473" w:type="dxa"/>
            <w:tcBorders>
              <w:top w:val="nil"/>
              <w:left w:val="nil"/>
              <w:bottom w:val="nil"/>
              <w:right w:val="nil"/>
            </w:tcBorders>
            <w:shd w:val="clear" w:color="auto" w:fill="auto"/>
            <w:vAlign w:val="bottom"/>
          </w:tcPr>
          <w:p w14:paraId="36F84594"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60,707,174</w:t>
            </w:r>
          </w:p>
        </w:tc>
        <w:tc>
          <w:tcPr>
            <w:tcW w:w="1473" w:type="dxa"/>
            <w:tcBorders>
              <w:top w:val="nil"/>
              <w:left w:val="nil"/>
              <w:bottom w:val="nil"/>
              <w:right w:val="nil"/>
            </w:tcBorders>
            <w:shd w:val="clear" w:color="auto" w:fill="auto"/>
            <w:vAlign w:val="bottom"/>
          </w:tcPr>
          <w:p w14:paraId="6D921E2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21,505,169</w:t>
            </w:r>
          </w:p>
        </w:tc>
        <w:tc>
          <w:tcPr>
            <w:tcW w:w="1473" w:type="dxa"/>
            <w:tcBorders>
              <w:top w:val="nil"/>
              <w:left w:val="nil"/>
              <w:bottom w:val="nil"/>
              <w:right w:val="nil"/>
            </w:tcBorders>
            <w:shd w:val="clear" w:color="auto" w:fill="auto"/>
            <w:vAlign w:val="bottom"/>
          </w:tcPr>
          <w:p w14:paraId="199B7A6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13,117,269</w:t>
            </w:r>
          </w:p>
        </w:tc>
        <w:tc>
          <w:tcPr>
            <w:tcW w:w="1473" w:type="dxa"/>
            <w:tcBorders>
              <w:top w:val="nil"/>
              <w:left w:val="nil"/>
              <w:bottom w:val="nil"/>
              <w:right w:val="nil"/>
            </w:tcBorders>
            <w:shd w:val="clear" w:color="auto" w:fill="auto"/>
            <w:vAlign w:val="bottom"/>
          </w:tcPr>
          <w:p w14:paraId="7CB3E97B"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95,329,613</w:t>
            </w:r>
          </w:p>
        </w:tc>
      </w:tr>
      <w:tr w:rsidR="00C016E8" w:rsidRPr="00702DDD" w14:paraId="614F015A" w14:textId="77777777" w:rsidTr="00E83386">
        <w:trPr>
          <w:gridAfter w:val="1"/>
          <w:wAfter w:w="120" w:type="dxa"/>
          <w:trHeight w:val="294"/>
        </w:trPr>
        <w:tc>
          <w:tcPr>
            <w:tcW w:w="2901" w:type="dxa"/>
          </w:tcPr>
          <w:p w14:paraId="2FDF03B3"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Southeast</w:t>
            </w:r>
          </w:p>
        </w:tc>
        <w:tc>
          <w:tcPr>
            <w:tcW w:w="1473" w:type="dxa"/>
            <w:tcBorders>
              <w:top w:val="nil"/>
              <w:left w:val="nil"/>
              <w:bottom w:val="nil"/>
              <w:right w:val="nil"/>
            </w:tcBorders>
            <w:shd w:val="clear" w:color="auto" w:fill="auto"/>
            <w:vAlign w:val="bottom"/>
          </w:tcPr>
          <w:p w14:paraId="199DA75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62,257,448</w:t>
            </w:r>
          </w:p>
        </w:tc>
        <w:tc>
          <w:tcPr>
            <w:tcW w:w="1473" w:type="dxa"/>
            <w:tcBorders>
              <w:top w:val="nil"/>
              <w:left w:val="nil"/>
              <w:bottom w:val="nil"/>
              <w:right w:val="nil"/>
            </w:tcBorders>
            <w:shd w:val="clear" w:color="auto" w:fill="auto"/>
            <w:vAlign w:val="bottom"/>
          </w:tcPr>
          <w:p w14:paraId="5028BE9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15,690,132</w:t>
            </w:r>
          </w:p>
        </w:tc>
        <w:tc>
          <w:tcPr>
            <w:tcW w:w="1473" w:type="dxa"/>
            <w:tcBorders>
              <w:top w:val="nil"/>
              <w:left w:val="nil"/>
              <w:bottom w:val="nil"/>
              <w:right w:val="nil"/>
            </w:tcBorders>
            <w:shd w:val="clear" w:color="auto" w:fill="auto"/>
            <w:vAlign w:val="bottom"/>
          </w:tcPr>
          <w:p w14:paraId="4624A3D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12,339,221</w:t>
            </w:r>
          </w:p>
        </w:tc>
        <w:tc>
          <w:tcPr>
            <w:tcW w:w="1473" w:type="dxa"/>
            <w:tcBorders>
              <w:top w:val="nil"/>
              <w:left w:val="nil"/>
              <w:bottom w:val="nil"/>
              <w:right w:val="nil"/>
            </w:tcBorders>
            <w:shd w:val="clear" w:color="auto" w:fill="auto"/>
            <w:vAlign w:val="bottom"/>
          </w:tcPr>
          <w:p w14:paraId="06AE21B0"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90,286,801</w:t>
            </w:r>
          </w:p>
        </w:tc>
      </w:tr>
      <w:tr w:rsidR="00C016E8" w:rsidRPr="00702DDD" w14:paraId="45A8E38D" w14:textId="77777777" w:rsidTr="00E83386">
        <w:trPr>
          <w:gridAfter w:val="1"/>
          <w:wAfter w:w="120" w:type="dxa"/>
          <w:trHeight w:val="294"/>
        </w:trPr>
        <w:tc>
          <w:tcPr>
            <w:tcW w:w="2901" w:type="dxa"/>
          </w:tcPr>
          <w:p w14:paraId="2EF3BE2D"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Southern Middle</w:t>
            </w:r>
          </w:p>
        </w:tc>
        <w:tc>
          <w:tcPr>
            <w:tcW w:w="1473" w:type="dxa"/>
            <w:tcBorders>
              <w:top w:val="nil"/>
              <w:left w:val="nil"/>
              <w:bottom w:val="nil"/>
              <w:right w:val="nil"/>
            </w:tcBorders>
            <w:shd w:val="clear" w:color="auto" w:fill="auto"/>
            <w:vAlign w:val="bottom"/>
          </w:tcPr>
          <w:p w14:paraId="57D38E1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53,553,432</w:t>
            </w:r>
          </w:p>
        </w:tc>
        <w:tc>
          <w:tcPr>
            <w:tcW w:w="1473" w:type="dxa"/>
            <w:tcBorders>
              <w:top w:val="nil"/>
              <w:left w:val="nil"/>
              <w:bottom w:val="nil"/>
              <w:right w:val="nil"/>
            </w:tcBorders>
            <w:shd w:val="clear" w:color="auto" w:fill="auto"/>
            <w:vAlign w:val="bottom"/>
          </w:tcPr>
          <w:p w14:paraId="69FE64E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13,714,919</w:t>
            </w:r>
          </w:p>
        </w:tc>
        <w:tc>
          <w:tcPr>
            <w:tcW w:w="1473" w:type="dxa"/>
            <w:tcBorders>
              <w:top w:val="nil"/>
              <w:left w:val="nil"/>
              <w:bottom w:val="nil"/>
              <w:right w:val="nil"/>
            </w:tcBorders>
            <w:shd w:val="clear" w:color="auto" w:fill="auto"/>
            <w:vAlign w:val="bottom"/>
          </w:tcPr>
          <w:p w14:paraId="5F72421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7,689,529</w:t>
            </w:r>
          </w:p>
        </w:tc>
        <w:tc>
          <w:tcPr>
            <w:tcW w:w="1473" w:type="dxa"/>
            <w:tcBorders>
              <w:top w:val="nil"/>
              <w:left w:val="nil"/>
              <w:bottom w:val="nil"/>
              <w:right w:val="nil"/>
            </w:tcBorders>
            <w:shd w:val="clear" w:color="auto" w:fill="auto"/>
            <w:vAlign w:val="bottom"/>
          </w:tcPr>
          <w:p w14:paraId="3D5D76F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74,957,880</w:t>
            </w:r>
          </w:p>
        </w:tc>
      </w:tr>
      <w:tr w:rsidR="00C016E8" w:rsidRPr="00702DDD" w14:paraId="188F9C9D" w14:textId="77777777" w:rsidTr="00E83386">
        <w:trPr>
          <w:gridAfter w:val="1"/>
          <w:wAfter w:w="120" w:type="dxa"/>
          <w:trHeight w:val="294"/>
        </w:trPr>
        <w:tc>
          <w:tcPr>
            <w:tcW w:w="2901" w:type="dxa"/>
          </w:tcPr>
          <w:p w14:paraId="7B2E768E"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Southwest</w:t>
            </w:r>
          </w:p>
        </w:tc>
        <w:tc>
          <w:tcPr>
            <w:tcW w:w="1473" w:type="dxa"/>
            <w:tcBorders>
              <w:top w:val="nil"/>
              <w:left w:val="nil"/>
              <w:bottom w:val="nil"/>
              <w:right w:val="nil"/>
            </w:tcBorders>
            <w:shd w:val="clear" w:color="auto" w:fill="auto"/>
            <w:vAlign w:val="bottom"/>
          </w:tcPr>
          <w:p w14:paraId="408719B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46,680,787</w:t>
            </w:r>
          </w:p>
        </w:tc>
        <w:tc>
          <w:tcPr>
            <w:tcW w:w="1473" w:type="dxa"/>
            <w:tcBorders>
              <w:top w:val="nil"/>
              <w:left w:val="nil"/>
              <w:bottom w:val="nil"/>
              <w:right w:val="nil"/>
            </w:tcBorders>
            <w:shd w:val="clear" w:color="auto" w:fill="auto"/>
            <w:vAlign w:val="bottom"/>
          </w:tcPr>
          <w:p w14:paraId="19F2BD0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23,580,839</w:t>
            </w:r>
          </w:p>
        </w:tc>
        <w:tc>
          <w:tcPr>
            <w:tcW w:w="1473" w:type="dxa"/>
            <w:tcBorders>
              <w:top w:val="nil"/>
              <w:left w:val="nil"/>
              <w:bottom w:val="nil"/>
              <w:right w:val="nil"/>
            </w:tcBorders>
            <w:shd w:val="clear" w:color="auto" w:fill="auto"/>
            <w:vAlign w:val="bottom"/>
          </w:tcPr>
          <w:p w14:paraId="104A81D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8,457,439</w:t>
            </w:r>
          </w:p>
        </w:tc>
        <w:tc>
          <w:tcPr>
            <w:tcW w:w="1473" w:type="dxa"/>
            <w:tcBorders>
              <w:top w:val="nil"/>
              <w:left w:val="nil"/>
              <w:bottom w:val="nil"/>
              <w:right w:val="nil"/>
            </w:tcBorders>
            <w:shd w:val="clear" w:color="auto" w:fill="auto"/>
            <w:vAlign w:val="bottom"/>
          </w:tcPr>
          <w:p w14:paraId="15632BA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78,719,064</w:t>
            </w:r>
          </w:p>
        </w:tc>
      </w:tr>
      <w:tr w:rsidR="00C016E8" w:rsidRPr="00702DDD" w14:paraId="134D27A7" w14:textId="77777777" w:rsidTr="00E83386">
        <w:trPr>
          <w:gridAfter w:val="1"/>
          <w:wAfter w:w="120" w:type="dxa"/>
          <w:trHeight w:val="294"/>
        </w:trPr>
        <w:tc>
          <w:tcPr>
            <w:tcW w:w="2901" w:type="dxa"/>
            <w:tcBorders>
              <w:bottom w:val="nil"/>
            </w:tcBorders>
          </w:tcPr>
          <w:p w14:paraId="5877E3D0"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Greater Memphis</w:t>
            </w:r>
          </w:p>
        </w:tc>
        <w:tc>
          <w:tcPr>
            <w:tcW w:w="1473" w:type="dxa"/>
            <w:tcBorders>
              <w:top w:val="nil"/>
              <w:left w:val="nil"/>
              <w:bottom w:val="nil"/>
              <w:right w:val="nil"/>
            </w:tcBorders>
            <w:shd w:val="clear" w:color="auto" w:fill="auto"/>
            <w:vAlign w:val="bottom"/>
          </w:tcPr>
          <w:p w14:paraId="0A6B85E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12,492,672</w:t>
            </w:r>
          </w:p>
        </w:tc>
        <w:tc>
          <w:tcPr>
            <w:tcW w:w="1473" w:type="dxa"/>
            <w:tcBorders>
              <w:top w:val="nil"/>
              <w:left w:val="nil"/>
              <w:bottom w:val="nil"/>
              <w:right w:val="nil"/>
            </w:tcBorders>
            <w:shd w:val="clear" w:color="auto" w:fill="auto"/>
            <w:vAlign w:val="bottom"/>
          </w:tcPr>
          <w:p w14:paraId="59FD5CA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3,515,704</w:t>
            </w:r>
          </w:p>
        </w:tc>
        <w:tc>
          <w:tcPr>
            <w:tcW w:w="1473" w:type="dxa"/>
            <w:tcBorders>
              <w:top w:val="nil"/>
              <w:left w:val="nil"/>
              <w:bottom w:val="nil"/>
              <w:right w:val="nil"/>
            </w:tcBorders>
            <w:shd w:val="clear" w:color="auto" w:fill="auto"/>
            <w:vAlign w:val="bottom"/>
          </w:tcPr>
          <w:p w14:paraId="67D8CCDB"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4,625,356</w:t>
            </w:r>
          </w:p>
        </w:tc>
        <w:tc>
          <w:tcPr>
            <w:tcW w:w="1473" w:type="dxa"/>
            <w:tcBorders>
              <w:top w:val="nil"/>
              <w:left w:val="nil"/>
              <w:bottom w:val="nil"/>
              <w:right w:val="nil"/>
            </w:tcBorders>
            <w:shd w:val="clear" w:color="auto" w:fill="auto"/>
            <w:vAlign w:val="bottom"/>
          </w:tcPr>
          <w:p w14:paraId="0337EB5E"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20,633,732</w:t>
            </w:r>
          </w:p>
        </w:tc>
      </w:tr>
      <w:tr w:rsidR="00C016E8" w:rsidRPr="00702DDD" w14:paraId="0D528426" w14:textId="77777777" w:rsidTr="00E83386">
        <w:trPr>
          <w:gridAfter w:val="1"/>
          <w:wAfter w:w="120" w:type="dxa"/>
          <w:trHeight w:val="294"/>
        </w:trPr>
        <w:tc>
          <w:tcPr>
            <w:tcW w:w="2901" w:type="dxa"/>
            <w:tcBorders>
              <w:top w:val="nil"/>
              <w:bottom w:val="single" w:sz="4" w:space="0" w:color="auto"/>
            </w:tcBorders>
            <w:shd w:val="clear" w:color="auto" w:fill="auto"/>
          </w:tcPr>
          <w:p w14:paraId="11F6F57C" w14:textId="77777777" w:rsidR="00C016E8" w:rsidRPr="00702DDD" w:rsidRDefault="00C016E8" w:rsidP="00E83386">
            <w:pPr>
              <w:autoSpaceDE w:val="0"/>
              <w:autoSpaceDN w:val="0"/>
              <w:adjustRightInd w:val="0"/>
              <w:rPr>
                <w:rFonts w:ascii="Times New Roman" w:eastAsia="Calibri" w:hAnsi="Times New Roman" w:cs="Times New Roman"/>
                <w:bCs/>
                <w:i/>
                <w:iCs/>
                <w:color w:val="000000"/>
                <w:szCs w:val="22"/>
              </w:rPr>
            </w:pPr>
            <w:r w:rsidRPr="00702DDD">
              <w:rPr>
                <w:rFonts w:ascii="Times New Roman" w:eastAsia="Calibri" w:hAnsi="Times New Roman" w:cs="Times New Roman"/>
                <w:bCs/>
                <w:i/>
                <w:iCs/>
                <w:color w:val="000000"/>
                <w:szCs w:val="22"/>
              </w:rPr>
              <w:t>Aggregate</w:t>
            </w:r>
          </w:p>
        </w:tc>
        <w:tc>
          <w:tcPr>
            <w:tcW w:w="1473" w:type="dxa"/>
            <w:tcBorders>
              <w:top w:val="nil"/>
              <w:left w:val="nil"/>
              <w:bottom w:val="single" w:sz="4" w:space="0" w:color="auto"/>
              <w:right w:val="nil"/>
            </w:tcBorders>
            <w:shd w:val="clear" w:color="auto" w:fill="auto"/>
            <w:vAlign w:val="bottom"/>
          </w:tcPr>
          <w:p w14:paraId="4A3448E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490,146,184</w:t>
            </w:r>
          </w:p>
        </w:tc>
        <w:tc>
          <w:tcPr>
            <w:tcW w:w="1473" w:type="dxa"/>
            <w:tcBorders>
              <w:top w:val="nil"/>
              <w:left w:val="nil"/>
              <w:bottom w:val="single" w:sz="4" w:space="0" w:color="auto"/>
              <w:right w:val="nil"/>
            </w:tcBorders>
            <w:shd w:val="clear" w:color="auto" w:fill="auto"/>
            <w:vAlign w:val="bottom"/>
          </w:tcPr>
          <w:p w14:paraId="52DE6C6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196,570,419</w:t>
            </w:r>
          </w:p>
        </w:tc>
        <w:tc>
          <w:tcPr>
            <w:tcW w:w="1473" w:type="dxa"/>
            <w:tcBorders>
              <w:top w:val="nil"/>
              <w:left w:val="nil"/>
              <w:bottom w:val="single" w:sz="4" w:space="0" w:color="auto"/>
              <w:right w:val="nil"/>
            </w:tcBorders>
            <w:shd w:val="clear" w:color="auto" w:fill="auto"/>
            <w:vAlign w:val="bottom"/>
          </w:tcPr>
          <w:p w14:paraId="39F0E5F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101,168,944</w:t>
            </w:r>
          </w:p>
        </w:tc>
        <w:tc>
          <w:tcPr>
            <w:tcW w:w="1473" w:type="dxa"/>
            <w:tcBorders>
              <w:top w:val="nil"/>
              <w:left w:val="nil"/>
              <w:bottom w:val="single" w:sz="4" w:space="0" w:color="auto"/>
              <w:right w:val="nil"/>
            </w:tcBorders>
            <w:shd w:val="clear" w:color="auto" w:fill="auto"/>
            <w:vAlign w:val="bottom"/>
          </w:tcPr>
          <w:p w14:paraId="69B2D99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r w:rsidRPr="00702DDD">
              <w:rPr>
                <w:rFonts w:ascii="Times New Roman" w:hAnsi="Times New Roman" w:cs="Times New Roman"/>
                <w:color w:val="000000"/>
                <w:szCs w:val="22"/>
              </w:rPr>
              <w:t>787,885,547</w:t>
            </w:r>
          </w:p>
        </w:tc>
      </w:tr>
      <w:tr w:rsidR="00C016E8" w:rsidRPr="00702DDD" w14:paraId="25D7BC9F" w14:textId="77777777" w:rsidTr="00E83386">
        <w:trPr>
          <w:gridAfter w:val="1"/>
          <w:wAfter w:w="120" w:type="dxa"/>
          <w:trHeight w:val="294"/>
        </w:trPr>
        <w:tc>
          <w:tcPr>
            <w:tcW w:w="2901" w:type="dxa"/>
            <w:tcBorders>
              <w:top w:val="single" w:sz="4" w:space="0" w:color="auto"/>
              <w:bottom w:val="nil"/>
            </w:tcBorders>
            <w:shd w:val="clear" w:color="auto" w:fill="auto"/>
          </w:tcPr>
          <w:p w14:paraId="31A456CF" w14:textId="77777777" w:rsidR="00C016E8" w:rsidRPr="00702DDD" w:rsidRDefault="00C016E8" w:rsidP="00E83386">
            <w:pPr>
              <w:autoSpaceDE w:val="0"/>
              <w:autoSpaceDN w:val="0"/>
              <w:adjustRightInd w:val="0"/>
              <w:rPr>
                <w:rFonts w:ascii="Times New Roman" w:eastAsia="Calibri" w:hAnsi="Times New Roman" w:cs="Times New Roman"/>
                <w:b/>
                <w:bCs/>
                <w:iCs/>
                <w:color w:val="000000"/>
                <w:szCs w:val="22"/>
              </w:rPr>
            </w:pPr>
            <w:r w:rsidRPr="00702DDD">
              <w:rPr>
                <w:rFonts w:ascii="Times New Roman" w:eastAsia="Calibri" w:hAnsi="Times New Roman" w:cs="Times New Roman"/>
                <w:b/>
                <w:bCs/>
                <w:iCs/>
                <w:color w:val="000000"/>
                <w:szCs w:val="22"/>
              </w:rPr>
              <w:t>Simple Avg</w:t>
            </w:r>
          </w:p>
        </w:tc>
        <w:tc>
          <w:tcPr>
            <w:tcW w:w="1473" w:type="dxa"/>
            <w:tcBorders>
              <w:top w:val="single" w:sz="4" w:space="0" w:color="auto"/>
              <w:left w:val="nil"/>
              <w:bottom w:val="nil"/>
              <w:right w:val="nil"/>
            </w:tcBorders>
            <w:shd w:val="clear" w:color="auto" w:fill="auto"/>
            <w:vAlign w:val="bottom"/>
          </w:tcPr>
          <w:p w14:paraId="08A31519"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p>
        </w:tc>
        <w:tc>
          <w:tcPr>
            <w:tcW w:w="1473" w:type="dxa"/>
            <w:tcBorders>
              <w:top w:val="single" w:sz="4" w:space="0" w:color="auto"/>
              <w:left w:val="nil"/>
              <w:bottom w:val="nil"/>
              <w:right w:val="nil"/>
            </w:tcBorders>
            <w:shd w:val="clear" w:color="auto" w:fill="auto"/>
            <w:vAlign w:val="bottom"/>
          </w:tcPr>
          <w:p w14:paraId="736D280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p>
        </w:tc>
        <w:tc>
          <w:tcPr>
            <w:tcW w:w="1473" w:type="dxa"/>
            <w:tcBorders>
              <w:top w:val="single" w:sz="4" w:space="0" w:color="auto"/>
              <w:left w:val="nil"/>
              <w:bottom w:val="nil"/>
              <w:right w:val="nil"/>
            </w:tcBorders>
            <w:shd w:val="clear" w:color="auto" w:fill="auto"/>
            <w:vAlign w:val="bottom"/>
          </w:tcPr>
          <w:p w14:paraId="3DA4E35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p>
        </w:tc>
        <w:tc>
          <w:tcPr>
            <w:tcW w:w="1473" w:type="dxa"/>
            <w:tcBorders>
              <w:top w:val="single" w:sz="4" w:space="0" w:color="auto"/>
              <w:left w:val="nil"/>
              <w:bottom w:val="nil"/>
              <w:right w:val="nil"/>
            </w:tcBorders>
            <w:shd w:val="clear" w:color="auto" w:fill="auto"/>
            <w:vAlign w:val="bottom"/>
          </w:tcPr>
          <w:p w14:paraId="79B16760"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p>
        </w:tc>
      </w:tr>
      <w:tr w:rsidR="00C016E8" w:rsidRPr="00702DDD" w14:paraId="40A40A06" w14:textId="77777777" w:rsidTr="00E83386">
        <w:trPr>
          <w:gridAfter w:val="1"/>
          <w:wAfter w:w="120" w:type="dxa"/>
          <w:trHeight w:val="294"/>
        </w:trPr>
        <w:tc>
          <w:tcPr>
            <w:tcW w:w="2901" w:type="dxa"/>
            <w:tcBorders>
              <w:top w:val="nil"/>
            </w:tcBorders>
            <w:shd w:val="clear" w:color="auto" w:fill="auto"/>
          </w:tcPr>
          <w:p w14:paraId="606BE538"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Northwest</w:t>
            </w:r>
          </w:p>
        </w:tc>
        <w:tc>
          <w:tcPr>
            <w:tcW w:w="1473" w:type="dxa"/>
            <w:tcBorders>
              <w:top w:val="nil"/>
              <w:left w:val="nil"/>
              <w:bottom w:val="nil"/>
              <w:right w:val="nil"/>
            </w:tcBorders>
            <w:shd w:val="clear" w:color="auto" w:fill="auto"/>
            <w:vAlign w:val="bottom"/>
          </w:tcPr>
          <w:p w14:paraId="26457DC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60,059,081</w:t>
            </w:r>
          </w:p>
        </w:tc>
        <w:tc>
          <w:tcPr>
            <w:tcW w:w="1473" w:type="dxa"/>
            <w:tcBorders>
              <w:top w:val="nil"/>
              <w:left w:val="nil"/>
              <w:bottom w:val="nil"/>
              <w:right w:val="nil"/>
            </w:tcBorders>
            <w:shd w:val="clear" w:color="auto" w:fill="auto"/>
            <w:vAlign w:val="bottom"/>
          </w:tcPr>
          <w:p w14:paraId="52F7B68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15,981,043</w:t>
            </w:r>
          </w:p>
        </w:tc>
        <w:tc>
          <w:tcPr>
            <w:tcW w:w="1473" w:type="dxa"/>
            <w:tcBorders>
              <w:top w:val="nil"/>
              <w:left w:val="nil"/>
              <w:bottom w:val="nil"/>
              <w:right w:val="nil"/>
            </w:tcBorders>
            <w:shd w:val="clear" w:color="auto" w:fill="auto"/>
            <w:vAlign w:val="bottom"/>
          </w:tcPr>
          <w:p w14:paraId="0422347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8,044,339</w:t>
            </w:r>
          </w:p>
        </w:tc>
        <w:tc>
          <w:tcPr>
            <w:tcW w:w="1473" w:type="dxa"/>
            <w:tcBorders>
              <w:top w:val="nil"/>
              <w:left w:val="nil"/>
              <w:bottom w:val="nil"/>
              <w:right w:val="nil"/>
            </w:tcBorders>
            <w:shd w:val="clear" w:color="auto" w:fill="auto"/>
            <w:vAlign w:val="bottom"/>
          </w:tcPr>
          <w:p w14:paraId="2F43370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84,084,463</w:t>
            </w:r>
          </w:p>
        </w:tc>
      </w:tr>
      <w:tr w:rsidR="00C016E8" w:rsidRPr="00702DDD" w14:paraId="70AC4E62" w14:textId="77777777" w:rsidTr="00E83386">
        <w:trPr>
          <w:gridAfter w:val="1"/>
          <w:wAfter w:w="120" w:type="dxa"/>
          <w:trHeight w:val="294"/>
        </w:trPr>
        <w:tc>
          <w:tcPr>
            <w:tcW w:w="2901" w:type="dxa"/>
            <w:shd w:val="clear" w:color="auto" w:fill="auto"/>
          </w:tcPr>
          <w:p w14:paraId="70215E45"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Northern Middle</w:t>
            </w:r>
          </w:p>
        </w:tc>
        <w:tc>
          <w:tcPr>
            <w:tcW w:w="1473" w:type="dxa"/>
            <w:tcBorders>
              <w:top w:val="nil"/>
              <w:left w:val="nil"/>
              <w:bottom w:val="nil"/>
              <w:right w:val="nil"/>
            </w:tcBorders>
            <w:shd w:val="clear" w:color="auto" w:fill="auto"/>
            <w:vAlign w:val="bottom"/>
          </w:tcPr>
          <w:p w14:paraId="4B2A71F4"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45,112,443</w:t>
            </w:r>
          </w:p>
        </w:tc>
        <w:tc>
          <w:tcPr>
            <w:tcW w:w="1473" w:type="dxa"/>
            <w:tcBorders>
              <w:top w:val="nil"/>
              <w:left w:val="nil"/>
              <w:bottom w:val="nil"/>
              <w:right w:val="nil"/>
            </w:tcBorders>
            <w:shd w:val="clear" w:color="auto" w:fill="auto"/>
            <w:vAlign w:val="bottom"/>
          </w:tcPr>
          <w:p w14:paraId="36628544"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19,754,537</w:t>
            </w:r>
          </w:p>
        </w:tc>
        <w:tc>
          <w:tcPr>
            <w:tcW w:w="1473" w:type="dxa"/>
            <w:tcBorders>
              <w:top w:val="nil"/>
              <w:left w:val="nil"/>
              <w:bottom w:val="nil"/>
              <w:right w:val="nil"/>
            </w:tcBorders>
            <w:shd w:val="clear" w:color="auto" w:fill="auto"/>
            <w:vAlign w:val="bottom"/>
          </w:tcPr>
          <w:p w14:paraId="7C9F638E"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14,809,912</w:t>
            </w:r>
          </w:p>
        </w:tc>
        <w:tc>
          <w:tcPr>
            <w:tcW w:w="1473" w:type="dxa"/>
            <w:tcBorders>
              <w:top w:val="nil"/>
              <w:left w:val="nil"/>
              <w:bottom w:val="nil"/>
              <w:right w:val="nil"/>
            </w:tcBorders>
            <w:shd w:val="clear" w:color="auto" w:fill="auto"/>
            <w:vAlign w:val="bottom"/>
          </w:tcPr>
          <w:p w14:paraId="09BB475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79,676,892</w:t>
            </w:r>
          </w:p>
        </w:tc>
      </w:tr>
      <w:tr w:rsidR="00C016E8" w:rsidRPr="00702DDD" w14:paraId="72493F25" w14:textId="77777777" w:rsidTr="00E83386">
        <w:trPr>
          <w:gridAfter w:val="1"/>
          <w:wAfter w:w="120" w:type="dxa"/>
          <w:trHeight w:val="294"/>
        </w:trPr>
        <w:tc>
          <w:tcPr>
            <w:tcW w:w="2901" w:type="dxa"/>
            <w:shd w:val="clear" w:color="auto" w:fill="auto"/>
          </w:tcPr>
          <w:p w14:paraId="1D4802E2"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Upper Cumberland</w:t>
            </w:r>
          </w:p>
        </w:tc>
        <w:tc>
          <w:tcPr>
            <w:tcW w:w="1473" w:type="dxa"/>
            <w:tcBorders>
              <w:top w:val="nil"/>
              <w:left w:val="nil"/>
              <w:bottom w:val="nil"/>
              <w:right w:val="nil"/>
            </w:tcBorders>
            <w:shd w:val="clear" w:color="auto" w:fill="auto"/>
            <w:vAlign w:val="bottom"/>
          </w:tcPr>
          <w:p w14:paraId="6EA3668D"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42,807,190</w:t>
            </w:r>
          </w:p>
        </w:tc>
        <w:tc>
          <w:tcPr>
            <w:tcW w:w="1473" w:type="dxa"/>
            <w:tcBorders>
              <w:top w:val="nil"/>
              <w:left w:val="nil"/>
              <w:bottom w:val="nil"/>
              <w:right w:val="nil"/>
            </w:tcBorders>
            <w:shd w:val="clear" w:color="auto" w:fill="auto"/>
            <w:vAlign w:val="bottom"/>
          </w:tcPr>
          <w:p w14:paraId="0DA20FE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32,238,432</w:t>
            </w:r>
          </w:p>
        </w:tc>
        <w:tc>
          <w:tcPr>
            <w:tcW w:w="1473" w:type="dxa"/>
            <w:tcBorders>
              <w:top w:val="nil"/>
              <w:left w:val="nil"/>
              <w:bottom w:val="nil"/>
              <w:right w:val="nil"/>
            </w:tcBorders>
            <w:shd w:val="clear" w:color="auto" w:fill="auto"/>
            <w:vAlign w:val="bottom"/>
          </w:tcPr>
          <w:p w14:paraId="1D4810DE"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7,727,982</w:t>
            </w:r>
          </w:p>
        </w:tc>
        <w:tc>
          <w:tcPr>
            <w:tcW w:w="1473" w:type="dxa"/>
            <w:tcBorders>
              <w:top w:val="nil"/>
              <w:left w:val="nil"/>
              <w:bottom w:val="nil"/>
              <w:right w:val="nil"/>
            </w:tcBorders>
            <w:shd w:val="clear" w:color="auto" w:fill="auto"/>
            <w:vAlign w:val="bottom"/>
          </w:tcPr>
          <w:p w14:paraId="70BBDE3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82,773,604</w:t>
            </w:r>
          </w:p>
        </w:tc>
      </w:tr>
      <w:tr w:rsidR="00C016E8" w:rsidRPr="00702DDD" w14:paraId="7BC390B6" w14:textId="77777777" w:rsidTr="00E83386">
        <w:trPr>
          <w:gridAfter w:val="1"/>
          <w:wAfter w:w="120" w:type="dxa"/>
          <w:trHeight w:val="294"/>
        </w:trPr>
        <w:tc>
          <w:tcPr>
            <w:tcW w:w="2901" w:type="dxa"/>
            <w:shd w:val="clear" w:color="auto" w:fill="auto"/>
          </w:tcPr>
          <w:p w14:paraId="7F0853D1"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East</w:t>
            </w:r>
          </w:p>
        </w:tc>
        <w:tc>
          <w:tcPr>
            <w:tcW w:w="1473" w:type="dxa"/>
            <w:tcBorders>
              <w:top w:val="nil"/>
              <w:left w:val="nil"/>
              <w:bottom w:val="nil"/>
              <w:right w:val="nil"/>
            </w:tcBorders>
            <w:shd w:val="clear" w:color="auto" w:fill="auto"/>
            <w:vAlign w:val="bottom"/>
          </w:tcPr>
          <w:p w14:paraId="7D846FF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100,762,835</w:t>
            </w:r>
          </w:p>
        </w:tc>
        <w:tc>
          <w:tcPr>
            <w:tcW w:w="1473" w:type="dxa"/>
            <w:tcBorders>
              <w:top w:val="nil"/>
              <w:left w:val="nil"/>
              <w:bottom w:val="nil"/>
              <w:right w:val="nil"/>
            </w:tcBorders>
            <w:shd w:val="clear" w:color="auto" w:fill="auto"/>
            <w:vAlign w:val="bottom"/>
          </w:tcPr>
          <w:p w14:paraId="5CC9088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49,880,251</w:t>
            </w:r>
          </w:p>
        </w:tc>
        <w:tc>
          <w:tcPr>
            <w:tcW w:w="1473" w:type="dxa"/>
            <w:tcBorders>
              <w:top w:val="nil"/>
              <w:left w:val="nil"/>
              <w:bottom w:val="nil"/>
              <w:right w:val="nil"/>
            </w:tcBorders>
            <w:shd w:val="clear" w:color="auto" w:fill="auto"/>
            <w:vAlign w:val="bottom"/>
          </w:tcPr>
          <w:p w14:paraId="27586E1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31,865,532</w:t>
            </w:r>
          </w:p>
        </w:tc>
        <w:tc>
          <w:tcPr>
            <w:tcW w:w="1473" w:type="dxa"/>
            <w:tcBorders>
              <w:top w:val="nil"/>
              <w:left w:val="nil"/>
              <w:bottom w:val="nil"/>
              <w:right w:val="nil"/>
            </w:tcBorders>
            <w:shd w:val="clear" w:color="auto" w:fill="auto"/>
            <w:vAlign w:val="bottom"/>
          </w:tcPr>
          <w:p w14:paraId="0683724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182,508,619</w:t>
            </w:r>
          </w:p>
        </w:tc>
      </w:tr>
      <w:tr w:rsidR="00C016E8" w:rsidRPr="00702DDD" w14:paraId="111A166B" w14:textId="77777777" w:rsidTr="00E83386">
        <w:trPr>
          <w:gridAfter w:val="1"/>
          <w:wAfter w:w="120" w:type="dxa"/>
          <w:trHeight w:val="294"/>
        </w:trPr>
        <w:tc>
          <w:tcPr>
            <w:tcW w:w="2901" w:type="dxa"/>
            <w:shd w:val="clear" w:color="auto" w:fill="auto"/>
          </w:tcPr>
          <w:p w14:paraId="1893998B"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Northeast</w:t>
            </w:r>
          </w:p>
        </w:tc>
        <w:tc>
          <w:tcPr>
            <w:tcW w:w="1473" w:type="dxa"/>
            <w:tcBorders>
              <w:top w:val="nil"/>
              <w:left w:val="nil"/>
              <w:bottom w:val="nil"/>
              <w:right w:val="nil"/>
            </w:tcBorders>
            <w:shd w:val="clear" w:color="auto" w:fill="auto"/>
            <w:vAlign w:val="bottom"/>
          </w:tcPr>
          <w:p w14:paraId="7176340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56,660,030</w:t>
            </w:r>
          </w:p>
        </w:tc>
        <w:tc>
          <w:tcPr>
            <w:tcW w:w="1473" w:type="dxa"/>
            <w:tcBorders>
              <w:top w:val="nil"/>
              <w:left w:val="nil"/>
              <w:bottom w:val="nil"/>
              <w:right w:val="nil"/>
            </w:tcBorders>
            <w:shd w:val="clear" w:color="auto" w:fill="auto"/>
            <w:vAlign w:val="bottom"/>
          </w:tcPr>
          <w:p w14:paraId="5EB7A64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20,071,491</w:t>
            </w:r>
          </w:p>
        </w:tc>
        <w:tc>
          <w:tcPr>
            <w:tcW w:w="1473" w:type="dxa"/>
            <w:tcBorders>
              <w:top w:val="nil"/>
              <w:left w:val="nil"/>
              <w:bottom w:val="nil"/>
              <w:right w:val="nil"/>
            </w:tcBorders>
            <w:shd w:val="clear" w:color="auto" w:fill="auto"/>
            <w:vAlign w:val="bottom"/>
          </w:tcPr>
          <w:p w14:paraId="467387D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12,242,785</w:t>
            </w:r>
          </w:p>
        </w:tc>
        <w:tc>
          <w:tcPr>
            <w:tcW w:w="1473" w:type="dxa"/>
            <w:tcBorders>
              <w:top w:val="nil"/>
              <w:left w:val="nil"/>
              <w:bottom w:val="nil"/>
              <w:right w:val="nil"/>
            </w:tcBorders>
            <w:shd w:val="clear" w:color="auto" w:fill="auto"/>
            <w:vAlign w:val="bottom"/>
          </w:tcPr>
          <w:p w14:paraId="592F92A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88,974,306</w:t>
            </w:r>
          </w:p>
        </w:tc>
      </w:tr>
      <w:tr w:rsidR="00C016E8" w:rsidRPr="00702DDD" w14:paraId="10EE6975" w14:textId="77777777" w:rsidTr="00E83386">
        <w:trPr>
          <w:gridAfter w:val="1"/>
          <w:wAfter w:w="120" w:type="dxa"/>
          <w:trHeight w:val="309"/>
        </w:trPr>
        <w:tc>
          <w:tcPr>
            <w:tcW w:w="2901" w:type="dxa"/>
            <w:shd w:val="clear" w:color="auto" w:fill="auto"/>
          </w:tcPr>
          <w:p w14:paraId="30DAC31D"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Southeast</w:t>
            </w:r>
          </w:p>
        </w:tc>
        <w:tc>
          <w:tcPr>
            <w:tcW w:w="1473" w:type="dxa"/>
            <w:tcBorders>
              <w:top w:val="nil"/>
              <w:left w:val="nil"/>
              <w:bottom w:val="nil"/>
              <w:right w:val="nil"/>
            </w:tcBorders>
            <w:shd w:val="clear" w:color="auto" w:fill="auto"/>
            <w:vAlign w:val="bottom"/>
          </w:tcPr>
          <w:p w14:paraId="537C0AD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79,689,534</w:t>
            </w:r>
          </w:p>
        </w:tc>
        <w:tc>
          <w:tcPr>
            <w:tcW w:w="1473" w:type="dxa"/>
            <w:tcBorders>
              <w:top w:val="nil"/>
              <w:left w:val="nil"/>
              <w:bottom w:val="nil"/>
              <w:right w:val="nil"/>
            </w:tcBorders>
            <w:shd w:val="clear" w:color="auto" w:fill="auto"/>
            <w:vAlign w:val="bottom"/>
          </w:tcPr>
          <w:p w14:paraId="58B9F6F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20,083,369</w:t>
            </w:r>
          </w:p>
        </w:tc>
        <w:tc>
          <w:tcPr>
            <w:tcW w:w="1473" w:type="dxa"/>
            <w:tcBorders>
              <w:top w:val="nil"/>
              <w:left w:val="nil"/>
              <w:bottom w:val="nil"/>
              <w:right w:val="nil"/>
            </w:tcBorders>
            <w:shd w:val="clear" w:color="auto" w:fill="auto"/>
            <w:vAlign w:val="bottom"/>
          </w:tcPr>
          <w:p w14:paraId="71440F0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15,794,203</w:t>
            </w:r>
          </w:p>
        </w:tc>
        <w:tc>
          <w:tcPr>
            <w:tcW w:w="1473" w:type="dxa"/>
            <w:tcBorders>
              <w:top w:val="nil"/>
              <w:left w:val="nil"/>
              <w:bottom w:val="nil"/>
              <w:right w:val="nil"/>
            </w:tcBorders>
            <w:shd w:val="clear" w:color="auto" w:fill="auto"/>
            <w:vAlign w:val="bottom"/>
          </w:tcPr>
          <w:p w14:paraId="5B02AE8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115,567,105</w:t>
            </w:r>
          </w:p>
        </w:tc>
      </w:tr>
      <w:tr w:rsidR="00C016E8" w:rsidRPr="00702DDD" w14:paraId="186C3756" w14:textId="77777777" w:rsidTr="00E83386">
        <w:trPr>
          <w:gridAfter w:val="1"/>
          <w:wAfter w:w="120" w:type="dxa"/>
          <w:trHeight w:val="309"/>
        </w:trPr>
        <w:tc>
          <w:tcPr>
            <w:tcW w:w="2901" w:type="dxa"/>
            <w:shd w:val="clear" w:color="auto" w:fill="auto"/>
          </w:tcPr>
          <w:p w14:paraId="25505D03"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Southern Middle</w:t>
            </w:r>
          </w:p>
        </w:tc>
        <w:tc>
          <w:tcPr>
            <w:tcW w:w="1473" w:type="dxa"/>
            <w:tcBorders>
              <w:top w:val="nil"/>
              <w:left w:val="nil"/>
              <w:bottom w:val="nil"/>
              <w:right w:val="nil"/>
            </w:tcBorders>
            <w:shd w:val="clear" w:color="auto" w:fill="auto"/>
            <w:vAlign w:val="bottom"/>
          </w:tcPr>
          <w:p w14:paraId="170CF5B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59,979,844</w:t>
            </w:r>
          </w:p>
        </w:tc>
        <w:tc>
          <w:tcPr>
            <w:tcW w:w="1473" w:type="dxa"/>
            <w:tcBorders>
              <w:top w:val="nil"/>
              <w:left w:val="nil"/>
              <w:bottom w:val="nil"/>
              <w:right w:val="nil"/>
            </w:tcBorders>
            <w:shd w:val="clear" w:color="auto" w:fill="auto"/>
            <w:vAlign w:val="bottom"/>
          </w:tcPr>
          <w:p w14:paraId="673B14BE"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15,360,710</w:t>
            </w:r>
          </w:p>
        </w:tc>
        <w:tc>
          <w:tcPr>
            <w:tcW w:w="1473" w:type="dxa"/>
            <w:tcBorders>
              <w:top w:val="nil"/>
              <w:left w:val="nil"/>
              <w:bottom w:val="nil"/>
              <w:right w:val="nil"/>
            </w:tcBorders>
            <w:shd w:val="clear" w:color="auto" w:fill="auto"/>
            <w:vAlign w:val="bottom"/>
          </w:tcPr>
          <w:p w14:paraId="60979DC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8,612,273</w:t>
            </w:r>
          </w:p>
        </w:tc>
        <w:tc>
          <w:tcPr>
            <w:tcW w:w="1473" w:type="dxa"/>
            <w:tcBorders>
              <w:top w:val="nil"/>
              <w:left w:val="nil"/>
              <w:bottom w:val="nil"/>
              <w:right w:val="nil"/>
            </w:tcBorders>
            <w:shd w:val="clear" w:color="auto" w:fill="auto"/>
            <w:vAlign w:val="bottom"/>
          </w:tcPr>
          <w:p w14:paraId="338BE20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83,952,826</w:t>
            </w:r>
          </w:p>
        </w:tc>
      </w:tr>
      <w:tr w:rsidR="00C016E8" w:rsidRPr="00702DDD" w14:paraId="0BE2B2D1" w14:textId="77777777" w:rsidTr="00E83386">
        <w:trPr>
          <w:gridAfter w:val="1"/>
          <w:wAfter w:w="120" w:type="dxa"/>
          <w:trHeight w:val="309"/>
        </w:trPr>
        <w:tc>
          <w:tcPr>
            <w:tcW w:w="2901" w:type="dxa"/>
            <w:shd w:val="clear" w:color="auto" w:fill="auto"/>
          </w:tcPr>
          <w:p w14:paraId="0A93A893"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Southwest</w:t>
            </w:r>
          </w:p>
        </w:tc>
        <w:tc>
          <w:tcPr>
            <w:tcW w:w="1473" w:type="dxa"/>
            <w:tcBorders>
              <w:top w:val="nil"/>
              <w:left w:val="nil"/>
              <w:bottom w:val="nil"/>
              <w:right w:val="nil"/>
            </w:tcBorders>
            <w:shd w:val="clear" w:color="auto" w:fill="auto"/>
            <w:vAlign w:val="bottom"/>
          </w:tcPr>
          <w:p w14:paraId="5DB6CA1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37,344,629</w:t>
            </w:r>
          </w:p>
        </w:tc>
        <w:tc>
          <w:tcPr>
            <w:tcW w:w="1473" w:type="dxa"/>
            <w:tcBorders>
              <w:top w:val="nil"/>
              <w:left w:val="nil"/>
              <w:bottom w:val="nil"/>
              <w:right w:val="nil"/>
            </w:tcBorders>
            <w:shd w:val="clear" w:color="auto" w:fill="auto"/>
            <w:vAlign w:val="bottom"/>
          </w:tcPr>
          <w:p w14:paraId="4872F6F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18,864,671</w:t>
            </w:r>
          </w:p>
        </w:tc>
        <w:tc>
          <w:tcPr>
            <w:tcW w:w="1473" w:type="dxa"/>
            <w:tcBorders>
              <w:top w:val="nil"/>
              <w:left w:val="nil"/>
              <w:bottom w:val="nil"/>
              <w:right w:val="nil"/>
            </w:tcBorders>
            <w:shd w:val="clear" w:color="auto" w:fill="auto"/>
            <w:vAlign w:val="bottom"/>
          </w:tcPr>
          <w:p w14:paraId="7D7A6209"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6,765,951</w:t>
            </w:r>
          </w:p>
        </w:tc>
        <w:tc>
          <w:tcPr>
            <w:tcW w:w="1473" w:type="dxa"/>
            <w:tcBorders>
              <w:top w:val="nil"/>
              <w:left w:val="nil"/>
              <w:bottom w:val="nil"/>
              <w:right w:val="nil"/>
            </w:tcBorders>
            <w:shd w:val="clear" w:color="auto" w:fill="auto"/>
            <w:vAlign w:val="bottom"/>
          </w:tcPr>
          <w:p w14:paraId="5B0FE57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62,975,251</w:t>
            </w:r>
          </w:p>
        </w:tc>
      </w:tr>
      <w:tr w:rsidR="00C016E8" w:rsidRPr="00702DDD" w14:paraId="076E2CB7" w14:textId="77777777" w:rsidTr="00E83386">
        <w:trPr>
          <w:gridAfter w:val="1"/>
          <w:wAfter w:w="120" w:type="dxa"/>
          <w:trHeight w:val="309"/>
        </w:trPr>
        <w:tc>
          <w:tcPr>
            <w:tcW w:w="2901" w:type="dxa"/>
            <w:tcBorders>
              <w:bottom w:val="nil"/>
            </w:tcBorders>
            <w:shd w:val="clear" w:color="auto" w:fill="auto"/>
          </w:tcPr>
          <w:p w14:paraId="12F2B254"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Greater Memphis</w:t>
            </w:r>
          </w:p>
        </w:tc>
        <w:tc>
          <w:tcPr>
            <w:tcW w:w="1473" w:type="dxa"/>
            <w:tcBorders>
              <w:top w:val="nil"/>
              <w:left w:val="nil"/>
              <w:bottom w:val="nil"/>
              <w:right w:val="nil"/>
            </w:tcBorders>
            <w:shd w:val="clear" w:color="auto" w:fill="auto"/>
            <w:vAlign w:val="bottom"/>
          </w:tcPr>
          <w:p w14:paraId="03AFEF0D"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29,982,413</w:t>
            </w:r>
          </w:p>
        </w:tc>
        <w:tc>
          <w:tcPr>
            <w:tcW w:w="1473" w:type="dxa"/>
            <w:tcBorders>
              <w:top w:val="nil"/>
              <w:left w:val="nil"/>
              <w:bottom w:val="nil"/>
              <w:right w:val="nil"/>
            </w:tcBorders>
            <w:shd w:val="clear" w:color="auto" w:fill="auto"/>
            <w:vAlign w:val="bottom"/>
          </w:tcPr>
          <w:p w14:paraId="0F72717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8,437,690</w:t>
            </w:r>
          </w:p>
        </w:tc>
        <w:tc>
          <w:tcPr>
            <w:tcW w:w="1473" w:type="dxa"/>
            <w:tcBorders>
              <w:top w:val="nil"/>
              <w:left w:val="nil"/>
              <w:bottom w:val="nil"/>
              <w:right w:val="nil"/>
            </w:tcBorders>
            <w:shd w:val="clear" w:color="auto" w:fill="auto"/>
            <w:vAlign w:val="bottom"/>
          </w:tcPr>
          <w:p w14:paraId="3478588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11,100,854</w:t>
            </w:r>
          </w:p>
        </w:tc>
        <w:tc>
          <w:tcPr>
            <w:tcW w:w="1473" w:type="dxa"/>
            <w:tcBorders>
              <w:top w:val="nil"/>
              <w:left w:val="nil"/>
              <w:bottom w:val="nil"/>
              <w:right w:val="nil"/>
            </w:tcBorders>
            <w:shd w:val="clear" w:color="auto" w:fill="auto"/>
            <w:vAlign w:val="bottom"/>
          </w:tcPr>
          <w:p w14:paraId="07E8C22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49,520,957</w:t>
            </w:r>
          </w:p>
        </w:tc>
      </w:tr>
      <w:tr w:rsidR="00C016E8" w:rsidRPr="00702DDD" w14:paraId="16885966" w14:textId="77777777" w:rsidTr="00E83386">
        <w:trPr>
          <w:gridAfter w:val="1"/>
          <w:wAfter w:w="120" w:type="dxa"/>
          <w:trHeight w:val="309"/>
        </w:trPr>
        <w:tc>
          <w:tcPr>
            <w:tcW w:w="2901" w:type="dxa"/>
            <w:tcBorders>
              <w:top w:val="nil"/>
              <w:left w:val="nil"/>
              <w:bottom w:val="single" w:sz="4" w:space="0" w:color="auto"/>
              <w:right w:val="nil"/>
            </w:tcBorders>
            <w:shd w:val="clear" w:color="auto" w:fill="auto"/>
          </w:tcPr>
          <w:p w14:paraId="28B61F54" w14:textId="77777777" w:rsidR="00C016E8" w:rsidRPr="00702DDD" w:rsidRDefault="00C016E8" w:rsidP="00E83386">
            <w:pPr>
              <w:autoSpaceDE w:val="0"/>
              <w:autoSpaceDN w:val="0"/>
              <w:adjustRightInd w:val="0"/>
              <w:rPr>
                <w:rFonts w:ascii="Times New Roman" w:eastAsia="Calibri" w:hAnsi="Times New Roman" w:cs="Times New Roman"/>
                <w:bCs/>
                <w:i/>
                <w:iCs/>
                <w:color w:val="000000"/>
              </w:rPr>
            </w:pPr>
            <w:r w:rsidRPr="00702DDD">
              <w:rPr>
                <w:rFonts w:ascii="Times New Roman" w:hAnsi="Times New Roman" w:cs="Times New Roman"/>
                <w:i/>
                <w:color w:val="000000"/>
              </w:rPr>
              <w:t>Aggregate</w:t>
            </w:r>
          </w:p>
        </w:tc>
        <w:tc>
          <w:tcPr>
            <w:tcW w:w="1473" w:type="dxa"/>
            <w:tcBorders>
              <w:top w:val="nil"/>
              <w:left w:val="nil"/>
              <w:bottom w:val="single" w:sz="4" w:space="0" w:color="auto"/>
              <w:right w:val="nil"/>
            </w:tcBorders>
            <w:shd w:val="clear" w:color="auto" w:fill="auto"/>
            <w:vAlign w:val="bottom"/>
          </w:tcPr>
          <w:p w14:paraId="6DDCB1DB" w14:textId="77777777" w:rsidR="00C016E8" w:rsidRPr="00702DDD" w:rsidRDefault="00C016E8" w:rsidP="00E83386">
            <w:pPr>
              <w:autoSpaceDE w:val="0"/>
              <w:autoSpaceDN w:val="0"/>
              <w:adjustRightInd w:val="0"/>
              <w:jc w:val="center"/>
              <w:rPr>
                <w:rFonts w:ascii="Times New Roman" w:hAnsi="Times New Roman" w:cs="Times New Roman"/>
                <w:color w:val="000000"/>
              </w:rPr>
            </w:pPr>
            <w:r w:rsidRPr="00702DDD">
              <w:rPr>
                <w:rFonts w:ascii="Times New Roman" w:hAnsi="Times New Roman" w:cs="Times New Roman"/>
                <w:color w:val="000000"/>
              </w:rPr>
              <w:t>512,397,998</w:t>
            </w:r>
          </w:p>
        </w:tc>
        <w:tc>
          <w:tcPr>
            <w:tcW w:w="1473" w:type="dxa"/>
            <w:tcBorders>
              <w:top w:val="nil"/>
              <w:left w:val="nil"/>
              <w:bottom w:val="single" w:sz="4" w:space="0" w:color="auto"/>
              <w:right w:val="nil"/>
            </w:tcBorders>
            <w:shd w:val="clear" w:color="auto" w:fill="auto"/>
            <w:vAlign w:val="bottom"/>
          </w:tcPr>
          <w:p w14:paraId="469FFE51" w14:textId="77777777" w:rsidR="00C016E8" w:rsidRPr="00702DDD" w:rsidRDefault="00C016E8" w:rsidP="00E83386">
            <w:pPr>
              <w:autoSpaceDE w:val="0"/>
              <w:autoSpaceDN w:val="0"/>
              <w:adjustRightInd w:val="0"/>
              <w:jc w:val="center"/>
              <w:rPr>
                <w:rFonts w:ascii="Times New Roman" w:hAnsi="Times New Roman" w:cs="Times New Roman"/>
                <w:color w:val="000000"/>
              </w:rPr>
            </w:pPr>
            <w:r w:rsidRPr="00702DDD">
              <w:rPr>
                <w:rFonts w:ascii="Times New Roman" w:hAnsi="Times New Roman" w:cs="Times New Roman"/>
                <w:color w:val="000000"/>
              </w:rPr>
              <w:t>200,672,195</w:t>
            </w:r>
          </w:p>
        </w:tc>
        <w:tc>
          <w:tcPr>
            <w:tcW w:w="1473" w:type="dxa"/>
            <w:tcBorders>
              <w:top w:val="nil"/>
              <w:left w:val="nil"/>
              <w:bottom w:val="single" w:sz="4" w:space="0" w:color="auto"/>
              <w:right w:val="nil"/>
            </w:tcBorders>
            <w:shd w:val="clear" w:color="auto" w:fill="auto"/>
            <w:vAlign w:val="bottom"/>
          </w:tcPr>
          <w:p w14:paraId="02EC48AA" w14:textId="77777777" w:rsidR="00C016E8" w:rsidRPr="00702DDD" w:rsidRDefault="00C016E8" w:rsidP="00E83386">
            <w:pPr>
              <w:autoSpaceDE w:val="0"/>
              <w:autoSpaceDN w:val="0"/>
              <w:adjustRightInd w:val="0"/>
              <w:jc w:val="center"/>
              <w:rPr>
                <w:rFonts w:ascii="Times New Roman" w:hAnsi="Times New Roman" w:cs="Times New Roman"/>
                <w:color w:val="000000"/>
              </w:rPr>
            </w:pPr>
            <w:r w:rsidRPr="00702DDD">
              <w:rPr>
                <w:rFonts w:ascii="Times New Roman" w:hAnsi="Times New Roman" w:cs="Times New Roman"/>
                <w:color w:val="000000"/>
              </w:rPr>
              <w:t>116,963,831</w:t>
            </w:r>
          </w:p>
        </w:tc>
        <w:tc>
          <w:tcPr>
            <w:tcW w:w="1473" w:type="dxa"/>
            <w:tcBorders>
              <w:top w:val="nil"/>
              <w:left w:val="nil"/>
              <w:bottom w:val="single" w:sz="4" w:space="0" w:color="auto"/>
              <w:right w:val="nil"/>
            </w:tcBorders>
            <w:shd w:val="clear" w:color="auto" w:fill="auto"/>
            <w:vAlign w:val="bottom"/>
          </w:tcPr>
          <w:p w14:paraId="3DAC5010" w14:textId="77777777" w:rsidR="00C016E8" w:rsidRPr="00702DDD" w:rsidRDefault="00C016E8" w:rsidP="00E83386">
            <w:pPr>
              <w:autoSpaceDE w:val="0"/>
              <w:autoSpaceDN w:val="0"/>
              <w:adjustRightInd w:val="0"/>
              <w:jc w:val="center"/>
              <w:rPr>
                <w:rFonts w:ascii="Times New Roman" w:hAnsi="Times New Roman" w:cs="Times New Roman"/>
                <w:color w:val="000000"/>
              </w:rPr>
            </w:pPr>
            <w:r w:rsidRPr="00702DDD">
              <w:rPr>
                <w:rFonts w:ascii="Times New Roman" w:hAnsi="Times New Roman" w:cs="Times New Roman"/>
                <w:color w:val="000000"/>
              </w:rPr>
              <w:t>830,034,024</w:t>
            </w:r>
          </w:p>
        </w:tc>
      </w:tr>
      <w:tr w:rsidR="00C016E8" w:rsidRPr="00702DDD" w14:paraId="68C94FE9" w14:textId="77777777" w:rsidTr="00E83386">
        <w:trPr>
          <w:gridAfter w:val="1"/>
          <w:wAfter w:w="120" w:type="dxa"/>
          <w:trHeight w:val="309"/>
        </w:trPr>
        <w:tc>
          <w:tcPr>
            <w:tcW w:w="2901" w:type="dxa"/>
            <w:tcBorders>
              <w:top w:val="single" w:sz="4" w:space="0" w:color="auto"/>
            </w:tcBorders>
            <w:shd w:val="clear" w:color="auto" w:fill="auto"/>
          </w:tcPr>
          <w:p w14:paraId="07DA5189" w14:textId="77777777" w:rsidR="00C016E8" w:rsidRPr="00702DDD" w:rsidRDefault="00C016E8" w:rsidP="00E83386">
            <w:pPr>
              <w:autoSpaceDE w:val="0"/>
              <w:autoSpaceDN w:val="0"/>
              <w:adjustRightInd w:val="0"/>
              <w:rPr>
                <w:rFonts w:ascii="Times New Roman" w:eastAsia="Calibri" w:hAnsi="Times New Roman" w:cs="Times New Roman"/>
                <w:b/>
                <w:bCs/>
                <w:iCs/>
                <w:color w:val="000000"/>
                <w:szCs w:val="22"/>
              </w:rPr>
            </w:pPr>
            <w:r w:rsidRPr="00702DDD">
              <w:rPr>
                <w:rFonts w:ascii="Times New Roman" w:eastAsia="Calibri" w:hAnsi="Times New Roman" w:cs="Times New Roman"/>
                <w:b/>
                <w:bCs/>
                <w:iCs/>
                <w:color w:val="000000"/>
                <w:szCs w:val="22"/>
              </w:rPr>
              <w:t>Neg Scaled Avg</w:t>
            </w:r>
          </w:p>
        </w:tc>
        <w:tc>
          <w:tcPr>
            <w:tcW w:w="1473" w:type="dxa"/>
            <w:tcBorders>
              <w:top w:val="single" w:sz="4" w:space="0" w:color="auto"/>
            </w:tcBorders>
            <w:shd w:val="clear" w:color="auto" w:fill="auto"/>
          </w:tcPr>
          <w:p w14:paraId="5D76A014"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p>
        </w:tc>
        <w:tc>
          <w:tcPr>
            <w:tcW w:w="1473" w:type="dxa"/>
            <w:tcBorders>
              <w:top w:val="single" w:sz="4" w:space="0" w:color="auto"/>
            </w:tcBorders>
            <w:shd w:val="clear" w:color="auto" w:fill="auto"/>
          </w:tcPr>
          <w:p w14:paraId="2AE7F8A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p>
        </w:tc>
        <w:tc>
          <w:tcPr>
            <w:tcW w:w="1473" w:type="dxa"/>
            <w:tcBorders>
              <w:top w:val="single" w:sz="4" w:space="0" w:color="auto"/>
            </w:tcBorders>
            <w:shd w:val="clear" w:color="auto" w:fill="auto"/>
          </w:tcPr>
          <w:p w14:paraId="203B134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p>
        </w:tc>
        <w:tc>
          <w:tcPr>
            <w:tcW w:w="1473" w:type="dxa"/>
            <w:tcBorders>
              <w:top w:val="single" w:sz="4" w:space="0" w:color="auto"/>
            </w:tcBorders>
            <w:shd w:val="clear" w:color="auto" w:fill="auto"/>
          </w:tcPr>
          <w:p w14:paraId="155E96BB"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p>
        </w:tc>
      </w:tr>
      <w:tr w:rsidR="00C016E8" w:rsidRPr="00702DDD" w14:paraId="118D3403" w14:textId="77777777" w:rsidTr="00E83386">
        <w:trPr>
          <w:gridAfter w:val="1"/>
          <w:wAfter w:w="120" w:type="dxa"/>
          <w:trHeight w:val="309"/>
        </w:trPr>
        <w:tc>
          <w:tcPr>
            <w:tcW w:w="2901" w:type="dxa"/>
            <w:shd w:val="clear" w:color="auto" w:fill="auto"/>
          </w:tcPr>
          <w:p w14:paraId="0E0B7E88"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Northwest</w:t>
            </w:r>
          </w:p>
        </w:tc>
        <w:tc>
          <w:tcPr>
            <w:tcW w:w="1473" w:type="dxa"/>
            <w:tcBorders>
              <w:top w:val="nil"/>
              <w:left w:val="nil"/>
              <w:bottom w:val="nil"/>
              <w:right w:val="nil"/>
            </w:tcBorders>
            <w:shd w:val="clear" w:color="auto" w:fill="auto"/>
            <w:vAlign w:val="bottom"/>
          </w:tcPr>
          <w:p w14:paraId="6A01D58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175,438,596</w:t>
            </w:r>
          </w:p>
        </w:tc>
        <w:tc>
          <w:tcPr>
            <w:tcW w:w="1473" w:type="dxa"/>
            <w:tcBorders>
              <w:top w:val="nil"/>
              <w:left w:val="nil"/>
              <w:bottom w:val="nil"/>
              <w:right w:val="nil"/>
            </w:tcBorders>
            <w:shd w:val="clear" w:color="auto" w:fill="auto"/>
            <w:vAlign w:val="bottom"/>
          </w:tcPr>
          <w:p w14:paraId="636ACAF4"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23,430,852</w:t>
            </w:r>
          </w:p>
        </w:tc>
        <w:tc>
          <w:tcPr>
            <w:tcW w:w="1473" w:type="dxa"/>
            <w:tcBorders>
              <w:top w:val="nil"/>
              <w:left w:val="nil"/>
              <w:bottom w:val="nil"/>
              <w:right w:val="nil"/>
            </w:tcBorders>
            <w:shd w:val="clear" w:color="auto" w:fill="auto"/>
            <w:vAlign w:val="bottom"/>
          </w:tcPr>
          <w:p w14:paraId="12F8E41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11,794,332</w:t>
            </w:r>
          </w:p>
        </w:tc>
        <w:tc>
          <w:tcPr>
            <w:tcW w:w="1473" w:type="dxa"/>
            <w:tcBorders>
              <w:top w:val="nil"/>
              <w:left w:val="nil"/>
              <w:bottom w:val="nil"/>
              <w:right w:val="nil"/>
            </w:tcBorders>
            <w:shd w:val="clear" w:color="auto" w:fill="auto"/>
            <w:vAlign w:val="bottom"/>
          </w:tcPr>
          <w:p w14:paraId="7152D39D"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123,281,732</w:t>
            </w:r>
          </w:p>
        </w:tc>
      </w:tr>
      <w:tr w:rsidR="00C016E8" w:rsidRPr="00702DDD" w14:paraId="45BB483E" w14:textId="77777777" w:rsidTr="00E83386">
        <w:trPr>
          <w:gridAfter w:val="1"/>
          <w:wAfter w:w="120" w:type="dxa"/>
          <w:trHeight w:val="309"/>
        </w:trPr>
        <w:tc>
          <w:tcPr>
            <w:tcW w:w="2901" w:type="dxa"/>
            <w:shd w:val="clear" w:color="auto" w:fill="auto"/>
          </w:tcPr>
          <w:p w14:paraId="711101DF"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Northern Middle</w:t>
            </w:r>
          </w:p>
        </w:tc>
        <w:tc>
          <w:tcPr>
            <w:tcW w:w="1473" w:type="dxa"/>
            <w:tcBorders>
              <w:top w:val="nil"/>
              <w:left w:val="nil"/>
              <w:bottom w:val="nil"/>
              <w:right w:val="nil"/>
            </w:tcBorders>
            <w:shd w:val="clear" w:color="auto" w:fill="auto"/>
            <w:vAlign w:val="bottom"/>
          </w:tcPr>
          <w:p w14:paraId="3481BD5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90,692,454</w:t>
            </w:r>
          </w:p>
        </w:tc>
        <w:tc>
          <w:tcPr>
            <w:tcW w:w="1473" w:type="dxa"/>
            <w:tcBorders>
              <w:top w:val="nil"/>
              <w:left w:val="nil"/>
              <w:bottom w:val="nil"/>
              <w:right w:val="nil"/>
            </w:tcBorders>
            <w:shd w:val="clear" w:color="auto" w:fill="auto"/>
            <w:vAlign w:val="bottom"/>
          </w:tcPr>
          <w:p w14:paraId="7049EA8D"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4,505,421</w:t>
            </w:r>
          </w:p>
        </w:tc>
        <w:tc>
          <w:tcPr>
            <w:tcW w:w="1473" w:type="dxa"/>
            <w:tcBorders>
              <w:top w:val="nil"/>
              <w:left w:val="nil"/>
              <w:bottom w:val="nil"/>
              <w:right w:val="nil"/>
            </w:tcBorders>
            <w:shd w:val="clear" w:color="auto" w:fill="auto"/>
            <w:vAlign w:val="bottom"/>
          </w:tcPr>
          <w:p w14:paraId="5EB820A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3,377,699</w:t>
            </w:r>
          </w:p>
        </w:tc>
        <w:tc>
          <w:tcPr>
            <w:tcW w:w="1473" w:type="dxa"/>
            <w:tcBorders>
              <w:top w:val="nil"/>
              <w:left w:val="nil"/>
              <w:bottom w:val="nil"/>
              <w:right w:val="nil"/>
            </w:tcBorders>
            <w:shd w:val="clear" w:color="auto" w:fill="auto"/>
            <w:vAlign w:val="bottom"/>
          </w:tcPr>
          <w:p w14:paraId="58C98334"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18,171,923</w:t>
            </w:r>
          </w:p>
        </w:tc>
      </w:tr>
      <w:tr w:rsidR="00C016E8" w:rsidRPr="00702DDD" w14:paraId="609A9131" w14:textId="77777777" w:rsidTr="00E83386">
        <w:trPr>
          <w:gridAfter w:val="1"/>
          <w:wAfter w:w="120" w:type="dxa"/>
          <w:trHeight w:val="309"/>
        </w:trPr>
        <w:tc>
          <w:tcPr>
            <w:tcW w:w="2901" w:type="dxa"/>
            <w:shd w:val="clear" w:color="auto" w:fill="auto"/>
          </w:tcPr>
          <w:p w14:paraId="3CCF5102"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Upper Cumberland</w:t>
            </w:r>
          </w:p>
        </w:tc>
        <w:tc>
          <w:tcPr>
            <w:tcW w:w="1473" w:type="dxa"/>
            <w:tcBorders>
              <w:top w:val="nil"/>
              <w:left w:val="nil"/>
              <w:bottom w:val="nil"/>
              <w:right w:val="nil"/>
            </w:tcBorders>
            <w:shd w:val="clear" w:color="auto" w:fill="auto"/>
            <w:vAlign w:val="bottom"/>
          </w:tcPr>
          <w:p w14:paraId="78639570"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18,252,440</w:t>
            </w:r>
          </w:p>
        </w:tc>
        <w:tc>
          <w:tcPr>
            <w:tcW w:w="1473" w:type="dxa"/>
            <w:tcBorders>
              <w:top w:val="nil"/>
              <w:left w:val="nil"/>
              <w:bottom w:val="nil"/>
              <w:right w:val="nil"/>
            </w:tcBorders>
            <w:shd w:val="clear" w:color="auto" w:fill="auto"/>
            <w:vAlign w:val="bottom"/>
          </w:tcPr>
          <w:p w14:paraId="1F68D01E"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40,847,916</w:t>
            </w:r>
          </w:p>
        </w:tc>
        <w:tc>
          <w:tcPr>
            <w:tcW w:w="1473" w:type="dxa"/>
            <w:tcBorders>
              <w:top w:val="nil"/>
              <w:left w:val="nil"/>
              <w:bottom w:val="nil"/>
              <w:right w:val="nil"/>
            </w:tcBorders>
            <w:shd w:val="clear" w:color="auto" w:fill="auto"/>
            <w:vAlign w:val="bottom"/>
          </w:tcPr>
          <w:p w14:paraId="1304CE1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9,791,790</w:t>
            </w:r>
          </w:p>
        </w:tc>
        <w:tc>
          <w:tcPr>
            <w:tcW w:w="1473" w:type="dxa"/>
            <w:tcBorders>
              <w:top w:val="nil"/>
              <w:left w:val="nil"/>
              <w:bottom w:val="nil"/>
              <w:right w:val="nil"/>
            </w:tcBorders>
            <w:shd w:val="clear" w:color="auto" w:fill="auto"/>
            <w:vAlign w:val="bottom"/>
          </w:tcPr>
          <w:p w14:paraId="3A621A5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104,878,836</w:t>
            </w:r>
          </w:p>
        </w:tc>
      </w:tr>
      <w:tr w:rsidR="00C016E8" w:rsidRPr="00702DDD" w14:paraId="74060B42" w14:textId="77777777" w:rsidTr="00E83386">
        <w:trPr>
          <w:gridAfter w:val="1"/>
          <w:wAfter w:w="120" w:type="dxa"/>
          <w:trHeight w:val="309"/>
        </w:trPr>
        <w:tc>
          <w:tcPr>
            <w:tcW w:w="2901" w:type="dxa"/>
            <w:shd w:val="clear" w:color="auto" w:fill="auto"/>
          </w:tcPr>
          <w:p w14:paraId="24C0E71C"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East</w:t>
            </w:r>
          </w:p>
        </w:tc>
        <w:tc>
          <w:tcPr>
            <w:tcW w:w="1473" w:type="dxa"/>
            <w:tcBorders>
              <w:top w:val="nil"/>
              <w:left w:val="nil"/>
              <w:bottom w:val="nil"/>
              <w:right w:val="nil"/>
            </w:tcBorders>
            <w:shd w:val="clear" w:color="auto" w:fill="auto"/>
            <w:vAlign w:val="bottom"/>
          </w:tcPr>
          <w:p w14:paraId="176EDCA4"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284,383,490</w:t>
            </w:r>
          </w:p>
        </w:tc>
        <w:tc>
          <w:tcPr>
            <w:tcW w:w="1473" w:type="dxa"/>
            <w:tcBorders>
              <w:top w:val="nil"/>
              <w:left w:val="nil"/>
              <w:bottom w:val="nil"/>
              <w:right w:val="nil"/>
            </w:tcBorders>
            <w:shd w:val="clear" w:color="auto" w:fill="auto"/>
            <w:vAlign w:val="bottom"/>
          </w:tcPr>
          <w:p w14:paraId="13132D4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43,754,606</w:t>
            </w:r>
          </w:p>
        </w:tc>
        <w:tc>
          <w:tcPr>
            <w:tcW w:w="1473" w:type="dxa"/>
            <w:tcBorders>
              <w:top w:val="nil"/>
              <w:left w:val="nil"/>
              <w:bottom w:val="nil"/>
              <w:right w:val="nil"/>
            </w:tcBorders>
            <w:shd w:val="clear" w:color="auto" w:fill="auto"/>
            <w:vAlign w:val="bottom"/>
          </w:tcPr>
          <w:p w14:paraId="61BD1BB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27,952,221</w:t>
            </w:r>
          </w:p>
        </w:tc>
        <w:tc>
          <w:tcPr>
            <w:tcW w:w="1473" w:type="dxa"/>
            <w:tcBorders>
              <w:top w:val="nil"/>
              <w:left w:val="nil"/>
              <w:bottom w:val="nil"/>
              <w:right w:val="nil"/>
            </w:tcBorders>
            <w:shd w:val="clear" w:color="auto" w:fill="auto"/>
            <w:vAlign w:val="bottom"/>
          </w:tcPr>
          <w:p w14:paraId="2EDD1F49"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160,095,279</w:t>
            </w:r>
          </w:p>
        </w:tc>
      </w:tr>
      <w:tr w:rsidR="00C016E8" w:rsidRPr="00702DDD" w14:paraId="430DC0A5" w14:textId="77777777" w:rsidTr="00E83386">
        <w:trPr>
          <w:gridAfter w:val="1"/>
          <w:wAfter w:w="120" w:type="dxa"/>
          <w:trHeight w:val="309"/>
        </w:trPr>
        <w:tc>
          <w:tcPr>
            <w:tcW w:w="2901" w:type="dxa"/>
            <w:shd w:val="clear" w:color="auto" w:fill="auto"/>
          </w:tcPr>
          <w:p w14:paraId="26EAD7B7"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Northeast</w:t>
            </w:r>
          </w:p>
        </w:tc>
        <w:tc>
          <w:tcPr>
            <w:tcW w:w="1473" w:type="dxa"/>
            <w:tcBorders>
              <w:top w:val="nil"/>
              <w:left w:val="nil"/>
              <w:bottom w:val="nil"/>
              <w:right w:val="nil"/>
            </w:tcBorders>
            <w:shd w:val="clear" w:color="auto" w:fill="auto"/>
            <w:vAlign w:val="bottom"/>
          </w:tcPr>
          <w:p w14:paraId="1A62615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64,612,315</w:t>
            </w:r>
          </w:p>
        </w:tc>
        <w:tc>
          <w:tcPr>
            <w:tcW w:w="1473" w:type="dxa"/>
            <w:tcBorders>
              <w:top w:val="nil"/>
              <w:left w:val="nil"/>
              <w:bottom w:val="nil"/>
              <w:right w:val="nil"/>
            </w:tcBorders>
            <w:shd w:val="clear" w:color="auto" w:fill="auto"/>
            <w:vAlign w:val="bottom"/>
          </w:tcPr>
          <w:p w14:paraId="4B3C587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22,888,542</w:t>
            </w:r>
          </w:p>
        </w:tc>
        <w:tc>
          <w:tcPr>
            <w:tcW w:w="1473" w:type="dxa"/>
            <w:tcBorders>
              <w:top w:val="nil"/>
              <w:left w:val="nil"/>
              <w:bottom w:val="nil"/>
              <w:right w:val="nil"/>
            </w:tcBorders>
            <w:shd w:val="clear" w:color="auto" w:fill="auto"/>
            <w:vAlign w:val="bottom"/>
          </w:tcPr>
          <w:p w14:paraId="651A804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13,961,071</w:t>
            </w:r>
          </w:p>
        </w:tc>
        <w:tc>
          <w:tcPr>
            <w:tcW w:w="1473" w:type="dxa"/>
            <w:tcBorders>
              <w:top w:val="nil"/>
              <w:left w:val="nil"/>
              <w:bottom w:val="nil"/>
              <w:right w:val="nil"/>
            </w:tcBorders>
            <w:shd w:val="clear" w:color="auto" w:fill="auto"/>
            <w:vAlign w:val="bottom"/>
          </w:tcPr>
          <w:p w14:paraId="44B73234"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101,461,928</w:t>
            </w:r>
          </w:p>
        </w:tc>
      </w:tr>
      <w:tr w:rsidR="00C016E8" w:rsidRPr="00702DDD" w14:paraId="174689A7" w14:textId="77777777" w:rsidTr="00E83386">
        <w:trPr>
          <w:gridAfter w:val="1"/>
          <w:wAfter w:w="120" w:type="dxa"/>
          <w:trHeight w:val="309"/>
        </w:trPr>
        <w:tc>
          <w:tcPr>
            <w:tcW w:w="2901" w:type="dxa"/>
            <w:shd w:val="clear" w:color="auto" w:fill="auto"/>
          </w:tcPr>
          <w:p w14:paraId="01A445EC"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Southeast</w:t>
            </w:r>
          </w:p>
        </w:tc>
        <w:tc>
          <w:tcPr>
            <w:tcW w:w="1473" w:type="dxa"/>
            <w:tcBorders>
              <w:top w:val="nil"/>
              <w:left w:val="nil"/>
              <w:bottom w:val="nil"/>
              <w:right w:val="nil"/>
            </w:tcBorders>
            <w:shd w:val="clear" w:color="auto" w:fill="auto"/>
            <w:vAlign w:val="bottom"/>
          </w:tcPr>
          <w:p w14:paraId="161B294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79,514,776</w:t>
            </w:r>
          </w:p>
        </w:tc>
        <w:tc>
          <w:tcPr>
            <w:tcW w:w="1473" w:type="dxa"/>
            <w:tcBorders>
              <w:top w:val="nil"/>
              <w:left w:val="nil"/>
              <w:bottom w:val="nil"/>
              <w:right w:val="nil"/>
            </w:tcBorders>
            <w:shd w:val="clear" w:color="auto" w:fill="auto"/>
            <w:vAlign w:val="bottom"/>
          </w:tcPr>
          <w:p w14:paraId="2B0A772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20,039,326</w:t>
            </w:r>
          </w:p>
        </w:tc>
        <w:tc>
          <w:tcPr>
            <w:tcW w:w="1473" w:type="dxa"/>
            <w:tcBorders>
              <w:top w:val="nil"/>
              <w:left w:val="nil"/>
              <w:bottom w:val="nil"/>
              <w:right w:val="nil"/>
            </w:tcBorders>
            <w:shd w:val="clear" w:color="auto" w:fill="auto"/>
            <w:vAlign w:val="bottom"/>
          </w:tcPr>
          <w:p w14:paraId="4B89347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15,759,567</w:t>
            </w:r>
          </w:p>
        </w:tc>
        <w:tc>
          <w:tcPr>
            <w:tcW w:w="1473" w:type="dxa"/>
            <w:tcBorders>
              <w:top w:val="nil"/>
              <w:left w:val="nil"/>
              <w:bottom w:val="nil"/>
              <w:right w:val="nil"/>
            </w:tcBorders>
            <w:shd w:val="clear" w:color="auto" w:fill="auto"/>
            <w:vAlign w:val="bottom"/>
          </w:tcPr>
          <w:p w14:paraId="69AFC5D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115,313,669</w:t>
            </w:r>
          </w:p>
        </w:tc>
      </w:tr>
      <w:tr w:rsidR="00C016E8" w:rsidRPr="00702DDD" w14:paraId="5C51C474" w14:textId="77777777" w:rsidTr="00E83386">
        <w:trPr>
          <w:gridAfter w:val="1"/>
          <w:wAfter w:w="120" w:type="dxa"/>
          <w:trHeight w:val="309"/>
        </w:trPr>
        <w:tc>
          <w:tcPr>
            <w:tcW w:w="2901" w:type="dxa"/>
            <w:shd w:val="clear" w:color="auto" w:fill="auto"/>
          </w:tcPr>
          <w:p w14:paraId="081B8165"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Southern Middle</w:t>
            </w:r>
          </w:p>
        </w:tc>
        <w:tc>
          <w:tcPr>
            <w:tcW w:w="1473" w:type="dxa"/>
            <w:tcBorders>
              <w:top w:val="nil"/>
              <w:left w:val="nil"/>
              <w:bottom w:val="nil"/>
              <w:right w:val="nil"/>
            </w:tcBorders>
            <w:shd w:val="clear" w:color="auto" w:fill="auto"/>
            <w:vAlign w:val="bottom"/>
          </w:tcPr>
          <w:p w14:paraId="223FBC3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39,084,610</w:t>
            </w:r>
          </w:p>
        </w:tc>
        <w:tc>
          <w:tcPr>
            <w:tcW w:w="1473" w:type="dxa"/>
            <w:tcBorders>
              <w:top w:val="nil"/>
              <w:left w:val="nil"/>
              <w:bottom w:val="nil"/>
              <w:right w:val="nil"/>
            </w:tcBorders>
            <w:shd w:val="clear" w:color="auto" w:fill="auto"/>
            <w:vAlign w:val="bottom"/>
          </w:tcPr>
          <w:p w14:paraId="02251AA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10,009,485</w:t>
            </w:r>
          </w:p>
        </w:tc>
        <w:tc>
          <w:tcPr>
            <w:tcW w:w="1473" w:type="dxa"/>
            <w:tcBorders>
              <w:top w:val="nil"/>
              <w:left w:val="nil"/>
              <w:bottom w:val="nil"/>
              <w:right w:val="nil"/>
            </w:tcBorders>
            <w:shd w:val="clear" w:color="auto" w:fill="auto"/>
            <w:vAlign w:val="bottom"/>
          </w:tcPr>
          <w:p w14:paraId="647C056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5,612,007</w:t>
            </w:r>
          </w:p>
        </w:tc>
        <w:tc>
          <w:tcPr>
            <w:tcW w:w="1473" w:type="dxa"/>
            <w:tcBorders>
              <w:top w:val="nil"/>
              <w:left w:val="nil"/>
              <w:bottom w:val="nil"/>
              <w:right w:val="nil"/>
            </w:tcBorders>
            <w:shd w:val="clear" w:color="auto" w:fill="auto"/>
            <w:vAlign w:val="bottom"/>
          </w:tcPr>
          <w:p w14:paraId="04E83BFB"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54,706,102</w:t>
            </w:r>
          </w:p>
        </w:tc>
      </w:tr>
      <w:tr w:rsidR="00C016E8" w:rsidRPr="00702DDD" w14:paraId="1F8519A3" w14:textId="77777777" w:rsidTr="00E83386">
        <w:trPr>
          <w:gridAfter w:val="1"/>
          <w:wAfter w:w="120" w:type="dxa"/>
          <w:trHeight w:val="309"/>
        </w:trPr>
        <w:tc>
          <w:tcPr>
            <w:tcW w:w="2901" w:type="dxa"/>
            <w:shd w:val="clear" w:color="auto" w:fill="auto"/>
          </w:tcPr>
          <w:p w14:paraId="47EA7FCA"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Southwest</w:t>
            </w:r>
          </w:p>
        </w:tc>
        <w:tc>
          <w:tcPr>
            <w:tcW w:w="1473" w:type="dxa"/>
            <w:tcBorders>
              <w:top w:val="nil"/>
              <w:left w:val="nil"/>
              <w:bottom w:val="nil"/>
              <w:right w:val="nil"/>
            </w:tcBorders>
            <w:shd w:val="clear" w:color="auto" w:fill="auto"/>
            <w:vAlign w:val="bottom"/>
          </w:tcPr>
          <w:p w14:paraId="0A35469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49,683,644</w:t>
            </w:r>
          </w:p>
        </w:tc>
        <w:tc>
          <w:tcPr>
            <w:tcW w:w="1473" w:type="dxa"/>
            <w:tcBorders>
              <w:top w:val="nil"/>
              <w:left w:val="nil"/>
              <w:bottom w:val="nil"/>
              <w:right w:val="nil"/>
            </w:tcBorders>
            <w:shd w:val="clear" w:color="auto" w:fill="auto"/>
            <w:vAlign w:val="bottom"/>
          </w:tcPr>
          <w:p w14:paraId="38E10EE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25,097,735</w:t>
            </w:r>
          </w:p>
        </w:tc>
        <w:tc>
          <w:tcPr>
            <w:tcW w:w="1473" w:type="dxa"/>
            <w:tcBorders>
              <w:top w:val="nil"/>
              <w:left w:val="nil"/>
              <w:bottom w:val="nil"/>
              <w:right w:val="nil"/>
            </w:tcBorders>
            <w:shd w:val="clear" w:color="auto" w:fill="auto"/>
            <w:vAlign w:val="bottom"/>
          </w:tcPr>
          <w:p w14:paraId="2D049E4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9,001,484</w:t>
            </w:r>
          </w:p>
        </w:tc>
        <w:tc>
          <w:tcPr>
            <w:tcW w:w="1473" w:type="dxa"/>
            <w:tcBorders>
              <w:top w:val="nil"/>
              <w:left w:val="nil"/>
              <w:bottom w:val="nil"/>
              <w:right w:val="nil"/>
            </w:tcBorders>
            <w:shd w:val="clear" w:color="auto" w:fill="auto"/>
            <w:vAlign w:val="bottom"/>
          </w:tcPr>
          <w:p w14:paraId="25393A7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83,782,864</w:t>
            </w:r>
          </w:p>
        </w:tc>
      </w:tr>
      <w:tr w:rsidR="00C016E8" w:rsidRPr="00702DDD" w14:paraId="0CD1B993" w14:textId="77777777" w:rsidTr="00E83386">
        <w:trPr>
          <w:trHeight w:val="309"/>
        </w:trPr>
        <w:tc>
          <w:tcPr>
            <w:tcW w:w="2901" w:type="dxa"/>
            <w:tcBorders>
              <w:bottom w:val="nil"/>
            </w:tcBorders>
            <w:shd w:val="clear" w:color="auto" w:fill="auto"/>
          </w:tcPr>
          <w:p w14:paraId="50354859"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Greater Memphis</w:t>
            </w:r>
          </w:p>
        </w:tc>
        <w:tc>
          <w:tcPr>
            <w:tcW w:w="1473" w:type="dxa"/>
            <w:tcBorders>
              <w:top w:val="nil"/>
              <w:left w:val="nil"/>
              <w:bottom w:val="nil"/>
              <w:right w:val="nil"/>
            </w:tcBorders>
            <w:shd w:val="clear" w:color="auto" w:fill="auto"/>
            <w:vAlign w:val="bottom"/>
          </w:tcPr>
          <w:p w14:paraId="272558C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22,793,647</w:t>
            </w:r>
          </w:p>
        </w:tc>
        <w:tc>
          <w:tcPr>
            <w:tcW w:w="1473" w:type="dxa"/>
            <w:tcBorders>
              <w:top w:val="nil"/>
              <w:left w:val="nil"/>
              <w:bottom w:val="nil"/>
              <w:right w:val="nil"/>
            </w:tcBorders>
            <w:shd w:val="clear" w:color="auto" w:fill="auto"/>
            <w:vAlign w:val="bottom"/>
          </w:tcPr>
          <w:p w14:paraId="5ECB609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6,414,618</w:t>
            </w:r>
          </w:p>
        </w:tc>
        <w:tc>
          <w:tcPr>
            <w:tcW w:w="1473" w:type="dxa"/>
            <w:tcBorders>
              <w:top w:val="nil"/>
              <w:left w:val="nil"/>
              <w:bottom w:val="nil"/>
              <w:right w:val="nil"/>
            </w:tcBorders>
            <w:shd w:val="clear" w:color="auto" w:fill="auto"/>
            <w:vAlign w:val="bottom"/>
          </w:tcPr>
          <w:p w14:paraId="3B46928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8,439,245</w:t>
            </w:r>
          </w:p>
        </w:tc>
        <w:tc>
          <w:tcPr>
            <w:tcW w:w="1473" w:type="dxa"/>
            <w:gridSpan w:val="2"/>
            <w:tcBorders>
              <w:top w:val="nil"/>
              <w:left w:val="nil"/>
              <w:bottom w:val="nil"/>
              <w:right w:val="nil"/>
            </w:tcBorders>
            <w:shd w:val="clear" w:color="auto" w:fill="auto"/>
            <w:vAlign w:val="bottom"/>
          </w:tcPr>
          <w:p w14:paraId="1D70D61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37,647,511</w:t>
            </w:r>
          </w:p>
        </w:tc>
      </w:tr>
      <w:tr w:rsidR="00C016E8" w:rsidRPr="00702DDD" w14:paraId="656100EE" w14:textId="77777777" w:rsidTr="00E83386">
        <w:trPr>
          <w:trHeight w:val="309"/>
        </w:trPr>
        <w:tc>
          <w:tcPr>
            <w:tcW w:w="2901" w:type="dxa"/>
            <w:tcBorders>
              <w:top w:val="nil"/>
              <w:bottom w:val="single" w:sz="4" w:space="0" w:color="auto"/>
            </w:tcBorders>
            <w:shd w:val="clear" w:color="auto" w:fill="auto"/>
          </w:tcPr>
          <w:p w14:paraId="64C8FCFD" w14:textId="77777777" w:rsidR="00C016E8" w:rsidRPr="00702DDD" w:rsidRDefault="00C016E8" w:rsidP="00E83386">
            <w:pPr>
              <w:autoSpaceDE w:val="0"/>
              <w:autoSpaceDN w:val="0"/>
              <w:adjustRightInd w:val="0"/>
              <w:rPr>
                <w:rFonts w:ascii="Times New Roman" w:eastAsia="Calibri" w:hAnsi="Times New Roman" w:cs="Times New Roman"/>
                <w:bCs/>
                <w:i/>
                <w:iCs/>
                <w:color w:val="000000"/>
                <w:szCs w:val="22"/>
              </w:rPr>
            </w:pPr>
            <w:r w:rsidRPr="00702DDD">
              <w:rPr>
                <w:rFonts w:ascii="Times New Roman" w:eastAsia="Calibri" w:hAnsi="Times New Roman" w:cs="Times New Roman"/>
                <w:bCs/>
                <w:i/>
                <w:iCs/>
                <w:color w:val="000000"/>
                <w:szCs w:val="22"/>
              </w:rPr>
              <w:t>Aggregate</w:t>
            </w:r>
          </w:p>
        </w:tc>
        <w:tc>
          <w:tcPr>
            <w:tcW w:w="1473" w:type="dxa"/>
            <w:tcBorders>
              <w:top w:val="nil"/>
              <w:left w:val="nil"/>
              <w:bottom w:val="single" w:sz="4" w:space="0" w:color="auto"/>
              <w:right w:val="nil"/>
            </w:tcBorders>
            <w:shd w:val="clear" w:color="auto" w:fill="auto"/>
            <w:vAlign w:val="bottom"/>
          </w:tcPr>
          <w:p w14:paraId="0D9E65C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824,455,973</w:t>
            </w:r>
          </w:p>
        </w:tc>
        <w:tc>
          <w:tcPr>
            <w:tcW w:w="1473" w:type="dxa"/>
            <w:tcBorders>
              <w:top w:val="nil"/>
              <w:left w:val="nil"/>
              <w:bottom w:val="single" w:sz="4" w:space="0" w:color="auto"/>
              <w:right w:val="nil"/>
            </w:tcBorders>
            <w:shd w:val="clear" w:color="auto" w:fill="auto"/>
            <w:vAlign w:val="bottom"/>
          </w:tcPr>
          <w:p w14:paraId="10B3646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196,988,503</w:t>
            </w:r>
          </w:p>
        </w:tc>
        <w:tc>
          <w:tcPr>
            <w:tcW w:w="1473" w:type="dxa"/>
            <w:tcBorders>
              <w:top w:val="nil"/>
              <w:left w:val="nil"/>
              <w:bottom w:val="single" w:sz="4" w:space="0" w:color="auto"/>
              <w:right w:val="nil"/>
            </w:tcBorders>
            <w:shd w:val="clear" w:color="auto" w:fill="auto"/>
            <w:vAlign w:val="bottom"/>
          </w:tcPr>
          <w:p w14:paraId="4D1F867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105,689,417</w:t>
            </w:r>
          </w:p>
        </w:tc>
        <w:tc>
          <w:tcPr>
            <w:tcW w:w="1473" w:type="dxa"/>
            <w:gridSpan w:val="2"/>
            <w:tcBorders>
              <w:top w:val="nil"/>
              <w:left w:val="nil"/>
              <w:bottom w:val="single" w:sz="4" w:space="0" w:color="auto"/>
              <w:right w:val="nil"/>
            </w:tcBorders>
            <w:shd w:val="clear" w:color="auto" w:fill="auto"/>
            <w:vAlign w:val="bottom"/>
          </w:tcPr>
          <w:p w14:paraId="4D76E5F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r w:rsidRPr="00702DDD">
              <w:rPr>
                <w:rFonts w:ascii="Times New Roman" w:hAnsi="Times New Roman" w:cs="Times New Roman"/>
                <w:color w:val="000000"/>
              </w:rPr>
              <w:t>799,339,845</w:t>
            </w:r>
          </w:p>
        </w:tc>
      </w:tr>
    </w:tbl>
    <w:p w14:paraId="556DA03F" w14:textId="77777777" w:rsidR="00C016E8" w:rsidRPr="00702DDD" w:rsidRDefault="00C016E8" w:rsidP="00C016E8">
      <w:pPr>
        <w:rPr>
          <w:rFonts w:ascii="Times New Roman" w:hAnsi="Times New Roman" w:cs="Times New Roman"/>
          <w:b/>
          <w:highlight w:val="green"/>
        </w:rPr>
      </w:pPr>
    </w:p>
    <w:p w14:paraId="69A97F67" w14:textId="77777777" w:rsidR="00C016E8" w:rsidRPr="00702DDD" w:rsidRDefault="00C016E8" w:rsidP="00C016E8">
      <w:pPr>
        <w:rPr>
          <w:rFonts w:ascii="Times New Roman" w:hAnsi="Times New Roman" w:cs="Times New Roman"/>
          <w:b/>
          <w:highlight w:val="green"/>
        </w:rPr>
      </w:pPr>
      <w:r w:rsidRPr="00702DDD">
        <w:rPr>
          <w:rFonts w:ascii="Times New Roman" w:hAnsi="Times New Roman" w:cs="Times New Roman"/>
          <w:b/>
          <w:highlight w:val="green"/>
        </w:rPr>
        <w:br w:type="page"/>
      </w:r>
    </w:p>
    <w:p w14:paraId="26898F8D" w14:textId="7341BA7A" w:rsidR="00C016E8" w:rsidRPr="00702DDD" w:rsidRDefault="00C016E8" w:rsidP="00C016E8">
      <w:pPr>
        <w:rPr>
          <w:rFonts w:ascii="Times New Roman" w:hAnsi="Times New Roman" w:cs="Times New Roman"/>
          <w:b/>
        </w:rPr>
      </w:pPr>
      <w:bookmarkStart w:id="82" w:name="_Hlk94616536"/>
      <w:r w:rsidRPr="00702DDD">
        <w:rPr>
          <w:rFonts w:ascii="Times New Roman" w:hAnsi="Times New Roman" w:cs="Times New Roman"/>
          <w:b/>
        </w:rPr>
        <w:lastRenderedPageBreak/>
        <w:t>Table 2.</w:t>
      </w:r>
      <w:r w:rsidR="00C72EA1">
        <w:rPr>
          <w:rFonts w:ascii="Times New Roman" w:hAnsi="Times New Roman" w:cs="Times New Roman"/>
          <w:b/>
        </w:rPr>
        <w:t>7:</w:t>
      </w:r>
      <w:r w:rsidRPr="00702DDD">
        <w:rPr>
          <w:rFonts w:ascii="Times New Roman" w:hAnsi="Times New Roman" w:cs="Times New Roman"/>
          <w:b/>
        </w:rPr>
        <w:t xml:space="preserve"> 2019 Tennessee Output Impacts by ATPI Method Allocation (in Dollars)</w:t>
      </w:r>
    </w:p>
    <w:tbl>
      <w:tblPr>
        <w:tblW w:w="8793" w:type="dxa"/>
        <w:tblInd w:w="-30" w:type="dxa"/>
        <w:tblBorders>
          <w:top w:val="single" w:sz="4" w:space="0" w:color="auto"/>
          <w:bottom w:val="single" w:sz="4" w:space="0" w:color="auto"/>
        </w:tblBorders>
        <w:tblLayout w:type="fixed"/>
        <w:tblLook w:val="0000" w:firstRow="0" w:lastRow="0" w:firstColumn="0" w:lastColumn="0" w:noHBand="0" w:noVBand="0"/>
      </w:tblPr>
      <w:tblGrid>
        <w:gridCol w:w="2901"/>
        <w:gridCol w:w="1473"/>
        <w:gridCol w:w="1473"/>
        <w:gridCol w:w="1473"/>
        <w:gridCol w:w="1473"/>
      </w:tblGrid>
      <w:tr w:rsidR="00C016E8" w:rsidRPr="00702DDD" w14:paraId="4EF22D7B" w14:textId="77777777" w:rsidTr="00E83386">
        <w:trPr>
          <w:trHeight w:val="294"/>
        </w:trPr>
        <w:tc>
          <w:tcPr>
            <w:tcW w:w="2901" w:type="dxa"/>
            <w:shd w:val="clear" w:color="auto" w:fill="ED7D31" w:themeFill="accent2"/>
          </w:tcPr>
          <w:bookmarkEnd w:id="82"/>
          <w:p w14:paraId="0654D4BD" w14:textId="77777777" w:rsidR="00C016E8" w:rsidRPr="00702DDD" w:rsidRDefault="00C016E8" w:rsidP="00E83386">
            <w:pPr>
              <w:autoSpaceDE w:val="0"/>
              <w:autoSpaceDN w:val="0"/>
              <w:adjustRightInd w:val="0"/>
              <w:rPr>
                <w:rFonts w:ascii="Times New Roman" w:eastAsia="Calibri" w:hAnsi="Times New Roman" w:cs="Times New Roman"/>
                <w:b/>
                <w:bCs/>
                <w:i/>
                <w:iCs/>
                <w:color w:val="000000"/>
                <w:szCs w:val="22"/>
              </w:rPr>
            </w:pPr>
            <w:r w:rsidRPr="00702DDD">
              <w:rPr>
                <w:rFonts w:ascii="Times New Roman" w:eastAsia="Calibri" w:hAnsi="Times New Roman" w:cs="Times New Roman"/>
                <w:b/>
                <w:bCs/>
                <w:i/>
                <w:iCs/>
                <w:color w:val="000000"/>
                <w:szCs w:val="22"/>
              </w:rPr>
              <w:t>Regions</w:t>
            </w:r>
          </w:p>
        </w:tc>
        <w:tc>
          <w:tcPr>
            <w:tcW w:w="1473" w:type="dxa"/>
            <w:shd w:val="clear" w:color="auto" w:fill="ED7D31" w:themeFill="accent2"/>
          </w:tcPr>
          <w:p w14:paraId="7F721931" w14:textId="77777777" w:rsidR="00C016E8" w:rsidRPr="00702DDD" w:rsidRDefault="00C016E8" w:rsidP="00E83386">
            <w:pPr>
              <w:autoSpaceDE w:val="0"/>
              <w:autoSpaceDN w:val="0"/>
              <w:adjustRightInd w:val="0"/>
              <w:jc w:val="center"/>
              <w:rPr>
                <w:rFonts w:ascii="Times New Roman" w:eastAsia="Calibri" w:hAnsi="Times New Roman" w:cs="Times New Roman"/>
                <w:b/>
                <w:bCs/>
                <w:i/>
                <w:iCs/>
                <w:color w:val="000000"/>
                <w:szCs w:val="22"/>
              </w:rPr>
            </w:pPr>
            <w:r w:rsidRPr="00702DDD">
              <w:rPr>
                <w:rFonts w:ascii="Times New Roman" w:eastAsia="Calibri" w:hAnsi="Times New Roman" w:cs="Times New Roman"/>
                <w:b/>
                <w:bCs/>
                <w:i/>
                <w:iCs/>
                <w:color w:val="000000"/>
                <w:szCs w:val="22"/>
              </w:rPr>
              <w:t>Direct</w:t>
            </w:r>
          </w:p>
        </w:tc>
        <w:tc>
          <w:tcPr>
            <w:tcW w:w="1473" w:type="dxa"/>
            <w:shd w:val="clear" w:color="auto" w:fill="ED7D31" w:themeFill="accent2"/>
          </w:tcPr>
          <w:p w14:paraId="573D7864" w14:textId="77777777" w:rsidR="00C016E8" w:rsidRPr="00702DDD" w:rsidRDefault="00C016E8" w:rsidP="00E83386">
            <w:pPr>
              <w:autoSpaceDE w:val="0"/>
              <w:autoSpaceDN w:val="0"/>
              <w:adjustRightInd w:val="0"/>
              <w:jc w:val="center"/>
              <w:rPr>
                <w:rFonts w:ascii="Times New Roman" w:eastAsia="Calibri" w:hAnsi="Times New Roman" w:cs="Times New Roman"/>
                <w:b/>
                <w:bCs/>
                <w:i/>
                <w:iCs/>
                <w:color w:val="000000"/>
                <w:szCs w:val="22"/>
              </w:rPr>
            </w:pPr>
            <w:r w:rsidRPr="00702DDD">
              <w:rPr>
                <w:rFonts w:ascii="Times New Roman" w:eastAsia="Calibri" w:hAnsi="Times New Roman" w:cs="Times New Roman"/>
                <w:b/>
                <w:bCs/>
                <w:i/>
                <w:iCs/>
                <w:color w:val="000000"/>
                <w:szCs w:val="22"/>
              </w:rPr>
              <w:t>Indirect</w:t>
            </w:r>
          </w:p>
        </w:tc>
        <w:tc>
          <w:tcPr>
            <w:tcW w:w="1473" w:type="dxa"/>
            <w:shd w:val="clear" w:color="auto" w:fill="ED7D31" w:themeFill="accent2"/>
          </w:tcPr>
          <w:p w14:paraId="6C407D73" w14:textId="77777777" w:rsidR="00C016E8" w:rsidRPr="00702DDD" w:rsidRDefault="00C016E8" w:rsidP="00E83386">
            <w:pPr>
              <w:autoSpaceDE w:val="0"/>
              <w:autoSpaceDN w:val="0"/>
              <w:adjustRightInd w:val="0"/>
              <w:jc w:val="center"/>
              <w:rPr>
                <w:rFonts w:ascii="Times New Roman" w:eastAsia="Calibri" w:hAnsi="Times New Roman" w:cs="Times New Roman"/>
                <w:b/>
                <w:bCs/>
                <w:i/>
                <w:iCs/>
                <w:color w:val="000000"/>
                <w:szCs w:val="22"/>
              </w:rPr>
            </w:pPr>
            <w:r w:rsidRPr="00702DDD">
              <w:rPr>
                <w:rFonts w:ascii="Times New Roman" w:eastAsia="Calibri" w:hAnsi="Times New Roman" w:cs="Times New Roman"/>
                <w:b/>
                <w:bCs/>
                <w:i/>
                <w:iCs/>
                <w:color w:val="000000"/>
                <w:szCs w:val="22"/>
              </w:rPr>
              <w:t>Induced</w:t>
            </w:r>
          </w:p>
        </w:tc>
        <w:tc>
          <w:tcPr>
            <w:tcW w:w="1473" w:type="dxa"/>
            <w:shd w:val="clear" w:color="auto" w:fill="ED7D31" w:themeFill="accent2"/>
          </w:tcPr>
          <w:p w14:paraId="01199EEA" w14:textId="77777777" w:rsidR="00C016E8" w:rsidRPr="00702DDD" w:rsidRDefault="00C016E8" w:rsidP="00E83386">
            <w:pPr>
              <w:autoSpaceDE w:val="0"/>
              <w:autoSpaceDN w:val="0"/>
              <w:adjustRightInd w:val="0"/>
              <w:jc w:val="center"/>
              <w:rPr>
                <w:rFonts w:ascii="Times New Roman" w:eastAsia="Calibri" w:hAnsi="Times New Roman" w:cs="Times New Roman"/>
                <w:b/>
                <w:bCs/>
                <w:i/>
                <w:iCs/>
                <w:color w:val="000000"/>
                <w:szCs w:val="22"/>
              </w:rPr>
            </w:pPr>
            <w:r w:rsidRPr="00702DDD">
              <w:rPr>
                <w:rFonts w:ascii="Times New Roman" w:eastAsia="Calibri" w:hAnsi="Times New Roman" w:cs="Times New Roman"/>
                <w:b/>
                <w:bCs/>
                <w:i/>
                <w:iCs/>
                <w:color w:val="000000"/>
                <w:szCs w:val="22"/>
              </w:rPr>
              <w:t>Total</w:t>
            </w:r>
          </w:p>
        </w:tc>
      </w:tr>
      <w:tr w:rsidR="00C016E8" w:rsidRPr="00702DDD" w14:paraId="2611F5C1" w14:textId="77777777" w:rsidTr="00E83386">
        <w:trPr>
          <w:trHeight w:val="294"/>
        </w:trPr>
        <w:tc>
          <w:tcPr>
            <w:tcW w:w="2901" w:type="dxa"/>
          </w:tcPr>
          <w:p w14:paraId="3BC7A38C" w14:textId="77777777" w:rsidR="00C016E8" w:rsidRPr="00702DDD" w:rsidRDefault="00C016E8" w:rsidP="00E83386">
            <w:pPr>
              <w:autoSpaceDE w:val="0"/>
              <w:autoSpaceDN w:val="0"/>
              <w:adjustRightInd w:val="0"/>
              <w:rPr>
                <w:rFonts w:ascii="Times New Roman" w:eastAsia="Calibri" w:hAnsi="Times New Roman" w:cs="Times New Roman"/>
                <w:b/>
                <w:bCs/>
                <w:iCs/>
                <w:color w:val="000000"/>
                <w:szCs w:val="22"/>
              </w:rPr>
            </w:pPr>
            <w:r w:rsidRPr="00702DDD">
              <w:rPr>
                <w:rFonts w:ascii="Times New Roman" w:eastAsia="Calibri" w:hAnsi="Times New Roman" w:cs="Times New Roman"/>
                <w:b/>
                <w:bCs/>
                <w:iCs/>
                <w:color w:val="000000"/>
                <w:szCs w:val="22"/>
              </w:rPr>
              <w:t>MHI</w:t>
            </w:r>
          </w:p>
        </w:tc>
        <w:tc>
          <w:tcPr>
            <w:tcW w:w="1473" w:type="dxa"/>
          </w:tcPr>
          <w:p w14:paraId="74DA0B52"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p>
        </w:tc>
        <w:tc>
          <w:tcPr>
            <w:tcW w:w="1473" w:type="dxa"/>
          </w:tcPr>
          <w:p w14:paraId="6BF14458"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p>
        </w:tc>
        <w:tc>
          <w:tcPr>
            <w:tcW w:w="1473" w:type="dxa"/>
          </w:tcPr>
          <w:p w14:paraId="21D7D20A"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p>
        </w:tc>
        <w:tc>
          <w:tcPr>
            <w:tcW w:w="1473" w:type="dxa"/>
          </w:tcPr>
          <w:p w14:paraId="6FA19D07"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p>
        </w:tc>
      </w:tr>
      <w:tr w:rsidR="00C016E8" w:rsidRPr="00702DDD" w14:paraId="49E0D605" w14:textId="77777777" w:rsidTr="00E83386">
        <w:trPr>
          <w:trHeight w:val="294"/>
        </w:trPr>
        <w:tc>
          <w:tcPr>
            <w:tcW w:w="2901" w:type="dxa"/>
          </w:tcPr>
          <w:p w14:paraId="1A0DA949"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Northwest</w:t>
            </w:r>
          </w:p>
        </w:tc>
        <w:tc>
          <w:tcPr>
            <w:tcW w:w="1473" w:type="dxa"/>
            <w:tcBorders>
              <w:top w:val="nil"/>
              <w:left w:val="nil"/>
              <w:bottom w:val="nil"/>
              <w:right w:val="nil"/>
            </w:tcBorders>
            <w:shd w:val="clear" w:color="auto" w:fill="auto"/>
            <w:vAlign w:val="bottom"/>
          </w:tcPr>
          <w:p w14:paraId="1924038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173,076,923</w:t>
            </w:r>
          </w:p>
        </w:tc>
        <w:tc>
          <w:tcPr>
            <w:tcW w:w="1473" w:type="dxa"/>
            <w:tcBorders>
              <w:top w:val="nil"/>
              <w:left w:val="nil"/>
              <w:bottom w:val="nil"/>
              <w:right w:val="nil"/>
            </w:tcBorders>
            <w:shd w:val="clear" w:color="auto" w:fill="auto"/>
            <w:vAlign w:val="bottom"/>
          </w:tcPr>
          <w:p w14:paraId="15A819C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57,118,060</w:t>
            </w:r>
          </w:p>
        </w:tc>
        <w:tc>
          <w:tcPr>
            <w:tcW w:w="1473" w:type="dxa"/>
            <w:tcBorders>
              <w:top w:val="nil"/>
              <w:left w:val="nil"/>
              <w:bottom w:val="nil"/>
              <w:right w:val="nil"/>
            </w:tcBorders>
            <w:shd w:val="clear" w:color="auto" w:fill="auto"/>
            <w:vAlign w:val="bottom"/>
          </w:tcPr>
          <w:p w14:paraId="6CF0AE1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23,804,408</w:t>
            </w:r>
          </w:p>
        </w:tc>
        <w:tc>
          <w:tcPr>
            <w:tcW w:w="1473" w:type="dxa"/>
            <w:tcBorders>
              <w:top w:val="nil"/>
              <w:left w:val="nil"/>
              <w:bottom w:val="nil"/>
              <w:right w:val="nil"/>
            </w:tcBorders>
            <w:shd w:val="clear" w:color="auto" w:fill="auto"/>
            <w:vAlign w:val="bottom"/>
          </w:tcPr>
          <w:p w14:paraId="6852C1C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253,999,392</w:t>
            </w:r>
          </w:p>
        </w:tc>
      </w:tr>
      <w:tr w:rsidR="00C016E8" w:rsidRPr="00702DDD" w14:paraId="4ED04701" w14:textId="77777777" w:rsidTr="00E83386">
        <w:trPr>
          <w:trHeight w:val="294"/>
        </w:trPr>
        <w:tc>
          <w:tcPr>
            <w:tcW w:w="2901" w:type="dxa"/>
          </w:tcPr>
          <w:p w14:paraId="517F58C7"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Northern Middle</w:t>
            </w:r>
          </w:p>
        </w:tc>
        <w:tc>
          <w:tcPr>
            <w:tcW w:w="1473" w:type="dxa"/>
            <w:tcBorders>
              <w:top w:val="nil"/>
              <w:left w:val="nil"/>
              <w:bottom w:val="nil"/>
              <w:right w:val="nil"/>
            </w:tcBorders>
            <w:shd w:val="clear" w:color="auto" w:fill="auto"/>
            <w:vAlign w:val="bottom"/>
          </w:tcPr>
          <w:p w14:paraId="1D7DB7C4"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19,230,769</w:t>
            </w:r>
          </w:p>
        </w:tc>
        <w:tc>
          <w:tcPr>
            <w:tcW w:w="1473" w:type="dxa"/>
            <w:tcBorders>
              <w:top w:val="nil"/>
              <w:left w:val="nil"/>
              <w:bottom w:val="nil"/>
              <w:right w:val="nil"/>
            </w:tcBorders>
            <w:shd w:val="clear" w:color="auto" w:fill="auto"/>
            <w:vAlign w:val="bottom"/>
          </w:tcPr>
          <w:p w14:paraId="7AFF9C2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8,948,951</w:t>
            </w:r>
          </w:p>
        </w:tc>
        <w:tc>
          <w:tcPr>
            <w:tcW w:w="1473" w:type="dxa"/>
            <w:tcBorders>
              <w:top w:val="nil"/>
              <w:left w:val="nil"/>
              <w:bottom w:val="nil"/>
              <w:right w:val="nil"/>
            </w:tcBorders>
            <w:shd w:val="clear" w:color="auto" w:fill="auto"/>
            <w:vAlign w:val="bottom"/>
          </w:tcPr>
          <w:p w14:paraId="3B15E4E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6,074,399</w:t>
            </w:r>
          </w:p>
        </w:tc>
        <w:tc>
          <w:tcPr>
            <w:tcW w:w="1473" w:type="dxa"/>
            <w:tcBorders>
              <w:top w:val="nil"/>
              <w:left w:val="nil"/>
              <w:bottom w:val="nil"/>
              <w:right w:val="nil"/>
            </w:tcBorders>
            <w:shd w:val="clear" w:color="auto" w:fill="auto"/>
            <w:vAlign w:val="bottom"/>
          </w:tcPr>
          <w:p w14:paraId="51FC157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34,254,119</w:t>
            </w:r>
          </w:p>
        </w:tc>
      </w:tr>
      <w:tr w:rsidR="00C016E8" w:rsidRPr="00702DDD" w14:paraId="520B1134" w14:textId="77777777" w:rsidTr="00E83386">
        <w:trPr>
          <w:trHeight w:val="294"/>
        </w:trPr>
        <w:tc>
          <w:tcPr>
            <w:tcW w:w="2901" w:type="dxa"/>
          </w:tcPr>
          <w:p w14:paraId="2740C3DC"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Upper Cumberland</w:t>
            </w:r>
          </w:p>
        </w:tc>
        <w:tc>
          <w:tcPr>
            <w:tcW w:w="1473" w:type="dxa"/>
            <w:tcBorders>
              <w:top w:val="nil"/>
              <w:left w:val="nil"/>
              <w:bottom w:val="nil"/>
              <w:right w:val="nil"/>
            </w:tcBorders>
            <w:shd w:val="clear" w:color="auto" w:fill="auto"/>
            <w:vAlign w:val="bottom"/>
          </w:tcPr>
          <w:p w14:paraId="7AA6A83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192,307,692</w:t>
            </w:r>
          </w:p>
        </w:tc>
        <w:tc>
          <w:tcPr>
            <w:tcW w:w="1473" w:type="dxa"/>
            <w:tcBorders>
              <w:top w:val="nil"/>
              <w:left w:val="nil"/>
              <w:bottom w:val="nil"/>
              <w:right w:val="nil"/>
            </w:tcBorders>
            <w:shd w:val="clear" w:color="auto" w:fill="auto"/>
            <w:vAlign w:val="bottom"/>
          </w:tcPr>
          <w:p w14:paraId="6690F36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99,412,883</w:t>
            </w:r>
          </w:p>
        </w:tc>
        <w:tc>
          <w:tcPr>
            <w:tcW w:w="1473" w:type="dxa"/>
            <w:tcBorders>
              <w:top w:val="nil"/>
              <w:left w:val="nil"/>
              <w:bottom w:val="nil"/>
              <w:right w:val="nil"/>
            </w:tcBorders>
            <w:shd w:val="clear" w:color="auto" w:fill="auto"/>
            <w:vAlign w:val="bottom"/>
          </w:tcPr>
          <w:p w14:paraId="61D71FD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20,007,482</w:t>
            </w:r>
          </w:p>
        </w:tc>
        <w:tc>
          <w:tcPr>
            <w:tcW w:w="1473" w:type="dxa"/>
            <w:tcBorders>
              <w:top w:val="nil"/>
              <w:left w:val="nil"/>
              <w:bottom w:val="nil"/>
              <w:right w:val="nil"/>
            </w:tcBorders>
            <w:shd w:val="clear" w:color="auto" w:fill="auto"/>
            <w:vAlign w:val="bottom"/>
          </w:tcPr>
          <w:p w14:paraId="14EC8DDD"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311,728,057</w:t>
            </w:r>
          </w:p>
        </w:tc>
      </w:tr>
      <w:tr w:rsidR="00C016E8" w:rsidRPr="00702DDD" w14:paraId="7BED1292" w14:textId="77777777" w:rsidTr="00E83386">
        <w:trPr>
          <w:trHeight w:val="294"/>
        </w:trPr>
        <w:tc>
          <w:tcPr>
            <w:tcW w:w="2901" w:type="dxa"/>
          </w:tcPr>
          <w:p w14:paraId="0D9FE165"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East</w:t>
            </w:r>
          </w:p>
        </w:tc>
        <w:tc>
          <w:tcPr>
            <w:tcW w:w="1473" w:type="dxa"/>
            <w:tcBorders>
              <w:top w:val="nil"/>
              <w:left w:val="nil"/>
              <w:bottom w:val="nil"/>
              <w:right w:val="nil"/>
            </w:tcBorders>
            <w:shd w:val="clear" w:color="auto" w:fill="auto"/>
            <w:vAlign w:val="bottom"/>
          </w:tcPr>
          <w:p w14:paraId="4996899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173,076,923</w:t>
            </w:r>
          </w:p>
        </w:tc>
        <w:tc>
          <w:tcPr>
            <w:tcW w:w="1473" w:type="dxa"/>
            <w:tcBorders>
              <w:top w:val="nil"/>
              <w:left w:val="nil"/>
              <w:bottom w:val="nil"/>
              <w:right w:val="nil"/>
            </w:tcBorders>
            <w:shd w:val="clear" w:color="auto" w:fill="auto"/>
            <w:vAlign w:val="bottom"/>
          </w:tcPr>
          <w:p w14:paraId="2F28BAD9"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83,866,533</w:t>
            </w:r>
          </w:p>
        </w:tc>
        <w:tc>
          <w:tcPr>
            <w:tcW w:w="1473" w:type="dxa"/>
            <w:tcBorders>
              <w:top w:val="nil"/>
              <w:left w:val="nil"/>
              <w:bottom w:val="nil"/>
              <w:right w:val="nil"/>
            </w:tcBorders>
            <w:shd w:val="clear" w:color="auto" w:fill="auto"/>
            <w:vAlign w:val="bottom"/>
          </w:tcPr>
          <w:p w14:paraId="4894E6A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48,741,286</w:t>
            </w:r>
          </w:p>
        </w:tc>
        <w:tc>
          <w:tcPr>
            <w:tcW w:w="1473" w:type="dxa"/>
            <w:tcBorders>
              <w:top w:val="nil"/>
              <w:left w:val="nil"/>
              <w:bottom w:val="nil"/>
              <w:right w:val="nil"/>
            </w:tcBorders>
            <w:shd w:val="clear" w:color="auto" w:fill="auto"/>
            <w:vAlign w:val="bottom"/>
          </w:tcPr>
          <w:p w14:paraId="1360997D"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305,684,742</w:t>
            </w:r>
          </w:p>
        </w:tc>
      </w:tr>
      <w:tr w:rsidR="00C016E8" w:rsidRPr="00702DDD" w14:paraId="0B34A66E" w14:textId="77777777" w:rsidTr="00E83386">
        <w:trPr>
          <w:trHeight w:val="294"/>
        </w:trPr>
        <w:tc>
          <w:tcPr>
            <w:tcW w:w="2901" w:type="dxa"/>
          </w:tcPr>
          <w:p w14:paraId="50EE53CA"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Northeast</w:t>
            </w:r>
          </w:p>
        </w:tc>
        <w:tc>
          <w:tcPr>
            <w:tcW w:w="1473" w:type="dxa"/>
            <w:tcBorders>
              <w:top w:val="nil"/>
              <w:left w:val="nil"/>
              <w:bottom w:val="nil"/>
              <w:right w:val="nil"/>
            </w:tcBorders>
            <w:shd w:val="clear" w:color="auto" w:fill="auto"/>
            <w:vAlign w:val="bottom"/>
          </w:tcPr>
          <w:p w14:paraId="621143D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115,384,615</w:t>
            </w:r>
          </w:p>
        </w:tc>
        <w:tc>
          <w:tcPr>
            <w:tcW w:w="1473" w:type="dxa"/>
            <w:tcBorders>
              <w:top w:val="nil"/>
              <w:left w:val="nil"/>
              <w:bottom w:val="nil"/>
              <w:right w:val="nil"/>
            </w:tcBorders>
            <w:shd w:val="clear" w:color="auto" w:fill="auto"/>
            <w:vAlign w:val="bottom"/>
          </w:tcPr>
          <w:p w14:paraId="4B63CE84"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45,647,086</w:t>
            </w:r>
          </w:p>
        </w:tc>
        <w:tc>
          <w:tcPr>
            <w:tcW w:w="1473" w:type="dxa"/>
            <w:tcBorders>
              <w:top w:val="nil"/>
              <w:left w:val="nil"/>
              <w:bottom w:val="nil"/>
              <w:right w:val="nil"/>
            </w:tcBorders>
            <w:shd w:val="clear" w:color="auto" w:fill="auto"/>
            <w:vAlign w:val="bottom"/>
          </w:tcPr>
          <w:p w14:paraId="4EF68820"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24,022,761</w:t>
            </w:r>
          </w:p>
        </w:tc>
        <w:tc>
          <w:tcPr>
            <w:tcW w:w="1473" w:type="dxa"/>
            <w:tcBorders>
              <w:top w:val="nil"/>
              <w:left w:val="nil"/>
              <w:bottom w:val="nil"/>
              <w:right w:val="nil"/>
            </w:tcBorders>
            <w:shd w:val="clear" w:color="auto" w:fill="auto"/>
            <w:vAlign w:val="bottom"/>
          </w:tcPr>
          <w:p w14:paraId="62D11C39"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185,054,462</w:t>
            </w:r>
          </w:p>
        </w:tc>
      </w:tr>
      <w:tr w:rsidR="00C016E8" w:rsidRPr="00702DDD" w14:paraId="091A634D" w14:textId="77777777" w:rsidTr="00E83386">
        <w:trPr>
          <w:trHeight w:val="294"/>
        </w:trPr>
        <w:tc>
          <w:tcPr>
            <w:tcW w:w="2901" w:type="dxa"/>
          </w:tcPr>
          <w:p w14:paraId="7DE176C4"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Southeast</w:t>
            </w:r>
          </w:p>
        </w:tc>
        <w:tc>
          <w:tcPr>
            <w:tcW w:w="1473" w:type="dxa"/>
            <w:tcBorders>
              <w:top w:val="nil"/>
              <w:left w:val="nil"/>
              <w:bottom w:val="nil"/>
              <w:right w:val="nil"/>
            </w:tcBorders>
            <w:shd w:val="clear" w:color="auto" w:fill="auto"/>
            <w:vAlign w:val="bottom"/>
          </w:tcPr>
          <w:p w14:paraId="4D962EDE"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96,153,846</w:t>
            </w:r>
          </w:p>
        </w:tc>
        <w:tc>
          <w:tcPr>
            <w:tcW w:w="1473" w:type="dxa"/>
            <w:tcBorders>
              <w:top w:val="nil"/>
              <w:left w:val="nil"/>
              <w:bottom w:val="nil"/>
              <w:right w:val="nil"/>
            </w:tcBorders>
            <w:shd w:val="clear" w:color="auto" w:fill="auto"/>
            <w:vAlign w:val="bottom"/>
          </w:tcPr>
          <w:p w14:paraId="1590E99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30,393,422</w:t>
            </w:r>
          </w:p>
        </w:tc>
        <w:tc>
          <w:tcPr>
            <w:tcW w:w="1473" w:type="dxa"/>
            <w:tcBorders>
              <w:top w:val="nil"/>
              <w:left w:val="nil"/>
              <w:bottom w:val="nil"/>
              <w:right w:val="nil"/>
            </w:tcBorders>
            <w:shd w:val="clear" w:color="auto" w:fill="auto"/>
            <w:vAlign w:val="bottom"/>
          </w:tcPr>
          <w:p w14:paraId="735F2C9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21,473,550</w:t>
            </w:r>
          </w:p>
        </w:tc>
        <w:tc>
          <w:tcPr>
            <w:tcW w:w="1473" w:type="dxa"/>
            <w:tcBorders>
              <w:top w:val="nil"/>
              <w:left w:val="nil"/>
              <w:bottom w:val="nil"/>
              <w:right w:val="nil"/>
            </w:tcBorders>
            <w:shd w:val="clear" w:color="auto" w:fill="auto"/>
            <w:vAlign w:val="bottom"/>
          </w:tcPr>
          <w:p w14:paraId="253F5130"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148,020,818</w:t>
            </w:r>
          </w:p>
        </w:tc>
      </w:tr>
      <w:tr w:rsidR="00C016E8" w:rsidRPr="00702DDD" w14:paraId="03534BEF" w14:textId="77777777" w:rsidTr="00E83386">
        <w:trPr>
          <w:trHeight w:val="294"/>
        </w:trPr>
        <w:tc>
          <w:tcPr>
            <w:tcW w:w="2901" w:type="dxa"/>
          </w:tcPr>
          <w:p w14:paraId="546031AD"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Southern Middle</w:t>
            </w:r>
          </w:p>
        </w:tc>
        <w:tc>
          <w:tcPr>
            <w:tcW w:w="1473" w:type="dxa"/>
            <w:tcBorders>
              <w:top w:val="nil"/>
              <w:left w:val="nil"/>
              <w:bottom w:val="nil"/>
              <w:right w:val="nil"/>
            </w:tcBorders>
            <w:shd w:val="clear" w:color="auto" w:fill="auto"/>
            <w:vAlign w:val="bottom"/>
          </w:tcPr>
          <w:p w14:paraId="095E963D"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96,153,846</w:t>
            </w:r>
          </w:p>
        </w:tc>
        <w:tc>
          <w:tcPr>
            <w:tcW w:w="1473" w:type="dxa"/>
            <w:tcBorders>
              <w:top w:val="nil"/>
              <w:left w:val="nil"/>
              <w:bottom w:val="nil"/>
              <w:right w:val="nil"/>
            </w:tcBorders>
            <w:shd w:val="clear" w:color="auto" w:fill="auto"/>
            <w:vAlign w:val="bottom"/>
          </w:tcPr>
          <w:p w14:paraId="0CB6543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28,447,918</w:t>
            </w:r>
          </w:p>
        </w:tc>
        <w:tc>
          <w:tcPr>
            <w:tcW w:w="1473" w:type="dxa"/>
            <w:tcBorders>
              <w:top w:val="nil"/>
              <w:left w:val="nil"/>
              <w:bottom w:val="nil"/>
              <w:right w:val="nil"/>
            </w:tcBorders>
            <w:shd w:val="clear" w:color="auto" w:fill="auto"/>
            <w:vAlign w:val="bottom"/>
          </w:tcPr>
          <w:p w14:paraId="49C9825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13,959,372</w:t>
            </w:r>
          </w:p>
        </w:tc>
        <w:tc>
          <w:tcPr>
            <w:tcW w:w="1473" w:type="dxa"/>
            <w:tcBorders>
              <w:top w:val="nil"/>
              <w:left w:val="nil"/>
              <w:bottom w:val="nil"/>
              <w:right w:val="nil"/>
            </w:tcBorders>
            <w:shd w:val="clear" w:color="auto" w:fill="auto"/>
            <w:vAlign w:val="bottom"/>
          </w:tcPr>
          <w:p w14:paraId="529A44EE"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138,561,135</w:t>
            </w:r>
          </w:p>
        </w:tc>
      </w:tr>
      <w:tr w:rsidR="00C016E8" w:rsidRPr="00702DDD" w14:paraId="2473EE7C" w14:textId="77777777" w:rsidTr="00E83386">
        <w:trPr>
          <w:trHeight w:val="294"/>
        </w:trPr>
        <w:tc>
          <w:tcPr>
            <w:tcW w:w="2901" w:type="dxa"/>
          </w:tcPr>
          <w:p w14:paraId="2D94D1C3"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Southwest</w:t>
            </w:r>
          </w:p>
        </w:tc>
        <w:tc>
          <w:tcPr>
            <w:tcW w:w="1473" w:type="dxa"/>
            <w:tcBorders>
              <w:top w:val="nil"/>
              <w:left w:val="nil"/>
              <w:bottom w:val="nil"/>
              <w:right w:val="nil"/>
            </w:tcBorders>
            <w:shd w:val="clear" w:color="auto" w:fill="auto"/>
            <w:vAlign w:val="bottom"/>
          </w:tcPr>
          <w:p w14:paraId="413FF9B0"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115,384,615</w:t>
            </w:r>
          </w:p>
        </w:tc>
        <w:tc>
          <w:tcPr>
            <w:tcW w:w="1473" w:type="dxa"/>
            <w:tcBorders>
              <w:top w:val="nil"/>
              <w:left w:val="nil"/>
              <w:bottom w:val="nil"/>
              <w:right w:val="nil"/>
            </w:tcBorders>
            <w:shd w:val="clear" w:color="auto" w:fill="auto"/>
            <w:vAlign w:val="bottom"/>
          </w:tcPr>
          <w:p w14:paraId="4E5AA93B"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51,954,587</w:t>
            </w:r>
          </w:p>
        </w:tc>
        <w:tc>
          <w:tcPr>
            <w:tcW w:w="1473" w:type="dxa"/>
            <w:tcBorders>
              <w:top w:val="nil"/>
              <w:left w:val="nil"/>
              <w:bottom w:val="nil"/>
              <w:right w:val="nil"/>
            </w:tcBorders>
            <w:shd w:val="clear" w:color="auto" w:fill="auto"/>
            <w:vAlign w:val="bottom"/>
          </w:tcPr>
          <w:p w14:paraId="071B238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15,310,868</w:t>
            </w:r>
          </w:p>
        </w:tc>
        <w:tc>
          <w:tcPr>
            <w:tcW w:w="1473" w:type="dxa"/>
            <w:tcBorders>
              <w:top w:val="nil"/>
              <w:left w:val="nil"/>
              <w:bottom w:val="nil"/>
              <w:right w:val="nil"/>
            </w:tcBorders>
            <w:shd w:val="clear" w:color="auto" w:fill="auto"/>
            <w:vAlign w:val="bottom"/>
          </w:tcPr>
          <w:p w14:paraId="372F163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182,650,070</w:t>
            </w:r>
          </w:p>
        </w:tc>
      </w:tr>
      <w:tr w:rsidR="00C016E8" w:rsidRPr="00702DDD" w14:paraId="516FB8AA" w14:textId="77777777" w:rsidTr="00E83386">
        <w:trPr>
          <w:trHeight w:val="294"/>
        </w:trPr>
        <w:tc>
          <w:tcPr>
            <w:tcW w:w="2901" w:type="dxa"/>
            <w:tcBorders>
              <w:bottom w:val="nil"/>
            </w:tcBorders>
          </w:tcPr>
          <w:p w14:paraId="0E90CEDC"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Greater Memphis</w:t>
            </w:r>
          </w:p>
        </w:tc>
        <w:tc>
          <w:tcPr>
            <w:tcW w:w="1473" w:type="dxa"/>
            <w:tcBorders>
              <w:top w:val="nil"/>
              <w:left w:val="nil"/>
              <w:bottom w:val="nil"/>
              <w:right w:val="nil"/>
            </w:tcBorders>
            <w:shd w:val="clear" w:color="auto" w:fill="auto"/>
            <w:vAlign w:val="bottom"/>
          </w:tcPr>
          <w:p w14:paraId="645C902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19,230,769</w:t>
            </w:r>
          </w:p>
        </w:tc>
        <w:tc>
          <w:tcPr>
            <w:tcW w:w="1473" w:type="dxa"/>
            <w:tcBorders>
              <w:top w:val="nil"/>
              <w:left w:val="nil"/>
              <w:bottom w:val="nil"/>
              <w:right w:val="nil"/>
            </w:tcBorders>
            <w:shd w:val="clear" w:color="auto" w:fill="auto"/>
            <w:vAlign w:val="bottom"/>
          </w:tcPr>
          <w:p w14:paraId="4E133E40"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6,829,345</w:t>
            </w:r>
          </w:p>
        </w:tc>
        <w:tc>
          <w:tcPr>
            <w:tcW w:w="1473" w:type="dxa"/>
            <w:tcBorders>
              <w:top w:val="nil"/>
              <w:left w:val="nil"/>
              <w:bottom w:val="nil"/>
              <w:right w:val="nil"/>
            </w:tcBorders>
            <w:shd w:val="clear" w:color="auto" w:fill="auto"/>
            <w:vAlign w:val="bottom"/>
          </w:tcPr>
          <w:p w14:paraId="5347F06B"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7,991,507</w:t>
            </w:r>
          </w:p>
        </w:tc>
        <w:tc>
          <w:tcPr>
            <w:tcW w:w="1473" w:type="dxa"/>
            <w:tcBorders>
              <w:top w:val="nil"/>
              <w:left w:val="nil"/>
              <w:bottom w:val="nil"/>
              <w:right w:val="nil"/>
            </w:tcBorders>
            <w:shd w:val="clear" w:color="auto" w:fill="auto"/>
            <w:vAlign w:val="bottom"/>
          </w:tcPr>
          <w:p w14:paraId="09DF2A8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34,051,622</w:t>
            </w:r>
          </w:p>
        </w:tc>
      </w:tr>
      <w:tr w:rsidR="00C016E8" w:rsidRPr="00702DDD" w14:paraId="3E7BADE2" w14:textId="77777777" w:rsidTr="00E83386">
        <w:trPr>
          <w:trHeight w:val="294"/>
        </w:trPr>
        <w:tc>
          <w:tcPr>
            <w:tcW w:w="2901" w:type="dxa"/>
            <w:tcBorders>
              <w:top w:val="nil"/>
              <w:bottom w:val="single" w:sz="4" w:space="0" w:color="auto"/>
            </w:tcBorders>
            <w:shd w:val="clear" w:color="auto" w:fill="auto"/>
          </w:tcPr>
          <w:p w14:paraId="460C2501" w14:textId="77777777" w:rsidR="00C016E8" w:rsidRPr="00702DDD" w:rsidRDefault="00C016E8" w:rsidP="00E83386">
            <w:pPr>
              <w:autoSpaceDE w:val="0"/>
              <w:autoSpaceDN w:val="0"/>
              <w:adjustRightInd w:val="0"/>
              <w:rPr>
                <w:rFonts w:ascii="Times New Roman" w:eastAsia="Calibri" w:hAnsi="Times New Roman" w:cs="Times New Roman"/>
                <w:bCs/>
                <w:i/>
                <w:iCs/>
                <w:color w:val="000000"/>
                <w:szCs w:val="22"/>
              </w:rPr>
            </w:pPr>
            <w:r w:rsidRPr="00702DDD">
              <w:rPr>
                <w:rFonts w:ascii="Times New Roman" w:eastAsia="Calibri" w:hAnsi="Times New Roman" w:cs="Times New Roman"/>
                <w:bCs/>
                <w:i/>
                <w:iCs/>
                <w:color w:val="000000"/>
                <w:szCs w:val="22"/>
              </w:rPr>
              <w:t>Aggregate</w:t>
            </w:r>
          </w:p>
        </w:tc>
        <w:tc>
          <w:tcPr>
            <w:tcW w:w="1473" w:type="dxa"/>
            <w:tcBorders>
              <w:top w:val="nil"/>
              <w:left w:val="nil"/>
              <w:bottom w:val="single" w:sz="4" w:space="0" w:color="auto"/>
              <w:right w:val="nil"/>
            </w:tcBorders>
            <w:shd w:val="clear" w:color="auto" w:fill="auto"/>
            <w:vAlign w:val="bottom"/>
          </w:tcPr>
          <w:p w14:paraId="5AF469A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1,000,000,000</w:t>
            </w:r>
          </w:p>
        </w:tc>
        <w:tc>
          <w:tcPr>
            <w:tcW w:w="1473" w:type="dxa"/>
            <w:tcBorders>
              <w:top w:val="nil"/>
              <w:left w:val="nil"/>
              <w:bottom w:val="single" w:sz="4" w:space="0" w:color="auto"/>
              <w:right w:val="nil"/>
            </w:tcBorders>
            <w:shd w:val="clear" w:color="auto" w:fill="auto"/>
            <w:vAlign w:val="bottom"/>
          </w:tcPr>
          <w:p w14:paraId="6D85569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412,618,785</w:t>
            </w:r>
          </w:p>
        </w:tc>
        <w:tc>
          <w:tcPr>
            <w:tcW w:w="1473" w:type="dxa"/>
            <w:tcBorders>
              <w:top w:val="nil"/>
              <w:left w:val="nil"/>
              <w:bottom w:val="single" w:sz="4" w:space="0" w:color="auto"/>
              <w:right w:val="nil"/>
            </w:tcBorders>
            <w:shd w:val="clear" w:color="auto" w:fill="auto"/>
            <w:vAlign w:val="bottom"/>
          </w:tcPr>
          <w:p w14:paraId="2F590BB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181,385,633</w:t>
            </w:r>
          </w:p>
        </w:tc>
        <w:tc>
          <w:tcPr>
            <w:tcW w:w="1473" w:type="dxa"/>
            <w:tcBorders>
              <w:top w:val="nil"/>
              <w:left w:val="nil"/>
              <w:bottom w:val="single" w:sz="4" w:space="0" w:color="auto"/>
              <w:right w:val="nil"/>
            </w:tcBorders>
            <w:shd w:val="clear" w:color="auto" w:fill="auto"/>
            <w:vAlign w:val="bottom"/>
          </w:tcPr>
          <w:p w14:paraId="06246D24"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rPr>
              <w:t>1,594,004,416</w:t>
            </w:r>
          </w:p>
        </w:tc>
      </w:tr>
      <w:tr w:rsidR="00C016E8" w:rsidRPr="00702DDD" w14:paraId="1DF7F79F" w14:textId="77777777" w:rsidTr="00E83386">
        <w:trPr>
          <w:trHeight w:val="294"/>
        </w:trPr>
        <w:tc>
          <w:tcPr>
            <w:tcW w:w="2901" w:type="dxa"/>
            <w:tcBorders>
              <w:top w:val="single" w:sz="4" w:space="0" w:color="auto"/>
              <w:bottom w:val="nil"/>
            </w:tcBorders>
            <w:shd w:val="clear" w:color="auto" w:fill="auto"/>
          </w:tcPr>
          <w:p w14:paraId="29CA8C99" w14:textId="77777777" w:rsidR="00C016E8" w:rsidRPr="00702DDD" w:rsidRDefault="00C016E8" w:rsidP="00E83386">
            <w:pPr>
              <w:autoSpaceDE w:val="0"/>
              <w:autoSpaceDN w:val="0"/>
              <w:adjustRightInd w:val="0"/>
              <w:rPr>
                <w:rFonts w:ascii="Times New Roman" w:eastAsia="Calibri" w:hAnsi="Times New Roman" w:cs="Times New Roman"/>
                <w:b/>
                <w:bCs/>
                <w:iCs/>
                <w:color w:val="000000"/>
                <w:szCs w:val="22"/>
              </w:rPr>
            </w:pPr>
            <w:r w:rsidRPr="00702DDD">
              <w:rPr>
                <w:rFonts w:ascii="Times New Roman" w:eastAsia="Calibri" w:hAnsi="Times New Roman" w:cs="Times New Roman"/>
                <w:b/>
                <w:bCs/>
                <w:iCs/>
                <w:color w:val="000000"/>
                <w:szCs w:val="22"/>
              </w:rPr>
              <w:t>Simple Avg</w:t>
            </w:r>
          </w:p>
        </w:tc>
        <w:tc>
          <w:tcPr>
            <w:tcW w:w="1473" w:type="dxa"/>
            <w:tcBorders>
              <w:top w:val="single" w:sz="4" w:space="0" w:color="auto"/>
              <w:left w:val="nil"/>
              <w:bottom w:val="nil"/>
              <w:right w:val="nil"/>
            </w:tcBorders>
            <w:shd w:val="clear" w:color="auto" w:fill="auto"/>
            <w:vAlign w:val="bottom"/>
          </w:tcPr>
          <w:p w14:paraId="5A8086B9"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p>
        </w:tc>
        <w:tc>
          <w:tcPr>
            <w:tcW w:w="1473" w:type="dxa"/>
            <w:tcBorders>
              <w:top w:val="single" w:sz="4" w:space="0" w:color="auto"/>
              <w:left w:val="nil"/>
              <w:bottom w:val="nil"/>
              <w:right w:val="nil"/>
            </w:tcBorders>
            <w:shd w:val="clear" w:color="auto" w:fill="auto"/>
            <w:vAlign w:val="bottom"/>
          </w:tcPr>
          <w:p w14:paraId="0FBD497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p>
        </w:tc>
        <w:tc>
          <w:tcPr>
            <w:tcW w:w="1473" w:type="dxa"/>
            <w:tcBorders>
              <w:top w:val="single" w:sz="4" w:space="0" w:color="auto"/>
              <w:left w:val="nil"/>
              <w:bottom w:val="nil"/>
              <w:right w:val="nil"/>
            </w:tcBorders>
            <w:shd w:val="clear" w:color="auto" w:fill="auto"/>
            <w:vAlign w:val="bottom"/>
          </w:tcPr>
          <w:p w14:paraId="6BB72C8B"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p>
        </w:tc>
        <w:tc>
          <w:tcPr>
            <w:tcW w:w="1473" w:type="dxa"/>
            <w:tcBorders>
              <w:top w:val="single" w:sz="4" w:space="0" w:color="auto"/>
              <w:left w:val="nil"/>
              <w:bottom w:val="nil"/>
              <w:right w:val="nil"/>
            </w:tcBorders>
            <w:shd w:val="clear" w:color="auto" w:fill="auto"/>
            <w:vAlign w:val="bottom"/>
          </w:tcPr>
          <w:p w14:paraId="6D34CF0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rPr>
            </w:pPr>
          </w:p>
        </w:tc>
      </w:tr>
      <w:tr w:rsidR="00C016E8" w:rsidRPr="00702DDD" w14:paraId="704EAFD7" w14:textId="77777777" w:rsidTr="00E83386">
        <w:trPr>
          <w:trHeight w:val="294"/>
        </w:trPr>
        <w:tc>
          <w:tcPr>
            <w:tcW w:w="2901" w:type="dxa"/>
            <w:tcBorders>
              <w:top w:val="nil"/>
            </w:tcBorders>
            <w:shd w:val="clear" w:color="auto" w:fill="auto"/>
          </w:tcPr>
          <w:p w14:paraId="4CE356C4"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Northwest</w:t>
            </w:r>
          </w:p>
        </w:tc>
        <w:tc>
          <w:tcPr>
            <w:tcW w:w="1473" w:type="dxa"/>
            <w:tcBorders>
              <w:top w:val="nil"/>
              <w:left w:val="nil"/>
              <w:bottom w:val="nil"/>
              <w:right w:val="nil"/>
            </w:tcBorders>
            <w:shd w:val="clear" w:color="auto" w:fill="auto"/>
            <w:vAlign w:val="bottom"/>
          </w:tcPr>
          <w:p w14:paraId="48848C6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107,692,308</w:t>
            </w:r>
          </w:p>
        </w:tc>
        <w:tc>
          <w:tcPr>
            <w:tcW w:w="1473" w:type="dxa"/>
            <w:tcBorders>
              <w:top w:val="nil"/>
              <w:left w:val="nil"/>
              <w:bottom w:val="nil"/>
              <w:right w:val="nil"/>
            </w:tcBorders>
            <w:shd w:val="clear" w:color="auto" w:fill="auto"/>
            <w:vAlign w:val="bottom"/>
          </w:tcPr>
          <w:p w14:paraId="200AEDD0"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35,540,127</w:t>
            </w:r>
          </w:p>
        </w:tc>
        <w:tc>
          <w:tcPr>
            <w:tcW w:w="1473" w:type="dxa"/>
            <w:tcBorders>
              <w:top w:val="nil"/>
              <w:left w:val="nil"/>
              <w:bottom w:val="nil"/>
              <w:right w:val="nil"/>
            </w:tcBorders>
            <w:shd w:val="clear" w:color="auto" w:fill="auto"/>
            <w:vAlign w:val="bottom"/>
          </w:tcPr>
          <w:p w14:paraId="5E520659"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14,811,632</w:t>
            </w:r>
          </w:p>
        </w:tc>
        <w:tc>
          <w:tcPr>
            <w:tcW w:w="1473" w:type="dxa"/>
            <w:tcBorders>
              <w:top w:val="nil"/>
              <w:left w:val="nil"/>
              <w:bottom w:val="nil"/>
              <w:right w:val="nil"/>
            </w:tcBorders>
            <w:shd w:val="clear" w:color="auto" w:fill="auto"/>
            <w:vAlign w:val="bottom"/>
          </w:tcPr>
          <w:p w14:paraId="0BCA709B"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158,044,067</w:t>
            </w:r>
          </w:p>
        </w:tc>
      </w:tr>
      <w:tr w:rsidR="00C016E8" w:rsidRPr="00702DDD" w14:paraId="0E4A7D79" w14:textId="77777777" w:rsidTr="00E83386">
        <w:trPr>
          <w:trHeight w:val="294"/>
        </w:trPr>
        <w:tc>
          <w:tcPr>
            <w:tcW w:w="2901" w:type="dxa"/>
            <w:shd w:val="clear" w:color="auto" w:fill="auto"/>
          </w:tcPr>
          <w:p w14:paraId="15BCBA87"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Northern Middle</w:t>
            </w:r>
          </w:p>
        </w:tc>
        <w:tc>
          <w:tcPr>
            <w:tcW w:w="1473" w:type="dxa"/>
            <w:tcBorders>
              <w:top w:val="nil"/>
              <w:left w:val="nil"/>
              <w:bottom w:val="nil"/>
              <w:right w:val="nil"/>
            </w:tcBorders>
            <w:shd w:val="clear" w:color="auto" w:fill="auto"/>
            <w:vAlign w:val="bottom"/>
          </w:tcPr>
          <w:p w14:paraId="044C846B"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76,923,077</w:t>
            </w:r>
          </w:p>
        </w:tc>
        <w:tc>
          <w:tcPr>
            <w:tcW w:w="1473" w:type="dxa"/>
            <w:tcBorders>
              <w:top w:val="nil"/>
              <w:left w:val="nil"/>
              <w:bottom w:val="nil"/>
              <w:right w:val="nil"/>
            </w:tcBorders>
            <w:shd w:val="clear" w:color="auto" w:fill="auto"/>
            <w:vAlign w:val="bottom"/>
          </w:tcPr>
          <w:p w14:paraId="0680B944"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35,795,805</w:t>
            </w:r>
          </w:p>
        </w:tc>
        <w:tc>
          <w:tcPr>
            <w:tcW w:w="1473" w:type="dxa"/>
            <w:tcBorders>
              <w:top w:val="nil"/>
              <w:left w:val="nil"/>
              <w:bottom w:val="nil"/>
              <w:right w:val="nil"/>
            </w:tcBorders>
            <w:shd w:val="clear" w:color="auto" w:fill="auto"/>
            <w:vAlign w:val="bottom"/>
          </w:tcPr>
          <w:p w14:paraId="1350289E"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24,297,597</w:t>
            </w:r>
          </w:p>
        </w:tc>
        <w:tc>
          <w:tcPr>
            <w:tcW w:w="1473" w:type="dxa"/>
            <w:tcBorders>
              <w:top w:val="nil"/>
              <w:left w:val="nil"/>
              <w:bottom w:val="nil"/>
              <w:right w:val="nil"/>
            </w:tcBorders>
            <w:shd w:val="clear" w:color="auto" w:fill="auto"/>
            <w:vAlign w:val="bottom"/>
          </w:tcPr>
          <w:p w14:paraId="0532F0B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137,016,480</w:t>
            </w:r>
          </w:p>
        </w:tc>
      </w:tr>
      <w:tr w:rsidR="00C016E8" w:rsidRPr="00702DDD" w14:paraId="182190D2" w14:textId="77777777" w:rsidTr="00E83386">
        <w:trPr>
          <w:trHeight w:val="294"/>
        </w:trPr>
        <w:tc>
          <w:tcPr>
            <w:tcW w:w="2901" w:type="dxa"/>
            <w:shd w:val="clear" w:color="auto" w:fill="auto"/>
          </w:tcPr>
          <w:p w14:paraId="5ABC3344"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Upper Cumberland</w:t>
            </w:r>
          </w:p>
        </w:tc>
        <w:tc>
          <w:tcPr>
            <w:tcW w:w="1473" w:type="dxa"/>
            <w:tcBorders>
              <w:top w:val="nil"/>
              <w:left w:val="nil"/>
              <w:bottom w:val="nil"/>
              <w:right w:val="nil"/>
            </w:tcBorders>
            <w:shd w:val="clear" w:color="auto" w:fill="auto"/>
            <w:vAlign w:val="bottom"/>
          </w:tcPr>
          <w:p w14:paraId="0107AD4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138,461,538</w:t>
            </w:r>
          </w:p>
        </w:tc>
        <w:tc>
          <w:tcPr>
            <w:tcW w:w="1473" w:type="dxa"/>
            <w:tcBorders>
              <w:top w:val="nil"/>
              <w:left w:val="nil"/>
              <w:bottom w:val="nil"/>
              <w:right w:val="nil"/>
            </w:tcBorders>
            <w:shd w:val="clear" w:color="auto" w:fill="auto"/>
            <w:vAlign w:val="bottom"/>
          </w:tcPr>
          <w:p w14:paraId="1E8EE35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71,577,275</w:t>
            </w:r>
          </w:p>
        </w:tc>
        <w:tc>
          <w:tcPr>
            <w:tcW w:w="1473" w:type="dxa"/>
            <w:tcBorders>
              <w:top w:val="nil"/>
              <w:left w:val="nil"/>
              <w:bottom w:val="nil"/>
              <w:right w:val="nil"/>
            </w:tcBorders>
            <w:shd w:val="clear" w:color="auto" w:fill="auto"/>
            <w:vAlign w:val="bottom"/>
          </w:tcPr>
          <w:p w14:paraId="6AB37D8E"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14,405,387</w:t>
            </w:r>
          </w:p>
        </w:tc>
        <w:tc>
          <w:tcPr>
            <w:tcW w:w="1473" w:type="dxa"/>
            <w:tcBorders>
              <w:top w:val="nil"/>
              <w:left w:val="nil"/>
              <w:bottom w:val="nil"/>
              <w:right w:val="nil"/>
            </w:tcBorders>
            <w:shd w:val="clear" w:color="auto" w:fill="auto"/>
            <w:vAlign w:val="bottom"/>
          </w:tcPr>
          <w:p w14:paraId="02E4A1D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224,444,201</w:t>
            </w:r>
          </w:p>
        </w:tc>
      </w:tr>
      <w:tr w:rsidR="00C016E8" w:rsidRPr="00702DDD" w14:paraId="5EE1A805" w14:textId="77777777" w:rsidTr="00E83386">
        <w:trPr>
          <w:trHeight w:val="294"/>
        </w:trPr>
        <w:tc>
          <w:tcPr>
            <w:tcW w:w="2901" w:type="dxa"/>
            <w:shd w:val="clear" w:color="auto" w:fill="auto"/>
          </w:tcPr>
          <w:p w14:paraId="5ABD885B"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East</w:t>
            </w:r>
          </w:p>
        </w:tc>
        <w:tc>
          <w:tcPr>
            <w:tcW w:w="1473" w:type="dxa"/>
            <w:tcBorders>
              <w:top w:val="nil"/>
              <w:left w:val="nil"/>
              <w:bottom w:val="nil"/>
              <w:right w:val="nil"/>
            </w:tcBorders>
            <w:shd w:val="clear" w:color="auto" w:fill="auto"/>
            <w:vAlign w:val="bottom"/>
          </w:tcPr>
          <w:p w14:paraId="3424E12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200,000,000</w:t>
            </w:r>
          </w:p>
        </w:tc>
        <w:tc>
          <w:tcPr>
            <w:tcW w:w="1473" w:type="dxa"/>
            <w:tcBorders>
              <w:top w:val="nil"/>
              <w:left w:val="nil"/>
              <w:bottom w:val="nil"/>
              <w:right w:val="nil"/>
            </w:tcBorders>
            <w:shd w:val="clear" w:color="auto" w:fill="auto"/>
            <w:vAlign w:val="bottom"/>
          </w:tcPr>
          <w:p w14:paraId="05DE63B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96,912,438</w:t>
            </w:r>
          </w:p>
        </w:tc>
        <w:tc>
          <w:tcPr>
            <w:tcW w:w="1473" w:type="dxa"/>
            <w:tcBorders>
              <w:top w:val="nil"/>
              <w:left w:val="nil"/>
              <w:bottom w:val="nil"/>
              <w:right w:val="nil"/>
            </w:tcBorders>
            <w:shd w:val="clear" w:color="auto" w:fill="auto"/>
            <w:vAlign w:val="bottom"/>
          </w:tcPr>
          <w:p w14:paraId="3FA364ED"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56,323,264</w:t>
            </w:r>
          </w:p>
        </w:tc>
        <w:tc>
          <w:tcPr>
            <w:tcW w:w="1473" w:type="dxa"/>
            <w:tcBorders>
              <w:top w:val="nil"/>
              <w:left w:val="nil"/>
              <w:bottom w:val="nil"/>
              <w:right w:val="nil"/>
            </w:tcBorders>
            <w:shd w:val="clear" w:color="auto" w:fill="auto"/>
            <w:vAlign w:val="bottom"/>
          </w:tcPr>
          <w:p w14:paraId="7A63B9F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353,235,702</w:t>
            </w:r>
          </w:p>
        </w:tc>
      </w:tr>
      <w:tr w:rsidR="00C016E8" w:rsidRPr="00702DDD" w14:paraId="37FA5FC6" w14:textId="77777777" w:rsidTr="00E83386">
        <w:trPr>
          <w:trHeight w:val="294"/>
        </w:trPr>
        <w:tc>
          <w:tcPr>
            <w:tcW w:w="2901" w:type="dxa"/>
            <w:shd w:val="clear" w:color="auto" w:fill="auto"/>
          </w:tcPr>
          <w:p w14:paraId="11F7B4B1"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Northeast</w:t>
            </w:r>
          </w:p>
        </w:tc>
        <w:tc>
          <w:tcPr>
            <w:tcW w:w="1473" w:type="dxa"/>
            <w:tcBorders>
              <w:top w:val="nil"/>
              <w:left w:val="nil"/>
              <w:bottom w:val="nil"/>
              <w:right w:val="nil"/>
            </w:tcBorders>
            <w:shd w:val="clear" w:color="auto" w:fill="auto"/>
            <w:vAlign w:val="bottom"/>
          </w:tcPr>
          <w:p w14:paraId="66DB9AD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107,692,308</w:t>
            </w:r>
          </w:p>
        </w:tc>
        <w:tc>
          <w:tcPr>
            <w:tcW w:w="1473" w:type="dxa"/>
            <w:tcBorders>
              <w:top w:val="nil"/>
              <w:left w:val="nil"/>
              <w:bottom w:val="nil"/>
              <w:right w:val="nil"/>
            </w:tcBorders>
            <w:shd w:val="clear" w:color="auto" w:fill="auto"/>
            <w:vAlign w:val="bottom"/>
          </w:tcPr>
          <w:p w14:paraId="11D0920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42,603,947</w:t>
            </w:r>
          </w:p>
        </w:tc>
        <w:tc>
          <w:tcPr>
            <w:tcW w:w="1473" w:type="dxa"/>
            <w:tcBorders>
              <w:top w:val="nil"/>
              <w:left w:val="nil"/>
              <w:bottom w:val="nil"/>
              <w:right w:val="nil"/>
            </w:tcBorders>
            <w:shd w:val="clear" w:color="auto" w:fill="auto"/>
            <w:vAlign w:val="bottom"/>
          </w:tcPr>
          <w:p w14:paraId="097E376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22,421,244</w:t>
            </w:r>
          </w:p>
        </w:tc>
        <w:tc>
          <w:tcPr>
            <w:tcW w:w="1473" w:type="dxa"/>
            <w:tcBorders>
              <w:top w:val="nil"/>
              <w:left w:val="nil"/>
              <w:bottom w:val="nil"/>
              <w:right w:val="nil"/>
            </w:tcBorders>
            <w:shd w:val="clear" w:color="auto" w:fill="auto"/>
            <w:vAlign w:val="bottom"/>
          </w:tcPr>
          <w:p w14:paraId="4A1F9094"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172,717,499</w:t>
            </w:r>
          </w:p>
        </w:tc>
      </w:tr>
      <w:tr w:rsidR="00C016E8" w:rsidRPr="00702DDD" w14:paraId="6816C11B" w14:textId="77777777" w:rsidTr="00E83386">
        <w:trPr>
          <w:trHeight w:val="309"/>
        </w:trPr>
        <w:tc>
          <w:tcPr>
            <w:tcW w:w="2901" w:type="dxa"/>
            <w:shd w:val="clear" w:color="auto" w:fill="auto"/>
          </w:tcPr>
          <w:p w14:paraId="1B38F8E3"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Southeast</w:t>
            </w:r>
          </w:p>
        </w:tc>
        <w:tc>
          <w:tcPr>
            <w:tcW w:w="1473" w:type="dxa"/>
            <w:tcBorders>
              <w:top w:val="nil"/>
              <w:left w:val="nil"/>
              <w:bottom w:val="nil"/>
              <w:right w:val="nil"/>
            </w:tcBorders>
            <w:shd w:val="clear" w:color="auto" w:fill="auto"/>
            <w:vAlign w:val="bottom"/>
          </w:tcPr>
          <w:p w14:paraId="73B0DAA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123,076,923</w:t>
            </w:r>
          </w:p>
        </w:tc>
        <w:tc>
          <w:tcPr>
            <w:tcW w:w="1473" w:type="dxa"/>
            <w:tcBorders>
              <w:top w:val="nil"/>
              <w:left w:val="nil"/>
              <w:bottom w:val="nil"/>
              <w:right w:val="nil"/>
            </w:tcBorders>
            <w:shd w:val="clear" w:color="auto" w:fill="auto"/>
            <w:vAlign w:val="bottom"/>
          </w:tcPr>
          <w:p w14:paraId="62C12FB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38,903,580</w:t>
            </w:r>
          </w:p>
        </w:tc>
        <w:tc>
          <w:tcPr>
            <w:tcW w:w="1473" w:type="dxa"/>
            <w:tcBorders>
              <w:top w:val="nil"/>
              <w:left w:val="nil"/>
              <w:bottom w:val="nil"/>
              <w:right w:val="nil"/>
            </w:tcBorders>
            <w:shd w:val="clear" w:color="auto" w:fill="auto"/>
            <w:vAlign w:val="bottom"/>
          </w:tcPr>
          <w:p w14:paraId="2850E48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27,486,144</w:t>
            </w:r>
          </w:p>
        </w:tc>
        <w:tc>
          <w:tcPr>
            <w:tcW w:w="1473" w:type="dxa"/>
            <w:tcBorders>
              <w:top w:val="nil"/>
              <w:left w:val="nil"/>
              <w:bottom w:val="nil"/>
              <w:right w:val="nil"/>
            </w:tcBorders>
            <w:shd w:val="clear" w:color="auto" w:fill="auto"/>
            <w:vAlign w:val="bottom"/>
          </w:tcPr>
          <w:p w14:paraId="425C402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189,466,647</w:t>
            </w:r>
          </w:p>
        </w:tc>
      </w:tr>
      <w:tr w:rsidR="00C016E8" w:rsidRPr="00702DDD" w14:paraId="61ADF582" w14:textId="77777777" w:rsidTr="00E83386">
        <w:trPr>
          <w:trHeight w:val="309"/>
        </w:trPr>
        <w:tc>
          <w:tcPr>
            <w:tcW w:w="2901" w:type="dxa"/>
            <w:shd w:val="clear" w:color="auto" w:fill="auto"/>
          </w:tcPr>
          <w:p w14:paraId="4BFB22F1"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Southern Middle</w:t>
            </w:r>
          </w:p>
        </w:tc>
        <w:tc>
          <w:tcPr>
            <w:tcW w:w="1473" w:type="dxa"/>
            <w:tcBorders>
              <w:top w:val="nil"/>
              <w:left w:val="nil"/>
              <w:bottom w:val="nil"/>
              <w:right w:val="nil"/>
            </w:tcBorders>
            <w:shd w:val="clear" w:color="auto" w:fill="auto"/>
            <w:vAlign w:val="bottom"/>
          </w:tcPr>
          <w:p w14:paraId="7C78543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107,692,308</w:t>
            </w:r>
          </w:p>
        </w:tc>
        <w:tc>
          <w:tcPr>
            <w:tcW w:w="1473" w:type="dxa"/>
            <w:tcBorders>
              <w:top w:val="nil"/>
              <w:left w:val="nil"/>
              <w:bottom w:val="nil"/>
              <w:right w:val="nil"/>
            </w:tcBorders>
            <w:shd w:val="clear" w:color="auto" w:fill="auto"/>
            <w:vAlign w:val="bottom"/>
          </w:tcPr>
          <w:p w14:paraId="2F44761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31,861,668</w:t>
            </w:r>
          </w:p>
        </w:tc>
        <w:tc>
          <w:tcPr>
            <w:tcW w:w="1473" w:type="dxa"/>
            <w:tcBorders>
              <w:top w:val="nil"/>
              <w:left w:val="nil"/>
              <w:bottom w:val="nil"/>
              <w:right w:val="nil"/>
            </w:tcBorders>
            <w:shd w:val="clear" w:color="auto" w:fill="auto"/>
            <w:vAlign w:val="bottom"/>
          </w:tcPr>
          <w:p w14:paraId="7073003B"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15,634,496</w:t>
            </w:r>
          </w:p>
        </w:tc>
        <w:tc>
          <w:tcPr>
            <w:tcW w:w="1473" w:type="dxa"/>
            <w:tcBorders>
              <w:top w:val="nil"/>
              <w:left w:val="nil"/>
              <w:bottom w:val="nil"/>
              <w:right w:val="nil"/>
            </w:tcBorders>
            <w:shd w:val="clear" w:color="auto" w:fill="auto"/>
            <w:vAlign w:val="bottom"/>
          </w:tcPr>
          <w:p w14:paraId="06DCDA4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155,188,472</w:t>
            </w:r>
          </w:p>
        </w:tc>
      </w:tr>
      <w:tr w:rsidR="00C016E8" w:rsidRPr="00702DDD" w14:paraId="36674F65" w14:textId="77777777" w:rsidTr="00E83386">
        <w:trPr>
          <w:trHeight w:val="309"/>
        </w:trPr>
        <w:tc>
          <w:tcPr>
            <w:tcW w:w="2901" w:type="dxa"/>
            <w:shd w:val="clear" w:color="auto" w:fill="auto"/>
          </w:tcPr>
          <w:p w14:paraId="69B06CC4"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Southwest</w:t>
            </w:r>
          </w:p>
        </w:tc>
        <w:tc>
          <w:tcPr>
            <w:tcW w:w="1473" w:type="dxa"/>
            <w:tcBorders>
              <w:top w:val="nil"/>
              <w:left w:val="nil"/>
              <w:bottom w:val="nil"/>
              <w:right w:val="nil"/>
            </w:tcBorders>
            <w:shd w:val="clear" w:color="auto" w:fill="auto"/>
            <w:vAlign w:val="bottom"/>
          </w:tcPr>
          <w:p w14:paraId="304994A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92,307,692</w:t>
            </w:r>
          </w:p>
        </w:tc>
        <w:tc>
          <w:tcPr>
            <w:tcW w:w="1473" w:type="dxa"/>
            <w:tcBorders>
              <w:top w:val="nil"/>
              <w:left w:val="nil"/>
              <w:bottom w:val="nil"/>
              <w:right w:val="nil"/>
            </w:tcBorders>
            <w:shd w:val="clear" w:color="auto" w:fill="auto"/>
            <w:vAlign w:val="bottom"/>
          </w:tcPr>
          <w:p w14:paraId="11D9021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41,563,670</w:t>
            </w:r>
          </w:p>
        </w:tc>
        <w:tc>
          <w:tcPr>
            <w:tcW w:w="1473" w:type="dxa"/>
            <w:tcBorders>
              <w:top w:val="nil"/>
              <w:left w:val="nil"/>
              <w:bottom w:val="nil"/>
              <w:right w:val="nil"/>
            </w:tcBorders>
            <w:shd w:val="clear" w:color="auto" w:fill="auto"/>
            <w:vAlign w:val="bottom"/>
          </w:tcPr>
          <w:p w14:paraId="4D321F5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12,248,694</w:t>
            </w:r>
          </w:p>
        </w:tc>
        <w:tc>
          <w:tcPr>
            <w:tcW w:w="1473" w:type="dxa"/>
            <w:tcBorders>
              <w:top w:val="nil"/>
              <w:left w:val="nil"/>
              <w:bottom w:val="nil"/>
              <w:right w:val="nil"/>
            </w:tcBorders>
            <w:shd w:val="clear" w:color="auto" w:fill="auto"/>
            <w:vAlign w:val="bottom"/>
          </w:tcPr>
          <w:p w14:paraId="16EA526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146,120,056</w:t>
            </w:r>
          </w:p>
        </w:tc>
      </w:tr>
      <w:tr w:rsidR="00C016E8" w:rsidRPr="00702DDD" w14:paraId="5F0D55E2" w14:textId="77777777" w:rsidTr="00E83386">
        <w:trPr>
          <w:trHeight w:val="309"/>
        </w:trPr>
        <w:tc>
          <w:tcPr>
            <w:tcW w:w="2901" w:type="dxa"/>
            <w:tcBorders>
              <w:bottom w:val="nil"/>
            </w:tcBorders>
            <w:shd w:val="clear" w:color="auto" w:fill="auto"/>
          </w:tcPr>
          <w:p w14:paraId="345DAEB5"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Greater Memphis</w:t>
            </w:r>
          </w:p>
        </w:tc>
        <w:tc>
          <w:tcPr>
            <w:tcW w:w="1473" w:type="dxa"/>
            <w:tcBorders>
              <w:top w:val="nil"/>
              <w:left w:val="nil"/>
              <w:bottom w:val="nil"/>
              <w:right w:val="nil"/>
            </w:tcBorders>
            <w:shd w:val="clear" w:color="auto" w:fill="auto"/>
            <w:vAlign w:val="bottom"/>
          </w:tcPr>
          <w:p w14:paraId="0904278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46,153,846</w:t>
            </w:r>
          </w:p>
        </w:tc>
        <w:tc>
          <w:tcPr>
            <w:tcW w:w="1473" w:type="dxa"/>
            <w:tcBorders>
              <w:top w:val="nil"/>
              <w:left w:val="nil"/>
              <w:bottom w:val="nil"/>
              <w:right w:val="nil"/>
            </w:tcBorders>
            <w:shd w:val="clear" w:color="auto" w:fill="auto"/>
            <w:vAlign w:val="bottom"/>
          </w:tcPr>
          <w:p w14:paraId="7F6C39DB"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16,390,429</w:t>
            </w:r>
          </w:p>
        </w:tc>
        <w:tc>
          <w:tcPr>
            <w:tcW w:w="1473" w:type="dxa"/>
            <w:tcBorders>
              <w:top w:val="nil"/>
              <w:left w:val="nil"/>
              <w:bottom w:val="nil"/>
              <w:right w:val="nil"/>
            </w:tcBorders>
            <w:shd w:val="clear" w:color="auto" w:fill="auto"/>
            <w:vAlign w:val="bottom"/>
          </w:tcPr>
          <w:p w14:paraId="75F4770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19,179,618</w:t>
            </w:r>
          </w:p>
        </w:tc>
        <w:tc>
          <w:tcPr>
            <w:tcW w:w="1473" w:type="dxa"/>
            <w:tcBorders>
              <w:top w:val="nil"/>
              <w:left w:val="nil"/>
              <w:bottom w:val="nil"/>
              <w:right w:val="nil"/>
            </w:tcBorders>
            <w:shd w:val="clear" w:color="auto" w:fill="auto"/>
            <w:vAlign w:val="bottom"/>
          </w:tcPr>
          <w:p w14:paraId="3E8713B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81,723,892</w:t>
            </w:r>
          </w:p>
        </w:tc>
      </w:tr>
      <w:tr w:rsidR="00C016E8" w:rsidRPr="00702DDD" w14:paraId="2F42F899" w14:textId="77777777" w:rsidTr="00E83386">
        <w:trPr>
          <w:trHeight w:val="309"/>
        </w:trPr>
        <w:tc>
          <w:tcPr>
            <w:tcW w:w="2901" w:type="dxa"/>
            <w:tcBorders>
              <w:top w:val="nil"/>
              <w:left w:val="nil"/>
              <w:bottom w:val="single" w:sz="4" w:space="0" w:color="auto"/>
              <w:right w:val="nil"/>
            </w:tcBorders>
            <w:shd w:val="clear" w:color="auto" w:fill="auto"/>
          </w:tcPr>
          <w:p w14:paraId="1DA4B497" w14:textId="77777777" w:rsidR="00C016E8" w:rsidRPr="00702DDD" w:rsidRDefault="00C016E8" w:rsidP="00E83386">
            <w:pPr>
              <w:autoSpaceDE w:val="0"/>
              <w:autoSpaceDN w:val="0"/>
              <w:adjustRightInd w:val="0"/>
              <w:rPr>
                <w:rFonts w:ascii="Times New Roman" w:eastAsia="Calibri" w:hAnsi="Times New Roman" w:cs="Times New Roman"/>
                <w:bCs/>
                <w:i/>
                <w:iCs/>
                <w:color w:val="000000"/>
              </w:rPr>
            </w:pPr>
            <w:r w:rsidRPr="00702DDD">
              <w:rPr>
                <w:rFonts w:ascii="Times New Roman" w:hAnsi="Times New Roman" w:cs="Times New Roman"/>
                <w:i/>
                <w:color w:val="000000"/>
              </w:rPr>
              <w:t>Aggregate</w:t>
            </w:r>
          </w:p>
        </w:tc>
        <w:tc>
          <w:tcPr>
            <w:tcW w:w="1473" w:type="dxa"/>
            <w:tcBorders>
              <w:top w:val="nil"/>
              <w:left w:val="nil"/>
              <w:bottom w:val="single" w:sz="4" w:space="0" w:color="auto"/>
              <w:right w:val="nil"/>
            </w:tcBorders>
            <w:shd w:val="clear" w:color="auto" w:fill="auto"/>
            <w:vAlign w:val="bottom"/>
          </w:tcPr>
          <w:p w14:paraId="52B0D780" w14:textId="77777777" w:rsidR="00C016E8" w:rsidRPr="00702DDD" w:rsidRDefault="00C016E8" w:rsidP="00E83386">
            <w:pPr>
              <w:autoSpaceDE w:val="0"/>
              <w:autoSpaceDN w:val="0"/>
              <w:adjustRightInd w:val="0"/>
              <w:jc w:val="center"/>
              <w:rPr>
                <w:rFonts w:ascii="Times New Roman" w:hAnsi="Times New Roman" w:cs="Times New Roman"/>
                <w:color w:val="000000"/>
                <w:sz w:val="20"/>
              </w:rPr>
            </w:pPr>
            <w:r w:rsidRPr="00702DDD">
              <w:rPr>
                <w:rFonts w:ascii="Times New Roman" w:hAnsi="Times New Roman" w:cs="Times New Roman"/>
                <w:color w:val="000000"/>
                <w:sz w:val="20"/>
                <w:szCs w:val="22"/>
              </w:rPr>
              <w:t>1,000,000,000</w:t>
            </w:r>
          </w:p>
        </w:tc>
        <w:tc>
          <w:tcPr>
            <w:tcW w:w="1473" w:type="dxa"/>
            <w:tcBorders>
              <w:top w:val="nil"/>
              <w:left w:val="nil"/>
              <w:bottom w:val="single" w:sz="4" w:space="0" w:color="auto"/>
              <w:right w:val="nil"/>
            </w:tcBorders>
            <w:shd w:val="clear" w:color="auto" w:fill="auto"/>
            <w:vAlign w:val="bottom"/>
          </w:tcPr>
          <w:p w14:paraId="654830C0" w14:textId="77777777" w:rsidR="00C016E8" w:rsidRPr="00702DDD" w:rsidRDefault="00C016E8" w:rsidP="00E83386">
            <w:pPr>
              <w:autoSpaceDE w:val="0"/>
              <w:autoSpaceDN w:val="0"/>
              <w:adjustRightInd w:val="0"/>
              <w:jc w:val="center"/>
              <w:rPr>
                <w:rFonts w:ascii="Times New Roman" w:hAnsi="Times New Roman" w:cs="Times New Roman"/>
                <w:color w:val="000000"/>
                <w:sz w:val="20"/>
              </w:rPr>
            </w:pPr>
            <w:r w:rsidRPr="00702DDD">
              <w:rPr>
                <w:rFonts w:ascii="Times New Roman" w:hAnsi="Times New Roman" w:cs="Times New Roman"/>
                <w:color w:val="000000"/>
                <w:sz w:val="20"/>
                <w:szCs w:val="22"/>
              </w:rPr>
              <w:t>411,148,939</w:t>
            </w:r>
          </w:p>
        </w:tc>
        <w:tc>
          <w:tcPr>
            <w:tcW w:w="1473" w:type="dxa"/>
            <w:tcBorders>
              <w:top w:val="nil"/>
              <w:left w:val="nil"/>
              <w:bottom w:val="single" w:sz="4" w:space="0" w:color="auto"/>
              <w:right w:val="nil"/>
            </w:tcBorders>
            <w:shd w:val="clear" w:color="auto" w:fill="auto"/>
            <w:vAlign w:val="bottom"/>
          </w:tcPr>
          <w:p w14:paraId="1D831B21" w14:textId="77777777" w:rsidR="00C016E8" w:rsidRPr="00702DDD" w:rsidRDefault="00C016E8" w:rsidP="00E83386">
            <w:pPr>
              <w:autoSpaceDE w:val="0"/>
              <w:autoSpaceDN w:val="0"/>
              <w:adjustRightInd w:val="0"/>
              <w:jc w:val="center"/>
              <w:rPr>
                <w:rFonts w:ascii="Times New Roman" w:hAnsi="Times New Roman" w:cs="Times New Roman"/>
                <w:color w:val="000000"/>
                <w:sz w:val="20"/>
              </w:rPr>
            </w:pPr>
            <w:r w:rsidRPr="00702DDD">
              <w:rPr>
                <w:rFonts w:ascii="Times New Roman" w:hAnsi="Times New Roman" w:cs="Times New Roman"/>
                <w:color w:val="000000"/>
                <w:sz w:val="20"/>
                <w:szCs w:val="22"/>
              </w:rPr>
              <w:t>206,808,076</w:t>
            </w:r>
          </w:p>
        </w:tc>
        <w:tc>
          <w:tcPr>
            <w:tcW w:w="1473" w:type="dxa"/>
            <w:tcBorders>
              <w:top w:val="nil"/>
              <w:left w:val="nil"/>
              <w:bottom w:val="single" w:sz="4" w:space="0" w:color="auto"/>
              <w:right w:val="nil"/>
            </w:tcBorders>
            <w:shd w:val="clear" w:color="auto" w:fill="auto"/>
            <w:vAlign w:val="bottom"/>
          </w:tcPr>
          <w:p w14:paraId="49B4919C" w14:textId="77777777" w:rsidR="00C016E8" w:rsidRPr="00702DDD" w:rsidRDefault="00C016E8" w:rsidP="00E83386">
            <w:pPr>
              <w:autoSpaceDE w:val="0"/>
              <w:autoSpaceDN w:val="0"/>
              <w:adjustRightInd w:val="0"/>
              <w:jc w:val="center"/>
              <w:rPr>
                <w:rFonts w:ascii="Times New Roman" w:hAnsi="Times New Roman" w:cs="Times New Roman"/>
                <w:color w:val="000000"/>
                <w:sz w:val="20"/>
              </w:rPr>
            </w:pPr>
            <w:r w:rsidRPr="00702DDD">
              <w:rPr>
                <w:rFonts w:ascii="Times New Roman" w:hAnsi="Times New Roman" w:cs="Times New Roman"/>
                <w:color w:val="000000"/>
                <w:sz w:val="20"/>
                <w:szCs w:val="22"/>
              </w:rPr>
              <w:t>1,617,957,014</w:t>
            </w:r>
          </w:p>
        </w:tc>
      </w:tr>
      <w:tr w:rsidR="00C016E8" w:rsidRPr="00702DDD" w14:paraId="6F031720" w14:textId="77777777" w:rsidTr="00E83386">
        <w:trPr>
          <w:trHeight w:val="309"/>
        </w:trPr>
        <w:tc>
          <w:tcPr>
            <w:tcW w:w="2901" w:type="dxa"/>
            <w:tcBorders>
              <w:top w:val="single" w:sz="4" w:space="0" w:color="auto"/>
            </w:tcBorders>
            <w:shd w:val="clear" w:color="auto" w:fill="auto"/>
          </w:tcPr>
          <w:p w14:paraId="3747C0C7" w14:textId="77777777" w:rsidR="00C016E8" w:rsidRPr="00702DDD" w:rsidRDefault="00C016E8" w:rsidP="00E83386">
            <w:pPr>
              <w:autoSpaceDE w:val="0"/>
              <w:autoSpaceDN w:val="0"/>
              <w:adjustRightInd w:val="0"/>
              <w:rPr>
                <w:rFonts w:ascii="Times New Roman" w:eastAsia="Calibri" w:hAnsi="Times New Roman" w:cs="Times New Roman"/>
                <w:b/>
                <w:bCs/>
                <w:iCs/>
                <w:color w:val="000000"/>
                <w:szCs w:val="22"/>
              </w:rPr>
            </w:pPr>
            <w:r w:rsidRPr="00702DDD">
              <w:rPr>
                <w:rFonts w:ascii="Times New Roman" w:eastAsia="Calibri" w:hAnsi="Times New Roman" w:cs="Times New Roman"/>
                <w:b/>
                <w:bCs/>
                <w:iCs/>
                <w:color w:val="000000"/>
                <w:szCs w:val="22"/>
              </w:rPr>
              <w:t>Neg Scaled Avg</w:t>
            </w:r>
          </w:p>
        </w:tc>
        <w:tc>
          <w:tcPr>
            <w:tcW w:w="1473" w:type="dxa"/>
            <w:tcBorders>
              <w:top w:val="single" w:sz="4" w:space="0" w:color="auto"/>
            </w:tcBorders>
            <w:shd w:val="clear" w:color="auto" w:fill="auto"/>
          </w:tcPr>
          <w:p w14:paraId="56BB58CD"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p>
        </w:tc>
        <w:tc>
          <w:tcPr>
            <w:tcW w:w="1473" w:type="dxa"/>
            <w:tcBorders>
              <w:top w:val="single" w:sz="4" w:space="0" w:color="auto"/>
            </w:tcBorders>
            <w:shd w:val="clear" w:color="auto" w:fill="auto"/>
          </w:tcPr>
          <w:p w14:paraId="6C4A876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p>
        </w:tc>
        <w:tc>
          <w:tcPr>
            <w:tcW w:w="1473" w:type="dxa"/>
            <w:tcBorders>
              <w:top w:val="single" w:sz="4" w:space="0" w:color="auto"/>
            </w:tcBorders>
            <w:shd w:val="clear" w:color="auto" w:fill="auto"/>
          </w:tcPr>
          <w:p w14:paraId="0238D5C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p>
        </w:tc>
        <w:tc>
          <w:tcPr>
            <w:tcW w:w="1473" w:type="dxa"/>
            <w:tcBorders>
              <w:top w:val="single" w:sz="4" w:space="0" w:color="auto"/>
            </w:tcBorders>
            <w:shd w:val="clear" w:color="auto" w:fill="auto"/>
          </w:tcPr>
          <w:p w14:paraId="596E140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Cs w:val="22"/>
              </w:rPr>
            </w:pPr>
          </w:p>
        </w:tc>
      </w:tr>
      <w:tr w:rsidR="00C016E8" w:rsidRPr="00702DDD" w14:paraId="754C0045" w14:textId="77777777" w:rsidTr="00E83386">
        <w:trPr>
          <w:trHeight w:val="309"/>
        </w:trPr>
        <w:tc>
          <w:tcPr>
            <w:tcW w:w="2901" w:type="dxa"/>
            <w:shd w:val="clear" w:color="auto" w:fill="auto"/>
          </w:tcPr>
          <w:p w14:paraId="649B1B83"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Northwest</w:t>
            </w:r>
          </w:p>
        </w:tc>
        <w:tc>
          <w:tcPr>
            <w:tcW w:w="1473" w:type="dxa"/>
            <w:tcBorders>
              <w:top w:val="nil"/>
              <w:left w:val="nil"/>
              <w:bottom w:val="nil"/>
              <w:right w:val="nil"/>
            </w:tcBorders>
            <w:shd w:val="clear" w:color="auto" w:fill="auto"/>
            <w:vAlign w:val="bottom"/>
          </w:tcPr>
          <w:p w14:paraId="2D7B583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157,894,737</w:t>
            </w:r>
          </w:p>
        </w:tc>
        <w:tc>
          <w:tcPr>
            <w:tcW w:w="1473" w:type="dxa"/>
            <w:tcBorders>
              <w:top w:val="nil"/>
              <w:left w:val="nil"/>
              <w:bottom w:val="nil"/>
              <w:right w:val="nil"/>
            </w:tcBorders>
            <w:shd w:val="clear" w:color="auto" w:fill="auto"/>
            <w:vAlign w:val="bottom"/>
          </w:tcPr>
          <w:p w14:paraId="6FF417D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52,107,704</w:t>
            </w:r>
          </w:p>
        </w:tc>
        <w:tc>
          <w:tcPr>
            <w:tcW w:w="1473" w:type="dxa"/>
            <w:tcBorders>
              <w:top w:val="nil"/>
              <w:left w:val="nil"/>
              <w:bottom w:val="nil"/>
              <w:right w:val="nil"/>
            </w:tcBorders>
            <w:shd w:val="clear" w:color="auto" w:fill="auto"/>
            <w:vAlign w:val="bottom"/>
          </w:tcPr>
          <w:p w14:paraId="02434F2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21,716,302</w:t>
            </w:r>
          </w:p>
        </w:tc>
        <w:tc>
          <w:tcPr>
            <w:tcW w:w="1473" w:type="dxa"/>
            <w:tcBorders>
              <w:top w:val="nil"/>
              <w:left w:val="nil"/>
              <w:bottom w:val="nil"/>
              <w:right w:val="nil"/>
            </w:tcBorders>
            <w:shd w:val="clear" w:color="auto" w:fill="auto"/>
            <w:vAlign w:val="bottom"/>
          </w:tcPr>
          <w:p w14:paraId="6B3F452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231,718,744</w:t>
            </w:r>
          </w:p>
        </w:tc>
      </w:tr>
      <w:tr w:rsidR="00C016E8" w:rsidRPr="00702DDD" w14:paraId="7C1888D6" w14:textId="77777777" w:rsidTr="00E83386">
        <w:trPr>
          <w:trHeight w:val="309"/>
        </w:trPr>
        <w:tc>
          <w:tcPr>
            <w:tcW w:w="2901" w:type="dxa"/>
            <w:shd w:val="clear" w:color="auto" w:fill="auto"/>
          </w:tcPr>
          <w:p w14:paraId="7FB33C97"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Northern Middle</w:t>
            </w:r>
          </w:p>
        </w:tc>
        <w:tc>
          <w:tcPr>
            <w:tcW w:w="1473" w:type="dxa"/>
            <w:tcBorders>
              <w:top w:val="nil"/>
              <w:left w:val="nil"/>
              <w:bottom w:val="nil"/>
              <w:right w:val="nil"/>
            </w:tcBorders>
            <w:shd w:val="clear" w:color="auto" w:fill="auto"/>
            <w:vAlign w:val="bottom"/>
          </w:tcPr>
          <w:p w14:paraId="1A2871DB"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17,543,860</w:t>
            </w:r>
          </w:p>
        </w:tc>
        <w:tc>
          <w:tcPr>
            <w:tcW w:w="1473" w:type="dxa"/>
            <w:tcBorders>
              <w:top w:val="nil"/>
              <w:left w:val="nil"/>
              <w:bottom w:val="nil"/>
              <w:right w:val="nil"/>
            </w:tcBorders>
            <w:shd w:val="clear" w:color="auto" w:fill="auto"/>
            <w:vAlign w:val="bottom"/>
          </w:tcPr>
          <w:p w14:paraId="1CA4A1EC"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8,163,956</w:t>
            </w:r>
          </w:p>
        </w:tc>
        <w:tc>
          <w:tcPr>
            <w:tcW w:w="1473" w:type="dxa"/>
            <w:tcBorders>
              <w:top w:val="nil"/>
              <w:left w:val="nil"/>
              <w:bottom w:val="nil"/>
              <w:right w:val="nil"/>
            </w:tcBorders>
            <w:shd w:val="clear" w:color="auto" w:fill="auto"/>
            <w:vAlign w:val="bottom"/>
          </w:tcPr>
          <w:p w14:paraId="72E4998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5,541,557</w:t>
            </w:r>
          </w:p>
        </w:tc>
        <w:tc>
          <w:tcPr>
            <w:tcW w:w="1473" w:type="dxa"/>
            <w:tcBorders>
              <w:top w:val="nil"/>
              <w:left w:val="nil"/>
              <w:bottom w:val="nil"/>
              <w:right w:val="nil"/>
            </w:tcBorders>
            <w:shd w:val="clear" w:color="auto" w:fill="auto"/>
            <w:vAlign w:val="bottom"/>
          </w:tcPr>
          <w:p w14:paraId="46E28BC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31,249,373</w:t>
            </w:r>
          </w:p>
        </w:tc>
      </w:tr>
      <w:tr w:rsidR="00C016E8" w:rsidRPr="00702DDD" w14:paraId="5C6C1003" w14:textId="77777777" w:rsidTr="00E83386">
        <w:trPr>
          <w:trHeight w:val="309"/>
        </w:trPr>
        <w:tc>
          <w:tcPr>
            <w:tcW w:w="2901" w:type="dxa"/>
            <w:shd w:val="clear" w:color="auto" w:fill="auto"/>
          </w:tcPr>
          <w:p w14:paraId="54466124"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Upper Cumberland</w:t>
            </w:r>
          </w:p>
        </w:tc>
        <w:tc>
          <w:tcPr>
            <w:tcW w:w="1473" w:type="dxa"/>
            <w:tcBorders>
              <w:top w:val="nil"/>
              <w:left w:val="nil"/>
              <w:bottom w:val="nil"/>
              <w:right w:val="nil"/>
            </w:tcBorders>
            <w:shd w:val="clear" w:color="auto" w:fill="auto"/>
            <w:vAlign w:val="bottom"/>
          </w:tcPr>
          <w:p w14:paraId="2B09956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175,438,596</w:t>
            </w:r>
          </w:p>
        </w:tc>
        <w:tc>
          <w:tcPr>
            <w:tcW w:w="1473" w:type="dxa"/>
            <w:tcBorders>
              <w:top w:val="nil"/>
              <w:left w:val="nil"/>
              <w:bottom w:val="nil"/>
              <w:right w:val="nil"/>
            </w:tcBorders>
            <w:shd w:val="clear" w:color="auto" w:fill="auto"/>
            <w:vAlign w:val="bottom"/>
          </w:tcPr>
          <w:p w14:paraId="29B50C1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90,692,454</w:t>
            </w:r>
          </w:p>
        </w:tc>
        <w:tc>
          <w:tcPr>
            <w:tcW w:w="1473" w:type="dxa"/>
            <w:tcBorders>
              <w:top w:val="nil"/>
              <w:left w:val="nil"/>
              <w:bottom w:val="nil"/>
              <w:right w:val="nil"/>
            </w:tcBorders>
            <w:shd w:val="clear" w:color="auto" w:fill="auto"/>
            <w:vAlign w:val="bottom"/>
          </w:tcPr>
          <w:p w14:paraId="219CFA3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18,252,440</w:t>
            </w:r>
          </w:p>
        </w:tc>
        <w:tc>
          <w:tcPr>
            <w:tcW w:w="1473" w:type="dxa"/>
            <w:tcBorders>
              <w:top w:val="nil"/>
              <w:left w:val="nil"/>
              <w:bottom w:val="nil"/>
              <w:right w:val="nil"/>
            </w:tcBorders>
            <w:shd w:val="clear" w:color="auto" w:fill="auto"/>
            <w:vAlign w:val="bottom"/>
          </w:tcPr>
          <w:p w14:paraId="1E37C42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284,383,490</w:t>
            </w:r>
          </w:p>
        </w:tc>
      </w:tr>
      <w:tr w:rsidR="00C016E8" w:rsidRPr="00702DDD" w14:paraId="24E16550" w14:textId="77777777" w:rsidTr="00E83386">
        <w:trPr>
          <w:trHeight w:val="309"/>
        </w:trPr>
        <w:tc>
          <w:tcPr>
            <w:tcW w:w="2901" w:type="dxa"/>
            <w:shd w:val="clear" w:color="auto" w:fill="auto"/>
          </w:tcPr>
          <w:p w14:paraId="38AF1DC1"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East</w:t>
            </w:r>
          </w:p>
        </w:tc>
        <w:tc>
          <w:tcPr>
            <w:tcW w:w="1473" w:type="dxa"/>
            <w:tcBorders>
              <w:top w:val="nil"/>
              <w:left w:val="nil"/>
              <w:bottom w:val="nil"/>
              <w:right w:val="nil"/>
            </w:tcBorders>
            <w:shd w:val="clear" w:color="auto" w:fill="auto"/>
            <w:vAlign w:val="bottom"/>
          </w:tcPr>
          <w:p w14:paraId="311546B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175,438,596</w:t>
            </w:r>
          </w:p>
        </w:tc>
        <w:tc>
          <w:tcPr>
            <w:tcW w:w="1473" w:type="dxa"/>
            <w:tcBorders>
              <w:top w:val="nil"/>
              <w:left w:val="nil"/>
              <w:bottom w:val="nil"/>
              <w:right w:val="nil"/>
            </w:tcBorders>
            <w:shd w:val="clear" w:color="auto" w:fill="auto"/>
            <w:vAlign w:val="bottom"/>
          </w:tcPr>
          <w:p w14:paraId="1846868B"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85,010,910</w:t>
            </w:r>
          </w:p>
        </w:tc>
        <w:tc>
          <w:tcPr>
            <w:tcW w:w="1473" w:type="dxa"/>
            <w:tcBorders>
              <w:top w:val="nil"/>
              <w:left w:val="nil"/>
              <w:bottom w:val="nil"/>
              <w:right w:val="nil"/>
            </w:tcBorders>
            <w:shd w:val="clear" w:color="auto" w:fill="auto"/>
            <w:vAlign w:val="bottom"/>
          </w:tcPr>
          <w:p w14:paraId="64A42E7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49,406,372</w:t>
            </w:r>
          </w:p>
        </w:tc>
        <w:tc>
          <w:tcPr>
            <w:tcW w:w="1473" w:type="dxa"/>
            <w:tcBorders>
              <w:top w:val="nil"/>
              <w:left w:val="nil"/>
              <w:bottom w:val="nil"/>
              <w:right w:val="nil"/>
            </w:tcBorders>
            <w:shd w:val="clear" w:color="auto" w:fill="auto"/>
            <w:vAlign w:val="bottom"/>
          </w:tcPr>
          <w:p w14:paraId="0997F01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309,855,878</w:t>
            </w:r>
          </w:p>
        </w:tc>
      </w:tr>
      <w:tr w:rsidR="00C016E8" w:rsidRPr="00702DDD" w14:paraId="306E5A71" w14:textId="77777777" w:rsidTr="00E83386">
        <w:trPr>
          <w:trHeight w:val="309"/>
        </w:trPr>
        <w:tc>
          <w:tcPr>
            <w:tcW w:w="2901" w:type="dxa"/>
            <w:shd w:val="clear" w:color="auto" w:fill="auto"/>
          </w:tcPr>
          <w:p w14:paraId="75F87D2F"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Northeast</w:t>
            </w:r>
          </w:p>
        </w:tc>
        <w:tc>
          <w:tcPr>
            <w:tcW w:w="1473" w:type="dxa"/>
            <w:tcBorders>
              <w:top w:val="nil"/>
              <w:left w:val="nil"/>
              <w:bottom w:val="nil"/>
              <w:right w:val="nil"/>
            </w:tcBorders>
            <w:shd w:val="clear" w:color="auto" w:fill="auto"/>
            <w:vAlign w:val="bottom"/>
          </w:tcPr>
          <w:p w14:paraId="58E76D1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122,807,018</w:t>
            </w:r>
          </w:p>
        </w:tc>
        <w:tc>
          <w:tcPr>
            <w:tcW w:w="1473" w:type="dxa"/>
            <w:tcBorders>
              <w:top w:val="nil"/>
              <w:left w:val="nil"/>
              <w:bottom w:val="nil"/>
              <w:right w:val="nil"/>
            </w:tcBorders>
            <w:shd w:val="clear" w:color="auto" w:fill="auto"/>
            <w:vAlign w:val="bottom"/>
          </w:tcPr>
          <w:p w14:paraId="4150A5F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48,583,448</w:t>
            </w:r>
          </w:p>
        </w:tc>
        <w:tc>
          <w:tcPr>
            <w:tcW w:w="1473" w:type="dxa"/>
            <w:tcBorders>
              <w:top w:val="nil"/>
              <w:left w:val="nil"/>
              <w:bottom w:val="nil"/>
              <w:right w:val="nil"/>
            </w:tcBorders>
            <w:shd w:val="clear" w:color="auto" w:fill="auto"/>
            <w:vAlign w:val="bottom"/>
          </w:tcPr>
          <w:p w14:paraId="4DFB6DFD"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25,568,085</w:t>
            </w:r>
          </w:p>
        </w:tc>
        <w:tc>
          <w:tcPr>
            <w:tcW w:w="1473" w:type="dxa"/>
            <w:tcBorders>
              <w:top w:val="nil"/>
              <w:left w:val="nil"/>
              <w:bottom w:val="nil"/>
              <w:right w:val="nil"/>
            </w:tcBorders>
            <w:shd w:val="clear" w:color="auto" w:fill="auto"/>
            <w:vAlign w:val="bottom"/>
          </w:tcPr>
          <w:p w14:paraId="41B74F6A"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196,958,551</w:t>
            </w:r>
          </w:p>
        </w:tc>
      </w:tr>
      <w:tr w:rsidR="00C016E8" w:rsidRPr="00702DDD" w14:paraId="42B3CCD8" w14:textId="77777777" w:rsidTr="00E83386">
        <w:trPr>
          <w:trHeight w:val="309"/>
        </w:trPr>
        <w:tc>
          <w:tcPr>
            <w:tcW w:w="2901" w:type="dxa"/>
            <w:shd w:val="clear" w:color="auto" w:fill="auto"/>
          </w:tcPr>
          <w:p w14:paraId="14907F17"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Southeast</w:t>
            </w:r>
          </w:p>
        </w:tc>
        <w:tc>
          <w:tcPr>
            <w:tcW w:w="1473" w:type="dxa"/>
            <w:tcBorders>
              <w:top w:val="nil"/>
              <w:left w:val="nil"/>
              <w:bottom w:val="nil"/>
              <w:right w:val="nil"/>
            </w:tcBorders>
            <w:shd w:val="clear" w:color="auto" w:fill="auto"/>
            <w:vAlign w:val="bottom"/>
          </w:tcPr>
          <w:p w14:paraId="06684743"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122,807,018</w:t>
            </w:r>
          </w:p>
        </w:tc>
        <w:tc>
          <w:tcPr>
            <w:tcW w:w="1473" w:type="dxa"/>
            <w:tcBorders>
              <w:top w:val="nil"/>
              <w:left w:val="nil"/>
              <w:bottom w:val="nil"/>
              <w:right w:val="nil"/>
            </w:tcBorders>
            <w:shd w:val="clear" w:color="auto" w:fill="auto"/>
            <w:vAlign w:val="bottom"/>
          </w:tcPr>
          <w:p w14:paraId="698287C4"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38,818,265</w:t>
            </w:r>
          </w:p>
        </w:tc>
        <w:tc>
          <w:tcPr>
            <w:tcW w:w="1473" w:type="dxa"/>
            <w:tcBorders>
              <w:top w:val="nil"/>
              <w:left w:val="nil"/>
              <w:bottom w:val="nil"/>
              <w:right w:val="nil"/>
            </w:tcBorders>
            <w:shd w:val="clear" w:color="auto" w:fill="auto"/>
            <w:vAlign w:val="bottom"/>
          </w:tcPr>
          <w:p w14:paraId="4F9F4D68"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27,425,867</w:t>
            </w:r>
          </w:p>
        </w:tc>
        <w:tc>
          <w:tcPr>
            <w:tcW w:w="1473" w:type="dxa"/>
            <w:tcBorders>
              <w:top w:val="nil"/>
              <w:left w:val="nil"/>
              <w:bottom w:val="nil"/>
              <w:right w:val="nil"/>
            </w:tcBorders>
            <w:shd w:val="clear" w:color="auto" w:fill="auto"/>
            <w:vAlign w:val="bottom"/>
          </w:tcPr>
          <w:p w14:paraId="2D697B81"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189,051,150</w:t>
            </w:r>
          </w:p>
        </w:tc>
      </w:tr>
      <w:tr w:rsidR="00C016E8" w:rsidRPr="00702DDD" w14:paraId="4687B828" w14:textId="77777777" w:rsidTr="00E83386">
        <w:trPr>
          <w:trHeight w:val="309"/>
        </w:trPr>
        <w:tc>
          <w:tcPr>
            <w:tcW w:w="2901" w:type="dxa"/>
            <w:shd w:val="clear" w:color="auto" w:fill="auto"/>
          </w:tcPr>
          <w:p w14:paraId="06C6512A"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Southern Middle</w:t>
            </w:r>
          </w:p>
        </w:tc>
        <w:tc>
          <w:tcPr>
            <w:tcW w:w="1473" w:type="dxa"/>
            <w:tcBorders>
              <w:top w:val="nil"/>
              <w:left w:val="nil"/>
              <w:bottom w:val="nil"/>
              <w:right w:val="nil"/>
            </w:tcBorders>
            <w:shd w:val="clear" w:color="auto" w:fill="auto"/>
            <w:vAlign w:val="bottom"/>
          </w:tcPr>
          <w:p w14:paraId="012471CF"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70,175,439</w:t>
            </w:r>
          </w:p>
        </w:tc>
        <w:tc>
          <w:tcPr>
            <w:tcW w:w="1473" w:type="dxa"/>
            <w:tcBorders>
              <w:top w:val="nil"/>
              <w:left w:val="nil"/>
              <w:bottom w:val="nil"/>
              <w:right w:val="nil"/>
            </w:tcBorders>
            <w:shd w:val="clear" w:color="auto" w:fill="auto"/>
            <w:vAlign w:val="bottom"/>
          </w:tcPr>
          <w:p w14:paraId="6E2EB27E"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20,761,989</w:t>
            </w:r>
          </w:p>
        </w:tc>
        <w:tc>
          <w:tcPr>
            <w:tcW w:w="1473" w:type="dxa"/>
            <w:tcBorders>
              <w:top w:val="nil"/>
              <w:left w:val="nil"/>
              <w:bottom w:val="nil"/>
              <w:right w:val="nil"/>
            </w:tcBorders>
            <w:shd w:val="clear" w:color="auto" w:fill="auto"/>
            <w:vAlign w:val="bottom"/>
          </w:tcPr>
          <w:p w14:paraId="108270A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10,187,892</w:t>
            </w:r>
          </w:p>
        </w:tc>
        <w:tc>
          <w:tcPr>
            <w:tcW w:w="1473" w:type="dxa"/>
            <w:tcBorders>
              <w:top w:val="nil"/>
              <w:left w:val="nil"/>
              <w:bottom w:val="nil"/>
              <w:right w:val="nil"/>
            </w:tcBorders>
            <w:shd w:val="clear" w:color="auto" w:fill="auto"/>
            <w:vAlign w:val="bottom"/>
          </w:tcPr>
          <w:p w14:paraId="7727A23B"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101,125,321</w:t>
            </w:r>
          </w:p>
        </w:tc>
      </w:tr>
      <w:tr w:rsidR="00C016E8" w:rsidRPr="00702DDD" w14:paraId="61F0A46A" w14:textId="77777777" w:rsidTr="00E83386">
        <w:trPr>
          <w:trHeight w:val="309"/>
        </w:trPr>
        <w:tc>
          <w:tcPr>
            <w:tcW w:w="2901" w:type="dxa"/>
            <w:shd w:val="clear" w:color="auto" w:fill="auto"/>
          </w:tcPr>
          <w:p w14:paraId="5FB0A0C9"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Southwest</w:t>
            </w:r>
          </w:p>
        </w:tc>
        <w:tc>
          <w:tcPr>
            <w:tcW w:w="1473" w:type="dxa"/>
            <w:tcBorders>
              <w:top w:val="nil"/>
              <w:left w:val="nil"/>
              <w:bottom w:val="nil"/>
              <w:right w:val="nil"/>
            </w:tcBorders>
            <w:shd w:val="clear" w:color="auto" w:fill="auto"/>
            <w:vAlign w:val="bottom"/>
          </w:tcPr>
          <w:p w14:paraId="16151916"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122,807,018</w:t>
            </w:r>
          </w:p>
        </w:tc>
        <w:tc>
          <w:tcPr>
            <w:tcW w:w="1473" w:type="dxa"/>
            <w:tcBorders>
              <w:top w:val="nil"/>
              <w:left w:val="nil"/>
              <w:bottom w:val="nil"/>
              <w:right w:val="nil"/>
            </w:tcBorders>
            <w:shd w:val="clear" w:color="auto" w:fill="auto"/>
            <w:vAlign w:val="bottom"/>
          </w:tcPr>
          <w:p w14:paraId="4270213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55,296,696</w:t>
            </w:r>
          </w:p>
        </w:tc>
        <w:tc>
          <w:tcPr>
            <w:tcW w:w="1473" w:type="dxa"/>
            <w:tcBorders>
              <w:top w:val="nil"/>
              <w:left w:val="nil"/>
              <w:bottom w:val="nil"/>
              <w:right w:val="nil"/>
            </w:tcBorders>
            <w:shd w:val="clear" w:color="auto" w:fill="auto"/>
            <w:vAlign w:val="bottom"/>
          </w:tcPr>
          <w:p w14:paraId="62B6BB4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16,295,777</w:t>
            </w:r>
          </w:p>
        </w:tc>
        <w:tc>
          <w:tcPr>
            <w:tcW w:w="1473" w:type="dxa"/>
            <w:tcBorders>
              <w:top w:val="nil"/>
              <w:left w:val="nil"/>
              <w:bottom w:val="nil"/>
              <w:right w:val="nil"/>
            </w:tcBorders>
            <w:shd w:val="clear" w:color="auto" w:fill="auto"/>
            <w:vAlign w:val="bottom"/>
          </w:tcPr>
          <w:p w14:paraId="173B888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194,399,491</w:t>
            </w:r>
          </w:p>
        </w:tc>
      </w:tr>
      <w:tr w:rsidR="00C016E8" w:rsidRPr="00702DDD" w14:paraId="6E1D5C16" w14:textId="77777777" w:rsidTr="00E83386">
        <w:trPr>
          <w:trHeight w:val="309"/>
        </w:trPr>
        <w:tc>
          <w:tcPr>
            <w:tcW w:w="2901" w:type="dxa"/>
            <w:tcBorders>
              <w:bottom w:val="nil"/>
            </w:tcBorders>
            <w:shd w:val="clear" w:color="auto" w:fill="auto"/>
          </w:tcPr>
          <w:p w14:paraId="67E05165" w14:textId="77777777" w:rsidR="00C016E8" w:rsidRPr="00702DDD" w:rsidRDefault="00C016E8" w:rsidP="00E83386">
            <w:pPr>
              <w:autoSpaceDE w:val="0"/>
              <w:autoSpaceDN w:val="0"/>
              <w:adjustRightInd w:val="0"/>
              <w:rPr>
                <w:rFonts w:ascii="Times New Roman" w:eastAsia="Calibri" w:hAnsi="Times New Roman" w:cs="Times New Roman"/>
                <w:bCs/>
                <w:iCs/>
                <w:color w:val="000000"/>
                <w:szCs w:val="22"/>
              </w:rPr>
            </w:pPr>
            <w:r w:rsidRPr="00702DDD">
              <w:rPr>
                <w:rFonts w:ascii="Times New Roman" w:eastAsia="Calibri" w:hAnsi="Times New Roman" w:cs="Times New Roman"/>
                <w:bCs/>
                <w:iCs/>
                <w:color w:val="000000"/>
                <w:szCs w:val="22"/>
              </w:rPr>
              <w:t>Greater Memphis</w:t>
            </w:r>
          </w:p>
        </w:tc>
        <w:tc>
          <w:tcPr>
            <w:tcW w:w="1473" w:type="dxa"/>
            <w:tcBorders>
              <w:top w:val="nil"/>
              <w:left w:val="nil"/>
              <w:bottom w:val="nil"/>
              <w:right w:val="nil"/>
            </w:tcBorders>
            <w:shd w:val="clear" w:color="auto" w:fill="auto"/>
            <w:vAlign w:val="bottom"/>
          </w:tcPr>
          <w:p w14:paraId="239F7632"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35,087,719</w:t>
            </w:r>
          </w:p>
        </w:tc>
        <w:tc>
          <w:tcPr>
            <w:tcW w:w="1473" w:type="dxa"/>
            <w:tcBorders>
              <w:top w:val="nil"/>
              <w:left w:val="nil"/>
              <w:bottom w:val="nil"/>
              <w:right w:val="nil"/>
            </w:tcBorders>
            <w:shd w:val="clear" w:color="auto" w:fill="auto"/>
            <w:vAlign w:val="bottom"/>
          </w:tcPr>
          <w:p w14:paraId="37862239"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12,460,560</w:t>
            </w:r>
          </w:p>
        </w:tc>
        <w:tc>
          <w:tcPr>
            <w:tcW w:w="1473" w:type="dxa"/>
            <w:tcBorders>
              <w:top w:val="nil"/>
              <w:left w:val="nil"/>
              <w:bottom w:val="nil"/>
              <w:right w:val="nil"/>
            </w:tcBorders>
            <w:shd w:val="clear" w:color="auto" w:fill="auto"/>
            <w:vAlign w:val="bottom"/>
          </w:tcPr>
          <w:p w14:paraId="2FDBB82E"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14,580,996</w:t>
            </w:r>
          </w:p>
        </w:tc>
        <w:tc>
          <w:tcPr>
            <w:tcW w:w="1473" w:type="dxa"/>
            <w:tcBorders>
              <w:top w:val="nil"/>
              <w:left w:val="nil"/>
              <w:bottom w:val="nil"/>
              <w:right w:val="nil"/>
            </w:tcBorders>
            <w:shd w:val="clear" w:color="auto" w:fill="auto"/>
            <w:vAlign w:val="bottom"/>
          </w:tcPr>
          <w:p w14:paraId="1B357D87"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62,129,275</w:t>
            </w:r>
          </w:p>
        </w:tc>
      </w:tr>
      <w:tr w:rsidR="00C016E8" w:rsidRPr="00702DDD" w14:paraId="15C4953C" w14:textId="77777777" w:rsidTr="00E83386">
        <w:trPr>
          <w:trHeight w:val="309"/>
        </w:trPr>
        <w:tc>
          <w:tcPr>
            <w:tcW w:w="2901" w:type="dxa"/>
            <w:tcBorders>
              <w:top w:val="nil"/>
              <w:bottom w:val="single" w:sz="4" w:space="0" w:color="auto"/>
            </w:tcBorders>
            <w:shd w:val="clear" w:color="auto" w:fill="auto"/>
          </w:tcPr>
          <w:p w14:paraId="7762B319" w14:textId="77777777" w:rsidR="00C016E8" w:rsidRPr="00702DDD" w:rsidRDefault="00C016E8" w:rsidP="00E83386">
            <w:pPr>
              <w:autoSpaceDE w:val="0"/>
              <w:autoSpaceDN w:val="0"/>
              <w:adjustRightInd w:val="0"/>
              <w:rPr>
                <w:rFonts w:ascii="Times New Roman" w:eastAsia="Calibri" w:hAnsi="Times New Roman" w:cs="Times New Roman"/>
                <w:bCs/>
                <w:i/>
                <w:iCs/>
                <w:color w:val="000000"/>
                <w:szCs w:val="22"/>
              </w:rPr>
            </w:pPr>
            <w:r w:rsidRPr="00702DDD">
              <w:rPr>
                <w:rFonts w:ascii="Times New Roman" w:eastAsia="Calibri" w:hAnsi="Times New Roman" w:cs="Times New Roman"/>
                <w:bCs/>
                <w:i/>
                <w:iCs/>
                <w:color w:val="000000"/>
                <w:szCs w:val="22"/>
              </w:rPr>
              <w:t>Aggregate</w:t>
            </w:r>
          </w:p>
        </w:tc>
        <w:tc>
          <w:tcPr>
            <w:tcW w:w="1473" w:type="dxa"/>
            <w:tcBorders>
              <w:top w:val="nil"/>
              <w:left w:val="nil"/>
              <w:bottom w:val="single" w:sz="4" w:space="0" w:color="auto"/>
              <w:right w:val="nil"/>
            </w:tcBorders>
            <w:shd w:val="clear" w:color="auto" w:fill="auto"/>
            <w:vAlign w:val="bottom"/>
          </w:tcPr>
          <w:p w14:paraId="207DB0B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1,000,000,001</w:t>
            </w:r>
          </w:p>
        </w:tc>
        <w:tc>
          <w:tcPr>
            <w:tcW w:w="1473" w:type="dxa"/>
            <w:tcBorders>
              <w:top w:val="nil"/>
              <w:left w:val="nil"/>
              <w:bottom w:val="single" w:sz="4" w:space="0" w:color="auto"/>
              <w:right w:val="nil"/>
            </w:tcBorders>
            <w:shd w:val="clear" w:color="auto" w:fill="auto"/>
            <w:vAlign w:val="bottom"/>
          </w:tcPr>
          <w:p w14:paraId="10F0D584"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411,895,983</w:t>
            </w:r>
          </w:p>
        </w:tc>
        <w:tc>
          <w:tcPr>
            <w:tcW w:w="1473" w:type="dxa"/>
            <w:tcBorders>
              <w:top w:val="nil"/>
              <w:left w:val="nil"/>
              <w:bottom w:val="single" w:sz="4" w:space="0" w:color="auto"/>
              <w:right w:val="nil"/>
            </w:tcBorders>
            <w:shd w:val="clear" w:color="auto" w:fill="auto"/>
            <w:vAlign w:val="bottom"/>
          </w:tcPr>
          <w:p w14:paraId="023BE08E"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188,975,289</w:t>
            </w:r>
          </w:p>
        </w:tc>
        <w:tc>
          <w:tcPr>
            <w:tcW w:w="1473" w:type="dxa"/>
            <w:tcBorders>
              <w:top w:val="nil"/>
              <w:left w:val="nil"/>
              <w:bottom w:val="single" w:sz="4" w:space="0" w:color="auto"/>
              <w:right w:val="nil"/>
            </w:tcBorders>
            <w:shd w:val="clear" w:color="auto" w:fill="auto"/>
            <w:vAlign w:val="bottom"/>
          </w:tcPr>
          <w:p w14:paraId="4E225285" w14:textId="77777777" w:rsidR="00C016E8" w:rsidRPr="00702DDD" w:rsidRDefault="00C016E8" w:rsidP="00E83386">
            <w:pPr>
              <w:autoSpaceDE w:val="0"/>
              <w:autoSpaceDN w:val="0"/>
              <w:adjustRightInd w:val="0"/>
              <w:jc w:val="center"/>
              <w:rPr>
                <w:rFonts w:ascii="Times New Roman" w:eastAsia="Calibri" w:hAnsi="Times New Roman" w:cs="Times New Roman"/>
                <w:bCs/>
                <w:iCs/>
                <w:color w:val="000000"/>
                <w:sz w:val="20"/>
              </w:rPr>
            </w:pPr>
            <w:r w:rsidRPr="00702DDD">
              <w:rPr>
                <w:rFonts w:ascii="Times New Roman" w:hAnsi="Times New Roman" w:cs="Times New Roman"/>
                <w:color w:val="000000"/>
                <w:sz w:val="20"/>
                <w:szCs w:val="22"/>
              </w:rPr>
              <w:t>1,600,871,273</w:t>
            </w:r>
          </w:p>
        </w:tc>
      </w:tr>
    </w:tbl>
    <w:p w14:paraId="58301B64" w14:textId="439C44E7" w:rsidR="008A393A" w:rsidRPr="00702DDD" w:rsidRDefault="00C016E8" w:rsidP="00C016E8">
      <w:pPr>
        <w:rPr>
          <w:rFonts w:ascii="Times New Roman" w:hAnsi="Times New Roman" w:cs="Times New Roman"/>
          <w:b/>
          <w:highlight w:val="green"/>
        </w:rPr>
      </w:pPr>
      <w:r w:rsidRPr="00702DDD">
        <w:rPr>
          <w:rFonts w:ascii="Times New Roman" w:hAnsi="Times New Roman" w:cs="Times New Roman"/>
          <w:b/>
          <w:highlight w:val="green"/>
        </w:rPr>
        <w:br w:type="page"/>
      </w:r>
    </w:p>
    <w:p w14:paraId="00D27FDA" w14:textId="5BC7C5D6" w:rsidR="00C016E8" w:rsidRPr="00702DDD" w:rsidRDefault="00C016E8" w:rsidP="00C016E8">
      <w:pPr>
        <w:rPr>
          <w:rFonts w:ascii="Times New Roman" w:hAnsi="Times New Roman" w:cs="Times New Roman"/>
          <w:highlight w:val="green"/>
        </w:rPr>
        <w:sectPr w:rsidR="00C016E8" w:rsidRPr="00702DDD" w:rsidSect="00DF4EE5">
          <w:headerReference w:type="even" r:id="rId16"/>
          <w:headerReference w:type="default" r:id="rId17"/>
          <w:pgSz w:w="12240" w:h="15840"/>
          <w:pgMar w:top="1440" w:right="1440" w:bottom="1440" w:left="1440" w:header="720" w:footer="720" w:gutter="0"/>
          <w:cols w:space="720"/>
          <w:titlePg/>
        </w:sectPr>
      </w:pPr>
    </w:p>
    <w:p w14:paraId="267F7F93" w14:textId="57F4A03B" w:rsidR="00C016E8" w:rsidRPr="00702DDD" w:rsidRDefault="00C016E8" w:rsidP="00C016E8">
      <w:pPr>
        <w:rPr>
          <w:rFonts w:ascii="Times New Roman" w:hAnsi="Times New Roman" w:cs="Times New Roman"/>
          <w:b/>
        </w:rPr>
      </w:pPr>
      <w:r w:rsidRPr="00702DDD">
        <w:rPr>
          <w:rFonts w:ascii="Times New Roman" w:hAnsi="Times New Roman" w:cs="Times New Roman"/>
          <w:b/>
        </w:rPr>
        <w:lastRenderedPageBreak/>
        <w:t>Table 2.</w:t>
      </w:r>
      <w:r w:rsidR="00C72EA1">
        <w:rPr>
          <w:rFonts w:ascii="Times New Roman" w:hAnsi="Times New Roman" w:cs="Times New Roman"/>
          <w:b/>
        </w:rPr>
        <w:t>8:</w:t>
      </w:r>
      <w:r w:rsidRPr="00702DDD">
        <w:rPr>
          <w:rFonts w:ascii="Times New Roman" w:hAnsi="Times New Roman" w:cs="Times New Roman"/>
          <w:b/>
        </w:rPr>
        <w:t xml:space="preserve"> 2019 Top Industry Impacts by ATPI Methods (in Dollars)</w:t>
      </w:r>
    </w:p>
    <w:tbl>
      <w:tblPr>
        <w:tblW w:w="0" w:type="auto"/>
        <w:tblInd w:w="-30" w:type="dxa"/>
        <w:tblLayout w:type="fixed"/>
        <w:tblLook w:val="0000" w:firstRow="0" w:lastRow="0" w:firstColumn="0" w:lastColumn="0" w:noHBand="0" w:noVBand="0"/>
      </w:tblPr>
      <w:tblGrid>
        <w:gridCol w:w="5340"/>
        <w:gridCol w:w="2250"/>
        <w:gridCol w:w="1800"/>
        <w:gridCol w:w="2430"/>
      </w:tblGrid>
      <w:tr w:rsidR="00C016E8" w:rsidRPr="00702DDD" w14:paraId="429AA70C" w14:textId="77777777" w:rsidTr="00E83386">
        <w:trPr>
          <w:trHeight w:val="294"/>
        </w:trPr>
        <w:tc>
          <w:tcPr>
            <w:tcW w:w="5340" w:type="dxa"/>
            <w:tcBorders>
              <w:top w:val="single" w:sz="4" w:space="0" w:color="auto"/>
            </w:tcBorders>
            <w:shd w:val="clear" w:color="auto" w:fill="ED7D31" w:themeFill="accent2"/>
          </w:tcPr>
          <w:p w14:paraId="044DF8C8" w14:textId="77777777" w:rsidR="00C016E8" w:rsidRPr="00702DDD" w:rsidRDefault="00C016E8" w:rsidP="00E83386">
            <w:pPr>
              <w:autoSpaceDE w:val="0"/>
              <w:autoSpaceDN w:val="0"/>
              <w:adjustRightInd w:val="0"/>
              <w:rPr>
                <w:rFonts w:ascii="Times New Roman" w:eastAsia="Calibri" w:hAnsi="Times New Roman" w:cs="Times New Roman"/>
                <w:b/>
                <w:bCs/>
                <w:i/>
                <w:iCs/>
                <w:color w:val="000000"/>
              </w:rPr>
            </w:pPr>
            <w:r w:rsidRPr="00702DDD">
              <w:rPr>
                <w:rFonts w:ascii="Times New Roman" w:eastAsia="Calibri" w:hAnsi="Times New Roman" w:cs="Times New Roman"/>
                <w:b/>
                <w:bCs/>
                <w:i/>
                <w:iCs/>
                <w:color w:val="000000"/>
              </w:rPr>
              <w:t>Industry</w:t>
            </w:r>
          </w:p>
        </w:tc>
        <w:tc>
          <w:tcPr>
            <w:tcW w:w="2250" w:type="dxa"/>
            <w:tcBorders>
              <w:top w:val="single" w:sz="4" w:space="0" w:color="auto"/>
            </w:tcBorders>
            <w:shd w:val="clear" w:color="auto" w:fill="ED7D31" w:themeFill="accent2"/>
          </w:tcPr>
          <w:p w14:paraId="3E4DCF7C" w14:textId="77777777" w:rsidR="00C016E8" w:rsidRPr="00702DDD" w:rsidRDefault="00C016E8" w:rsidP="00E83386">
            <w:pPr>
              <w:autoSpaceDE w:val="0"/>
              <w:autoSpaceDN w:val="0"/>
              <w:adjustRightInd w:val="0"/>
              <w:jc w:val="center"/>
              <w:rPr>
                <w:rFonts w:ascii="Times New Roman" w:eastAsia="Calibri" w:hAnsi="Times New Roman" w:cs="Times New Roman"/>
                <w:b/>
                <w:bCs/>
                <w:i/>
                <w:iCs/>
                <w:color w:val="000000"/>
              </w:rPr>
            </w:pPr>
            <w:r w:rsidRPr="00702DDD">
              <w:rPr>
                <w:rFonts w:ascii="Times New Roman" w:eastAsia="Calibri" w:hAnsi="Times New Roman" w:cs="Times New Roman"/>
                <w:b/>
                <w:bCs/>
                <w:i/>
                <w:iCs/>
                <w:color w:val="000000"/>
              </w:rPr>
              <w:t>MHI</w:t>
            </w:r>
          </w:p>
        </w:tc>
        <w:tc>
          <w:tcPr>
            <w:tcW w:w="1800" w:type="dxa"/>
            <w:tcBorders>
              <w:top w:val="single" w:sz="4" w:space="0" w:color="auto"/>
            </w:tcBorders>
            <w:shd w:val="clear" w:color="auto" w:fill="ED7D31" w:themeFill="accent2"/>
          </w:tcPr>
          <w:p w14:paraId="4A1D9A6E" w14:textId="77777777" w:rsidR="00C016E8" w:rsidRPr="00702DDD" w:rsidRDefault="00C016E8" w:rsidP="00E83386">
            <w:pPr>
              <w:autoSpaceDE w:val="0"/>
              <w:autoSpaceDN w:val="0"/>
              <w:adjustRightInd w:val="0"/>
              <w:jc w:val="center"/>
              <w:rPr>
                <w:rFonts w:ascii="Times New Roman" w:eastAsia="Calibri" w:hAnsi="Times New Roman" w:cs="Times New Roman"/>
                <w:b/>
                <w:bCs/>
                <w:i/>
                <w:iCs/>
                <w:color w:val="000000"/>
              </w:rPr>
            </w:pPr>
            <w:r w:rsidRPr="00702DDD">
              <w:rPr>
                <w:rFonts w:ascii="Times New Roman" w:eastAsia="Calibri" w:hAnsi="Times New Roman" w:cs="Times New Roman"/>
                <w:b/>
                <w:bCs/>
                <w:i/>
                <w:iCs/>
                <w:color w:val="000000"/>
              </w:rPr>
              <w:t>Simple Avg</w:t>
            </w:r>
          </w:p>
        </w:tc>
        <w:tc>
          <w:tcPr>
            <w:tcW w:w="2430" w:type="dxa"/>
            <w:tcBorders>
              <w:top w:val="single" w:sz="4" w:space="0" w:color="auto"/>
            </w:tcBorders>
            <w:shd w:val="clear" w:color="auto" w:fill="ED7D31" w:themeFill="accent2"/>
          </w:tcPr>
          <w:p w14:paraId="6CBA4FF7" w14:textId="77777777" w:rsidR="00C016E8" w:rsidRPr="00702DDD" w:rsidRDefault="00C016E8" w:rsidP="00E83386">
            <w:pPr>
              <w:autoSpaceDE w:val="0"/>
              <w:autoSpaceDN w:val="0"/>
              <w:adjustRightInd w:val="0"/>
              <w:jc w:val="center"/>
              <w:rPr>
                <w:rFonts w:ascii="Times New Roman" w:eastAsia="Calibri" w:hAnsi="Times New Roman" w:cs="Times New Roman"/>
                <w:b/>
                <w:bCs/>
                <w:i/>
                <w:iCs/>
                <w:color w:val="000000"/>
              </w:rPr>
            </w:pPr>
            <w:r w:rsidRPr="00702DDD">
              <w:rPr>
                <w:rFonts w:ascii="Times New Roman" w:eastAsia="Calibri" w:hAnsi="Times New Roman" w:cs="Times New Roman"/>
                <w:b/>
                <w:bCs/>
                <w:i/>
                <w:iCs/>
                <w:color w:val="000000"/>
              </w:rPr>
              <w:t>Neg Scale Avg</w:t>
            </w:r>
          </w:p>
        </w:tc>
      </w:tr>
      <w:tr w:rsidR="00C016E8" w:rsidRPr="00702DDD" w14:paraId="3C524378" w14:textId="77777777" w:rsidTr="00E83386">
        <w:trPr>
          <w:trHeight w:val="294"/>
        </w:trPr>
        <w:tc>
          <w:tcPr>
            <w:tcW w:w="5340" w:type="dxa"/>
            <w:shd w:val="clear" w:color="auto" w:fill="auto"/>
          </w:tcPr>
          <w:p w14:paraId="42075BFD" w14:textId="77777777" w:rsidR="00C016E8" w:rsidRPr="00702DDD" w:rsidRDefault="00C016E8" w:rsidP="00E83386">
            <w:pPr>
              <w:autoSpaceDE w:val="0"/>
              <w:autoSpaceDN w:val="0"/>
              <w:adjustRightInd w:val="0"/>
              <w:rPr>
                <w:rFonts w:ascii="Times New Roman" w:eastAsia="Calibri" w:hAnsi="Times New Roman" w:cs="Times New Roman"/>
                <w:color w:val="000000"/>
                <w:sz w:val="18"/>
                <w:szCs w:val="18"/>
              </w:rPr>
            </w:pPr>
            <w:r w:rsidRPr="00702DDD">
              <w:rPr>
                <w:rFonts w:ascii="Times New Roman" w:eastAsia="Calibri" w:hAnsi="Times New Roman" w:cs="Times New Roman"/>
                <w:color w:val="000000"/>
                <w:sz w:val="18"/>
                <w:szCs w:val="18"/>
              </w:rPr>
              <w:t>49 - Water, sewage and other systems</w:t>
            </w:r>
          </w:p>
        </w:tc>
        <w:tc>
          <w:tcPr>
            <w:tcW w:w="2250" w:type="dxa"/>
          </w:tcPr>
          <w:p w14:paraId="2F60D094"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1,001,231,404</w:t>
            </w:r>
          </w:p>
        </w:tc>
        <w:tc>
          <w:tcPr>
            <w:tcW w:w="1800" w:type="dxa"/>
          </w:tcPr>
          <w:p w14:paraId="302E852C"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1,001,220,941</w:t>
            </w:r>
          </w:p>
        </w:tc>
        <w:tc>
          <w:tcPr>
            <w:tcW w:w="2430" w:type="dxa"/>
          </w:tcPr>
          <w:p w14:paraId="03B7C6CC"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1,001,272,954</w:t>
            </w:r>
          </w:p>
        </w:tc>
      </w:tr>
      <w:tr w:rsidR="00C016E8" w:rsidRPr="00702DDD" w14:paraId="2DFB470A" w14:textId="77777777" w:rsidTr="00E83386">
        <w:trPr>
          <w:trHeight w:val="294"/>
        </w:trPr>
        <w:tc>
          <w:tcPr>
            <w:tcW w:w="5340" w:type="dxa"/>
            <w:shd w:val="clear" w:color="auto" w:fill="auto"/>
          </w:tcPr>
          <w:p w14:paraId="3AF337BF" w14:textId="77777777" w:rsidR="00C016E8" w:rsidRPr="00702DDD" w:rsidRDefault="00C016E8" w:rsidP="00E83386">
            <w:pPr>
              <w:autoSpaceDE w:val="0"/>
              <w:autoSpaceDN w:val="0"/>
              <w:adjustRightInd w:val="0"/>
              <w:rPr>
                <w:rFonts w:ascii="Times New Roman" w:eastAsia="Calibri" w:hAnsi="Times New Roman" w:cs="Times New Roman"/>
                <w:color w:val="000000"/>
                <w:sz w:val="18"/>
                <w:szCs w:val="18"/>
              </w:rPr>
            </w:pPr>
            <w:r w:rsidRPr="00702DDD">
              <w:rPr>
                <w:rFonts w:ascii="Times New Roman" w:eastAsia="Calibri" w:hAnsi="Times New Roman" w:cs="Times New Roman"/>
                <w:color w:val="000000"/>
                <w:sz w:val="18"/>
                <w:szCs w:val="18"/>
              </w:rPr>
              <w:t>417 - Truck transportation</w:t>
            </w:r>
          </w:p>
        </w:tc>
        <w:tc>
          <w:tcPr>
            <w:tcW w:w="2250" w:type="dxa"/>
          </w:tcPr>
          <w:p w14:paraId="1FAE7C78"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40,306,045</w:t>
            </w:r>
          </w:p>
        </w:tc>
        <w:tc>
          <w:tcPr>
            <w:tcW w:w="1800" w:type="dxa"/>
          </w:tcPr>
          <w:p w14:paraId="03E9D885"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39,180,936</w:t>
            </w:r>
          </w:p>
        </w:tc>
        <w:tc>
          <w:tcPr>
            <w:tcW w:w="2430" w:type="dxa"/>
          </w:tcPr>
          <w:p w14:paraId="3D242063"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40,120,966</w:t>
            </w:r>
          </w:p>
        </w:tc>
      </w:tr>
      <w:tr w:rsidR="00C016E8" w:rsidRPr="00702DDD" w14:paraId="72E78ACF" w14:textId="77777777" w:rsidTr="00E83386">
        <w:trPr>
          <w:trHeight w:val="294"/>
        </w:trPr>
        <w:tc>
          <w:tcPr>
            <w:tcW w:w="5340" w:type="dxa"/>
            <w:shd w:val="clear" w:color="auto" w:fill="auto"/>
          </w:tcPr>
          <w:p w14:paraId="1BE112A4" w14:textId="77777777" w:rsidR="00C016E8" w:rsidRPr="00702DDD" w:rsidRDefault="00C016E8" w:rsidP="00E83386">
            <w:pPr>
              <w:autoSpaceDE w:val="0"/>
              <w:autoSpaceDN w:val="0"/>
              <w:adjustRightInd w:val="0"/>
              <w:rPr>
                <w:rFonts w:ascii="Times New Roman" w:eastAsia="Calibri" w:hAnsi="Times New Roman" w:cs="Times New Roman"/>
                <w:color w:val="000000"/>
                <w:sz w:val="18"/>
                <w:szCs w:val="18"/>
              </w:rPr>
            </w:pPr>
            <w:r w:rsidRPr="00702DDD">
              <w:rPr>
                <w:rFonts w:ascii="Times New Roman" w:eastAsia="Calibri" w:hAnsi="Times New Roman" w:cs="Times New Roman"/>
                <w:color w:val="000000"/>
                <w:sz w:val="18"/>
                <w:szCs w:val="18"/>
              </w:rPr>
              <w:t>449 - Owner-occupied dwellings</w:t>
            </w:r>
          </w:p>
        </w:tc>
        <w:tc>
          <w:tcPr>
            <w:tcW w:w="2250" w:type="dxa"/>
          </w:tcPr>
          <w:p w14:paraId="2494E669"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25,589,092</w:t>
            </w:r>
          </w:p>
        </w:tc>
        <w:tc>
          <w:tcPr>
            <w:tcW w:w="1800" w:type="dxa"/>
          </w:tcPr>
          <w:p w14:paraId="7F5812E5"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27,503,662</w:t>
            </w:r>
          </w:p>
        </w:tc>
        <w:tc>
          <w:tcPr>
            <w:tcW w:w="2430" w:type="dxa"/>
          </w:tcPr>
          <w:p w14:paraId="70D9E9B4"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26,184,725</w:t>
            </w:r>
          </w:p>
        </w:tc>
      </w:tr>
      <w:tr w:rsidR="00C016E8" w:rsidRPr="00702DDD" w14:paraId="1A098FFF" w14:textId="77777777" w:rsidTr="00E83386">
        <w:trPr>
          <w:trHeight w:val="294"/>
        </w:trPr>
        <w:tc>
          <w:tcPr>
            <w:tcW w:w="5340" w:type="dxa"/>
            <w:shd w:val="clear" w:color="auto" w:fill="auto"/>
          </w:tcPr>
          <w:p w14:paraId="37C5211C" w14:textId="77777777" w:rsidR="00C016E8" w:rsidRPr="00702DDD" w:rsidRDefault="00C016E8" w:rsidP="00E83386">
            <w:pPr>
              <w:autoSpaceDE w:val="0"/>
              <w:autoSpaceDN w:val="0"/>
              <w:adjustRightInd w:val="0"/>
              <w:rPr>
                <w:rFonts w:ascii="Times New Roman" w:eastAsia="Calibri" w:hAnsi="Times New Roman" w:cs="Times New Roman"/>
                <w:color w:val="000000"/>
                <w:sz w:val="18"/>
                <w:szCs w:val="18"/>
              </w:rPr>
            </w:pPr>
            <w:r w:rsidRPr="00702DDD">
              <w:rPr>
                <w:rFonts w:ascii="Times New Roman" w:eastAsia="Calibri" w:hAnsi="Times New Roman" w:cs="Times New Roman"/>
                <w:color w:val="000000"/>
                <w:sz w:val="18"/>
                <w:szCs w:val="18"/>
              </w:rPr>
              <w:t>447 - Other real estate</w:t>
            </w:r>
          </w:p>
        </w:tc>
        <w:tc>
          <w:tcPr>
            <w:tcW w:w="2250" w:type="dxa"/>
          </w:tcPr>
          <w:p w14:paraId="2093F708"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23,287,439</w:t>
            </w:r>
          </w:p>
        </w:tc>
        <w:tc>
          <w:tcPr>
            <w:tcW w:w="1800" w:type="dxa"/>
          </w:tcPr>
          <w:p w14:paraId="6778A8CC"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25,556,815</w:t>
            </w:r>
          </w:p>
        </w:tc>
        <w:tc>
          <w:tcPr>
            <w:tcW w:w="2430" w:type="dxa"/>
          </w:tcPr>
          <w:p w14:paraId="1AF09179"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23,839,255</w:t>
            </w:r>
          </w:p>
        </w:tc>
      </w:tr>
      <w:tr w:rsidR="00C016E8" w:rsidRPr="00702DDD" w14:paraId="573F5B9D" w14:textId="77777777" w:rsidTr="00E83386">
        <w:trPr>
          <w:trHeight w:val="294"/>
        </w:trPr>
        <w:tc>
          <w:tcPr>
            <w:tcW w:w="5340" w:type="dxa"/>
            <w:shd w:val="clear" w:color="auto" w:fill="auto"/>
          </w:tcPr>
          <w:p w14:paraId="7BE5F696" w14:textId="77777777" w:rsidR="00C016E8" w:rsidRPr="00702DDD" w:rsidRDefault="00C016E8" w:rsidP="00E83386">
            <w:pPr>
              <w:autoSpaceDE w:val="0"/>
              <w:autoSpaceDN w:val="0"/>
              <w:adjustRightInd w:val="0"/>
              <w:rPr>
                <w:rFonts w:ascii="Times New Roman" w:eastAsia="Calibri" w:hAnsi="Times New Roman" w:cs="Times New Roman"/>
                <w:color w:val="000000"/>
                <w:sz w:val="18"/>
                <w:szCs w:val="18"/>
              </w:rPr>
            </w:pPr>
            <w:r w:rsidRPr="00702DDD">
              <w:rPr>
                <w:rFonts w:ascii="Times New Roman" w:eastAsia="Calibri" w:hAnsi="Times New Roman" w:cs="Times New Roman"/>
                <w:color w:val="000000"/>
                <w:sz w:val="18"/>
                <w:szCs w:val="18"/>
              </w:rPr>
              <w:t>422 - Warehousing and storage</w:t>
            </w:r>
          </w:p>
        </w:tc>
        <w:tc>
          <w:tcPr>
            <w:tcW w:w="2250" w:type="dxa"/>
          </w:tcPr>
          <w:p w14:paraId="4031C73D"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27,388,981</w:t>
            </w:r>
          </w:p>
        </w:tc>
        <w:tc>
          <w:tcPr>
            <w:tcW w:w="1800" w:type="dxa"/>
          </w:tcPr>
          <w:p w14:paraId="50B5349E"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27,269,859</w:t>
            </w:r>
          </w:p>
        </w:tc>
        <w:tc>
          <w:tcPr>
            <w:tcW w:w="2430" w:type="dxa"/>
          </w:tcPr>
          <w:p w14:paraId="52B079D9"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27,573,201</w:t>
            </w:r>
          </w:p>
        </w:tc>
      </w:tr>
      <w:tr w:rsidR="00C016E8" w:rsidRPr="00702DDD" w14:paraId="29AE6F53" w14:textId="77777777" w:rsidTr="00E83386">
        <w:trPr>
          <w:trHeight w:val="294"/>
        </w:trPr>
        <w:tc>
          <w:tcPr>
            <w:tcW w:w="5340" w:type="dxa"/>
            <w:shd w:val="clear" w:color="auto" w:fill="auto"/>
          </w:tcPr>
          <w:p w14:paraId="34AA7173" w14:textId="77777777" w:rsidR="00C016E8" w:rsidRPr="00702DDD" w:rsidRDefault="00C016E8" w:rsidP="00E83386">
            <w:pPr>
              <w:autoSpaceDE w:val="0"/>
              <w:autoSpaceDN w:val="0"/>
              <w:adjustRightInd w:val="0"/>
              <w:rPr>
                <w:rFonts w:ascii="Times New Roman" w:eastAsia="Calibri" w:hAnsi="Times New Roman" w:cs="Times New Roman"/>
                <w:color w:val="000000"/>
                <w:sz w:val="18"/>
                <w:szCs w:val="18"/>
              </w:rPr>
            </w:pPr>
            <w:r w:rsidRPr="00702DDD">
              <w:rPr>
                <w:rFonts w:ascii="Times New Roman" w:eastAsia="Calibri" w:hAnsi="Times New Roman" w:cs="Times New Roman"/>
                <w:color w:val="000000"/>
                <w:sz w:val="18"/>
                <w:szCs w:val="18"/>
              </w:rPr>
              <w:t>441 - Monetary authorities and depository credit intermediation</w:t>
            </w:r>
          </w:p>
        </w:tc>
        <w:tc>
          <w:tcPr>
            <w:tcW w:w="2250" w:type="dxa"/>
          </w:tcPr>
          <w:p w14:paraId="09CF1356"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35,760,380</w:t>
            </w:r>
          </w:p>
        </w:tc>
        <w:tc>
          <w:tcPr>
            <w:tcW w:w="1800" w:type="dxa"/>
          </w:tcPr>
          <w:p w14:paraId="68257373"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34,011,285</w:t>
            </w:r>
          </w:p>
        </w:tc>
        <w:tc>
          <w:tcPr>
            <w:tcW w:w="2430" w:type="dxa"/>
          </w:tcPr>
          <w:p w14:paraId="7FCAFF3B"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35,486,446</w:t>
            </w:r>
          </w:p>
        </w:tc>
      </w:tr>
      <w:tr w:rsidR="00C016E8" w:rsidRPr="00702DDD" w14:paraId="1F6BBB09" w14:textId="77777777" w:rsidTr="00E83386">
        <w:trPr>
          <w:trHeight w:val="294"/>
        </w:trPr>
        <w:tc>
          <w:tcPr>
            <w:tcW w:w="5340" w:type="dxa"/>
            <w:shd w:val="clear" w:color="auto" w:fill="auto"/>
          </w:tcPr>
          <w:p w14:paraId="23F1846B" w14:textId="77777777" w:rsidR="00C016E8" w:rsidRPr="00702DDD" w:rsidRDefault="00C016E8" w:rsidP="00E83386">
            <w:pPr>
              <w:autoSpaceDE w:val="0"/>
              <w:autoSpaceDN w:val="0"/>
              <w:adjustRightInd w:val="0"/>
              <w:rPr>
                <w:rFonts w:ascii="Times New Roman" w:eastAsia="Calibri" w:hAnsi="Times New Roman" w:cs="Times New Roman"/>
                <w:color w:val="000000"/>
                <w:sz w:val="18"/>
                <w:szCs w:val="18"/>
              </w:rPr>
            </w:pPr>
            <w:r w:rsidRPr="00702DDD">
              <w:rPr>
                <w:rFonts w:ascii="Times New Roman" w:eastAsia="Calibri" w:hAnsi="Times New Roman" w:cs="Times New Roman"/>
                <w:color w:val="000000"/>
                <w:sz w:val="18"/>
                <w:szCs w:val="18"/>
              </w:rPr>
              <w:t>457 - Architectural, engineering, and related services</w:t>
            </w:r>
          </w:p>
        </w:tc>
        <w:tc>
          <w:tcPr>
            <w:tcW w:w="2250" w:type="dxa"/>
          </w:tcPr>
          <w:p w14:paraId="0371B85E"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25,803,328</w:t>
            </w:r>
          </w:p>
        </w:tc>
        <w:tc>
          <w:tcPr>
            <w:tcW w:w="1800" w:type="dxa"/>
          </w:tcPr>
          <w:p w14:paraId="3CBAAA2B"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27,473,767</w:t>
            </w:r>
          </w:p>
        </w:tc>
        <w:tc>
          <w:tcPr>
            <w:tcW w:w="2430" w:type="dxa"/>
          </w:tcPr>
          <w:p w14:paraId="601EFA0D"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26,164,472</w:t>
            </w:r>
          </w:p>
        </w:tc>
      </w:tr>
      <w:tr w:rsidR="00C016E8" w:rsidRPr="00702DDD" w14:paraId="4D8D4910" w14:textId="77777777" w:rsidTr="00E83386">
        <w:trPr>
          <w:trHeight w:val="294"/>
        </w:trPr>
        <w:tc>
          <w:tcPr>
            <w:tcW w:w="5340" w:type="dxa"/>
            <w:shd w:val="clear" w:color="auto" w:fill="auto"/>
          </w:tcPr>
          <w:p w14:paraId="02F31AD8" w14:textId="77777777" w:rsidR="00C016E8" w:rsidRPr="00702DDD" w:rsidRDefault="00C016E8" w:rsidP="00E83386">
            <w:pPr>
              <w:autoSpaceDE w:val="0"/>
              <w:autoSpaceDN w:val="0"/>
              <w:adjustRightInd w:val="0"/>
              <w:rPr>
                <w:rFonts w:ascii="Times New Roman" w:eastAsia="Calibri" w:hAnsi="Times New Roman" w:cs="Times New Roman"/>
                <w:color w:val="000000"/>
                <w:sz w:val="18"/>
                <w:szCs w:val="18"/>
              </w:rPr>
            </w:pPr>
            <w:r w:rsidRPr="00702DDD">
              <w:rPr>
                <w:rFonts w:ascii="Times New Roman" w:eastAsia="Calibri" w:hAnsi="Times New Roman" w:cs="Times New Roman"/>
                <w:color w:val="000000"/>
                <w:sz w:val="18"/>
                <w:szCs w:val="18"/>
              </w:rPr>
              <w:t>534 - Other local government enterprises</w:t>
            </w:r>
          </w:p>
        </w:tc>
        <w:tc>
          <w:tcPr>
            <w:tcW w:w="2250" w:type="dxa"/>
          </w:tcPr>
          <w:p w14:paraId="43598A63"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31,250,087</w:t>
            </w:r>
          </w:p>
        </w:tc>
        <w:tc>
          <w:tcPr>
            <w:tcW w:w="1800" w:type="dxa"/>
          </w:tcPr>
          <w:p w14:paraId="5D1EE177"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29,884,096</w:t>
            </w:r>
          </w:p>
        </w:tc>
        <w:tc>
          <w:tcPr>
            <w:tcW w:w="2430" w:type="dxa"/>
          </w:tcPr>
          <w:p w14:paraId="04BC797C"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30,566,116</w:t>
            </w:r>
          </w:p>
        </w:tc>
      </w:tr>
      <w:tr w:rsidR="00C016E8" w:rsidRPr="00702DDD" w14:paraId="46E491A7" w14:textId="77777777" w:rsidTr="00E83386">
        <w:trPr>
          <w:trHeight w:val="294"/>
        </w:trPr>
        <w:tc>
          <w:tcPr>
            <w:tcW w:w="5340" w:type="dxa"/>
            <w:shd w:val="clear" w:color="auto" w:fill="auto"/>
          </w:tcPr>
          <w:p w14:paraId="4038BB70" w14:textId="77777777" w:rsidR="00C016E8" w:rsidRPr="00702DDD" w:rsidRDefault="00C016E8" w:rsidP="00E83386">
            <w:pPr>
              <w:autoSpaceDE w:val="0"/>
              <w:autoSpaceDN w:val="0"/>
              <w:adjustRightInd w:val="0"/>
              <w:rPr>
                <w:rFonts w:ascii="Times New Roman" w:eastAsia="Calibri" w:hAnsi="Times New Roman" w:cs="Times New Roman"/>
                <w:color w:val="000000"/>
                <w:sz w:val="18"/>
                <w:szCs w:val="18"/>
              </w:rPr>
            </w:pPr>
            <w:r w:rsidRPr="00702DDD">
              <w:rPr>
                <w:rFonts w:ascii="Times New Roman" w:eastAsia="Calibri" w:hAnsi="Times New Roman" w:cs="Times New Roman"/>
                <w:color w:val="000000"/>
                <w:sz w:val="18"/>
                <w:szCs w:val="18"/>
              </w:rPr>
              <w:t>456 - Accounting, tax preparation, bookkeeping, and payroll services</w:t>
            </w:r>
          </w:p>
        </w:tc>
        <w:tc>
          <w:tcPr>
            <w:tcW w:w="2250" w:type="dxa"/>
          </w:tcPr>
          <w:p w14:paraId="5B7B7C3F"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15,780,174</w:t>
            </w:r>
          </w:p>
        </w:tc>
        <w:tc>
          <w:tcPr>
            <w:tcW w:w="1800" w:type="dxa"/>
          </w:tcPr>
          <w:p w14:paraId="2B5A5E72"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15,666,230</w:t>
            </w:r>
          </w:p>
        </w:tc>
        <w:tc>
          <w:tcPr>
            <w:tcW w:w="2430" w:type="dxa"/>
          </w:tcPr>
          <w:p w14:paraId="44E601EC"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15,559,325</w:t>
            </w:r>
          </w:p>
        </w:tc>
      </w:tr>
      <w:tr w:rsidR="00C016E8" w:rsidRPr="00702DDD" w14:paraId="236B43BF" w14:textId="77777777" w:rsidTr="00E83386">
        <w:trPr>
          <w:trHeight w:val="294"/>
        </w:trPr>
        <w:tc>
          <w:tcPr>
            <w:tcW w:w="5340" w:type="dxa"/>
            <w:shd w:val="clear" w:color="auto" w:fill="auto"/>
          </w:tcPr>
          <w:p w14:paraId="49B4821E" w14:textId="77777777" w:rsidR="00C016E8" w:rsidRPr="00702DDD" w:rsidRDefault="00C016E8" w:rsidP="00E83386">
            <w:pPr>
              <w:autoSpaceDE w:val="0"/>
              <w:autoSpaceDN w:val="0"/>
              <w:adjustRightInd w:val="0"/>
              <w:rPr>
                <w:rFonts w:ascii="Times New Roman" w:eastAsia="Calibri" w:hAnsi="Times New Roman" w:cs="Times New Roman"/>
                <w:color w:val="000000"/>
                <w:sz w:val="18"/>
                <w:szCs w:val="18"/>
              </w:rPr>
            </w:pPr>
            <w:r w:rsidRPr="00702DDD">
              <w:rPr>
                <w:rFonts w:ascii="Times New Roman" w:eastAsia="Calibri" w:hAnsi="Times New Roman" w:cs="Times New Roman"/>
                <w:color w:val="000000"/>
                <w:sz w:val="18"/>
                <w:szCs w:val="18"/>
              </w:rPr>
              <w:t>490 - Hospitals</w:t>
            </w:r>
          </w:p>
        </w:tc>
        <w:tc>
          <w:tcPr>
            <w:tcW w:w="2250" w:type="dxa"/>
          </w:tcPr>
          <w:p w14:paraId="2CF0998F"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7,986,233</w:t>
            </w:r>
          </w:p>
        </w:tc>
        <w:tc>
          <w:tcPr>
            <w:tcW w:w="1800" w:type="dxa"/>
          </w:tcPr>
          <w:p w14:paraId="253FC291"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10,937,173</w:t>
            </w:r>
          </w:p>
        </w:tc>
        <w:tc>
          <w:tcPr>
            <w:tcW w:w="2430" w:type="dxa"/>
          </w:tcPr>
          <w:p w14:paraId="1A17F052"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9,019,994</w:t>
            </w:r>
          </w:p>
        </w:tc>
      </w:tr>
      <w:tr w:rsidR="00C016E8" w:rsidRPr="00702DDD" w14:paraId="3CE134E4" w14:textId="77777777" w:rsidTr="00E83386">
        <w:trPr>
          <w:trHeight w:val="294"/>
        </w:trPr>
        <w:tc>
          <w:tcPr>
            <w:tcW w:w="5340" w:type="dxa"/>
            <w:shd w:val="clear" w:color="auto" w:fill="auto"/>
          </w:tcPr>
          <w:p w14:paraId="6512B493" w14:textId="77777777" w:rsidR="00C016E8" w:rsidRPr="00702DDD" w:rsidRDefault="00C016E8" w:rsidP="00E83386">
            <w:pPr>
              <w:autoSpaceDE w:val="0"/>
              <w:autoSpaceDN w:val="0"/>
              <w:adjustRightInd w:val="0"/>
              <w:rPr>
                <w:rFonts w:ascii="Times New Roman" w:eastAsia="Calibri" w:hAnsi="Times New Roman" w:cs="Times New Roman"/>
                <w:color w:val="000000"/>
                <w:sz w:val="18"/>
                <w:szCs w:val="18"/>
              </w:rPr>
            </w:pPr>
            <w:r w:rsidRPr="00702DDD">
              <w:rPr>
                <w:rFonts w:ascii="Times New Roman" w:eastAsia="Calibri" w:hAnsi="Times New Roman" w:cs="Times New Roman"/>
                <w:color w:val="000000"/>
                <w:sz w:val="18"/>
                <w:szCs w:val="18"/>
              </w:rPr>
              <w:t>445 - Insurance agencies, brokerages, and related activities</w:t>
            </w:r>
          </w:p>
        </w:tc>
        <w:tc>
          <w:tcPr>
            <w:tcW w:w="2250" w:type="dxa"/>
          </w:tcPr>
          <w:p w14:paraId="19A66277"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19,741,121</w:t>
            </w:r>
          </w:p>
        </w:tc>
        <w:tc>
          <w:tcPr>
            <w:tcW w:w="1800" w:type="dxa"/>
          </w:tcPr>
          <w:p w14:paraId="1F1C3AC3"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18,783,614</w:t>
            </w:r>
          </w:p>
        </w:tc>
        <w:tc>
          <w:tcPr>
            <w:tcW w:w="2430" w:type="dxa"/>
          </w:tcPr>
          <w:p w14:paraId="190701EA"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19,386,509</w:t>
            </w:r>
          </w:p>
        </w:tc>
      </w:tr>
      <w:tr w:rsidR="00C016E8" w:rsidRPr="00702DDD" w14:paraId="0C1CB593" w14:textId="77777777" w:rsidTr="00E83386">
        <w:trPr>
          <w:trHeight w:val="294"/>
        </w:trPr>
        <w:tc>
          <w:tcPr>
            <w:tcW w:w="5340" w:type="dxa"/>
            <w:shd w:val="clear" w:color="auto" w:fill="auto"/>
          </w:tcPr>
          <w:p w14:paraId="26B6E23A" w14:textId="77777777" w:rsidR="00C016E8" w:rsidRPr="00702DDD" w:rsidRDefault="00C016E8" w:rsidP="00E83386">
            <w:pPr>
              <w:autoSpaceDE w:val="0"/>
              <w:autoSpaceDN w:val="0"/>
              <w:adjustRightInd w:val="0"/>
              <w:rPr>
                <w:rFonts w:ascii="Times New Roman" w:eastAsia="Calibri" w:hAnsi="Times New Roman" w:cs="Times New Roman"/>
                <w:color w:val="000000"/>
                <w:sz w:val="18"/>
                <w:szCs w:val="18"/>
              </w:rPr>
            </w:pPr>
            <w:r w:rsidRPr="00702DDD">
              <w:rPr>
                <w:rFonts w:ascii="Times New Roman" w:eastAsia="Calibri" w:hAnsi="Times New Roman" w:cs="Times New Roman"/>
                <w:color w:val="000000"/>
                <w:sz w:val="18"/>
                <w:szCs w:val="18"/>
              </w:rPr>
              <w:t>472 - Employment services</w:t>
            </w:r>
          </w:p>
        </w:tc>
        <w:tc>
          <w:tcPr>
            <w:tcW w:w="2250" w:type="dxa"/>
          </w:tcPr>
          <w:p w14:paraId="511184EA"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16,188,565</w:t>
            </w:r>
          </w:p>
        </w:tc>
        <w:tc>
          <w:tcPr>
            <w:tcW w:w="1800" w:type="dxa"/>
          </w:tcPr>
          <w:p w14:paraId="2824E78A"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16,342,769</w:t>
            </w:r>
          </w:p>
        </w:tc>
        <w:tc>
          <w:tcPr>
            <w:tcW w:w="2430" w:type="dxa"/>
          </w:tcPr>
          <w:p w14:paraId="2AD36D81"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16,207,932</w:t>
            </w:r>
          </w:p>
        </w:tc>
      </w:tr>
      <w:tr w:rsidR="00C016E8" w:rsidRPr="00702DDD" w14:paraId="3655C75D" w14:textId="77777777" w:rsidTr="00E83386">
        <w:trPr>
          <w:trHeight w:val="294"/>
        </w:trPr>
        <w:tc>
          <w:tcPr>
            <w:tcW w:w="5340" w:type="dxa"/>
            <w:shd w:val="clear" w:color="auto" w:fill="auto"/>
          </w:tcPr>
          <w:p w14:paraId="446E755C" w14:textId="77777777" w:rsidR="00C016E8" w:rsidRPr="00702DDD" w:rsidRDefault="00C016E8" w:rsidP="00E83386">
            <w:pPr>
              <w:autoSpaceDE w:val="0"/>
              <w:autoSpaceDN w:val="0"/>
              <w:adjustRightInd w:val="0"/>
              <w:rPr>
                <w:rFonts w:ascii="Times New Roman" w:eastAsia="Calibri" w:hAnsi="Times New Roman" w:cs="Times New Roman"/>
                <w:color w:val="000000"/>
                <w:sz w:val="18"/>
                <w:szCs w:val="18"/>
              </w:rPr>
            </w:pPr>
            <w:r w:rsidRPr="00702DDD">
              <w:rPr>
                <w:rFonts w:ascii="Times New Roman" w:eastAsia="Calibri" w:hAnsi="Times New Roman" w:cs="Times New Roman"/>
                <w:color w:val="000000"/>
                <w:sz w:val="18"/>
                <w:szCs w:val="18"/>
              </w:rPr>
              <w:t>60 - Maintenance and repair construction of nonresidential structures</w:t>
            </w:r>
          </w:p>
        </w:tc>
        <w:tc>
          <w:tcPr>
            <w:tcW w:w="2250" w:type="dxa"/>
          </w:tcPr>
          <w:p w14:paraId="5C9923A9"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17,487,406</w:t>
            </w:r>
          </w:p>
        </w:tc>
        <w:tc>
          <w:tcPr>
            <w:tcW w:w="1800" w:type="dxa"/>
          </w:tcPr>
          <w:p w14:paraId="79F9F10B"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16,658,905</w:t>
            </w:r>
          </w:p>
        </w:tc>
        <w:tc>
          <w:tcPr>
            <w:tcW w:w="2430" w:type="dxa"/>
          </w:tcPr>
          <w:p w14:paraId="04A12D5C"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17,062,441</w:t>
            </w:r>
          </w:p>
        </w:tc>
      </w:tr>
      <w:tr w:rsidR="00C016E8" w:rsidRPr="00702DDD" w14:paraId="1EBD2F16" w14:textId="77777777" w:rsidTr="00E83386">
        <w:trPr>
          <w:trHeight w:val="294"/>
        </w:trPr>
        <w:tc>
          <w:tcPr>
            <w:tcW w:w="5340" w:type="dxa"/>
            <w:shd w:val="clear" w:color="auto" w:fill="auto"/>
          </w:tcPr>
          <w:p w14:paraId="13CE0352" w14:textId="77777777" w:rsidR="00C016E8" w:rsidRPr="00702DDD" w:rsidRDefault="00C016E8" w:rsidP="00E83386">
            <w:pPr>
              <w:autoSpaceDE w:val="0"/>
              <w:autoSpaceDN w:val="0"/>
              <w:adjustRightInd w:val="0"/>
              <w:rPr>
                <w:rFonts w:ascii="Times New Roman" w:eastAsia="Calibri" w:hAnsi="Times New Roman" w:cs="Times New Roman"/>
                <w:color w:val="000000"/>
                <w:sz w:val="18"/>
                <w:szCs w:val="18"/>
              </w:rPr>
            </w:pPr>
            <w:r w:rsidRPr="00702DDD">
              <w:rPr>
                <w:rFonts w:ascii="Times New Roman" w:eastAsia="Calibri" w:hAnsi="Times New Roman" w:cs="Times New Roman"/>
                <w:color w:val="000000"/>
                <w:sz w:val="18"/>
                <w:szCs w:val="18"/>
              </w:rPr>
              <w:t>395 - Wholesale - Machinery, equipment, and supplies</w:t>
            </w:r>
          </w:p>
        </w:tc>
        <w:tc>
          <w:tcPr>
            <w:tcW w:w="2250" w:type="dxa"/>
          </w:tcPr>
          <w:p w14:paraId="61620DAB"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14,800,668</w:t>
            </w:r>
          </w:p>
        </w:tc>
        <w:tc>
          <w:tcPr>
            <w:tcW w:w="1800" w:type="dxa"/>
          </w:tcPr>
          <w:p w14:paraId="09B351C2"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14,692,232</w:t>
            </w:r>
          </w:p>
        </w:tc>
        <w:tc>
          <w:tcPr>
            <w:tcW w:w="2430" w:type="dxa"/>
          </w:tcPr>
          <w:p w14:paraId="3F5443E3"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15,163,107</w:t>
            </w:r>
          </w:p>
        </w:tc>
      </w:tr>
      <w:tr w:rsidR="00C016E8" w:rsidRPr="00702DDD" w14:paraId="5587E4FB" w14:textId="77777777" w:rsidTr="00E83386">
        <w:trPr>
          <w:trHeight w:val="294"/>
        </w:trPr>
        <w:tc>
          <w:tcPr>
            <w:tcW w:w="5340" w:type="dxa"/>
            <w:tcBorders>
              <w:bottom w:val="single" w:sz="4" w:space="0" w:color="auto"/>
            </w:tcBorders>
            <w:shd w:val="clear" w:color="auto" w:fill="auto"/>
          </w:tcPr>
          <w:p w14:paraId="5AC42DBE" w14:textId="77777777" w:rsidR="00C016E8" w:rsidRPr="00702DDD" w:rsidRDefault="00C016E8" w:rsidP="00E83386">
            <w:pPr>
              <w:autoSpaceDE w:val="0"/>
              <w:autoSpaceDN w:val="0"/>
              <w:adjustRightInd w:val="0"/>
              <w:rPr>
                <w:rFonts w:ascii="Times New Roman" w:eastAsia="Calibri" w:hAnsi="Times New Roman" w:cs="Times New Roman"/>
                <w:color w:val="000000"/>
                <w:sz w:val="18"/>
                <w:szCs w:val="18"/>
              </w:rPr>
            </w:pPr>
            <w:r w:rsidRPr="00702DDD">
              <w:rPr>
                <w:rFonts w:ascii="Times New Roman" w:eastAsia="Calibri" w:hAnsi="Times New Roman" w:cs="Times New Roman"/>
                <w:color w:val="000000"/>
                <w:sz w:val="18"/>
                <w:szCs w:val="18"/>
              </w:rPr>
              <w:t>444 - Insurance carriers, except direct life</w:t>
            </w:r>
          </w:p>
        </w:tc>
        <w:tc>
          <w:tcPr>
            <w:tcW w:w="2250" w:type="dxa"/>
            <w:tcBorders>
              <w:bottom w:val="single" w:sz="4" w:space="0" w:color="auto"/>
            </w:tcBorders>
          </w:tcPr>
          <w:p w14:paraId="331BA831"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2,932,124</w:t>
            </w:r>
          </w:p>
        </w:tc>
        <w:tc>
          <w:tcPr>
            <w:tcW w:w="1800" w:type="dxa"/>
            <w:tcBorders>
              <w:bottom w:val="single" w:sz="4" w:space="0" w:color="auto"/>
            </w:tcBorders>
          </w:tcPr>
          <w:p w14:paraId="4710354B"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4,955,851</w:t>
            </w:r>
          </w:p>
        </w:tc>
        <w:tc>
          <w:tcPr>
            <w:tcW w:w="2430" w:type="dxa"/>
            <w:tcBorders>
              <w:bottom w:val="single" w:sz="4" w:space="0" w:color="auto"/>
            </w:tcBorders>
          </w:tcPr>
          <w:p w14:paraId="53D961C0" w14:textId="77777777" w:rsidR="00C016E8" w:rsidRPr="00702DDD" w:rsidRDefault="00C016E8" w:rsidP="00E83386">
            <w:pPr>
              <w:autoSpaceDE w:val="0"/>
              <w:autoSpaceDN w:val="0"/>
              <w:adjustRightInd w:val="0"/>
              <w:jc w:val="center"/>
              <w:rPr>
                <w:rFonts w:ascii="Times New Roman" w:eastAsia="Calibri" w:hAnsi="Times New Roman" w:cs="Times New Roman"/>
                <w:color w:val="000000"/>
              </w:rPr>
            </w:pPr>
            <w:r w:rsidRPr="00702DDD">
              <w:rPr>
                <w:rFonts w:ascii="Times New Roman" w:eastAsia="Calibri" w:hAnsi="Times New Roman" w:cs="Times New Roman"/>
                <w:color w:val="000000"/>
              </w:rPr>
              <w:t>3,370,476</w:t>
            </w:r>
          </w:p>
        </w:tc>
      </w:tr>
    </w:tbl>
    <w:p w14:paraId="5968500B" w14:textId="77777777" w:rsidR="00C016E8" w:rsidRPr="00702DDD" w:rsidRDefault="00C016E8" w:rsidP="00C016E8">
      <w:pPr>
        <w:rPr>
          <w:rFonts w:ascii="Times New Roman" w:hAnsi="Times New Roman" w:cs="Times New Roman"/>
          <w:b/>
        </w:rPr>
      </w:pPr>
    </w:p>
    <w:p w14:paraId="11D38E31" w14:textId="77777777" w:rsidR="00C016E8" w:rsidRPr="00702DDD" w:rsidRDefault="00C016E8" w:rsidP="00C016E8">
      <w:pPr>
        <w:rPr>
          <w:rFonts w:ascii="Times New Roman" w:hAnsi="Times New Roman" w:cs="Times New Roman"/>
        </w:rPr>
      </w:pPr>
    </w:p>
    <w:p w14:paraId="1C5AFC49" w14:textId="77777777" w:rsidR="00C016E8" w:rsidRPr="00702DDD" w:rsidRDefault="00C016E8" w:rsidP="000654A5">
      <w:pPr>
        <w:pStyle w:val="AltHeading1"/>
        <w:rPr>
          <w:noProof/>
        </w:rPr>
      </w:pPr>
    </w:p>
    <w:p w14:paraId="67B0C43B" w14:textId="77777777" w:rsidR="008A393A" w:rsidRPr="00702DDD" w:rsidRDefault="008A393A" w:rsidP="000654A5">
      <w:pPr>
        <w:pStyle w:val="AltHeading1"/>
        <w:rPr>
          <w:noProof/>
        </w:rPr>
      </w:pPr>
    </w:p>
    <w:p w14:paraId="10DA9631" w14:textId="698D2AD3" w:rsidR="008A393A" w:rsidRPr="00702DDD" w:rsidRDefault="008A393A" w:rsidP="000654A5">
      <w:pPr>
        <w:pStyle w:val="AltHeading1"/>
        <w:rPr>
          <w:noProof/>
        </w:rPr>
        <w:sectPr w:rsidR="008A393A" w:rsidRPr="00702DDD" w:rsidSect="00C016E8">
          <w:pgSz w:w="15840" w:h="12240" w:orient="landscape" w:code="1"/>
          <w:pgMar w:top="1440" w:right="1440" w:bottom="1440" w:left="1440" w:header="720" w:footer="720" w:gutter="0"/>
          <w:cols w:space="720"/>
          <w:noEndnote/>
          <w:docGrid w:linePitch="360"/>
        </w:sectPr>
      </w:pPr>
    </w:p>
    <w:p w14:paraId="2E45C30C" w14:textId="77777777" w:rsidR="002E7B86" w:rsidRPr="00702DDD" w:rsidRDefault="002E7B86" w:rsidP="000654A5">
      <w:pPr>
        <w:pStyle w:val="AltHeading1"/>
      </w:pPr>
      <w:bookmarkStart w:id="83" w:name="_Toc98692059"/>
      <w:bookmarkStart w:id="84" w:name="_Toc98692236"/>
      <w:bookmarkStart w:id="85" w:name="_Toc98693003"/>
      <w:bookmarkStart w:id="86" w:name="_Toc420995913"/>
      <w:bookmarkStart w:id="87" w:name="_Toc422997500"/>
      <w:bookmarkStart w:id="88" w:name="_Toc427156485"/>
      <w:bookmarkStart w:id="89" w:name="_Toc428278490"/>
      <w:r w:rsidRPr="00702DDD">
        <w:rPr>
          <w:noProof/>
        </w:rPr>
        <w:lastRenderedPageBreak/>
        <w:drawing>
          <wp:inline distT="0" distB="0" distL="0" distR="0" wp14:anchorId="2D5B2DF9" wp14:editId="0A697062">
            <wp:extent cx="5943600" cy="251142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2511425"/>
                    </a:xfrm>
                    <a:prstGeom prst="rect">
                      <a:avLst/>
                    </a:prstGeom>
                  </pic:spPr>
                </pic:pic>
              </a:graphicData>
            </a:graphic>
          </wp:inline>
        </w:drawing>
      </w:r>
      <w:bookmarkEnd w:id="83"/>
      <w:bookmarkEnd w:id="84"/>
      <w:bookmarkEnd w:id="85"/>
    </w:p>
    <w:p w14:paraId="2CC5F82D" w14:textId="27E48B78" w:rsidR="002E7B86" w:rsidRPr="00702DDD" w:rsidRDefault="002E7B86" w:rsidP="002E7B86">
      <w:pPr>
        <w:rPr>
          <w:rFonts w:ascii="Times New Roman" w:hAnsi="Times New Roman" w:cs="Times New Roman"/>
          <w:b/>
        </w:rPr>
      </w:pPr>
      <w:r w:rsidRPr="00702DDD">
        <w:rPr>
          <w:rFonts w:ascii="Times New Roman" w:hAnsi="Times New Roman" w:cs="Times New Roman"/>
          <w:b/>
        </w:rPr>
        <w:t>Figure 1.</w:t>
      </w:r>
      <w:r w:rsidR="00C72EA1">
        <w:rPr>
          <w:rFonts w:ascii="Times New Roman" w:hAnsi="Times New Roman" w:cs="Times New Roman"/>
          <w:b/>
        </w:rPr>
        <w:t>1</w:t>
      </w:r>
      <w:r w:rsidRPr="00702DDD">
        <w:rPr>
          <w:rFonts w:ascii="Times New Roman" w:hAnsi="Times New Roman" w:cs="Times New Roman"/>
          <w:b/>
        </w:rPr>
        <w:t xml:space="preserve">: Data and Disease Timeline </w:t>
      </w:r>
    </w:p>
    <w:p w14:paraId="47C43157" w14:textId="77777777" w:rsidR="0084453D" w:rsidRPr="00702DDD" w:rsidRDefault="0084453D" w:rsidP="0084453D">
      <w:pPr>
        <w:rPr>
          <w:rFonts w:ascii="Times New Roman" w:hAnsi="Times New Roman" w:cs="Times New Roman"/>
          <w:b/>
        </w:rPr>
      </w:pPr>
    </w:p>
    <w:p w14:paraId="4CA5AD39" w14:textId="77777777" w:rsidR="0084453D" w:rsidRPr="00702DDD" w:rsidRDefault="0084453D" w:rsidP="0084453D">
      <w:pPr>
        <w:rPr>
          <w:rFonts w:ascii="Times New Roman" w:hAnsi="Times New Roman" w:cs="Times New Roman"/>
          <w:b/>
        </w:rPr>
      </w:pPr>
    </w:p>
    <w:p w14:paraId="0AF33CA7" w14:textId="0C5763D9" w:rsidR="0084453D" w:rsidRPr="00702DDD" w:rsidRDefault="00947DC4" w:rsidP="0084453D">
      <w:pPr>
        <w:rPr>
          <w:rFonts w:ascii="Times New Roman" w:hAnsi="Times New Roman" w:cs="Times New Roman"/>
          <w:b/>
        </w:rPr>
      </w:pPr>
      <w:r>
        <w:rPr>
          <w:rFonts w:ascii="Times New Roman" w:hAnsi="Times New Roman" w:cs="Times New Roman"/>
          <w:b/>
          <w:noProof/>
        </w:rPr>
        <w:drawing>
          <wp:inline distT="0" distB="0" distL="0" distR="0" wp14:anchorId="0F9E2AAA" wp14:editId="757B864F">
            <wp:extent cx="5904689" cy="4007114"/>
            <wp:effectExtent l="0" t="0" r="127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937900" cy="4029652"/>
                    </a:xfrm>
                    <a:prstGeom prst="rect">
                      <a:avLst/>
                    </a:prstGeom>
                  </pic:spPr>
                </pic:pic>
              </a:graphicData>
            </a:graphic>
          </wp:inline>
        </w:drawing>
      </w:r>
    </w:p>
    <w:p w14:paraId="306A7716" w14:textId="77777777" w:rsidR="0084453D" w:rsidRPr="00702DDD" w:rsidRDefault="0084453D" w:rsidP="0084453D">
      <w:pPr>
        <w:rPr>
          <w:rFonts w:ascii="Times New Roman" w:hAnsi="Times New Roman" w:cs="Times New Roman"/>
          <w:b/>
        </w:rPr>
      </w:pPr>
    </w:p>
    <w:p w14:paraId="37D30CE7" w14:textId="34AFFED2" w:rsidR="0084453D" w:rsidRPr="00702DDD" w:rsidRDefault="0084453D" w:rsidP="0084453D">
      <w:pPr>
        <w:rPr>
          <w:rFonts w:ascii="Times New Roman" w:hAnsi="Times New Roman" w:cs="Times New Roman"/>
          <w:b/>
        </w:rPr>
      </w:pPr>
      <w:r w:rsidRPr="00702DDD">
        <w:rPr>
          <w:rFonts w:ascii="Times New Roman" w:hAnsi="Times New Roman" w:cs="Times New Roman"/>
          <w:b/>
        </w:rPr>
        <w:t>Figure 2.1</w:t>
      </w:r>
      <w:r w:rsidR="00C72EA1">
        <w:rPr>
          <w:rFonts w:ascii="Times New Roman" w:hAnsi="Times New Roman" w:cs="Times New Roman"/>
          <w:b/>
        </w:rPr>
        <w:t>:</w:t>
      </w:r>
      <w:r w:rsidRPr="00702DDD">
        <w:rPr>
          <w:rFonts w:ascii="Times New Roman" w:hAnsi="Times New Roman" w:cs="Times New Roman"/>
          <w:b/>
        </w:rPr>
        <w:t xml:space="preserve"> Economic Impact and Multiplier Effect Relationships </w:t>
      </w:r>
    </w:p>
    <w:p w14:paraId="6C0806E7" w14:textId="77777777" w:rsidR="0084453D" w:rsidRPr="00702DDD" w:rsidRDefault="0084453D" w:rsidP="0084453D">
      <w:pPr>
        <w:rPr>
          <w:rFonts w:ascii="Times New Roman" w:hAnsi="Times New Roman" w:cs="Times New Roman"/>
          <w:b/>
        </w:rPr>
      </w:pPr>
      <w:r w:rsidRPr="00702DDD">
        <w:rPr>
          <w:rFonts w:ascii="Times New Roman" w:hAnsi="Times New Roman" w:cs="Times New Roman"/>
          <w:b/>
          <w:noProof/>
        </w:rPr>
        <w:lastRenderedPageBreak/>
        <w:drawing>
          <wp:inline distT="0" distB="0" distL="0" distR="0" wp14:anchorId="63ACC1C3" wp14:editId="75924674">
            <wp:extent cx="5943600" cy="195897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1958975"/>
                    </a:xfrm>
                    <a:prstGeom prst="rect">
                      <a:avLst/>
                    </a:prstGeom>
                  </pic:spPr>
                </pic:pic>
              </a:graphicData>
            </a:graphic>
          </wp:inline>
        </w:drawing>
      </w:r>
    </w:p>
    <w:p w14:paraId="0AFDC11C" w14:textId="77777777" w:rsidR="0084453D" w:rsidRPr="00702DDD" w:rsidRDefault="0084453D" w:rsidP="0084453D">
      <w:pPr>
        <w:rPr>
          <w:rFonts w:ascii="Times New Roman" w:hAnsi="Times New Roman" w:cs="Times New Roman"/>
          <w:bCs/>
        </w:rPr>
      </w:pPr>
      <w:r w:rsidRPr="00702DDD">
        <w:rPr>
          <w:rFonts w:ascii="Times New Roman" w:hAnsi="Times New Roman" w:cs="Times New Roman"/>
          <w:bCs/>
        </w:rPr>
        <w:t>Source: Tennessee Department of Economic and Community Development. (2018)</w:t>
      </w:r>
    </w:p>
    <w:p w14:paraId="6A7EE649" w14:textId="77777777" w:rsidR="0084453D" w:rsidRPr="00702DDD" w:rsidRDefault="0084453D" w:rsidP="0084453D">
      <w:pPr>
        <w:rPr>
          <w:rFonts w:ascii="Times New Roman" w:hAnsi="Times New Roman" w:cs="Times New Roman"/>
          <w:b/>
        </w:rPr>
      </w:pPr>
    </w:p>
    <w:p w14:paraId="21556267" w14:textId="27D0FF8F" w:rsidR="0084453D" w:rsidRPr="00702DDD" w:rsidRDefault="0084453D" w:rsidP="0084453D">
      <w:pPr>
        <w:rPr>
          <w:rFonts w:ascii="Times New Roman" w:hAnsi="Times New Roman" w:cs="Times New Roman"/>
          <w:b/>
        </w:rPr>
      </w:pPr>
      <w:r w:rsidRPr="00702DDD">
        <w:rPr>
          <w:rFonts w:ascii="Times New Roman" w:hAnsi="Times New Roman" w:cs="Times New Roman"/>
          <w:b/>
        </w:rPr>
        <w:t>Figure 2.</w:t>
      </w:r>
      <w:r w:rsidR="0028030B" w:rsidRPr="00702DDD">
        <w:rPr>
          <w:rFonts w:ascii="Times New Roman" w:hAnsi="Times New Roman" w:cs="Times New Roman"/>
          <w:b/>
        </w:rPr>
        <w:t>2</w:t>
      </w:r>
      <w:r w:rsidR="00C72EA1">
        <w:rPr>
          <w:rFonts w:ascii="Times New Roman" w:hAnsi="Times New Roman" w:cs="Times New Roman"/>
          <w:b/>
        </w:rPr>
        <w:t>:</w:t>
      </w:r>
      <w:r w:rsidRPr="00702DDD">
        <w:rPr>
          <w:rFonts w:ascii="Times New Roman" w:hAnsi="Times New Roman" w:cs="Times New Roman"/>
          <w:b/>
        </w:rPr>
        <w:t xml:space="preserve"> Tennessee Economic and Community Development Regions, 2018</w:t>
      </w:r>
    </w:p>
    <w:p w14:paraId="7BE0D823" w14:textId="302C6106" w:rsidR="002E7B86" w:rsidRPr="00702DDD" w:rsidRDefault="002E7B86" w:rsidP="000654A5">
      <w:pPr>
        <w:pStyle w:val="AltHeading1"/>
      </w:pPr>
    </w:p>
    <w:p w14:paraId="638DCD53" w14:textId="77777777" w:rsidR="00E2746C" w:rsidRPr="00702DDD" w:rsidRDefault="00E2746C" w:rsidP="000654A5">
      <w:pPr>
        <w:pStyle w:val="AltHeading1"/>
      </w:pPr>
    </w:p>
    <w:p w14:paraId="0F0A862F" w14:textId="77777777" w:rsidR="0084453D" w:rsidRPr="00702DDD" w:rsidRDefault="0084453D" w:rsidP="0084453D">
      <w:pPr>
        <w:rPr>
          <w:rFonts w:ascii="Times New Roman" w:hAnsi="Times New Roman" w:cs="Times New Roman"/>
          <w:b/>
          <w:highlight w:val="green"/>
        </w:rPr>
      </w:pPr>
      <w:r w:rsidRPr="00702DDD">
        <w:rPr>
          <w:rFonts w:ascii="Times New Roman" w:hAnsi="Times New Roman" w:cs="Times New Roman"/>
          <w:noProof/>
        </w:rPr>
        <w:drawing>
          <wp:inline distT="0" distB="0" distL="0" distR="0" wp14:anchorId="6E2EC955" wp14:editId="13EEA9E2">
            <wp:extent cx="5680953" cy="3307404"/>
            <wp:effectExtent l="0" t="0" r="0" b="0"/>
            <wp:docPr id="49" name="Chart 49" title="Chart">
              <a:extLst xmlns:a="http://schemas.openxmlformats.org/drawingml/2006/main">
                <a:ext uri="{FF2B5EF4-FFF2-40B4-BE49-F238E27FC236}">
                  <a16:creationId xmlns:a16="http://schemas.microsoft.com/office/drawing/2014/main" id="{5730F455-93A7-4C77-85C4-84B048033D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1CA6FC6" w14:textId="44C97129" w:rsidR="0084453D" w:rsidRPr="00702DDD" w:rsidRDefault="0084453D" w:rsidP="0084453D">
      <w:pPr>
        <w:rPr>
          <w:rFonts w:ascii="Times New Roman" w:hAnsi="Times New Roman" w:cs="Times New Roman"/>
          <w:b/>
        </w:rPr>
      </w:pPr>
      <w:r w:rsidRPr="00702DDD">
        <w:rPr>
          <w:rFonts w:ascii="Times New Roman" w:hAnsi="Times New Roman" w:cs="Times New Roman"/>
          <w:b/>
        </w:rPr>
        <w:t>Figure 2.3</w:t>
      </w:r>
      <w:r w:rsidR="00C72EA1">
        <w:rPr>
          <w:rFonts w:ascii="Times New Roman" w:hAnsi="Times New Roman" w:cs="Times New Roman"/>
          <w:b/>
        </w:rPr>
        <w:t>:</w:t>
      </w:r>
      <w:r w:rsidRPr="00702DDD">
        <w:rPr>
          <w:rFonts w:ascii="Times New Roman" w:hAnsi="Times New Roman" w:cs="Times New Roman"/>
          <w:b/>
        </w:rPr>
        <w:t xml:space="preserve"> 2019 MHI Frequency of Affordability Bin Score</w:t>
      </w:r>
    </w:p>
    <w:p w14:paraId="2D2ED834" w14:textId="6C3AECD1" w:rsidR="0084453D" w:rsidRPr="00702DDD" w:rsidRDefault="0084453D" w:rsidP="000654A5">
      <w:pPr>
        <w:pStyle w:val="AltHeading1"/>
      </w:pPr>
    </w:p>
    <w:p w14:paraId="2D42B9FE" w14:textId="77777777" w:rsidR="0084453D" w:rsidRPr="00702DDD" w:rsidRDefault="0084453D" w:rsidP="0084453D">
      <w:pPr>
        <w:rPr>
          <w:rFonts w:ascii="Times New Roman" w:hAnsi="Times New Roman" w:cs="Times New Roman"/>
          <w:b/>
          <w:highlight w:val="green"/>
        </w:rPr>
      </w:pPr>
      <w:r w:rsidRPr="00702DDD">
        <w:rPr>
          <w:rFonts w:ascii="Times New Roman" w:hAnsi="Times New Roman" w:cs="Times New Roman"/>
          <w:noProof/>
        </w:rPr>
        <w:lastRenderedPageBreak/>
        <w:drawing>
          <wp:inline distT="0" distB="0" distL="0" distR="0" wp14:anchorId="594B067F" wp14:editId="2E452628">
            <wp:extent cx="5715000" cy="3533775"/>
            <wp:effectExtent l="0" t="0" r="0" b="0"/>
            <wp:docPr id="30" name="Chart 30" title="Chart">
              <a:extLst xmlns:a="http://schemas.openxmlformats.org/drawingml/2006/main">
                <a:ext uri="{FF2B5EF4-FFF2-40B4-BE49-F238E27FC236}">
                  <a16:creationId xmlns:a16="http://schemas.microsoft.com/office/drawing/2014/main" id="{0409787D-F774-43D0-93DD-A2A5A1D8FA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3E5FDEB" w14:textId="6E01CFB5" w:rsidR="0084453D" w:rsidRPr="00702DDD" w:rsidRDefault="0084453D" w:rsidP="0084453D">
      <w:pPr>
        <w:rPr>
          <w:rFonts w:ascii="Times New Roman" w:hAnsi="Times New Roman" w:cs="Times New Roman"/>
          <w:b/>
          <w:highlight w:val="green"/>
        </w:rPr>
      </w:pPr>
      <w:r w:rsidRPr="00702DDD">
        <w:rPr>
          <w:rFonts w:ascii="Times New Roman" w:hAnsi="Times New Roman" w:cs="Times New Roman"/>
          <w:b/>
        </w:rPr>
        <w:t>Figure 2.4</w:t>
      </w:r>
      <w:r w:rsidR="00C72EA1">
        <w:rPr>
          <w:rFonts w:ascii="Times New Roman" w:hAnsi="Times New Roman" w:cs="Times New Roman"/>
          <w:b/>
        </w:rPr>
        <w:t>:</w:t>
      </w:r>
      <w:r w:rsidRPr="00702DDD">
        <w:rPr>
          <w:rFonts w:ascii="Times New Roman" w:hAnsi="Times New Roman" w:cs="Times New Roman"/>
          <w:b/>
        </w:rPr>
        <w:t xml:space="preserve"> 2019 Simple Average Frequency of Affordability Bin Score</w:t>
      </w:r>
    </w:p>
    <w:p w14:paraId="2B9C0EE1" w14:textId="7B12078C" w:rsidR="0084453D" w:rsidRPr="00702DDD" w:rsidRDefault="0084453D" w:rsidP="000654A5">
      <w:pPr>
        <w:pStyle w:val="AltHeading1"/>
      </w:pPr>
    </w:p>
    <w:p w14:paraId="1E3C22B3" w14:textId="77777777" w:rsidR="0084453D" w:rsidRPr="00702DDD" w:rsidRDefault="0084453D" w:rsidP="0084453D">
      <w:pPr>
        <w:rPr>
          <w:rFonts w:ascii="Times New Roman" w:hAnsi="Times New Roman" w:cs="Times New Roman"/>
          <w:b/>
          <w:highlight w:val="green"/>
        </w:rPr>
      </w:pPr>
      <w:r w:rsidRPr="00702DDD">
        <w:rPr>
          <w:rFonts w:ascii="Times New Roman" w:hAnsi="Times New Roman" w:cs="Times New Roman"/>
          <w:noProof/>
        </w:rPr>
        <w:drawing>
          <wp:inline distT="0" distB="0" distL="0" distR="0" wp14:anchorId="562C4C7C" wp14:editId="7C7F082F">
            <wp:extent cx="5715000" cy="3533775"/>
            <wp:effectExtent l="0" t="0" r="0" b="0"/>
            <wp:docPr id="32" name="Chart 32" title="Chart">
              <a:extLst xmlns:a="http://schemas.openxmlformats.org/drawingml/2006/main">
                <a:ext uri="{FF2B5EF4-FFF2-40B4-BE49-F238E27FC236}">
                  <a16:creationId xmlns:a16="http://schemas.microsoft.com/office/drawing/2014/main" id="{3BE41DF8-EC64-4282-B30B-44B9C2F865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40BDD0F" w14:textId="5E4BA3F8" w:rsidR="0084453D" w:rsidRPr="00702DDD" w:rsidRDefault="0084453D" w:rsidP="0084453D">
      <w:pPr>
        <w:rPr>
          <w:rFonts w:ascii="Times New Roman" w:hAnsi="Times New Roman" w:cs="Times New Roman"/>
          <w:b/>
        </w:rPr>
      </w:pPr>
      <w:r w:rsidRPr="00702DDD">
        <w:rPr>
          <w:rFonts w:ascii="Times New Roman" w:hAnsi="Times New Roman" w:cs="Times New Roman"/>
          <w:b/>
        </w:rPr>
        <w:t>Figure 2.5</w:t>
      </w:r>
      <w:r w:rsidR="00C72EA1">
        <w:rPr>
          <w:rFonts w:ascii="Times New Roman" w:hAnsi="Times New Roman" w:cs="Times New Roman"/>
          <w:b/>
        </w:rPr>
        <w:t>:</w:t>
      </w:r>
      <w:r w:rsidRPr="00702DDD">
        <w:rPr>
          <w:rFonts w:ascii="Times New Roman" w:hAnsi="Times New Roman" w:cs="Times New Roman"/>
          <w:b/>
        </w:rPr>
        <w:t xml:space="preserve"> 2019 Negative Scaled Average Frequency of Affordability </w:t>
      </w:r>
      <w:r w:rsidR="00B852D1" w:rsidRPr="00702DDD">
        <w:rPr>
          <w:rFonts w:ascii="Times New Roman" w:hAnsi="Times New Roman" w:cs="Times New Roman"/>
          <w:b/>
        </w:rPr>
        <w:t xml:space="preserve">Bin </w:t>
      </w:r>
      <w:r w:rsidRPr="00702DDD">
        <w:rPr>
          <w:rFonts w:ascii="Times New Roman" w:hAnsi="Times New Roman" w:cs="Times New Roman"/>
          <w:b/>
        </w:rPr>
        <w:t>Score</w:t>
      </w:r>
    </w:p>
    <w:p w14:paraId="7DB86E62" w14:textId="77777777" w:rsidR="0084453D" w:rsidRPr="00702DDD" w:rsidRDefault="0084453D" w:rsidP="000654A5">
      <w:pPr>
        <w:pStyle w:val="AltHeading1"/>
      </w:pPr>
    </w:p>
    <w:p w14:paraId="350337DF" w14:textId="77777777" w:rsidR="00255E80" w:rsidRPr="00702DDD" w:rsidRDefault="00255E80" w:rsidP="00255E80">
      <w:pPr>
        <w:rPr>
          <w:rFonts w:ascii="Times New Roman" w:hAnsi="Times New Roman" w:cs="Times New Roman"/>
          <w:b/>
          <w:highlight w:val="yellow"/>
        </w:rPr>
      </w:pPr>
      <w:r w:rsidRPr="00702DDD">
        <w:rPr>
          <w:rFonts w:ascii="Times New Roman" w:hAnsi="Times New Roman" w:cs="Times New Roman"/>
          <w:noProof/>
        </w:rPr>
        <w:lastRenderedPageBreak/>
        <w:drawing>
          <wp:inline distT="0" distB="0" distL="0" distR="0" wp14:anchorId="5FDC6F62" wp14:editId="20626703">
            <wp:extent cx="5145932" cy="1634247"/>
            <wp:effectExtent l="0" t="0" r="0" b="4445"/>
            <wp:docPr id="13" name="Picture 13" descr="Map&#10;&#10;Description automatically generated"/>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pic:nvPicPr>
                  <pic:blipFill rotWithShape="1">
                    <a:blip r:embed="rId24" cstate="print">
                      <a:extLst>
                        <a:ext uri="{28A0092B-C50C-407E-A947-70E740481C1C}">
                          <a14:useLocalDpi xmlns:a14="http://schemas.microsoft.com/office/drawing/2010/main" val="0"/>
                        </a:ext>
                      </a:extLst>
                    </a:blip>
                    <a:srcRect t="21157" r="1180" b="22415"/>
                    <a:stretch/>
                  </pic:blipFill>
                  <pic:spPr bwMode="auto">
                    <a:xfrm>
                      <a:off x="0" y="0"/>
                      <a:ext cx="5147120" cy="1634624"/>
                    </a:xfrm>
                    <a:prstGeom prst="rect">
                      <a:avLst/>
                    </a:prstGeom>
                    <a:ln>
                      <a:noFill/>
                    </a:ln>
                    <a:extLst>
                      <a:ext uri="{53640926-AAD7-44D8-BBD7-CCE9431645EC}">
                        <a14:shadowObscured xmlns:a14="http://schemas.microsoft.com/office/drawing/2010/main"/>
                      </a:ext>
                    </a:extLst>
                  </pic:spPr>
                </pic:pic>
              </a:graphicData>
            </a:graphic>
          </wp:inline>
        </w:drawing>
      </w:r>
      <w:r w:rsidRPr="00702DDD">
        <w:rPr>
          <w:rFonts w:ascii="Times New Roman" w:hAnsi="Times New Roman" w:cs="Times New Roman"/>
          <w:noProof/>
        </w:rPr>
        <w:drawing>
          <wp:inline distT="0" distB="0" distL="0" distR="0" wp14:anchorId="62883286" wp14:editId="1E073166">
            <wp:extent cx="722376" cy="1389888"/>
            <wp:effectExtent l="0" t="0" r="1905" b="0"/>
            <wp:docPr id="33" name="Picture 3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22376" cy="1389888"/>
                    </a:xfrm>
                    <a:prstGeom prst="rect">
                      <a:avLst/>
                    </a:prstGeom>
                    <a:noFill/>
                    <a:ln>
                      <a:noFill/>
                    </a:ln>
                  </pic:spPr>
                </pic:pic>
              </a:graphicData>
            </a:graphic>
          </wp:inline>
        </w:drawing>
      </w:r>
    </w:p>
    <w:p w14:paraId="4437F5F2" w14:textId="5EA93854" w:rsidR="0084453D" w:rsidRPr="00702DDD" w:rsidRDefault="00255E80" w:rsidP="00255E80">
      <w:pPr>
        <w:rPr>
          <w:rFonts w:ascii="Times New Roman" w:hAnsi="Times New Roman" w:cs="Times New Roman"/>
          <w:b/>
          <w:highlight w:val="yellow"/>
        </w:rPr>
      </w:pPr>
      <w:r w:rsidRPr="00702DDD">
        <w:rPr>
          <w:rFonts w:ascii="Times New Roman" w:hAnsi="Times New Roman" w:cs="Times New Roman"/>
          <w:b/>
        </w:rPr>
        <w:t>Figure 2.</w:t>
      </w:r>
      <w:r w:rsidR="00C72EA1">
        <w:rPr>
          <w:rFonts w:ascii="Times New Roman" w:hAnsi="Times New Roman" w:cs="Times New Roman"/>
          <w:b/>
        </w:rPr>
        <w:t>6:</w:t>
      </w:r>
      <w:r w:rsidRPr="00702DDD">
        <w:rPr>
          <w:rFonts w:ascii="Times New Roman" w:hAnsi="Times New Roman" w:cs="Times New Roman"/>
          <w:b/>
        </w:rPr>
        <w:t xml:space="preserve"> Tennessee County ATPI Indices based on MHI Method</w:t>
      </w:r>
    </w:p>
    <w:p w14:paraId="29CF086F" w14:textId="77777777" w:rsidR="00C72EA1" w:rsidRDefault="00C72EA1" w:rsidP="00255E80">
      <w:pPr>
        <w:rPr>
          <w:rFonts w:ascii="Times New Roman" w:hAnsi="Times New Roman" w:cs="Times New Roman"/>
          <w:b/>
        </w:rPr>
      </w:pPr>
    </w:p>
    <w:p w14:paraId="6E3736A4" w14:textId="77777777" w:rsidR="00C72EA1" w:rsidRDefault="00C72EA1" w:rsidP="00255E80">
      <w:pPr>
        <w:rPr>
          <w:rFonts w:ascii="Times New Roman" w:hAnsi="Times New Roman" w:cs="Times New Roman"/>
          <w:b/>
        </w:rPr>
      </w:pPr>
    </w:p>
    <w:p w14:paraId="3B7EDB58" w14:textId="77777777" w:rsidR="00C72EA1" w:rsidRDefault="00C72EA1" w:rsidP="00255E80">
      <w:pPr>
        <w:rPr>
          <w:rFonts w:ascii="Times New Roman" w:hAnsi="Times New Roman" w:cs="Times New Roman"/>
          <w:b/>
        </w:rPr>
      </w:pPr>
    </w:p>
    <w:p w14:paraId="15C9DD28" w14:textId="77777777" w:rsidR="00C72EA1" w:rsidRDefault="00C72EA1" w:rsidP="00255E80">
      <w:pPr>
        <w:rPr>
          <w:rFonts w:ascii="Times New Roman" w:hAnsi="Times New Roman" w:cs="Times New Roman"/>
          <w:b/>
        </w:rPr>
      </w:pPr>
    </w:p>
    <w:p w14:paraId="6E439D23" w14:textId="77777777" w:rsidR="00C72EA1" w:rsidRDefault="00C72EA1" w:rsidP="00255E80">
      <w:pPr>
        <w:rPr>
          <w:rFonts w:ascii="Times New Roman" w:hAnsi="Times New Roman" w:cs="Times New Roman"/>
          <w:b/>
        </w:rPr>
      </w:pPr>
    </w:p>
    <w:p w14:paraId="67C4AE82" w14:textId="188DACAE" w:rsidR="00C72EA1" w:rsidRDefault="00255E80" w:rsidP="00255E80">
      <w:pPr>
        <w:rPr>
          <w:rFonts w:ascii="Times New Roman" w:hAnsi="Times New Roman" w:cs="Times New Roman"/>
          <w:b/>
        </w:rPr>
      </w:pPr>
      <w:r w:rsidRPr="00702DDD">
        <w:rPr>
          <w:rFonts w:ascii="Times New Roman" w:hAnsi="Times New Roman" w:cs="Times New Roman"/>
          <w:noProof/>
        </w:rPr>
        <w:drawing>
          <wp:inline distT="0" distB="0" distL="0" distR="0" wp14:anchorId="693ABDBC" wp14:editId="424AA8B9">
            <wp:extent cx="5097294" cy="1896894"/>
            <wp:effectExtent l="0" t="0" r="0" b="0"/>
            <wp:docPr id="15" name="Picture 15" descr="Arrow&#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4" name="Picture 4" descr="Arrow&#10;&#10;Description automatically generated with low confidence"/>
                    <pic:cNvPicPr/>
                  </pic:nvPicPr>
                  <pic:blipFill rotWithShape="1">
                    <a:blip r:embed="rId26" cstate="print">
                      <a:extLst>
                        <a:ext uri="{28A0092B-C50C-407E-A947-70E740481C1C}">
                          <a14:useLocalDpi xmlns:a14="http://schemas.microsoft.com/office/drawing/2010/main" val="0"/>
                        </a:ext>
                      </a:extLst>
                    </a:blip>
                    <a:srcRect t="15378" r="1021" b="17977"/>
                    <a:stretch/>
                  </pic:blipFill>
                  <pic:spPr bwMode="auto">
                    <a:xfrm>
                      <a:off x="0" y="0"/>
                      <a:ext cx="5098155" cy="1897215"/>
                    </a:xfrm>
                    <a:prstGeom prst="rect">
                      <a:avLst/>
                    </a:prstGeom>
                    <a:ln>
                      <a:noFill/>
                    </a:ln>
                    <a:extLst>
                      <a:ext uri="{53640926-AAD7-44D8-BBD7-CCE9431645EC}">
                        <a14:shadowObscured xmlns:a14="http://schemas.microsoft.com/office/drawing/2010/main"/>
                      </a:ext>
                    </a:extLst>
                  </pic:spPr>
                </pic:pic>
              </a:graphicData>
            </a:graphic>
          </wp:inline>
        </w:drawing>
      </w:r>
      <w:r w:rsidRPr="00702DDD">
        <w:rPr>
          <w:rFonts w:ascii="Times New Roman" w:hAnsi="Times New Roman" w:cs="Times New Roman"/>
          <w:noProof/>
        </w:rPr>
        <w:drawing>
          <wp:inline distT="0" distB="0" distL="0" distR="0" wp14:anchorId="10E6337C" wp14:editId="6A51C6E7">
            <wp:extent cx="718368" cy="1387757"/>
            <wp:effectExtent l="0" t="0" r="5715" b="0"/>
            <wp:docPr id="26" name="Picture 26"/>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23653" cy="1397967"/>
                    </a:xfrm>
                    <a:prstGeom prst="rect">
                      <a:avLst/>
                    </a:prstGeom>
                    <a:noFill/>
                    <a:ln>
                      <a:noFill/>
                    </a:ln>
                  </pic:spPr>
                </pic:pic>
              </a:graphicData>
            </a:graphic>
          </wp:inline>
        </w:drawing>
      </w:r>
    </w:p>
    <w:p w14:paraId="3DF41890" w14:textId="7B121946" w:rsidR="00255E80" w:rsidRPr="00702DDD" w:rsidRDefault="00255E80" w:rsidP="00255E80">
      <w:pPr>
        <w:rPr>
          <w:rFonts w:ascii="Times New Roman" w:hAnsi="Times New Roman" w:cs="Times New Roman"/>
          <w:b/>
        </w:rPr>
      </w:pPr>
      <w:r w:rsidRPr="00702DDD">
        <w:rPr>
          <w:rFonts w:ascii="Times New Roman" w:hAnsi="Times New Roman" w:cs="Times New Roman"/>
          <w:b/>
        </w:rPr>
        <w:t>Figure 2.</w:t>
      </w:r>
      <w:r w:rsidR="00C72EA1">
        <w:rPr>
          <w:rFonts w:ascii="Times New Roman" w:hAnsi="Times New Roman" w:cs="Times New Roman"/>
          <w:b/>
        </w:rPr>
        <w:t>7:</w:t>
      </w:r>
      <w:r w:rsidRPr="00702DDD">
        <w:rPr>
          <w:rFonts w:ascii="Times New Roman" w:hAnsi="Times New Roman" w:cs="Times New Roman"/>
          <w:b/>
        </w:rPr>
        <w:t xml:space="preserve"> Tennessee County ATPI Indices based on Simple Average Method</w:t>
      </w:r>
    </w:p>
    <w:p w14:paraId="4CCF5430" w14:textId="7214F508" w:rsidR="00E2746C" w:rsidRDefault="00E2746C" w:rsidP="00255E80">
      <w:pPr>
        <w:rPr>
          <w:rFonts w:ascii="Times New Roman" w:hAnsi="Times New Roman" w:cs="Times New Roman"/>
          <w:b/>
        </w:rPr>
      </w:pPr>
    </w:p>
    <w:p w14:paraId="29092E57" w14:textId="77777777" w:rsidR="00C72EA1" w:rsidRPr="00702DDD" w:rsidRDefault="00C72EA1" w:rsidP="00255E80">
      <w:pPr>
        <w:rPr>
          <w:rFonts w:ascii="Times New Roman" w:hAnsi="Times New Roman" w:cs="Times New Roman"/>
          <w:b/>
        </w:rPr>
      </w:pPr>
    </w:p>
    <w:p w14:paraId="38C5DFF4" w14:textId="27DEE0FC" w:rsidR="00C72EA1" w:rsidRDefault="00C72EA1" w:rsidP="00255E80">
      <w:pPr>
        <w:rPr>
          <w:rFonts w:ascii="Times New Roman" w:hAnsi="Times New Roman" w:cs="Times New Roman"/>
          <w:b/>
        </w:rPr>
      </w:pPr>
    </w:p>
    <w:p w14:paraId="2C69DF57" w14:textId="77777777" w:rsidR="00C72EA1" w:rsidRDefault="00C72EA1" w:rsidP="00255E80">
      <w:pPr>
        <w:rPr>
          <w:rFonts w:ascii="Times New Roman" w:hAnsi="Times New Roman" w:cs="Times New Roman"/>
          <w:b/>
        </w:rPr>
      </w:pPr>
    </w:p>
    <w:p w14:paraId="4DAC6CEA" w14:textId="528165E6" w:rsidR="00C72EA1" w:rsidRDefault="00C72EA1" w:rsidP="00255E80">
      <w:pPr>
        <w:rPr>
          <w:rFonts w:ascii="Times New Roman" w:hAnsi="Times New Roman" w:cs="Times New Roman"/>
          <w:b/>
        </w:rPr>
      </w:pPr>
    </w:p>
    <w:p w14:paraId="492F1D25" w14:textId="5FE4A61B" w:rsidR="00C72EA1" w:rsidRDefault="00C72EA1" w:rsidP="00255E80">
      <w:pPr>
        <w:rPr>
          <w:rFonts w:ascii="Times New Roman" w:hAnsi="Times New Roman" w:cs="Times New Roman"/>
          <w:b/>
        </w:rPr>
      </w:pPr>
    </w:p>
    <w:p w14:paraId="61C54B53" w14:textId="68E7901B" w:rsidR="00C72EA1" w:rsidRDefault="00C72EA1" w:rsidP="00255E80">
      <w:pPr>
        <w:rPr>
          <w:rFonts w:ascii="Times New Roman" w:hAnsi="Times New Roman" w:cs="Times New Roman"/>
          <w:b/>
        </w:rPr>
      </w:pPr>
    </w:p>
    <w:p w14:paraId="16905DAA" w14:textId="4A6717B9" w:rsidR="00C72EA1" w:rsidRDefault="00C72EA1" w:rsidP="00255E80">
      <w:pPr>
        <w:rPr>
          <w:rFonts w:ascii="Times New Roman" w:hAnsi="Times New Roman" w:cs="Times New Roman"/>
          <w:b/>
        </w:rPr>
      </w:pPr>
    </w:p>
    <w:p w14:paraId="4CF91B6C" w14:textId="564F908C" w:rsidR="00C72EA1" w:rsidRDefault="00C72EA1" w:rsidP="00255E80">
      <w:pPr>
        <w:rPr>
          <w:rFonts w:ascii="Times New Roman" w:hAnsi="Times New Roman" w:cs="Times New Roman"/>
          <w:b/>
        </w:rPr>
      </w:pPr>
    </w:p>
    <w:p w14:paraId="4FDB4D06" w14:textId="77777777" w:rsidR="00C72EA1" w:rsidRDefault="00C72EA1" w:rsidP="00255E80">
      <w:pPr>
        <w:rPr>
          <w:rFonts w:ascii="Times New Roman" w:hAnsi="Times New Roman" w:cs="Times New Roman"/>
          <w:b/>
        </w:rPr>
      </w:pPr>
    </w:p>
    <w:p w14:paraId="772CC04E" w14:textId="1717C4C4" w:rsidR="00C72EA1" w:rsidRDefault="00255E80" w:rsidP="00E2746C">
      <w:pPr>
        <w:rPr>
          <w:rFonts w:ascii="Times New Roman" w:hAnsi="Times New Roman" w:cs="Times New Roman"/>
          <w:b/>
        </w:rPr>
      </w:pPr>
      <w:r w:rsidRPr="00702DDD">
        <w:rPr>
          <w:rFonts w:ascii="Times New Roman" w:hAnsi="Times New Roman" w:cs="Times New Roman"/>
          <w:b/>
          <w:noProof/>
        </w:rPr>
        <w:drawing>
          <wp:inline distT="0" distB="0" distL="0" distR="0" wp14:anchorId="5E488839" wp14:editId="1F9ED9A9">
            <wp:extent cx="5034987" cy="1430489"/>
            <wp:effectExtent l="0" t="0" r="0" b="5080"/>
            <wp:docPr id="34" name="Picture 3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ext&#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085938" cy="1444965"/>
                    </a:xfrm>
                    <a:prstGeom prst="rect">
                      <a:avLst/>
                    </a:prstGeom>
                  </pic:spPr>
                </pic:pic>
              </a:graphicData>
            </a:graphic>
          </wp:inline>
        </w:drawing>
      </w:r>
    </w:p>
    <w:p w14:paraId="6F756A6B" w14:textId="54E3CE8C" w:rsidR="0084453D" w:rsidRPr="00702DDD" w:rsidRDefault="00255E80" w:rsidP="00E2746C">
      <w:pPr>
        <w:rPr>
          <w:rFonts w:ascii="Times New Roman" w:hAnsi="Times New Roman" w:cs="Times New Roman"/>
          <w:b/>
        </w:rPr>
      </w:pPr>
      <w:r w:rsidRPr="00702DDD">
        <w:rPr>
          <w:rFonts w:ascii="Times New Roman" w:hAnsi="Times New Roman" w:cs="Times New Roman"/>
          <w:b/>
        </w:rPr>
        <w:t>Figure 2.</w:t>
      </w:r>
      <w:r w:rsidR="00C72EA1">
        <w:rPr>
          <w:rFonts w:ascii="Times New Roman" w:hAnsi="Times New Roman" w:cs="Times New Roman"/>
          <w:b/>
        </w:rPr>
        <w:t>8:</w:t>
      </w:r>
      <w:r w:rsidRPr="00702DDD">
        <w:rPr>
          <w:rFonts w:ascii="Times New Roman" w:hAnsi="Times New Roman" w:cs="Times New Roman"/>
          <w:b/>
        </w:rPr>
        <w:t xml:space="preserve"> Tennessee County ATPI Indices based on Negative Scaled Average Method</w:t>
      </w:r>
    </w:p>
    <w:p w14:paraId="67CC0077" w14:textId="77777777" w:rsidR="00255E80" w:rsidRPr="00702DDD" w:rsidRDefault="00255E80" w:rsidP="00255E80">
      <w:pPr>
        <w:rPr>
          <w:rFonts w:ascii="Times New Roman" w:hAnsi="Times New Roman" w:cs="Times New Roman"/>
          <w:b/>
        </w:rPr>
      </w:pPr>
      <w:r w:rsidRPr="00702DDD">
        <w:rPr>
          <w:rFonts w:ascii="Times New Roman" w:hAnsi="Times New Roman" w:cs="Times New Roman"/>
          <w:noProof/>
        </w:rPr>
        <w:lastRenderedPageBreak/>
        <w:drawing>
          <wp:inline distT="0" distB="0" distL="0" distR="0" wp14:anchorId="707917DC" wp14:editId="709545A2">
            <wp:extent cx="5715000" cy="3538728"/>
            <wp:effectExtent l="0" t="0" r="0" b="5080"/>
            <wp:docPr id="29" name="Chart 29">
              <a:extLst xmlns:a="http://schemas.openxmlformats.org/drawingml/2006/main">
                <a:ext uri="{FF2B5EF4-FFF2-40B4-BE49-F238E27FC236}">
                  <a16:creationId xmlns:a16="http://schemas.microsoft.com/office/drawing/2014/main" id="{D58A3F4F-13AC-4556-9B76-876C44FCAA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83AB152" w14:textId="59F398A4" w:rsidR="00255E80" w:rsidRPr="00702DDD" w:rsidRDefault="00255E80" w:rsidP="00255E80">
      <w:pPr>
        <w:rPr>
          <w:rFonts w:ascii="Times New Roman" w:hAnsi="Times New Roman" w:cs="Times New Roman"/>
          <w:b/>
          <w:highlight w:val="green"/>
        </w:rPr>
      </w:pPr>
      <w:r w:rsidRPr="00702DDD">
        <w:rPr>
          <w:rFonts w:ascii="Times New Roman" w:hAnsi="Times New Roman" w:cs="Times New Roman"/>
          <w:b/>
        </w:rPr>
        <w:t>Figure 2.</w:t>
      </w:r>
      <w:r w:rsidR="00C72EA1">
        <w:rPr>
          <w:rFonts w:ascii="Times New Roman" w:hAnsi="Times New Roman" w:cs="Times New Roman"/>
          <w:b/>
        </w:rPr>
        <w:t>9:</w:t>
      </w:r>
      <w:r w:rsidRPr="00702DDD">
        <w:rPr>
          <w:rFonts w:ascii="Times New Roman" w:hAnsi="Times New Roman" w:cs="Times New Roman"/>
          <w:b/>
        </w:rPr>
        <w:t xml:space="preserve"> 2019 Tennessee Aggregated Employment Effects by ATPI Method</w:t>
      </w:r>
    </w:p>
    <w:p w14:paraId="1EB15355" w14:textId="77777777" w:rsidR="00255E80" w:rsidRPr="00702DDD" w:rsidRDefault="00255E80" w:rsidP="00255E80">
      <w:pPr>
        <w:rPr>
          <w:rFonts w:ascii="Times New Roman" w:hAnsi="Times New Roman" w:cs="Times New Roman"/>
          <w:b/>
        </w:rPr>
      </w:pPr>
    </w:p>
    <w:p w14:paraId="13D6B4BB" w14:textId="77777777" w:rsidR="00255E80" w:rsidRPr="00702DDD" w:rsidRDefault="00255E80" w:rsidP="00255E80">
      <w:pPr>
        <w:rPr>
          <w:rFonts w:ascii="Times New Roman" w:hAnsi="Times New Roman" w:cs="Times New Roman"/>
          <w:b/>
        </w:rPr>
      </w:pPr>
    </w:p>
    <w:p w14:paraId="0C7FC358" w14:textId="77777777" w:rsidR="00E2746C" w:rsidRPr="00702DDD" w:rsidRDefault="00E2746C" w:rsidP="00255E80">
      <w:pPr>
        <w:rPr>
          <w:rFonts w:ascii="Times New Roman" w:hAnsi="Times New Roman" w:cs="Times New Roman"/>
          <w:b/>
        </w:rPr>
      </w:pPr>
    </w:p>
    <w:p w14:paraId="5F7EE296" w14:textId="77777777" w:rsidR="00E2746C" w:rsidRPr="00702DDD" w:rsidRDefault="00E2746C" w:rsidP="00255E80">
      <w:pPr>
        <w:rPr>
          <w:rFonts w:ascii="Times New Roman" w:hAnsi="Times New Roman" w:cs="Times New Roman"/>
          <w:b/>
        </w:rPr>
      </w:pPr>
    </w:p>
    <w:p w14:paraId="194F0BC5" w14:textId="6EA588D2" w:rsidR="00E2746C" w:rsidRPr="00702DDD" w:rsidRDefault="00255E80" w:rsidP="00255E80">
      <w:pPr>
        <w:rPr>
          <w:rFonts w:ascii="Times New Roman" w:hAnsi="Times New Roman" w:cs="Times New Roman"/>
          <w:b/>
          <w:highlight w:val="green"/>
        </w:rPr>
      </w:pPr>
      <w:r w:rsidRPr="00702DDD">
        <w:rPr>
          <w:rFonts w:ascii="Times New Roman" w:hAnsi="Times New Roman" w:cs="Times New Roman"/>
          <w:noProof/>
        </w:rPr>
        <w:drawing>
          <wp:inline distT="0" distB="0" distL="0" distR="0" wp14:anchorId="299D5BA7" wp14:editId="14D1DCA1">
            <wp:extent cx="5715000" cy="3538728"/>
            <wp:effectExtent l="0" t="0" r="0" b="5080"/>
            <wp:docPr id="28" name="Chart 28">
              <a:extLst xmlns:a="http://schemas.openxmlformats.org/drawingml/2006/main">
                <a:ext uri="{FF2B5EF4-FFF2-40B4-BE49-F238E27FC236}">
                  <a16:creationId xmlns:a16="http://schemas.microsoft.com/office/drawing/2014/main" id="{B44B4259-D16E-474C-82B0-0B42FFCB7D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6C6B776" w14:textId="06B57B95" w:rsidR="00255E80" w:rsidRPr="00702DDD" w:rsidRDefault="00255E80" w:rsidP="00255E80">
      <w:pPr>
        <w:rPr>
          <w:rFonts w:ascii="Times New Roman" w:hAnsi="Times New Roman" w:cs="Times New Roman"/>
          <w:b/>
        </w:rPr>
      </w:pPr>
      <w:r w:rsidRPr="00702DDD">
        <w:rPr>
          <w:rFonts w:ascii="Times New Roman" w:hAnsi="Times New Roman" w:cs="Times New Roman"/>
          <w:b/>
        </w:rPr>
        <w:t>Figure 2.1</w:t>
      </w:r>
      <w:r w:rsidR="00C72EA1">
        <w:rPr>
          <w:rFonts w:ascii="Times New Roman" w:hAnsi="Times New Roman" w:cs="Times New Roman"/>
          <w:b/>
        </w:rPr>
        <w:t>0:</w:t>
      </w:r>
      <w:r w:rsidRPr="00702DDD">
        <w:rPr>
          <w:rFonts w:ascii="Times New Roman" w:hAnsi="Times New Roman" w:cs="Times New Roman"/>
          <w:b/>
        </w:rPr>
        <w:t xml:space="preserve"> 2019 Tennessee Aggregated Labor Income Effects by ATPI Method</w:t>
      </w:r>
    </w:p>
    <w:p w14:paraId="0697362D" w14:textId="77777777" w:rsidR="00255E80" w:rsidRPr="00702DDD" w:rsidRDefault="002E7B86" w:rsidP="00255E80">
      <w:pPr>
        <w:rPr>
          <w:rFonts w:ascii="Times New Roman" w:hAnsi="Times New Roman" w:cs="Times New Roman"/>
          <w:b/>
          <w:highlight w:val="green"/>
        </w:rPr>
      </w:pPr>
      <w:r w:rsidRPr="00702DDD">
        <w:rPr>
          <w:rFonts w:ascii="Times New Roman" w:hAnsi="Times New Roman" w:cs="Times New Roman"/>
        </w:rPr>
        <w:br w:type="page"/>
      </w:r>
      <w:r w:rsidR="00255E80" w:rsidRPr="00702DDD">
        <w:rPr>
          <w:rFonts w:ascii="Times New Roman" w:hAnsi="Times New Roman" w:cs="Times New Roman"/>
          <w:noProof/>
        </w:rPr>
        <w:lastRenderedPageBreak/>
        <w:drawing>
          <wp:inline distT="0" distB="0" distL="0" distR="0" wp14:anchorId="7F4EE7E9" wp14:editId="1123CC56">
            <wp:extent cx="5715000" cy="3538728"/>
            <wp:effectExtent l="0" t="0" r="0" b="5080"/>
            <wp:docPr id="67" name="Chart 67">
              <a:extLst xmlns:a="http://schemas.openxmlformats.org/drawingml/2006/main">
                <a:ext uri="{FF2B5EF4-FFF2-40B4-BE49-F238E27FC236}">
                  <a16:creationId xmlns:a16="http://schemas.microsoft.com/office/drawing/2014/main" id="{43CCA7D1-4FBF-4E9E-8E62-56943D60BF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2060C13" w14:textId="62340EB3" w:rsidR="00255E80" w:rsidRPr="00702DDD" w:rsidRDefault="00255E80" w:rsidP="00255E80">
      <w:pPr>
        <w:rPr>
          <w:rFonts w:ascii="Times New Roman" w:hAnsi="Times New Roman" w:cs="Times New Roman"/>
          <w:b/>
          <w:highlight w:val="green"/>
        </w:rPr>
      </w:pPr>
      <w:r w:rsidRPr="00702DDD">
        <w:rPr>
          <w:rFonts w:ascii="Times New Roman" w:hAnsi="Times New Roman" w:cs="Times New Roman"/>
          <w:b/>
        </w:rPr>
        <w:t>Figure 2.1</w:t>
      </w:r>
      <w:r w:rsidR="00C72EA1">
        <w:rPr>
          <w:rFonts w:ascii="Times New Roman" w:hAnsi="Times New Roman" w:cs="Times New Roman"/>
          <w:b/>
        </w:rPr>
        <w:t>1:</w:t>
      </w:r>
      <w:r w:rsidRPr="00702DDD">
        <w:rPr>
          <w:rFonts w:ascii="Times New Roman" w:hAnsi="Times New Roman" w:cs="Times New Roman"/>
          <w:b/>
        </w:rPr>
        <w:t xml:space="preserve"> 2019 Tennessee Aggregated Value-Added Effects by ATPI Method</w:t>
      </w:r>
    </w:p>
    <w:p w14:paraId="6D0A29CA" w14:textId="65EC1C22" w:rsidR="00255E80" w:rsidRPr="00702DDD" w:rsidRDefault="00255E80" w:rsidP="00255E80">
      <w:pPr>
        <w:rPr>
          <w:rFonts w:ascii="Times New Roman" w:hAnsi="Times New Roman" w:cs="Times New Roman"/>
          <w:b/>
        </w:rPr>
      </w:pPr>
    </w:p>
    <w:p w14:paraId="2E002F6D" w14:textId="6EF89515" w:rsidR="00E2746C" w:rsidRPr="00702DDD" w:rsidRDefault="00E2746C" w:rsidP="00255E80">
      <w:pPr>
        <w:rPr>
          <w:rFonts w:ascii="Times New Roman" w:hAnsi="Times New Roman" w:cs="Times New Roman"/>
          <w:b/>
        </w:rPr>
      </w:pPr>
    </w:p>
    <w:p w14:paraId="517C4748" w14:textId="043A5D02" w:rsidR="00E2746C" w:rsidRPr="00702DDD" w:rsidRDefault="00E2746C" w:rsidP="00255E80">
      <w:pPr>
        <w:rPr>
          <w:rFonts w:ascii="Times New Roman" w:hAnsi="Times New Roman" w:cs="Times New Roman"/>
          <w:b/>
        </w:rPr>
      </w:pPr>
    </w:p>
    <w:p w14:paraId="4E0EC6E1" w14:textId="77777777" w:rsidR="00E2746C" w:rsidRPr="00702DDD" w:rsidRDefault="00E2746C" w:rsidP="00255E80">
      <w:pPr>
        <w:rPr>
          <w:rFonts w:ascii="Times New Roman" w:hAnsi="Times New Roman" w:cs="Times New Roman"/>
          <w:b/>
        </w:rPr>
      </w:pPr>
    </w:p>
    <w:p w14:paraId="706B2808" w14:textId="53445134" w:rsidR="00E2746C" w:rsidRPr="00702DDD" w:rsidRDefault="00255E80" w:rsidP="00255E80">
      <w:pPr>
        <w:rPr>
          <w:rFonts w:ascii="Times New Roman" w:hAnsi="Times New Roman" w:cs="Times New Roman"/>
          <w:highlight w:val="green"/>
        </w:rPr>
      </w:pPr>
      <w:r w:rsidRPr="00702DDD">
        <w:rPr>
          <w:rFonts w:ascii="Times New Roman" w:hAnsi="Times New Roman" w:cs="Times New Roman"/>
          <w:noProof/>
        </w:rPr>
        <w:drawing>
          <wp:inline distT="0" distB="0" distL="0" distR="0" wp14:anchorId="2562A7EE" wp14:editId="54D12123">
            <wp:extent cx="5715000" cy="3538728"/>
            <wp:effectExtent l="0" t="0" r="0" b="5080"/>
            <wp:docPr id="31" name="Chart 31">
              <a:extLst xmlns:a="http://schemas.openxmlformats.org/drawingml/2006/main">
                <a:ext uri="{FF2B5EF4-FFF2-40B4-BE49-F238E27FC236}">
                  <a16:creationId xmlns:a16="http://schemas.microsoft.com/office/drawing/2014/main" id="{C3AE3F1F-8A4D-422F-9E15-11A7F84F17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491FDB71" w14:textId="59956EA0" w:rsidR="005C556E" w:rsidRPr="00702DDD" w:rsidRDefault="00255E80" w:rsidP="00255E80">
      <w:pPr>
        <w:rPr>
          <w:rFonts w:ascii="Times New Roman" w:hAnsi="Times New Roman" w:cs="Times New Roman"/>
          <w:b/>
        </w:rPr>
      </w:pPr>
      <w:r w:rsidRPr="00702DDD">
        <w:rPr>
          <w:rFonts w:ascii="Times New Roman" w:hAnsi="Times New Roman" w:cs="Times New Roman"/>
          <w:b/>
        </w:rPr>
        <w:t>Figure 2.1</w:t>
      </w:r>
      <w:r w:rsidR="00C72EA1">
        <w:rPr>
          <w:rFonts w:ascii="Times New Roman" w:hAnsi="Times New Roman" w:cs="Times New Roman"/>
          <w:b/>
        </w:rPr>
        <w:t>2:</w:t>
      </w:r>
      <w:r w:rsidRPr="00702DDD">
        <w:rPr>
          <w:rFonts w:ascii="Times New Roman" w:hAnsi="Times New Roman" w:cs="Times New Roman"/>
          <w:b/>
        </w:rPr>
        <w:t xml:space="preserve"> 2019 Tennessee Aggregated Output Effects by ATPI Method</w:t>
      </w:r>
    </w:p>
    <w:p w14:paraId="5CDCEEF5" w14:textId="77777777" w:rsidR="005C556E" w:rsidRDefault="005C556E">
      <w:pPr>
        <w:spacing w:after="160" w:line="259" w:lineRule="auto"/>
      </w:pPr>
      <w:bookmarkStart w:id="90" w:name="_Toc98693004"/>
      <w:r>
        <w:rPr>
          <w:noProof/>
        </w:rPr>
        <w:lastRenderedPageBreak/>
        <w:drawing>
          <wp:inline distT="0" distB="0" distL="0" distR="0" wp14:anchorId="5CF41976" wp14:editId="521F8639">
            <wp:extent cx="5943600" cy="1664335"/>
            <wp:effectExtent l="0" t="0" r="0" b="0"/>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3600" cy="1664335"/>
                    </a:xfrm>
                    <a:prstGeom prst="rect">
                      <a:avLst/>
                    </a:prstGeom>
                  </pic:spPr>
                </pic:pic>
              </a:graphicData>
            </a:graphic>
          </wp:inline>
        </w:drawing>
      </w:r>
    </w:p>
    <w:p w14:paraId="6F67D661" w14:textId="22DC7E68" w:rsidR="005C556E" w:rsidRDefault="005C556E" w:rsidP="005C556E">
      <w:pPr>
        <w:rPr>
          <w:rFonts w:ascii="Times New Roman" w:hAnsi="Times New Roman" w:cs="Times New Roman"/>
          <w:b/>
        </w:rPr>
      </w:pPr>
      <w:r w:rsidRPr="00702DDD">
        <w:rPr>
          <w:rFonts w:ascii="Times New Roman" w:hAnsi="Times New Roman" w:cs="Times New Roman"/>
          <w:b/>
        </w:rPr>
        <w:t>Figure 2.1</w:t>
      </w:r>
      <w:r w:rsidR="00C72EA1">
        <w:rPr>
          <w:rFonts w:ascii="Times New Roman" w:hAnsi="Times New Roman" w:cs="Times New Roman"/>
          <w:b/>
        </w:rPr>
        <w:t>3:</w:t>
      </w:r>
      <w:r w:rsidRPr="00702DDD">
        <w:rPr>
          <w:rFonts w:ascii="Times New Roman" w:hAnsi="Times New Roman" w:cs="Times New Roman"/>
          <w:b/>
        </w:rPr>
        <w:t xml:space="preserve"> 2019 </w:t>
      </w:r>
      <w:r>
        <w:rPr>
          <w:rFonts w:ascii="Times New Roman" w:hAnsi="Times New Roman" w:cs="Times New Roman"/>
          <w:b/>
        </w:rPr>
        <w:t xml:space="preserve">Tennessee Employment Effects by Region from the MHI ATPI </w:t>
      </w:r>
    </w:p>
    <w:p w14:paraId="190B66FE" w14:textId="657AD425" w:rsidR="005C556E" w:rsidRDefault="005C556E" w:rsidP="005C556E">
      <w:pPr>
        <w:rPr>
          <w:rFonts w:ascii="Times New Roman" w:hAnsi="Times New Roman" w:cs="Times New Roman"/>
          <w:b/>
        </w:rPr>
      </w:pPr>
    </w:p>
    <w:p w14:paraId="34298049" w14:textId="372B3920" w:rsidR="005C556E" w:rsidRDefault="005C556E" w:rsidP="005C556E">
      <w:pPr>
        <w:rPr>
          <w:rFonts w:ascii="Times New Roman" w:hAnsi="Times New Roman" w:cs="Times New Roman"/>
          <w:b/>
        </w:rPr>
      </w:pPr>
    </w:p>
    <w:p w14:paraId="103B5AD8" w14:textId="2B040DF8" w:rsidR="005C556E" w:rsidRDefault="005C556E" w:rsidP="005C556E">
      <w:pPr>
        <w:rPr>
          <w:rFonts w:ascii="Times New Roman" w:hAnsi="Times New Roman" w:cs="Times New Roman"/>
          <w:b/>
        </w:rPr>
      </w:pPr>
    </w:p>
    <w:p w14:paraId="5598BF68" w14:textId="3523022E" w:rsidR="005C556E" w:rsidRDefault="005C556E" w:rsidP="005C556E">
      <w:pPr>
        <w:rPr>
          <w:rFonts w:ascii="Times New Roman" w:hAnsi="Times New Roman" w:cs="Times New Roman"/>
          <w:b/>
        </w:rPr>
      </w:pPr>
    </w:p>
    <w:p w14:paraId="1B1770AF" w14:textId="77777777" w:rsidR="005C556E" w:rsidRPr="00702DDD" w:rsidRDefault="005C556E" w:rsidP="005C556E">
      <w:pPr>
        <w:rPr>
          <w:rFonts w:ascii="Times New Roman" w:hAnsi="Times New Roman" w:cs="Times New Roman"/>
          <w:b/>
        </w:rPr>
      </w:pPr>
    </w:p>
    <w:p w14:paraId="2B302223" w14:textId="77777777" w:rsidR="005C556E" w:rsidRDefault="005C556E">
      <w:pPr>
        <w:spacing w:after="160" w:line="259" w:lineRule="auto"/>
      </w:pPr>
      <w:r>
        <w:rPr>
          <w:noProof/>
        </w:rPr>
        <w:drawing>
          <wp:inline distT="0" distB="0" distL="0" distR="0" wp14:anchorId="3A9588F0" wp14:editId="47782728">
            <wp:extent cx="5943600" cy="1672590"/>
            <wp:effectExtent l="0" t="0" r="0" b="3810"/>
            <wp:docPr id="3"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3600" cy="1672590"/>
                    </a:xfrm>
                    <a:prstGeom prst="rect">
                      <a:avLst/>
                    </a:prstGeom>
                  </pic:spPr>
                </pic:pic>
              </a:graphicData>
            </a:graphic>
          </wp:inline>
        </w:drawing>
      </w:r>
    </w:p>
    <w:p w14:paraId="6F746B67" w14:textId="5BA9CFD3" w:rsidR="005C556E" w:rsidRDefault="005C556E" w:rsidP="005C556E">
      <w:pPr>
        <w:rPr>
          <w:rFonts w:ascii="Times New Roman" w:hAnsi="Times New Roman" w:cs="Times New Roman"/>
          <w:b/>
        </w:rPr>
      </w:pPr>
      <w:r w:rsidRPr="00702DDD">
        <w:rPr>
          <w:rFonts w:ascii="Times New Roman" w:hAnsi="Times New Roman" w:cs="Times New Roman"/>
          <w:b/>
        </w:rPr>
        <w:t>Figure 2.</w:t>
      </w:r>
      <w:r w:rsidR="00C72EA1">
        <w:rPr>
          <w:rFonts w:ascii="Times New Roman" w:hAnsi="Times New Roman" w:cs="Times New Roman"/>
          <w:b/>
        </w:rPr>
        <w:t>14:</w:t>
      </w:r>
      <w:r w:rsidRPr="00702DDD">
        <w:rPr>
          <w:rFonts w:ascii="Times New Roman" w:hAnsi="Times New Roman" w:cs="Times New Roman"/>
          <w:b/>
        </w:rPr>
        <w:t xml:space="preserve"> 2019 Tennessee </w:t>
      </w:r>
      <w:r>
        <w:rPr>
          <w:rFonts w:ascii="Times New Roman" w:hAnsi="Times New Roman" w:cs="Times New Roman"/>
          <w:b/>
        </w:rPr>
        <w:t>Employment Effects by Region from the Simple Average ATPI</w:t>
      </w:r>
    </w:p>
    <w:p w14:paraId="72EE4252" w14:textId="6C22CC1E" w:rsidR="005C556E" w:rsidRDefault="005C556E" w:rsidP="005C556E">
      <w:pPr>
        <w:rPr>
          <w:rFonts w:ascii="Times New Roman" w:hAnsi="Times New Roman" w:cs="Times New Roman"/>
          <w:b/>
        </w:rPr>
      </w:pPr>
    </w:p>
    <w:p w14:paraId="0DFD95C9" w14:textId="5467EF4C" w:rsidR="005C556E" w:rsidRDefault="005C556E" w:rsidP="005C556E">
      <w:pPr>
        <w:rPr>
          <w:rFonts w:ascii="Times New Roman" w:hAnsi="Times New Roman" w:cs="Times New Roman"/>
          <w:b/>
        </w:rPr>
      </w:pPr>
    </w:p>
    <w:p w14:paraId="3254280D" w14:textId="5FF3CA3A" w:rsidR="005C556E" w:rsidRDefault="005C556E" w:rsidP="005C556E">
      <w:pPr>
        <w:rPr>
          <w:rFonts w:ascii="Times New Roman" w:hAnsi="Times New Roman" w:cs="Times New Roman"/>
          <w:b/>
        </w:rPr>
      </w:pPr>
    </w:p>
    <w:p w14:paraId="26A1FDEC" w14:textId="2F96FAF6" w:rsidR="005C556E" w:rsidRDefault="005C556E" w:rsidP="005C556E">
      <w:pPr>
        <w:rPr>
          <w:rFonts w:ascii="Times New Roman" w:hAnsi="Times New Roman" w:cs="Times New Roman"/>
          <w:b/>
        </w:rPr>
      </w:pPr>
    </w:p>
    <w:p w14:paraId="4E2679FF" w14:textId="77777777" w:rsidR="005C556E" w:rsidRDefault="005C556E" w:rsidP="005C556E">
      <w:pPr>
        <w:rPr>
          <w:rFonts w:ascii="Times New Roman" w:hAnsi="Times New Roman" w:cs="Times New Roman"/>
          <w:b/>
        </w:rPr>
      </w:pPr>
    </w:p>
    <w:p w14:paraId="1F6BA9BA" w14:textId="669A263F" w:rsidR="005C556E" w:rsidRDefault="005C556E" w:rsidP="005C556E">
      <w:pPr>
        <w:rPr>
          <w:rFonts w:ascii="Times New Roman" w:hAnsi="Times New Roman" w:cs="Times New Roman"/>
          <w:b/>
        </w:rPr>
      </w:pPr>
      <w:r>
        <w:rPr>
          <w:rFonts w:ascii="Times New Roman" w:hAnsi="Times New Roman" w:cs="Times New Roman"/>
          <w:b/>
          <w:noProof/>
        </w:rPr>
        <w:drawing>
          <wp:inline distT="0" distB="0" distL="0" distR="0" wp14:anchorId="2841F700" wp14:editId="7AD8FE86">
            <wp:extent cx="5943600" cy="1681480"/>
            <wp:effectExtent l="0" t="0" r="0" b="0"/>
            <wp:docPr id="4" name="Picture 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3600" cy="1681480"/>
                    </a:xfrm>
                    <a:prstGeom prst="rect">
                      <a:avLst/>
                    </a:prstGeom>
                  </pic:spPr>
                </pic:pic>
              </a:graphicData>
            </a:graphic>
          </wp:inline>
        </w:drawing>
      </w:r>
    </w:p>
    <w:p w14:paraId="392F4342" w14:textId="76DE913B" w:rsidR="005C556E" w:rsidRDefault="005C556E" w:rsidP="005C556E">
      <w:pPr>
        <w:rPr>
          <w:rFonts w:ascii="Times New Roman" w:hAnsi="Times New Roman" w:cs="Times New Roman"/>
          <w:b/>
        </w:rPr>
      </w:pPr>
      <w:r w:rsidRPr="00702DDD">
        <w:rPr>
          <w:rFonts w:ascii="Times New Roman" w:hAnsi="Times New Roman" w:cs="Times New Roman"/>
          <w:b/>
        </w:rPr>
        <w:t>Figure 2.</w:t>
      </w:r>
      <w:r w:rsidR="00C72EA1">
        <w:rPr>
          <w:rFonts w:ascii="Times New Roman" w:hAnsi="Times New Roman" w:cs="Times New Roman"/>
          <w:b/>
        </w:rPr>
        <w:t>15:</w:t>
      </w:r>
      <w:r w:rsidRPr="00702DDD">
        <w:rPr>
          <w:rFonts w:ascii="Times New Roman" w:hAnsi="Times New Roman" w:cs="Times New Roman"/>
          <w:b/>
        </w:rPr>
        <w:t xml:space="preserve"> 2019 Tennessee </w:t>
      </w:r>
      <w:r>
        <w:rPr>
          <w:rFonts w:ascii="Times New Roman" w:hAnsi="Times New Roman" w:cs="Times New Roman"/>
          <w:b/>
        </w:rPr>
        <w:t>Employment Effects by Region from the Negative Scaled Average ATPI</w:t>
      </w:r>
    </w:p>
    <w:p w14:paraId="42BA289C" w14:textId="77777777" w:rsidR="005C556E" w:rsidRDefault="005C556E" w:rsidP="005C556E">
      <w:pPr>
        <w:rPr>
          <w:rFonts w:ascii="Times New Roman" w:hAnsi="Times New Roman" w:cs="Times New Roman"/>
          <w:b/>
        </w:rPr>
      </w:pPr>
    </w:p>
    <w:p w14:paraId="097D9CF0" w14:textId="77777777" w:rsidR="005C556E" w:rsidRDefault="005C556E" w:rsidP="005C556E">
      <w:pPr>
        <w:rPr>
          <w:rFonts w:ascii="Times New Roman" w:hAnsi="Times New Roman" w:cs="Times New Roman"/>
          <w:b/>
        </w:rPr>
      </w:pPr>
    </w:p>
    <w:p w14:paraId="11EDE819" w14:textId="6693DE0F" w:rsidR="005C556E" w:rsidRDefault="005C556E" w:rsidP="005C556E">
      <w:pPr>
        <w:rPr>
          <w:rFonts w:ascii="Times New Roman" w:hAnsi="Times New Roman" w:cs="Times New Roman"/>
          <w:b/>
        </w:rPr>
      </w:pPr>
      <w:r>
        <w:rPr>
          <w:rFonts w:ascii="Times New Roman" w:hAnsi="Times New Roman" w:cs="Times New Roman"/>
          <w:b/>
          <w:noProof/>
        </w:rPr>
        <w:drawing>
          <wp:inline distT="0" distB="0" distL="0" distR="0" wp14:anchorId="51BAD910" wp14:editId="6322A70B">
            <wp:extent cx="5943600" cy="1671320"/>
            <wp:effectExtent l="0" t="0" r="0" b="5080"/>
            <wp:docPr id="5" name="Picture 5" descr="Ma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ap&#10;&#10;Description automatically generated with medium confidenc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3600" cy="1671320"/>
                    </a:xfrm>
                    <a:prstGeom prst="rect">
                      <a:avLst/>
                    </a:prstGeom>
                  </pic:spPr>
                </pic:pic>
              </a:graphicData>
            </a:graphic>
          </wp:inline>
        </w:drawing>
      </w:r>
    </w:p>
    <w:p w14:paraId="66A3282B" w14:textId="054990A7" w:rsidR="005C556E" w:rsidRDefault="005C556E" w:rsidP="005C556E">
      <w:pPr>
        <w:rPr>
          <w:rFonts w:ascii="Times New Roman" w:hAnsi="Times New Roman" w:cs="Times New Roman"/>
          <w:b/>
        </w:rPr>
      </w:pPr>
      <w:r w:rsidRPr="00702DDD">
        <w:rPr>
          <w:rFonts w:ascii="Times New Roman" w:hAnsi="Times New Roman" w:cs="Times New Roman"/>
          <w:b/>
        </w:rPr>
        <w:t>Figure 2.</w:t>
      </w:r>
      <w:r w:rsidR="00C72EA1">
        <w:rPr>
          <w:rFonts w:ascii="Times New Roman" w:hAnsi="Times New Roman" w:cs="Times New Roman"/>
          <w:b/>
        </w:rPr>
        <w:t>16:</w:t>
      </w:r>
      <w:r w:rsidRPr="00702DDD">
        <w:rPr>
          <w:rFonts w:ascii="Times New Roman" w:hAnsi="Times New Roman" w:cs="Times New Roman"/>
          <w:b/>
        </w:rPr>
        <w:t xml:space="preserve"> 2019 Tennessee </w:t>
      </w:r>
      <w:r>
        <w:rPr>
          <w:rFonts w:ascii="Times New Roman" w:hAnsi="Times New Roman" w:cs="Times New Roman"/>
          <w:b/>
        </w:rPr>
        <w:t>Labor Income Effects by Region from the MHI ATPI</w:t>
      </w:r>
    </w:p>
    <w:p w14:paraId="6CF54E20" w14:textId="6D718E5E" w:rsidR="005C556E" w:rsidRDefault="005C556E">
      <w:pPr>
        <w:spacing w:after="160" w:line="259" w:lineRule="auto"/>
        <w:rPr>
          <w:rFonts w:ascii="Times New Roman" w:hAnsi="Times New Roman" w:cs="Times New Roman"/>
          <w:b/>
          <w:caps/>
          <w:color w:val="000000" w:themeColor="text1"/>
        </w:rPr>
      </w:pPr>
    </w:p>
    <w:p w14:paraId="386F91C1" w14:textId="2B375848" w:rsidR="005C556E" w:rsidRDefault="005C556E">
      <w:pPr>
        <w:spacing w:after="160" w:line="259" w:lineRule="auto"/>
        <w:rPr>
          <w:rFonts w:ascii="Times New Roman" w:hAnsi="Times New Roman" w:cs="Times New Roman"/>
          <w:b/>
          <w:caps/>
          <w:color w:val="000000" w:themeColor="text1"/>
        </w:rPr>
      </w:pPr>
    </w:p>
    <w:p w14:paraId="05427A5B" w14:textId="625CB160" w:rsidR="005C556E" w:rsidRDefault="005C556E">
      <w:pPr>
        <w:spacing w:after="160" w:line="259" w:lineRule="auto"/>
        <w:rPr>
          <w:rFonts w:ascii="Times New Roman" w:hAnsi="Times New Roman" w:cs="Times New Roman"/>
          <w:b/>
          <w:caps/>
          <w:color w:val="000000" w:themeColor="text1"/>
        </w:rPr>
      </w:pPr>
    </w:p>
    <w:p w14:paraId="190D922F" w14:textId="38ADD48A" w:rsidR="005C556E" w:rsidRDefault="005C556E">
      <w:pPr>
        <w:spacing w:after="160" w:line="259" w:lineRule="auto"/>
        <w:rPr>
          <w:rFonts w:ascii="Times New Roman" w:hAnsi="Times New Roman" w:cs="Times New Roman"/>
          <w:b/>
          <w:caps/>
          <w:color w:val="000000" w:themeColor="text1"/>
        </w:rPr>
      </w:pPr>
    </w:p>
    <w:p w14:paraId="7FBF8633" w14:textId="363F519A" w:rsidR="005C556E" w:rsidRDefault="005C556E">
      <w:pPr>
        <w:spacing w:after="160" w:line="259" w:lineRule="auto"/>
        <w:rPr>
          <w:rFonts w:ascii="Times New Roman" w:hAnsi="Times New Roman" w:cs="Times New Roman"/>
          <w:b/>
          <w:caps/>
          <w:color w:val="000000" w:themeColor="text1"/>
        </w:rPr>
      </w:pPr>
      <w:r>
        <w:rPr>
          <w:rFonts w:ascii="Times New Roman" w:hAnsi="Times New Roman" w:cs="Times New Roman"/>
          <w:b/>
          <w:caps/>
          <w:noProof/>
          <w:color w:val="000000" w:themeColor="text1"/>
        </w:rPr>
        <w:drawing>
          <wp:inline distT="0" distB="0" distL="0" distR="0" wp14:anchorId="068F3FCD" wp14:editId="23B6C8BA">
            <wp:extent cx="5943600" cy="1690370"/>
            <wp:effectExtent l="0" t="0" r="0" b="0"/>
            <wp:docPr id="6" name="Picture 6" descr="Diagram, ma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 map&#10;&#10;Description automatically generated with medium confidenc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43600" cy="1690370"/>
                    </a:xfrm>
                    <a:prstGeom prst="rect">
                      <a:avLst/>
                    </a:prstGeom>
                  </pic:spPr>
                </pic:pic>
              </a:graphicData>
            </a:graphic>
          </wp:inline>
        </w:drawing>
      </w:r>
    </w:p>
    <w:p w14:paraId="4C9B7AE9" w14:textId="4C2C166C" w:rsidR="005C556E" w:rsidRDefault="005C556E" w:rsidP="005C556E">
      <w:pPr>
        <w:rPr>
          <w:rFonts w:ascii="Times New Roman" w:hAnsi="Times New Roman" w:cs="Times New Roman"/>
          <w:b/>
        </w:rPr>
      </w:pPr>
      <w:r w:rsidRPr="00702DDD">
        <w:rPr>
          <w:rFonts w:ascii="Times New Roman" w:hAnsi="Times New Roman" w:cs="Times New Roman"/>
          <w:b/>
        </w:rPr>
        <w:t>Figure 2.</w:t>
      </w:r>
      <w:r w:rsidR="00C72EA1">
        <w:rPr>
          <w:rFonts w:ascii="Times New Roman" w:hAnsi="Times New Roman" w:cs="Times New Roman"/>
          <w:b/>
        </w:rPr>
        <w:t>17:</w:t>
      </w:r>
      <w:r w:rsidRPr="00702DDD">
        <w:rPr>
          <w:rFonts w:ascii="Times New Roman" w:hAnsi="Times New Roman" w:cs="Times New Roman"/>
          <w:b/>
        </w:rPr>
        <w:t xml:space="preserve"> 2019 Tennessee </w:t>
      </w:r>
      <w:r>
        <w:rPr>
          <w:rFonts w:ascii="Times New Roman" w:hAnsi="Times New Roman" w:cs="Times New Roman"/>
          <w:b/>
        </w:rPr>
        <w:t>Labor Income Effects by Region from the Simple Average ATPI</w:t>
      </w:r>
    </w:p>
    <w:p w14:paraId="50DF475C" w14:textId="2BA2AEDA" w:rsidR="005C556E" w:rsidRDefault="005C556E" w:rsidP="005C556E">
      <w:pPr>
        <w:rPr>
          <w:rFonts w:ascii="Times New Roman" w:hAnsi="Times New Roman" w:cs="Times New Roman"/>
          <w:b/>
        </w:rPr>
      </w:pPr>
    </w:p>
    <w:p w14:paraId="1B1AA1DC" w14:textId="67C04565" w:rsidR="005C556E" w:rsidRDefault="005C556E" w:rsidP="005C556E">
      <w:pPr>
        <w:rPr>
          <w:rFonts w:ascii="Times New Roman" w:hAnsi="Times New Roman" w:cs="Times New Roman"/>
          <w:b/>
        </w:rPr>
      </w:pPr>
    </w:p>
    <w:p w14:paraId="563310AD" w14:textId="0013A6A7" w:rsidR="005C556E" w:rsidRDefault="005C556E" w:rsidP="005C556E">
      <w:pPr>
        <w:rPr>
          <w:rFonts w:ascii="Times New Roman" w:hAnsi="Times New Roman" w:cs="Times New Roman"/>
          <w:b/>
        </w:rPr>
      </w:pPr>
    </w:p>
    <w:p w14:paraId="0CECF411" w14:textId="795BE7C5" w:rsidR="005C556E" w:rsidRDefault="005C556E" w:rsidP="005C556E">
      <w:pPr>
        <w:rPr>
          <w:rFonts w:ascii="Times New Roman" w:hAnsi="Times New Roman" w:cs="Times New Roman"/>
          <w:b/>
        </w:rPr>
      </w:pPr>
    </w:p>
    <w:p w14:paraId="55D775E2" w14:textId="26783276" w:rsidR="005C556E" w:rsidRDefault="005C556E" w:rsidP="005C556E">
      <w:pPr>
        <w:rPr>
          <w:rFonts w:ascii="Times New Roman" w:hAnsi="Times New Roman" w:cs="Times New Roman"/>
          <w:b/>
        </w:rPr>
      </w:pPr>
      <w:r>
        <w:rPr>
          <w:rFonts w:ascii="Times New Roman" w:hAnsi="Times New Roman" w:cs="Times New Roman"/>
          <w:b/>
          <w:noProof/>
        </w:rPr>
        <w:drawing>
          <wp:inline distT="0" distB="0" distL="0" distR="0" wp14:anchorId="43EEF298" wp14:editId="234B9AA3">
            <wp:extent cx="5943600" cy="1681480"/>
            <wp:effectExtent l="0" t="0" r="0" b="0"/>
            <wp:docPr id="7" name="Picture 7" descr="Ma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Map&#10;&#10;Description automatically generated with medium confidenc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3600" cy="1681480"/>
                    </a:xfrm>
                    <a:prstGeom prst="rect">
                      <a:avLst/>
                    </a:prstGeom>
                  </pic:spPr>
                </pic:pic>
              </a:graphicData>
            </a:graphic>
          </wp:inline>
        </w:drawing>
      </w:r>
    </w:p>
    <w:p w14:paraId="25327917" w14:textId="0B2037D9" w:rsidR="005C556E" w:rsidRDefault="005C556E" w:rsidP="005C556E">
      <w:pPr>
        <w:rPr>
          <w:rFonts w:ascii="Times New Roman" w:hAnsi="Times New Roman" w:cs="Times New Roman"/>
          <w:b/>
        </w:rPr>
      </w:pPr>
      <w:r w:rsidRPr="00702DDD">
        <w:rPr>
          <w:rFonts w:ascii="Times New Roman" w:hAnsi="Times New Roman" w:cs="Times New Roman"/>
          <w:b/>
        </w:rPr>
        <w:t>Figure 2.</w:t>
      </w:r>
      <w:r w:rsidR="00C72EA1">
        <w:rPr>
          <w:rFonts w:ascii="Times New Roman" w:hAnsi="Times New Roman" w:cs="Times New Roman"/>
          <w:b/>
        </w:rPr>
        <w:t>18:</w:t>
      </w:r>
      <w:r w:rsidRPr="00702DDD">
        <w:rPr>
          <w:rFonts w:ascii="Times New Roman" w:hAnsi="Times New Roman" w:cs="Times New Roman"/>
          <w:b/>
        </w:rPr>
        <w:t xml:space="preserve"> 2019 Tennessee </w:t>
      </w:r>
      <w:r>
        <w:rPr>
          <w:rFonts w:ascii="Times New Roman" w:hAnsi="Times New Roman" w:cs="Times New Roman"/>
          <w:b/>
        </w:rPr>
        <w:t>Labor Income Effects by Region from the Negative Scaled Average ATPI</w:t>
      </w:r>
    </w:p>
    <w:p w14:paraId="6C34AB23" w14:textId="77777777" w:rsidR="005C556E" w:rsidRDefault="005C556E" w:rsidP="005C556E">
      <w:pPr>
        <w:rPr>
          <w:rFonts w:ascii="Times New Roman" w:hAnsi="Times New Roman" w:cs="Times New Roman"/>
          <w:b/>
        </w:rPr>
      </w:pPr>
    </w:p>
    <w:p w14:paraId="3ABACEF7" w14:textId="6A509C77" w:rsidR="005C556E" w:rsidRDefault="005C556E" w:rsidP="005C556E">
      <w:pPr>
        <w:rPr>
          <w:rFonts w:ascii="Times New Roman" w:hAnsi="Times New Roman" w:cs="Times New Roman"/>
          <w:b/>
        </w:rPr>
      </w:pPr>
    </w:p>
    <w:p w14:paraId="0D571EEB" w14:textId="0A62ACED" w:rsidR="005C556E" w:rsidRDefault="005C556E" w:rsidP="005C556E">
      <w:pPr>
        <w:rPr>
          <w:rFonts w:ascii="Times New Roman" w:hAnsi="Times New Roman" w:cs="Times New Roman"/>
          <w:b/>
        </w:rPr>
      </w:pPr>
      <w:r>
        <w:rPr>
          <w:rFonts w:ascii="Times New Roman" w:hAnsi="Times New Roman" w:cs="Times New Roman"/>
          <w:b/>
          <w:noProof/>
        </w:rPr>
        <w:drawing>
          <wp:inline distT="0" distB="0" distL="0" distR="0" wp14:anchorId="0690A916" wp14:editId="052E3C2F">
            <wp:extent cx="5943600" cy="1698625"/>
            <wp:effectExtent l="0" t="0" r="0" b="3175"/>
            <wp:docPr id="17" name="Picture 1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Map&#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43600" cy="1698625"/>
                    </a:xfrm>
                    <a:prstGeom prst="rect">
                      <a:avLst/>
                    </a:prstGeom>
                  </pic:spPr>
                </pic:pic>
              </a:graphicData>
            </a:graphic>
          </wp:inline>
        </w:drawing>
      </w:r>
    </w:p>
    <w:p w14:paraId="08EB7A95" w14:textId="3E8AAF10" w:rsidR="005C556E" w:rsidRDefault="005C556E" w:rsidP="005C556E">
      <w:pPr>
        <w:rPr>
          <w:rFonts w:ascii="Times New Roman" w:hAnsi="Times New Roman" w:cs="Times New Roman"/>
          <w:b/>
        </w:rPr>
      </w:pPr>
      <w:r w:rsidRPr="00702DDD">
        <w:rPr>
          <w:rFonts w:ascii="Times New Roman" w:hAnsi="Times New Roman" w:cs="Times New Roman"/>
          <w:b/>
        </w:rPr>
        <w:t>Figure 2.</w:t>
      </w:r>
      <w:r w:rsidR="00C72EA1">
        <w:rPr>
          <w:rFonts w:ascii="Times New Roman" w:hAnsi="Times New Roman" w:cs="Times New Roman"/>
          <w:b/>
        </w:rPr>
        <w:t>19:</w:t>
      </w:r>
      <w:r w:rsidRPr="00702DDD">
        <w:rPr>
          <w:rFonts w:ascii="Times New Roman" w:hAnsi="Times New Roman" w:cs="Times New Roman"/>
          <w:b/>
        </w:rPr>
        <w:t xml:space="preserve"> 2019 Tennessee </w:t>
      </w:r>
      <w:r>
        <w:rPr>
          <w:rFonts w:ascii="Times New Roman" w:hAnsi="Times New Roman" w:cs="Times New Roman"/>
          <w:b/>
        </w:rPr>
        <w:t>Value Added Effects by Region from the MHI ATPI</w:t>
      </w:r>
    </w:p>
    <w:p w14:paraId="44A748F6" w14:textId="77777777" w:rsidR="005C556E" w:rsidRDefault="005C556E" w:rsidP="005C556E">
      <w:pPr>
        <w:rPr>
          <w:rFonts w:ascii="Times New Roman" w:hAnsi="Times New Roman" w:cs="Times New Roman"/>
          <w:b/>
        </w:rPr>
      </w:pPr>
    </w:p>
    <w:p w14:paraId="7CF8E3FC" w14:textId="7B324C9C" w:rsidR="005C556E" w:rsidRDefault="005C556E" w:rsidP="005C556E">
      <w:pPr>
        <w:rPr>
          <w:rFonts w:ascii="Times New Roman" w:hAnsi="Times New Roman" w:cs="Times New Roman"/>
          <w:b/>
        </w:rPr>
      </w:pPr>
    </w:p>
    <w:p w14:paraId="53B1F6BB" w14:textId="77777777" w:rsidR="005C556E" w:rsidRDefault="005C556E" w:rsidP="005C556E">
      <w:pPr>
        <w:rPr>
          <w:rFonts w:ascii="Times New Roman" w:hAnsi="Times New Roman" w:cs="Times New Roman"/>
          <w:b/>
        </w:rPr>
      </w:pPr>
    </w:p>
    <w:p w14:paraId="3DF8B2AD" w14:textId="09F303CC" w:rsidR="005C556E" w:rsidRDefault="005C556E" w:rsidP="005C556E">
      <w:pPr>
        <w:rPr>
          <w:rFonts w:ascii="Times New Roman" w:hAnsi="Times New Roman" w:cs="Times New Roman"/>
          <w:b/>
        </w:rPr>
      </w:pPr>
    </w:p>
    <w:p w14:paraId="4AE560B5" w14:textId="77777777" w:rsidR="005C556E" w:rsidRDefault="005C556E" w:rsidP="005C556E">
      <w:pPr>
        <w:rPr>
          <w:rFonts w:ascii="Times New Roman" w:hAnsi="Times New Roman" w:cs="Times New Roman"/>
          <w:b/>
        </w:rPr>
      </w:pPr>
    </w:p>
    <w:p w14:paraId="318F6CD4" w14:textId="4BAF4C9C" w:rsidR="005C556E" w:rsidRDefault="005C556E" w:rsidP="005C556E">
      <w:pPr>
        <w:rPr>
          <w:rFonts w:ascii="Times New Roman" w:hAnsi="Times New Roman" w:cs="Times New Roman"/>
          <w:b/>
        </w:rPr>
      </w:pPr>
      <w:r>
        <w:rPr>
          <w:rFonts w:ascii="Times New Roman" w:hAnsi="Times New Roman" w:cs="Times New Roman"/>
          <w:b/>
          <w:noProof/>
        </w:rPr>
        <w:drawing>
          <wp:inline distT="0" distB="0" distL="0" distR="0" wp14:anchorId="1F1AE5F3" wp14:editId="647E21DA">
            <wp:extent cx="5943600" cy="1698625"/>
            <wp:effectExtent l="0" t="0" r="0" b="3175"/>
            <wp:docPr id="16" name="Picture 1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Map&#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43600" cy="1698625"/>
                    </a:xfrm>
                    <a:prstGeom prst="rect">
                      <a:avLst/>
                    </a:prstGeom>
                  </pic:spPr>
                </pic:pic>
              </a:graphicData>
            </a:graphic>
          </wp:inline>
        </w:drawing>
      </w:r>
    </w:p>
    <w:p w14:paraId="37B1367B" w14:textId="1AE70BF2" w:rsidR="005C556E" w:rsidRDefault="005C556E" w:rsidP="005C556E">
      <w:pPr>
        <w:rPr>
          <w:rFonts w:ascii="Times New Roman" w:hAnsi="Times New Roman" w:cs="Times New Roman"/>
          <w:b/>
        </w:rPr>
      </w:pPr>
      <w:r w:rsidRPr="00702DDD">
        <w:rPr>
          <w:rFonts w:ascii="Times New Roman" w:hAnsi="Times New Roman" w:cs="Times New Roman"/>
          <w:b/>
        </w:rPr>
        <w:t>Figure 2.</w:t>
      </w:r>
      <w:r>
        <w:rPr>
          <w:rFonts w:ascii="Times New Roman" w:hAnsi="Times New Roman" w:cs="Times New Roman"/>
          <w:b/>
        </w:rPr>
        <w:t>2</w:t>
      </w:r>
      <w:r w:rsidR="00C72EA1">
        <w:rPr>
          <w:rFonts w:ascii="Times New Roman" w:hAnsi="Times New Roman" w:cs="Times New Roman"/>
          <w:b/>
        </w:rPr>
        <w:t>0:</w:t>
      </w:r>
      <w:r w:rsidRPr="00702DDD">
        <w:rPr>
          <w:rFonts w:ascii="Times New Roman" w:hAnsi="Times New Roman" w:cs="Times New Roman"/>
          <w:b/>
        </w:rPr>
        <w:t xml:space="preserve"> 2019 Tennessee </w:t>
      </w:r>
      <w:r>
        <w:rPr>
          <w:rFonts w:ascii="Times New Roman" w:hAnsi="Times New Roman" w:cs="Times New Roman"/>
          <w:b/>
        </w:rPr>
        <w:t>Value Added Effects by Region from the Simple Average ATPI</w:t>
      </w:r>
    </w:p>
    <w:p w14:paraId="2C4FBCA3" w14:textId="57F76CD5" w:rsidR="005C556E" w:rsidRDefault="005C556E" w:rsidP="005C556E">
      <w:pPr>
        <w:rPr>
          <w:rFonts w:ascii="Times New Roman" w:hAnsi="Times New Roman" w:cs="Times New Roman"/>
          <w:b/>
        </w:rPr>
      </w:pPr>
    </w:p>
    <w:p w14:paraId="4A1704AA" w14:textId="701ACD10" w:rsidR="005C556E" w:rsidRDefault="005C556E" w:rsidP="005C556E">
      <w:pPr>
        <w:rPr>
          <w:rFonts w:ascii="Times New Roman" w:hAnsi="Times New Roman" w:cs="Times New Roman"/>
          <w:b/>
        </w:rPr>
      </w:pPr>
    </w:p>
    <w:p w14:paraId="362A461B" w14:textId="77777777" w:rsidR="005C556E" w:rsidRDefault="005C556E">
      <w:pPr>
        <w:spacing w:after="160" w:line="259" w:lineRule="auto"/>
        <w:rPr>
          <w:rFonts w:ascii="Times New Roman" w:hAnsi="Times New Roman" w:cs="Times New Roman"/>
          <w:b/>
          <w:caps/>
          <w:color w:val="000000" w:themeColor="text1"/>
        </w:rPr>
      </w:pPr>
    </w:p>
    <w:p w14:paraId="0B5A1207" w14:textId="574912D3" w:rsidR="005C556E" w:rsidRDefault="005C556E" w:rsidP="000654A5">
      <w:pPr>
        <w:pStyle w:val="AltHeading1"/>
      </w:pPr>
      <w:r>
        <w:rPr>
          <w:noProof/>
        </w:rPr>
        <w:drawing>
          <wp:inline distT="0" distB="0" distL="0" distR="0" wp14:anchorId="29640CD5" wp14:editId="45D42681">
            <wp:extent cx="5943600" cy="1706245"/>
            <wp:effectExtent l="0" t="0" r="0" b="0"/>
            <wp:docPr id="18" name="Picture 1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Map&#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3600" cy="1706245"/>
                    </a:xfrm>
                    <a:prstGeom prst="rect">
                      <a:avLst/>
                    </a:prstGeom>
                  </pic:spPr>
                </pic:pic>
              </a:graphicData>
            </a:graphic>
          </wp:inline>
        </w:drawing>
      </w:r>
    </w:p>
    <w:p w14:paraId="52AAE53D" w14:textId="01D4734A" w:rsidR="005C556E" w:rsidRDefault="005C556E" w:rsidP="005C556E">
      <w:pPr>
        <w:rPr>
          <w:rFonts w:ascii="Times New Roman" w:hAnsi="Times New Roman" w:cs="Times New Roman"/>
          <w:b/>
        </w:rPr>
      </w:pPr>
      <w:r w:rsidRPr="00702DDD">
        <w:rPr>
          <w:rFonts w:ascii="Times New Roman" w:hAnsi="Times New Roman" w:cs="Times New Roman"/>
          <w:b/>
        </w:rPr>
        <w:t>Figure 2.</w:t>
      </w:r>
      <w:r>
        <w:rPr>
          <w:rFonts w:ascii="Times New Roman" w:hAnsi="Times New Roman" w:cs="Times New Roman"/>
          <w:b/>
        </w:rPr>
        <w:t>2</w:t>
      </w:r>
      <w:r w:rsidR="00C72EA1">
        <w:rPr>
          <w:rFonts w:ascii="Times New Roman" w:hAnsi="Times New Roman" w:cs="Times New Roman"/>
          <w:b/>
        </w:rPr>
        <w:t>1:</w:t>
      </w:r>
      <w:r w:rsidRPr="00702DDD">
        <w:rPr>
          <w:rFonts w:ascii="Times New Roman" w:hAnsi="Times New Roman" w:cs="Times New Roman"/>
          <w:b/>
        </w:rPr>
        <w:t xml:space="preserve"> 2019 Tennessee </w:t>
      </w:r>
      <w:r>
        <w:rPr>
          <w:rFonts w:ascii="Times New Roman" w:hAnsi="Times New Roman" w:cs="Times New Roman"/>
          <w:b/>
        </w:rPr>
        <w:t>Value Added Effects by Region from the Negative Scaled Average ATPI</w:t>
      </w:r>
    </w:p>
    <w:p w14:paraId="57E3E3F7" w14:textId="0949A2B5" w:rsidR="005C556E" w:rsidRDefault="005C556E" w:rsidP="005C556E">
      <w:pPr>
        <w:rPr>
          <w:rFonts w:ascii="Times New Roman" w:hAnsi="Times New Roman" w:cs="Times New Roman"/>
          <w:b/>
        </w:rPr>
      </w:pPr>
      <w:r>
        <w:rPr>
          <w:rFonts w:ascii="Times New Roman" w:hAnsi="Times New Roman" w:cs="Times New Roman"/>
          <w:b/>
          <w:noProof/>
        </w:rPr>
        <w:lastRenderedPageBreak/>
        <w:drawing>
          <wp:inline distT="0" distB="0" distL="0" distR="0" wp14:anchorId="68F3A00A" wp14:editId="6CF6A917">
            <wp:extent cx="5943600" cy="1681480"/>
            <wp:effectExtent l="0" t="0" r="0" b="0"/>
            <wp:docPr id="19" name="Picture 19" descr="A picture containing text, business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text, businesscar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943600" cy="1681480"/>
                    </a:xfrm>
                    <a:prstGeom prst="rect">
                      <a:avLst/>
                    </a:prstGeom>
                  </pic:spPr>
                </pic:pic>
              </a:graphicData>
            </a:graphic>
          </wp:inline>
        </w:drawing>
      </w:r>
    </w:p>
    <w:p w14:paraId="2E7B659B" w14:textId="22E0C1FE" w:rsidR="005C556E" w:rsidRDefault="005C556E" w:rsidP="005C556E">
      <w:pPr>
        <w:rPr>
          <w:rFonts w:ascii="Times New Roman" w:hAnsi="Times New Roman" w:cs="Times New Roman"/>
          <w:b/>
        </w:rPr>
      </w:pPr>
      <w:r w:rsidRPr="00702DDD">
        <w:rPr>
          <w:rFonts w:ascii="Times New Roman" w:hAnsi="Times New Roman" w:cs="Times New Roman"/>
          <w:b/>
        </w:rPr>
        <w:t>Figure 2.</w:t>
      </w:r>
      <w:r>
        <w:rPr>
          <w:rFonts w:ascii="Times New Roman" w:hAnsi="Times New Roman" w:cs="Times New Roman"/>
          <w:b/>
        </w:rPr>
        <w:t>2</w:t>
      </w:r>
      <w:r w:rsidR="00C72EA1">
        <w:rPr>
          <w:rFonts w:ascii="Times New Roman" w:hAnsi="Times New Roman" w:cs="Times New Roman"/>
          <w:b/>
        </w:rPr>
        <w:t>2:</w:t>
      </w:r>
      <w:r w:rsidRPr="00702DDD">
        <w:rPr>
          <w:rFonts w:ascii="Times New Roman" w:hAnsi="Times New Roman" w:cs="Times New Roman"/>
          <w:b/>
        </w:rPr>
        <w:t xml:space="preserve"> 2019 Tennessee </w:t>
      </w:r>
      <w:r>
        <w:rPr>
          <w:rFonts w:ascii="Times New Roman" w:hAnsi="Times New Roman" w:cs="Times New Roman"/>
          <w:b/>
        </w:rPr>
        <w:t xml:space="preserve">Output Effects by Region from the MHI ATPI </w:t>
      </w:r>
    </w:p>
    <w:p w14:paraId="04D3A5B3" w14:textId="308F85DC" w:rsidR="005C556E" w:rsidRDefault="005C556E" w:rsidP="005C556E">
      <w:pPr>
        <w:rPr>
          <w:rFonts w:ascii="Times New Roman" w:hAnsi="Times New Roman" w:cs="Times New Roman"/>
          <w:b/>
        </w:rPr>
      </w:pPr>
    </w:p>
    <w:p w14:paraId="0D0F24CA" w14:textId="19030106" w:rsidR="005C556E" w:rsidRDefault="005C556E" w:rsidP="005C556E">
      <w:pPr>
        <w:rPr>
          <w:rFonts w:ascii="Times New Roman" w:hAnsi="Times New Roman" w:cs="Times New Roman"/>
          <w:b/>
        </w:rPr>
      </w:pPr>
    </w:p>
    <w:p w14:paraId="234AFA07" w14:textId="0E66B6E3" w:rsidR="005C556E" w:rsidRDefault="005C556E" w:rsidP="005C556E">
      <w:pPr>
        <w:rPr>
          <w:rFonts w:ascii="Times New Roman" w:hAnsi="Times New Roman" w:cs="Times New Roman"/>
          <w:b/>
        </w:rPr>
      </w:pPr>
    </w:p>
    <w:p w14:paraId="2D0B2176" w14:textId="241C1668" w:rsidR="005C556E" w:rsidRDefault="005C556E" w:rsidP="005C556E">
      <w:pPr>
        <w:rPr>
          <w:rFonts w:ascii="Times New Roman" w:hAnsi="Times New Roman" w:cs="Times New Roman"/>
          <w:b/>
        </w:rPr>
      </w:pPr>
    </w:p>
    <w:p w14:paraId="6494581D" w14:textId="2A05438D" w:rsidR="005C556E" w:rsidRDefault="005C556E" w:rsidP="005C556E">
      <w:pPr>
        <w:rPr>
          <w:rFonts w:ascii="Times New Roman" w:hAnsi="Times New Roman" w:cs="Times New Roman"/>
          <w:b/>
        </w:rPr>
      </w:pPr>
    </w:p>
    <w:p w14:paraId="26FD4B18" w14:textId="5E36AD83" w:rsidR="005C556E" w:rsidRDefault="005C556E" w:rsidP="005C556E">
      <w:pPr>
        <w:rPr>
          <w:rFonts w:ascii="Times New Roman" w:hAnsi="Times New Roman" w:cs="Times New Roman"/>
          <w:b/>
        </w:rPr>
      </w:pPr>
    </w:p>
    <w:p w14:paraId="72AB539A" w14:textId="77777777" w:rsidR="005C556E" w:rsidRDefault="005C556E" w:rsidP="005C556E">
      <w:pPr>
        <w:rPr>
          <w:rFonts w:ascii="Times New Roman" w:hAnsi="Times New Roman" w:cs="Times New Roman"/>
          <w:b/>
        </w:rPr>
      </w:pPr>
    </w:p>
    <w:p w14:paraId="38D5AD65" w14:textId="3135A777" w:rsidR="005C556E" w:rsidRDefault="005C556E" w:rsidP="005C556E">
      <w:pPr>
        <w:rPr>
          <w:rFonts w:ascii="Times New Roman" w:hAnsi="Times New Roman" w:cs="Times New Roman"/>
          <w:b/>
        </w:rPr>
      </w:pPr>
      <w:r>
        <w:rPr>
          <w:rFonts w:ascii="Times New Roman" w:hAnsi="Times New Roman" w:cs="Times New Roman"/>
          <w:b/>
          <w:noProof/>
        </w:rPr>
        <w:drawing>
          <wp:inline distT="0" distB="0" distL="0" distR="0" wp14:anchorId="72663ABF" wp14:editId="038550C8">
            <wp:extent cx="5943600" cy="1681480"/>
            <wp:effectExtent l="0" t="0" r="0" b="0"/>
            <wp:docPr id="20" name="Picture 2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Map&#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943600" cy="1681480"/>
                    </a:xfrm>
                    <a:prstGeom prst="rect">
                      <a:avLst/>
                    </a:prstGeom>
                  </pic:spPr>
                </pic:pic>
              </a:graphicData>
            </a:graphic>
          </wp:inline>
        </w:drawing>
      </w:r>
    </w:p>
    <w:p w14:paraId="4482BFDF" w14:textId="3899F925" w:rsidR="005C556E" w:rsidRDefault="005C556E" w:rsidP="005C556E">
      <w:pPr>
        <w:rPr>
          <w:rFonts w:ascii="Times New Roman" w:hAnsi="Times New Roman" w:cs="Times New Roman"/>
          <w:b/>
        </w:rPr>
      </w:pPr>
      <w:r w:rsidRPr="00702DDD">
        <w:rPr>
          <w:rFonts w:ascii="Times New Roman" w:hAnsi="Times New Roman" w:cs="Times New Roman"/>
          <w:b/>
        </w:rPr>
        <w:t>Figure 2.</w:t>
      </w:r>
      <w:r>
        <w:rPr>
          <w:rFonts w:ascii="Times New Roman" w:hAnsi="Times New Roman" w:cs="Times New Roman"/>
          <w:b/>
        </w:rPr>
        <w:t>2</w:t>
      </w:r>
      <w:r w:rsidR="00C72EA1">
        <w:rPr>
          <w:rFonts w:ascii="Times New Roman" w:hAnsi="Times New Roman" w:cs="Times New Roman"/>
          <w:b/>
        </w:rPr>
        <w:t>3:</w:t>
      </w:r>
      <w:r w:rsidRPr="00702DDD">
        <w:rPr>
          <w:rFonts w:ascii="Times New Roman" w:hAnsi="Times New Roman" w:cs="Times New Roman"/>
          <w:b/>
        </w:rPr>
        <w:t xml:space="preserve"> 2019 Tennessee </w:t>
      </w:r>
      <w:r>
        <w:rPr>
          <w:rFonts w:ascii="Times New Roman" w:hAnsi="Times New Roman" w:cs="Times New Roman"/>
          <w:b/>
        </w:rPr>
        <w:t xml:space="preserve">Output Effects by Region from the Simple Average ATPI </w:t>
      </w:r>
    </w:p>
    <w:p w14:paraId="3909239C" w14:textId="62A5278C" w:rsidR="005C556E" w:rsidRDefault="005C556E" w:rsidP="005C556E">
      <w:pPr>
        <w:rPr>
          <w:rFonts w:ascii="Times New Roman" w:hAnsi="Times New Roman" w:cs="Times New Roman"/>
          <w:b/>
        </w:rPr>
      </w:pPr>
    </w:p>
    <w:p w14:paraId="74EAFE92" w14:textId="763529A3" w:rsidR="005C556E" w:rsidRDefault="005C556E" w:rsidP="005C556E">
      <w:pPr>
        <w:rPr>
          <w:rFonts w:ascii="Times New Roman" w:hAnsi="Times New Roman" w:cs="Times New Roman"/>
          <w:b/>
        </w:rPr>
      </w:pPr>
    </w:p>
    <w:p w14:paraId="708B4321" w14:textId="299B3F01" w:rsidR="005C556E" w:rsidRDefault="005C556E" w:rsidP="005C556E">
      <w:pPr>
        <w:rPr>
          <w:rFonts w:ascii="Times New Roman" w:hAnsi="Times New Roman" w:cs="Times New Roman"/>
          <w:b/>
        </w:rPr>
      </w:pPr>
    </w:p>
    <w:p w14:paraId="43CCC023" w14:textId="733D19BF" w:rsidR="005C556E" w:rsidRDefault="005C556E" w:rsidP="005C556E">
      <w:pPr>
        <w:rPr>
          <w:rFonts w:ascii="Times New Roman" w:hAnsi="Times New Roman" w:cs="Times New Roman"/>
          <w:b/>
        </w:rPr>
      </w:pPr>
    </w:p>
    <w:p w14:paraId="0A11B737" w14:textId="1A0C856E" w:rsidR="005C556E" w:rsidRDefault="005C556E" w:rsidP="005C556E">
      <w:pPr>
        <w:rPr>
          <w:rFonts w:ascii="Times New Roman" w:hAnsi="Times New Roman" w:cs="Times New Roman"/>
          <w:b/>
        </w:rPr>
      </w:pPr>
    </w:p>
    <w:p w14:paraId="07E13F64" w14:textId="550A3CA8" w:rsidR="005C556E" w:rsidRDefault="005C556E" w:rsidP="005C556E">
      <w:pPr>
        <w:rPr>
          <w:rFonts w:ascii="Times New Roman" w:hAnsi="Times New Roman" w:cs="Times New Roman"/>
          <w:b/>
        </w:rPr>
      </w:pPr>
    </w:p>
    <w:p w14:paraId="04C5E12F" w14:textId="77777777" w:rsidR="005C556E" w:rsidRDefault="005C556E" w:rsidP="005C556E">
      <w:pPr>
        <w:rPr>
          <w:rFonts w:ascii="Times New Roman" w:hAnsi="Times New Roman" w:cs="Times New Roman"/>
          <w:b/>
        </w:rPr>
      </w:pPr>
    </w:p>
    <w:p w14:paraId="77B7ECF9" w14:textId="09F91341" w:rsidR="005C556E" w:rsidRPr="005C556E" w:rsidRDefault="005C556E" w:rsidP="005C556E">
      <w:pPr>
        <w:rPr>
          <w:rFonts w:ascii="Times New Roman" w:hAnsi="Times New Roman" w:cs="Times New Roman"/>
          <w:b/>
        </w:rPr>
      </w:pPr>
      <w:r>
        <w:rPr>
          <w:rFonts w:ascii="Times New Roman" w:hAnsi="Times New Roman" w:cs="Times New Roman"/>
          <w:b/>
          <w:noProof/>
        </w:rPr>
        <w:drawing>
          <wp:inline distT="0" distB="0" distL="0" distR="0" wp14:anchorId="33646760" wp14:editId="0BB9D56B">
            <wp:extent cx="5943600" cy="170751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1707515"/>
                    </a:xfrm>
                    <a:prstGeom prst="rect">
                      <a:avLst/>
                    </a:prstGeom>
                  </pic:spPr>
                </pic:pic>
              </a:graphicData>
            </a:graphic>
          </wp:inline>
        </w:drawing>
      </w:r>
    </w:p>
    <w:p w14:paraId="7BB484A3" w14:textId="1E9B6764" w:rsidR="005C556E" w:rsidRPr="005C556E" w:rsidRDefault="005C556E" w:rsidP="005C556E">
      <w:pPr>
        <w:rPr>
          <w:rFonts w:ascii="Times New Roman" w:hAnsi="Times New Roman" w:cs="Times New Roman"/>
          <w:b/>
        </w:rPr>
      </w:pPr>
      <w:r w:rsidRPr="00702DDD">
        <w:rPr>
          <w:rFonts w:ascii="Times New Roman" w:hAnsi="Times New Roman" w:cs="Times New Roman"/>
          <w:b/>
        </w:rPr>
        <w:t>Figure 2.</w:t>
      </w:r>
      <w:r w:rsidR="00C72EA1">
        <w:rPr>
          <w:rFonts w:ascii="Times New Roman" w:hAnsi="Times New Roman" w:cs="Times New Roman"/>
          <w:b/>
        </w:rPr>
        <w:t>24:</w:t>
      </w:r>
      <w:r w:rsidRPr="00702DDD">
        <w:rPr>
          <w:rFonts w:ascii="Times New Roman" w:hAnsi="Times New Roman" w:cs="Times New Roman"/>
          <w:b/>
        </w:rPr>
        <w:t xml:space="preserve"> 2019 Tennessee </w:t>
      </w:r>
      <w:r>
        <w:rPr>
          <w:rFonts w:ascii="Times New Roman" w:hAnsi="Times New Roman" w:cs="Times New Roman"/>
          <w:b/>
        </w:rPr>
        <w:t>Output Effects by Region from the Negative Scaled Average ATPI</w:t>
      </w:r>
    </w:p>
    <w:p w14:paraId="0D99C65E" w14:textId="4FB7DFD5" w:rsidR="007D287F" w:rsidRPr="00702DDD" w:rsidRDefault="007D287F" w:rsidP="000654A5">
      <w:pPr>
        <w:pStyle w:val="AltHeading1"/>
      </w:pPr>
      <w:r w:rsidRPr="00702DDD">
        <w:lastRenderedPageBreak/>
        <w:t>Vita</w:t>
      </w:r>
      <w:bookmarkEnd w:id="86"/>
      <w:bookmarkEnd w:id="87"/>
      <w:bookmarkEnd w:id="88"/>
      <w:bookmarkEnd w:id="89"/>
      <w:bookmarkEnd w:id="90"/>
    </w:p>
    <w:p w14:paraId="536CD118" w14:textId="01380986" w:rsidR="006F7AF9" w:rsidRPr="00702DDD" w:rsidRDefault="007D287F" w:rsidP="006F7AF9">
      <w:pPr>
        <w:spacing w:line="480" w:lineRule="auto"/>
        <w:rPr>
          <w:rFonts w:ascii="Times New Roman" w:hAnsi="Times New Roman" w:cs="Times New Roman"/>
        </w:rPr>
      </w:pPr>
      <w:r w:rsidRPr="00702DDD">
        <w:rPr>
          <w:rFonts w:ascii="Times New Roman" w:hAnsi="Times New Roman" w:cs="Times New Roman"/>
        </w:rPr>
        <w:tab/>
      </w:r>
      <w:r w:rsidR="006F7AF9" w:rsidRPr="00702DDD">
        <w:rPr>
          <w:rFonts w:ascii="Times New Roman" w:hAnsi="Times New Roman" w:cs="Times New Roman"/>
        </w:rPr>
        <w:t>Mary Lynn Marks was born in Nashville, Tennessee and grew up in Hendersonville, North Carolina. She attended the University of Tennessee, Knoxville and received her Bachelor of Science degree in Food and Agricultural Business, as well as a minor in English. She decided to continue her education at the University of Tennessee, Knoxville and pursue a Master of Science degree in Agricultural Economics with a minor in Statistics. Her research focuses and interests are in international agricultural trade and rural development. Upon graduation, Ms. Marks will begin an Agricultural Economist position with the United States Department of Agriculture Natural Resources Conservation Service in Harrisburg, Pennsylvania. She would like to thank her advisors,</w:t>
      </w:r>
      <w:r w:rsidR="003F646B">
        <w:rPr>
          <w:rFonts w:ascii="Times New Roman" w:hAnsi="Times New Roman" w:cs="Times New Roman"/>
        </w:rPr>
        <w:t xml:space="preserve"> Dr. Jada Thompson and Dr. Sreedhar </w:t>
      </w:r>
      <w:proofErr w:type="spellStart"/>
      <w:r w:rsidR="003F646B">
        <w:rPr>
          <w:rFonts w:ascii="Times New Roman" w:hAnsi="Times New Roman" w:cs="Times New Roman"/>
        </w:rPr>
        <w:t>Upendram</w:t>
      </w:r>
      <w:proofErr w:type="spellEnd"/>
      <w:r w:rsidR="003F646B">
        <w:rPr>
          <w:rFonts w:ascii="Times New Roman" w:hAnsi="Times New Roman" w:cs="Times New Roman"/>
        </w:rPr>
        <w:t xml:space="preserve">, for their contributions and patience in this endeavor. She thanks her family for their continued support and love through all of life’s challenges. And finally, Ms. Marks thanks her close friends for creating wonderful memories and relationships during her time in Knoxville. </w:t>
      </w:r>
    </w:p>
    <w:p w14:paraId="4DDC327D" w14:textId="109E5AFE" w:rsidR="001A77E3" w:rsidRPr="00702DDD" w:rsidRDefault="001A77E3" w:rsidP="006F7AF9">
      <w:pPr>
        <w:spacing w:after="240" w:line="480" w:lineRule="auto"/>
        <w:rPr>
          <w:rFonts w:ascii="Times New Roman" w:hAnsi="Times New Roman" w:cs="Times New Roman"/>
        </w:rPr>
      </w:pPr>
    </w:p>
    <w:sectPr w:rsidR="001A77E3" w:rsidRPr="00702DDD" w:rsidSect="00C016E8">
      <w:pgSz w:w="12240" w:h="15840" w:code="1"/>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73F23" w14:textId="77777777" w:rsidR="00D07965" w:rsidRDefault="00D07965" w:rsidP="008F70D9">
      <w:r>
        <w:separator/>
      </w:r>
    </w:p>
  </w:endnote>
  <w:endnote w:type="continuationSeparator" w:id="0">
    <w:p w14:paraId="2AB8F466" w14:textId="77777777" w:rsidR="00D07965" w:rsidRDefault="00D07965" w:rsidP="008F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Times">
    <w:altName w:val="Times"/>
    <w:panose1 w:val="00000500000000020000"/>
    <w:charset w:val="00"/>
    <w:family w:val="auto"/>
    <w:pitch w:val="variable"/>
    <w:sig w:usb0="E00002FF" w:usb1="5000205A"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986760"/>
      <w:docPartObj>
        <w:docPartGallery w:val="Page Numbers (Bottom of Page)"/>
        <w:docPartUnique/>
      </w:docPartObj>
    </w:sdtPr>
    <w:sdtEndPr>
      <w:rPr>
        <w:rFonts w:ascii="Times New Roman" w:hAnsi="Times New Roman" w:cs="Times New Roman"/>
        <w:noProof/>
      </w:rPr>
    </w:sdtEndPr>
    <w:sdtContent>
      <w:p w14:paraId="0D5B977A" w14:textId="37A0F3DB" w:rsidR="00AC69F2" w:rsidRPr="004F71CE" w:rsidRDefault="00AC69F2">
        <w:pPr>
          <w:pStyle w:val="Footer"/>
          <w:jc w:val="center"/>
          <w:rPr>
            <w:rFonts w:ascii="Times New Roman" w:hAnsi="Times New Roman" w:cs="Times New Roman"/>
          </w:rPr>
        </w:pPr>
        <w:r w:rsidRPr="004F71CE">
          <w:rPr>
            <w:rFonts w:ascii="Times New Roman" w:hAnsi="Times New Roman" w:cs="Times New Roman"/>
          </w:rPr>
          <w:fldChar w:fldCharType="begin"/>
        </w:r>
        <w:r w:rsidRPr="004F71CE">
          <w:rPr>
            <w:rFonts w:ascii="Times New Roman" w:hAnsi="Times New Roman" w:cs="Times New Roman"/>
          </w:rPr>
          <w:instrText xml:space="preserve"> PAGE   \* MERGEFORMAT </w:instrText>
        </w:r>
        <w:r w:rsidRPr="004F71CE">
          <w:rPr>
            <w:rFonts w:ascii="Times New Roman" w:hAnsi="Times New Roman" w:cs="Times New Roman"/>
          </w:rPr>
          <w:fldChar w:fldCharType="separate"/>
        </w:r>
        <w:r>
          <w:rPr>
            <w:rFonts w:ascii="Times New Roman" w:hAnsi="Times New Roman" w:cs="Times New Roman"/>
            <w:noProof/>
          </w:rPr>
          <w:t>54</w:t>
        </w:r>
        <w:r w:rsidRPr="004F71CE">
          <w:rPr>
            <w:rFonts w:ascii="Times New Roman" w:hAnsi="Times New Roman" w:cs="Times New Roman"/>
            <w:noProof/>
          </w:rPr>
          <w:fldChar w:fldCharType="end"/>
        </w:r>
      </w:p>
    </w:sdtContent>
  </w:sdt>
  <w:p w14:paraId="0DCEDD8B" w14:textId="77777777" w:rsidR="00AC69F2" w:rsidRDefault="00AC69F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80ED0" w14:textId="77777777" w:rsidR="00C016E8" w:rsidRDefault="00C016E8">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end"/>
    </w:r>
  </w:p>
  <w:p w14:paraId="69ED401D" w14:textId="77777777" w:rsidR="00C016E8" w:rsidRDefault="00C016E8">
    <w:pPr>
      <w:pBdr>
        <w:top w:val="nil"/>
        <w:left w:val="nil"/>
        <w:bottom w:val="nil"/>
        <w:right w:val="nil"/>
        <w:between w:val="nil"/>
      </w:pBdr>
      <w:tabs>
        <w:tab w:val="center" w:pos="4680"/>
        <w:tab w:val="right" w:pos="9360"/>
      </w:tabs>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9CA2C" w14:textId="19FC98C5" w:rsidR="00C016E8" w:rsidRPr="00185CBE" w:rsidRDefault="00185CBE" w:rsidP="00185CBE">
    <w:pPr>
      <w:pBdr>
        <w:top w:val="nil"/>
        <w:left w:val="nil"/>
        <w:bottom w:val="nil"/>
        <w:right w:val="nil"/>
        <w:between w:val="nil"/>
      </w:pBdr>
      <w:tabs>
        <w:tab w:val="center" w:pos="4680"/>
        <w:tab w:val="right" w:pos="9360"/>
      </w:tabs>
      <w:jc w:val="center"/>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PAGE</w:instrText>
    </w:r>
    <w:r>
      <w:rPr>
        <w:rFonts w:ascii="Times New Roman" w:hAnsi="Times New Roman" w:cs="Times New Roman"/>
        <w:color w:val="000000"/>
      </w:rPr>
      <w:fldChar w:fldCharType="separate"/>
    </w:r>
    <w:r>
      <w:rPr>
        <w:rFonts w:ascii="Times New Roman" w:hAnsi="Times New Roman" w:cs="Times New Roman"/>
        <w:color w:val="000000"/>
      </w:rPr>
      <w:t>8</w:t>
    </w:r>
    <w:r>
      <w:rPr>
        <w:rFonts w:ascii="Times New Roman" w:hAnsi="Times New Roman" w:cs="Times New Roman"/>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66627" w14:textId="77777777" w:rsidR="00185CBE" w:rsidRDefault="00185CBE" w:rsidP="00185CBE">
    <w:pPr>
      <w:pBdr>
        <w:top w:val="nil"/>
        <w:left w:val="nil"/>
        <w:bottom w:val="nil"/>
        <w:right w:val="nil"/>
        <w:between w:val="nil"/>
      </w:pBdr>
      <w:tabs>
        <w:tab w:val="center" w:pos="4680"/>
        <w:tab w:val="right" w:pos="9360"/>
      </w:tabs>
      <w:jc w:val="center"/>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PAGE</w:instrText>
    </w:r>
    <w:r>
      <w:rPr>
        <w:rFonts w:ascii="Times New Roman" w:hAnsi="Times New Roman" w:cs="Times New Roman"/>
        <w:color w:val="000000"/>
      </w:rPr>
      <w:fldChar w:fldCharType="separate"/>
    </w:r>
    <w:r>
      <w:rPr>
        <w:rFonts w:ascii="Times New Roman" w:hAnsi="Times New Roman" w:cs="Times New Roman"/>
        <w:color w:val="000000"/>
      </w:rPr>
      <w:t>8</w:t>
    </w:r>
    <w:r>
      <w:rPr>
        <w:rFonts w:ascii="Times New Roman" w:hAnsi="Times New Roman" w:cs="Times New Roman"/>
        <w:color w:val="000000"/>
      </w:rPr>
      <w:fldChar w:fldCharType="end"/>
    </w:r>
  </w:p>
  <w:p w14:paraId="5439A927" w14:textId="77777777" w:rsidR="00185CBE" w:rsidRPr="00185CBE" w:rsidRDefault="00185CBE" w:rsidP="00185C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62506D" w14:textId="77777777" w:rsidR="00D07965" w:rsidRDefault="00D07965" w:rsidP="008F70D9">
      <w:r>
        <w:separator/>
      </w:r>
    </w:p>
  </w:footnote>
  <w:footnote w:type="continuationSeparator" w:id="0">
    <w:p w14:paraId="50114276" w14:textId="77777777" w:rsidR="00D07965" w:rsidRDefault="00D07965" w:rsidP="008F70D9">
      <w:r>
        <w:continuationSeparator/>
      </w:r>
    </w:p>
  </w:footnote>
  <w:footnote w:id="1">
    <w:p w14:paraId="4B4078D6" w14:textId="77777777" w:rsidR="00FD022F" w:rsidRPr="00E83386" w:rsidRDefault="00FD022F" w:rsidP="00FD022F">
      <w:pPr>
        <w:rPr>
          <w:rFonts w:ascii="Times New Roman" w:hAnsi="Times New Roman" w:cs="Times New Roman"/>
          <w:i/>
          <w:iCs/>
          <w:color w:val="000000"/>
        </w:rPr>
      </w:pPr>
      <w:r w:rsidRPr="007E4753">
        <w:rPr>
          <w:rStyle w:val="FootnoteReference"/>
          <w:rFonts w:eastAsiaTheme="majorEastAsia"/>
        </w:rPr>
        <w:footnoteRef/>
      </w:r>
      <w:r>
        <w:rPr>
          <w:rFonts w:ascii="Times New Roman" w:hAnsi="Times New Roman" w:cs="Times New Roman"/>
        </w:rPr>
        <w:t xml:space="preserve"> </w:t>
      </w:r>
      <w:r>
        <w:rPr>
          <w:rFonts w:ascii="Times New Roman" w:hAnsi="Times New Roman" w:cs="Times New Roman"/>
          <w:sz w:val="20"/>
          <w:szCs w:val="20"/>
        </w:rPr>
        <w:t xml:space="preserve">The type </w:t>
      </w:r>
      <w:r>
        <w:rPr>
          <w:rFonts w:ascii="Times New Roman" w:hAnsi="Times New Roman" w:cs="Times New Roman"/>
          <w:i/>
          <w:sz w:val="20"/>
          <w:szCs w:val="20"/>
        </w:rPr>
        <w:t>Other</w:t>
      </w:r>
      <w:r>
        <w:rPr>
          <w:rFonts w:ascii="Times New Roman" w:hAnsi="Times New Roman" w:cs="Times New Roman"/>
          <w:sz w:val="20"/>
          <w:szCs w:val="20"/>
        </w:rPr>
        <w:t xml:space="preserve"> indicates the six-digit HS code not specifying between Fresh or Frozen. This occurs in only one commodity product in the data (020450-</w:t>
      </w:r>
      <w:r>
        <w:rPr>
          <w:rFonts w:ascii="Times New Roman" w:hAnsi="Times New Roman" w:cs="Times New Roman"/>
          <w:color w:val="000000"/>
          <w:sz w:val="20"/>
          <w:szCs w:val="20"/>
        </w:rPr>
        <w:t xml:space="preserve">Meat; of goats, fresh, chilled or frozen) and is characterized as </w:t>
      </w:r>
      <w:r w:rsidRPr="00E83386">
        <w:rPr>
          <w:rFonts w:ascii="Times New Roman" w:hAnsi="Times New Roman" w:cs="Times New Roman"/>
          <w:i/>
          <w:iCs/>
          <w:color w:val="000000"/>
          <w:sz w:val="20"/>
          <w:szCs w:val="20"/>
        </w:rPr>
        <w:t>Other Other</w:t>
      </w:r>
    </w:p>
  </w:footnote>
  <w:footnote w:id="2">
    <w:p w14:paraId="03688C94" w14:textId="77777777" w:rsidR="00FD022F" w:rsidRDefault="00FD022F" w:rsidP="00FD022F">
      <w:r w:rsidRPr="007E4753">
        <w:rPr>
          <w:rStyle w:val="FootnoteReference"/>
          <w:rFonts w:eastAsiaTheme="majorEastAsia"/>
        </w:rPr>
        <w:footnoteRef/>
      </w:r>
      <w:r>
        <w:rPr>
          <w:rFonts w:ascii="Times New Roman" w:hAnsi="Times New Roman" w:cs="Times New Roman"/>
          <w:sz w:val="20"/>
          <w:szCs w:val="20"/>
        </w:rPr>
        <w:t xml:space="preserve"> The protein commodity </w:t>
      </w:r>
      <w:r>
        <w:rPr>
          <w:rFonts w:ascii="Times New Roman" w:hAnsi="Times New Roman" w:cs="Times New Roman"/>
          <w:i/>
          <w:sz w:val="20"/>
          <w:szCs w:val="20"/>
        </w:rPr>
        <w:t>Other</w:t>
      </w:r>
      <w:r>
        <w:rPr>
          <w:rFonts w:ascii="Times New Roman" w:hAnsi="Times New Roman" w:cs="Times New Roman"/>
          <w:sz w:val="20"/>
          <w:szCs w:val="20"/>
        </w:rPr>
        <w:t xml:space="preserve"> represents the meat proteins analyzed not including beef, swine, or poultry. In this study, this is sheep and goat meat products.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8DC01" w14:textId="77777777" w:rsidR="00AC69F2" w:rsidRDefault="00AC69F2">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97079" w14:textId="77777777" w:rsidR="00AC69F2" w:rsidRDefault="00AC69F2">
    <w:pPr>
      <w:spacing w:line="34" w:lineRule="auto"/>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7D4DC" w14:textId="77777777" w:rsidR="00C016E8" w:rsidRDefault="00C016E8">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end"/>
    </w:r>
  </w:p>
  <w:p w14:paraId="2E1DD217" w14:textId="77777777" w:rsidR="00C016E8" w:rsidRDefault="00C016E8">
    <w:pPr>
      <w:pBdr>
        <w:top w:val="nil"/>
        <w:left w:val="nil"/>
        <w:bottom w:val="nil"/>
        <w:right w:val="nil"/>
        <w:between w:val="nil"/>
      </w:pBdr>
      <w:tabs>
        <w:tab w:val="center" w:pos="4680"/>
        <w:tab w:val="right" w:pos="9360"/>
      </w:tabs>
      <w:ind w:right="360"/>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51556" w14:textId="028B23B0" w:rsidR="00C016E8" w:rsidRPr="00185CBE" w:rsidRDefault="00C016E8" w:rsidP="00185CB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A5998" w14:textId="77777777" w:rsidR="00C016E8" w:rsidRDefault="00C016E8">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end"/>
    </w:r>
  </w:p>
  <w:p w14:paraId="68BC0784" w14:textId="77777777" w:rsidR="00C016E8" w:rsidRDefault="00C016E8">
    <w:pPr>
      <w:pBdr>
        <w:top w:val="nil"/>
        <w:left w:val="nil"/>
        <w:bottom w:val="nil"/>
        <w:right w:val="nil"/>
        <w:between w:val="nil"/>
      </w:pBdr>
      <w:tabs>
        <w:tab w:val="center" w:pos="4680"/>
        <w:tab w:val="right" w:pos="9360"/>
      </w:tabs>
      <w:ind w:right="360"/>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9322E" w14:textId="77777777" w:rsidR="00C016E8" w:rsidRDefault="00C016E8">
    <w:pPr>
      <w:pBdr>
        <w:top w:val="nil"/>
        <w:left w:val="nil"/>
        <w:bottom w:val="nil"/>
        <w:right w:val="nil"/>
        <w:between w:val="nil"/>
      </w:pBdr>
      <w:tabs>
        <w:tab w:val="center" w:pos="4680"/>
        <w:tab w:val="right" w:pos="9360"/>
      </w:tabs>
      <w:ind w:right="360"/>
      <w:rPr>
        <w:rFonts w:ascii="Times New Roman" w:hAnsi="Times New Roman" w:cs="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9E216FF"/>
    <w:multiLevelType w:val="hybridMultilevel"/>
    <w:tmpl w:val="8A36BD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40484B"/>
    <w:multiLevelType w:val="multilevel"/>
    <w:tmpl w:val="865C1832"/>
    <w:lvl w:ilvl="0">
      <w:start w:val="1"/>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0440B3E"/>
    <w:multiLevelType w:val="multilevel"/>
    <w:tmpl w:val="F9C2178C"/>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5" w15:restartNumberingAfterBreak="0">
    <w:nsid w:val="2A4C6B47"/>
    <w:multiLevelType w:val="hybridMultilevel"/>
    <w:tmpl w:val="A2D2E334"/>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CD41A3"/>
    <w:multiLevelType w:val="multilevel"/>
    <w:tmpl w:val="DC9E5378"/>
    <w:name w:val="Table3223"/>
    <w:lvl w:ilvl="0">
      <w:start w:val="1"/>
      <w:numFmt w:val="cardinalText"/>
      <w:suff w:val="space"/>
      <w:lvlText w:val="Chapter %1"/>
      <w:lvlJc w:val="left"/>
      <w:pPr>
        <w:ind w:left="0" w:firstLine="0"/>
      </w:pPr>
      <w:rPr>
        <w:rFonts w:ascii="Times New Roman" w:hAnsi="Times New Roman" w:cs="Times New Roman"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7EA011D4"/>
    <w:multiLevelType w:val="hybridMultilevel"/>
    <w:tmpl w:val="33084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6"/>
  </w:num>
  <w:num w:numId="5">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5"/>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87F"/>
    <w:rsid w:val="000057D6"/>
    <w:rsid w:val="00006137"/>
    <w:rsid w:val="00010A07"/>
    <w:rsid w:val="00011414"/>
    <w:rsid w:val="00011910"/>
    <w:rsid w:val="00013A42"/>
    <w:rsid w:val="00052BDB"/>
    <w:rsid w:val="00055633"/>
    <w:rsid w:val="00061083"/>
    <w:rsid w:val="000627F1"/>
    <w:rsid w:val="000654A5"/>
    <w:rsid w:val="00073418"/>
    <w:rsid w:val="000848C9"/>
    <w:rsid w:val="000A6993"/>
    <w:rsid w:val="000E7EF1"/>
    <w:rsid w:val="00110733"/>
    <w:rsid w:val="0012703E"/>
    <w:rsid w:val="0017698B"/>
    <w:rsid w:val="00180B00"/>
    <w:rsid w:val="00185CBE"/>
    <w:rsid w:val="00191C52"/>
    <w:rsid w:val="001A77E3"/>
    <w:rsid w:val="001D5CFC"/>
    <w:rsid w:val="001D7365"/>
    <w:rsid w:val="001E3F63"/>
    <w:rsid w:val="001E6E24"/>
    <w:rsid w:val="001F27EE"/>
    <w:rsid w:val="00203BB4"/>
    <w:rsid w:val="00222162"/>
    <w:rsid w:val="00234E47"/>
    <w:rsid w:val="0023752C"/>
    <w:rsid w:val="00237AEC"/>
    <w:rsid w:val="00237DAA"/>
    <w:rsid w:val="00251E45"/>
    <w:rsid w:val="00253507"/>
    <w:rsid w:val="00254CE7"/>
    <w:rsid w:val="00255E80"/>
    <w:rsid w:val="0028030B"/>
    <w:rsid w:val="002827D0"/>
    <w:rsid w:val="00282C5D"/>
    <w:rsid w:val="002959C6"/>
    <w:rsid w:val="002959E2"/>
    <w:rsid w:val="002A2FE5"/>
    <w:rsid w:val="002B0F3E"/>
    <w:rsid w:val="002C1216"/>
    <w:rsid w:val="002C1BA7"/>
    <w:rsid w:val="002C1F69"/>
    <w:rsid w:val="002C5081"/>
    <w:rsid w:val="002D00D5"/>
    <w:rsid w:val="002E0043"/>
    <w:rsid w:val="002E7B86"/>
    <w:rsid w:val="002F1505"/>
    <w:rsid w:val="002F36B0"/>
    <w:rsid w:val="0030580D"/>
    <w:rsid w:val="00310887"/>
    <w:rsid w:val="003259AA"/>
    <w:rsid w:val="00326FFD"/>
    <w:rsid w:val="00342BC0"/>
    <w:rsid w:val="00351F41"/>
    <w:rsid w:val="00352245"/>
    <w:rsid w:val="00361376"/>
    <w:rsid w:val="00382718"/>
    <w:rsid w:val="003870EC"/>
    <w:rsid w:val="0038721A"/>
    <w:rsid w:val="003A70BD"/>
    <w:rsid w:val="003B71CA"/>
    <w:rsid w:val="003C7821"/>
    <w:rsid w:val="003F646B"/>
    <w:rsid w:val="003F6F6C"/>
    <w:rsid w:val="00401720"/>
    <w:rsid w:val="00401FBE"/>
    <w:rsid w:val="00403387"/>
    <w:rsid w:val="00423130"/>
    <w:rsid w:val="00425B5E"/>
    <w:rsid w:val="00432428"/>
    <w:rsid w:val="00434A0F"/>
    <w:rsid w:val="00440E43"/>
    <w:rsid w:val="0044569D"/>
    <w:rsid w:val="004460D4"/>
    <w:rsid w:val="00453B03"/>
    <w:rsid w:val="004560A0"/>
    <w:rsid w:val="00461586"/>
    <w:rsid w:val="00496152"/>
    <w:rsid w:val="00501298"/>
    <w:rsid w:val="00501F39"/>
    <w:rsid w:val="00505088"/>
    <w:rsid w:val="00514624"/>
    <w:rsid w:val="0052406F"/>
    <w:rsid w:val="00524933"/>
    <w:rsid w:val="00541FB0"/>
    <w:rsid w:val="00554FBC"/>
    <w:rsid w:val="00560C3B"/>
    <w:rsid w:val="00571EAF"/>
    <w:rsid w:val="00574475"/>
    <w:rsid w:val="00582321"/>
    <w:rsid w:val="005859A0"/>
    <w:rsid w:val="00590562"/>
    <w:rsid w:val="00593A85"/>
    <w:rsid w:val="005A3849"/>
    <w:rsid w:val="005B7E1A"/>
    <w:rsid w:val="005C470D"/>
    <w:rsid w:val="005C556E"/>
    <w:rsid w:val="005E17B0"/>
    <w:rsid w:val="00602447"/>
    <w:rsid w:val="00606F2E"/>
    <w:rsid w:val="00614D6A"/>
    <w:rsid w:val="00640235"/>
    <w:rsid w:val="006460BB"/>
    <w:rsid w:val="00647BDC"/>
    <w:rsid w:val="00652521"/>
    <w:rsid w:val="006536E3"/>
    <w:rsid w:val="006569B7"/>
    <w:rsid w:val="00672CCA"/>
    <w:rsid w:val="006732CE"/>
    <w:rsid w:val="00684E97"/>
    <w:rsid w:val="0068740F"/>
    <w:rsid w:val="00687E05"/>
    <w:rsid w:val="006922F2"/>
    <w:rsid w:val="006977A1"/>
    <w:rsid w:val="006A1E05"/>
    <w:rsid w:val="006A49EA"/>
    <w:rsid w:val="006E77C6"/>
    <w:rsid w:val="006F45DA"/>
    <w:rsid w:val="006F7AF9"/>
    <w:rsid w:val="00702DDD"/>
    <w:rsid w:val="00713F09"/>
    <w:rsid w:val="00716BE8"/>
    <w:rsid w:val="00722F29"/>
    <w:rsid w:val="0073597E"/>
    <w:rsid w:val="00746515"/>
    <w:rsid w:val="00765927"/>
    <w:rsid w:val="00765FB2"/>
    <w:rsid w:val="00770B6E"/>
    <w:rsid w:val="00785FB0"/>
    <w:rsid w:val="0079409D"/>
    <w:rsid w:val="007B4E3D"/>
    <w:rsid w:val="007C0BA3"/>
    <w:rsid w:val="007C76F3"/>
    <w:rsid w:val="007D22BB"/>
    <w:rsid w:val="007D287F"/>
    <w:rsid w:val="007E1A4B"/>
    <w:rsid w:val="007E4753"/>
    <w:rsid w:val="007E53CF"/>
    <w:rsid w:val="007F1B5B"/>
    <w:rsid w:val="007F7168"/>
    <w:rsid w:val="00802405"/>
    <w:rsid w:val="00802799"/>
    <w:rsid w:val="00812EB3"/>
    <w:rsid w:val="00822D43"/>
    <w:rsid w:val="008257C6"/>
    <w:rsid w:val="00831CE6"/>
    <w:rsid w:val="00833CA5"/>
    <w:rsid w:val="00834DBA"/>
    <w:rsid w:val="008423A4"/>
    <w:rsid w:val="0084453D"/>
    <w:rsid w:val="008454CD"/>
    <w:rsid w:val="00853CA1"/>
    <w:rsid w:val="00854817"/>
    <w:rsid w:val="00855C3F"/>
    <w:rsid w:val="008762C0"/>
    <w:rsid w:val="008907BB"/>
    <w:rsid w:val="008924F2"/>
    <w:rsid w:val="00892F3B"/>
    <w:rsid w:val="0089754C"/>
    <w:rsid w:val="008A393A"/>
    <w:rsid w:val="008A5829"/>
    <w:rsid w:val="008B18C5"/>
    <w:rsid w:val="008C42BE"/>
    <w:rsid w:val="008D3C4E"/>
    <w:rsid w:val="008F3EBC"/>
    <w:rsid w:val="008F70D9"/>
    <w:rsid w:val="00903105"/>
    <w:rsid w:val="00905944"/>
    <w:rsid w:val="009069D1"/>
    <w:rsid w:val="00911A65"/>
    <w:rsid w:val="00945573"/>
    <w:rsid w:val="00947934"/>
    <w:rsid w:val="00947DC4"/>
    <w:rsid w:val="00954965"/>
    <w:rsid w:val="00973CFB"/>
    <w:rsid w:val="00977023"/>
    <w:rsid w:val="0097705A"/>
    <w:rsid w:val="009817C0"/>
    <w:rsid w:val="00986641"/>
    <w:rsid w:val="00992872"/>
    <w:rsid w:val="009B4266"/>
    <w:rsid w:val="009C09D5"/>
    <w:rsid w:val="009C461A"/>
    <w:rsid w:val="009C5ADB"/>
    <w:rsid w:val="009E361F"/>
    <w:rsid w:val="009F5096"/>
    <w:rsid w:val="009F55C5"/>
    <w:rsid w:val="00A16CD1"/>
    <w:rsid w:val="00A174B7"/>
    <w:rsid w:val="00A21DBF"/>
    <w:rsid w:val="00A41FF8"/>
    <w:rsid w:val="00A42EFA"/>
    <w:rsid w:val="00A46C6B"/>
    <w:rsid w:val="00A47F59"/>
    <w:rsid w:val="00A57C13"/>
    <w:rsid w:val="00A72AE9"/>
    <w:rsid w:val="00A82AE7"/>
    <w:rsid w:val="00A85A01"/>
    <w:rsid w:val="00A87AAA"/>
    <w:rsid w:val="00A96C88"/>
    <w:rsid w:val="00A96DED"/>
    <w:rsid w:val="00AA4F6B"/>
    <w:rsid w:val="00AA5CC8"/>
    <w:rsid w:val="00AB7D4B"/>
    <w:rsid w:val="00AC3FAE"/>
    <w:rsid w:val="00AC5638"/>
    <w:rsid w:val="00AC69F2"/>
    <w:rsid w:val="00AD370A"/>
    <w:rsid w:val="00AE6FC2"/>
    <w:rsid w:val="00AE7641"/>
    <w:rsid w:val="00AF003B"/>
    <w:rsid w:val="00AF1153"/>
    <w:rsid w:val="00B0113E"/>
    <w:rsid w:val="00B064F8"/>
    <w:rsid w:val="00B16BD1"/>
    <w:rsid w:val="00B16DFA"/>
    <w:rsid w:val="00B21FB5"/>
    <w:rsid w:val="00B25162"/>
    <w:rsid w:val="00B26EF9"/>
    <w:rsid w:val="00B3093D"/>
    <w:rsid w:val="00B30F13"/>
    <w:rsid w:val="00B44FC2"/>
    <w:rsid w:val="00B4645E"/>
    <w:rsid w:val="00B469D9"/>
    <w:rsid w:val="00B5666C"/>
    <w:rsid w:val="00B61846"/>
    <w:rsid w:val="00B852D1"/>
    <w:rsid w:val="00B863AA"/>
    <w:rsid w:val="00B934C6"/>
    <w:rsid w:val="00BA03C2"/>
    <w:rsid w:val="00BA13BD"/>
    <w:rsid w:val="00BA5FAA"/>
    <w:rsid w:val="00BC189C"/>
    <w:rsid w:val="00BC1A1C"/>
    <w:rsid w:val="00BC427E"/>
    <w:rsid w:val="00BC537F"/>
    <w:rsid w:val="00BC6C6F"/>
    <w:rsid w:val="00BD5712"/>
    <w:rsid w:val="00BD775F"/>
    <w:rsid w:val="00BE0CD8"/>
    <w:rsid w:val="00BE5540"/>
    <w:rsid w:val="00C016E8"/>
    <w:rsid w:val="00C037E0"/>
    <w:rsid w:val="00C044B1"/>
    <w:rsid w:val="00C06061"/>
    <w:rsid w:val="00C16BA4"/>
    <w:rsid w:val="00C239FB"/>
    <w:rsid w:val="00C2484C"/>
    <w:rsid w:val="00C5089D"/>
    <w:rsid w:val="00C50951"/>
    <w:rsid w:val="00C52FB9"/>
    <w:rsid w:val="00C63C21"/>
    <w:rsid w:val="00C70E09"/>
    <w:rsid w:val="00C72586"/>
    <w:rsid w:val="00C72EA1"/>
    <w:rsid w:val="00CA6228"/>
    <w:rsid w:val="00CB0A11"/>
    <w:rsid w:val="00CB4F7B"/>
    <w:rsid w:val="00CC79D3"/>
    <w:rsid w:val="00CD4E64"/>
    <w:rsid w:val="00CE4565"/>
    <w:rsid w:val="00CF0338"/>
    <w:rsid w:val="00CF1967"/>
    <w:rsid w:val="00CF3D58"/>
    <w:rsid w:val="00D032EE"/>
    <w:rsid w:val="00D07965"/>
    <w:rsid w:val="00D10DF2"/>
    <w:rsid w:val="00D20D63"/>
    <w:rsid w:val="00D260C5"/>
    <w:rsid w:val="00D270B5"/>
    <w:rsid w:val="00D3559B"/>
    <w:rsid w:val="00D36003"/>
    <w:rsid w:val="00D57A7F"/>
    <w:rsid w:val="00D765ED"/>
    <w:rsid w:val="00D844B2"/>
    <w:rsid w:val="00D853A4"/>
    <w:rsid w:val="00D85601"/>
    <w:rsid w:val="00D85A5A"/>
    <w:rsid w:val="00D86B26"/>
    <w:rsid w:val="00D95A69"/>
    <w:rsid w:val="00DA58AC"/>
    <w:rsid w:val="00DC6B58"/>
    <w:rsid w:val="00DD63C6"/>
    <w:rsid w:val="00DE4BC0"/>
    <w:rsid w:val="00DF4EE5"/>
    <w:rsid w:val="00E160A8"/>
    <w:rsid w:val="00E210C5"/>
    <w:rsid w:val="00E22D18"/>
    <w:rsid w:val="00E252BA"/>
    <w:rsid w:val="00E2746C"/>
    <w:rsid w:val="00E343F5"/>
    <w:rsid w:val="00E43325"/>
    <w:rsid w:val="00E53504"/>
    <w:rsid w:val="00E8373C"/>
    <w:rsid w:val="00E90164"/>
    <w:rsid w:val="00E939D7"/>
    <w:rsid w:val="00EA2F6A"/>
    <w:rsid w:val="00EB3DD1"/>
    <w:rsid w:val="00EC1CB7"/>
    <w:rsid w:val="00EE33F9"/>
    <w:rsid w:val="00EE51BF"/>
    <w:rsid w:val="00EF03AB"/>
    <w:rsid w:val="00F03B90"/>
    <w:rsid w:val="00F16496"/>
    <w:rsid w:val="00F201FF"/>
    <w:rsid w:val="00F501FA"/>
    <w:rsid w:val="00F55CEF"/>
    <w:rsid w:val="00F60F83"/>
    <w:rsid w:val="00F724DC"/>
    <w:rsid w:val="00F8593A"/>
    <w:rsid w:val="00FA5E74"/>
    <w:rsid w:val="00FC05C8"/>
    <w:rsid w:val="00FC73B0"/>
    <w:rsid w:val="00FD022F"/>
    <w:rsid w:val="00FD0A49"/>
    <w:rsid w:val="00FD2401"/>
    <w:rsid w:val="00FD2CCC"/>
    <w:rsid w:val="00FD7035"/>
    <w:rsid w:val="00FE41B3"/>
    <w:rsid w:val="00FF6407"/>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0B72D"/>
  <w15:docId w15:val="{28342F1D-3EDA-4AB5-9EA8-45A227A05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87F"/>
    <w:pPr>
      <w:spacing w:after="0" w:line="240" w:lineRule="auto"/>
    </w:pPr>
    <w:rPr>
      <w:rFonts w:ascii="Arial" w:eastAsia="Times New Roman" w:hAnsi="Arial" w:cs="Arial"/>
      <w:sz w:val="24"/>
      <w:szCs w:val="24"/>
    </w:rPr>
  </w:style>
  <w:style w:type="paragraph" w:styleId="Heading1">
    <w:name w:val="heading 1"/>
    <w:basedOn w:val="Normal"/>
    <w:next w:val="Normal"/>
    <w:link w:val="Heading1Char"/>
    <w:autoRedefine/>
    <w:uiPriority w:val="9"/>
    <w:qFormat/>
    <w:rsid w:val="00A41FF8"/>
    <w:pPr>
      <w:autoSpaceDE w:val="0"/>
      <w:autoSpaceDN w:val="0"/>
      <w:adjustRightInd w:val="0"/>
      <w:spacing w:after="240" w:line="360" w:lineRule="auto"/>
      <w:jc w:val="center"/>
      <w:outlineLvl w:val="0"/>
    </w:pPr>
    <w:rPr>
      <w:rFonts w:ascii="Times New Roman" w:hAnsi="Times New Roman" w:cs="Times New Roman"/>
      <w:b/>
      <w:bCs/>
      <w:caps/>
      <w:color w:val="000000" w:themeColor="text1"/>
    </w:rPr>
  </w:style>
  <w:style w:type="paragraph" w:styleId="Heading2">
    <w:name w:val="heading 2"/>
    <w:basedOn w:val="Normal"/>
    <w:next w:val="Normal"/>
    <w:link w:val="Heading2Char"/>
    <w:autoRedefine/>
    <w:uiPriority w:val="9"/>
    <w:qFormat/>
    <w:rsid w:val="000654A5"/>
    <w:pPr>
      <w:keepNext/>
      <w:spacing w:before="240" w:after="60" w:line="480" w:lineRule="auto"/>
      <w:outlineLvl w:val="1"/>
    </w:pPr>
    <w:rPr>
      <w:rFonts w:ascii="Times New Roman" w:hAnsi="Times New Roman" w:cs="Times New Roman"/>
      <w:iCs/>
    </w:rPr>
  </w:style>
  <w:style w:type="paragraph" w:styleId="Heading3">
    <w:name w:val="heading 3"/>
    <w:basedOn w:val="Normal"/>
    <w:next w:val="Normal"/>
    <w:link w:val="Heading3Char"/>
    <w:autoRedefine/>
    <w:uiPriority w:val="9"/>
    <w:qFormat/>
    <w:rsid w:val="00A41FF8"/>
    <w:pPr>
      <w:keepNext/>
      <w:numPr>
        <w:ilvl w:val="2"/>
        <w:numId w:val="2"/>
      </w:numPr>
      <w:spacing w:before="240" w:after="60" w:line="480" w:lineRule="auto"/>
      <w:outlineLvl w:val="2"/>
    </w:pPr>
    <w:rPr>
      <w:rFonts w:ascii="Times New Roman" w:hAnsi="Times New Roman"/>
      <w:bCs/>
      <w:iCs/>
      <w:szCs w:val="26"/>
    </w:rPr>
  </w:style>
  <w:style w:type="paragraph" w:styleId="Heading4">
    <w:name w:val="heading 4"/>
    <w:basedOn w:val="Normal"/>
    <w:next w:val="Normal"/>
    <w:link w:val="Heading4Char"/>
    <w:uiPriority w:val="9"/>
    <w:semiHidden/>
    <w:unhideWhenUsed/>
    <w:qFormat/>
    <w:rsid w:val="007D287F"/>
    <w:pPr>
      <w:keepNext/>
      <w:keepLines/>
      <w:numPr>
        <w:ilvl w:val="3"/>
        <w:numId w:val="2"/>
      </w:numPr>
      <w:spacing w:before="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D287F"/>
    <w:pPr>
      <w:keepNext/>
      <w:keepLines/>
      <w:numPr>
        <w:ilvl w:val="4"/>
        <w:numId w:val="2"/>
      </w:numPr>
      <w:spacing w:before="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D287F"/>
    <w:pPr>
      <w:keepNext/>
      <w:keepLines/>
      <w:numPr>
        <w:ilvl w:val="5"/>
        <w:numId w:val="2"/>
      </w:numPr>
      <w:spacing w:before="40"/>
      <w:outlineLvl w:val="5"/>
    </w:pPr>
    <w:rPr>
      <w:rFonts w:eastAsiaTheme="majorEastAsia" w:cstheme="majorBidi"/>
      <w:color w:val="1F4D78" w:themeColor="accent1" w:themeShade="7F"/>
    </w:rPr>
  </w:style>
  <w:style w:type="paragraph" w:styleId="Heading7">
    <w:name w:val="heading 7"/>
    <w:basedOn w:val="Normal"/>
    <w:next w:val="Normal"/>
    <w:link w:val="Heading7Char"/>
    <w:semiHidden/>
    <w:unhideWhenUsed/>
    <w:qFormat/>
    <w:rsid w:val="007D287F"/>
    <w:pPr>
      <w:keepNext/>
      <w:keepLines/>
      <w:numPr>
        <w:ilvl w:val="6"/>
        <w:numId w:val="2"/>
      </w:numPr>
      <w:spacing w:before="40"/>
      <w:outlineLvl w:val="6"/>
    </w:pPr>
    <w:rPr>
      <w:rFonts w:eastAsiaTheme="majorEastAsia" w:cstheme="majorBidi"/>
      <w:i/>
      <w:iCs/>
      <w:color w:val="1F4D78" w:themeColor="accent1" w:themeShade="7F"/>
    </w:rPr>
  </w:style>
  <w:style w:type="paragraph" w:styleId="Heading8">
    <w:name w:val="heading 8"/>
    <w:basedOn w:val="Normal"/>
    <w:next w:val="Normal"/>
    <w:link w:val="Heading8Char"/>
    <w:semiHidden/>
    <w:unhideWhenUsed/>
    <w:qFormat/>
    <w:rsid w:val="007D287F"/>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7D287F"/>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1FF8"/>
    <w:rPr>
      <w:rFonts w:ascii="Times New Roman" w:eastAsia="Times New Roman" w:hAnsi="Times New Roman" w:cs="Times New Roman"/>
      <w:b/>
      <w:bCs/>
      <w:caps/>
      <w:color w:val="000000" w:themeColor="text1"/>
      <w:sz w:val="24"/>
      <w:szCs w:val="24"/>
    </w:rPr>
  </w:style>
  <w:style w:type="character" w:customStyle="1" w:styleId="Heading2Char">
    <w:name w:val="Heading 2 Char"/>
    <w:basedOn w:val="DefaultParagraphFont"/>
    <w:link w:val="Heading2"/>
    <w:uiPriority w:val="9"/>
    <w:rsid w:val="000654A5"/>
    <w:rPr>
      <w:rFonts w:ascii="Times New Roman" w:eastAsia="Times New Roman" w:hAnsi="Times New Roman" w:cs="Times New Roman"/>
      <w:iCs/>
      <w:sz w:val="24"/>
      <w:szCs w:val="24"/>
    </w:rPr>
  </w:style>
  <w:style w:type="character" w:customStyle="1" w:styleId="Heading3Char">
    <w:name w:val="Heading 3 Char"/>
    <w:basedOn w:val="DefaultParagraphFont"/>
    <w:link w:val="Heading3"/>
    <w:uiPriority w:val="9"/>
    <w:rsid w:val="00A41FF8"/>
    <w:rPr>
      <w:rFonts w:ascii="Times New Roman" w:eastAsia="Times New Roman" w:hAnsi="Times New Roman" w:cs="Arial"/>
      <w:bCs/>
      <w:iCs/>
      <w:sz w:val="24"/>
      <w:szCs w:val="26"/>
    </w:rPr>
  </w:style>
  <w:style w:type="character" w:customStyle="1" w:styleId="Heading4Char">
    <w:name w:val="Heading 4 Char"/>
    <w:basedOn w:val="DefaultParagraphFont"/>
    <w:link w:val="Heading4"/>
    <w:semiHidden/>
    <w:rsid w:val="007D287F"/>
    <w:rPr>
      <w:rFonts w:ascii="Arial" w:eastAsiaTheme="majorEastAsia" w:hAnsi="Arial" w:cstheme="majorBidi"/>
      <w:i/>
      <w:iCs/>
      <w:color w:val="2E74B5" w:themeColor="accent1" w:themeShade="BF"/>
      <w:sz w:val="24"/>
      <w:szCs w:val="24"/>
    </w:rPr>
  </w:style>
  <w:style w:type="character" w:customStyle="1" w:styleId="Heading5Char">
    <w:name w:val="Heading 5 Char"/>
    <w:basedOn w:val="DefaultParagraphFont"/>
    <w:link w:val="Heading5"/>
    <w:semiHidden/>
    <w:rsid w:val="007D287F"/>
    <w:rPr>
      <w:rFonts w:ascii="Arial" w:eastAsiaTheme="majorEastAsia" w:hAnsi="Arial" w:cstheme="majorBidi"/>
      <w:color w:val="2E74B5" w:themeColor="accent1" w:themeShade="BF"/>
      <w:sz w:val="24"/>
      <w:szCs w:val="24"/>
    </w:rPr>
  </w:style>
  <w:style w:type="character" w:customStyle="1" w:styleId="Heading6Char">
    <w:name w:val="Heading 6 Char"/>
    <w:basedOn w:val="DefaultParagraphFont"/>
    <w:link w:val="Heading6"/>
    <w:semiHidden/>
    <w:rsid w:val="007D287F"/>
    <w:rPr>
      <w:rFonts w:ascii="Arial" w:eastAsiaTheme="majorEastAsia" w:hAnsi="Arial" w:cstheme="majorBidi"/>
      <w:color w:val="1F4D78" w:themeColor="accent1" w:themeShade="7F"/>
      <w:sz w:val="24"/>
      <w:szCs w:val="24"/>
    </w:rPr>
  </w:style>
  <w:style w:type="character" w:customStyle="1" w:styleId="Heading7Char">
    <w:name w:val="Heading 7 Char"/>
    <w:basedOn w:val="DefaultParagraphFont"/>
    <w:link w:val="Heading7"/>
    <w:semiHidden/>
    <w:rsid w:val="007D287F"/>
    <w:rPr>
      <w:rFonts w:ascii="Arial" w:eastAsiaTheme="majorEastAsia" w:hAnsi="Arial" w:cstheme="majorBidi"/>
      <w:i/>
      <w:iCs/>
      <w:color w:val="1F4D78" w:themeColor="accent1" w:themeShade="7F"/>
      <w:sz w:val="24"/>
      <w:szCs w:val="24"/>
    </w:rPr>
  </w:style>
  <w:style w:type="character" w:customStyle="1" w:styleId="Heading8Char">
    <w:name w:val="Heading 8 Char"/>
    <w:basedOn w:val="DefaultParagraphFont"/>
    <w:link w:val="Heading8"/>
    <w:semiHidden/>
    <w:rsid w:val="007D287F"/>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semiHidden/>
    <w:rsid w:val="007D287F"/>
    <w:rPr>
      <w:rFonts w:ascii="Arial" w:eastAsiaTheme="majorEastAsia" w:hAnsi="Arial" w:cstheme="majorBidi"/>
      <w:i/>
      <w:iCs/>
      <w:color w:val="272727" w:themeColor="text1" w:themeTint="D8"/>
      <w:sz w:val="21"/>
      <w:szCs w:val="21"/>
    </w:rPr>
  </w:style>
  <w:style w:type="paragraph" w:styleId="Footer">
    <w:name w:val="footer"/>
    <w:basedOn w:val="Normal"/>
    <w:link w:val="FooterChar"/>
    <w:uiPriority w:val="99"/>
    <w:rsid w:val="007D287F"/>
    <w:pPr>
      <w:tabs>
        <w:tab w:val="center" w:pos="4320"/>
        <w:tab w:val="right" w:pos="8640"/>
      </w:tabs>
    </w:pPr>
  </w:style>
  <w:style w:type="character" w:customStyle="1" w:styleId="FooterChar">
    <w:name w:val="Footer Char"/>
    <w:basedOn w:val="DefaultParagraphFont"/>
    <w:link w:val="Footer"/>
    <w:uiPriority w:val="99"/>
    <w:rsid w:val="007D287F"/>
    <w:rPr>
      <w:rFonts w:ascii="Arial" w:eastAsia="Times New Roman" w:hAnsi="Arial" w:cs="Arial"/>
      <w:sz w:val="24"/>
      <w:szCs w:val="24"/>
    </w:rPr>
  </w:style>
  <w:style w:type="paragraph" w:styleId="Header">
    <w:name w:val="header"/>
    <w:basedOn w:val="Normal"/>
    <w:link w:val="HeaderChar"/>
    <w:uiPriority w:val="99"/>
    <w:rsid w:val="007D287F"/>
    <w:pPr>
      <w:tabs>
        <w:tab w:val="center" w:pos="4320"/>
        <w:tab w:val="right" w:pos="8640"/>
      </w:tabs>
    </w:pPr>
  </w:style>
  <w:style w:type="character" w:customStyle="1" w:styleId="HeaderChar">
    <w:name w:val="Header Char"/>
    <w:basedOn w:val="DefaultParagraphFont"/>
    <w:link w:val="Header"/>
    <w:uiPriority w:val="99"/>
    <w:rsid w:val="007D287F"/>
    <w:rPr>
      <w:rFonts w:ascii="Arial" w:eastAsia="Times New Roman" w:hAnsi="Arial" w:cs="Arial"/>
      <w:sz w:val="24"/>
      <w:szCs w:val="24"/>
    </w:rPr>
  </w:style>
  <w:style w:type="paragraph" w:customStyle="1" w:styleId="Level1">
    <w:name w:val="Level 1"/>
    <w:rsid w:val="007D287F"/>
    <w:pPr>
      <w:autoSpaceDE w:val="0"/>
      <w:autoSpaceDN w:val="0"/>
      <w:adjustRightInd w:val="0"/>
      <w:spacing w:after="0" w:line="240" w:lineRule="auto"/>
      <w:ind w:left="720"/>
    </w:pPr>
    <w:rPr>
      <w:rFonts w:ascii="Times New Roman" w:eastAsia="Times New Roman" w:hAnsi="Times New Roman" w:cs="Arial"/>
      <w:sz w:val="24"/>
      <w:szCs w:val="24"/>
    </w:rPr>
  </w:style>
  <w:style w:type="character" w:customStyle="1" w:styleId="SYSHYPERTEXT">
    <w:name w:val="SYS_HYPERTEXT"/>
    <w:rsid w:val="007D287F"/>
    <w:rPr>
      <w:noProof/>
      <w:color w:val="0000FF"/>
      <w:u w:val="single"/>
    </w:rPr>
  </w:style>
  <w:style w:type="character" w:customStyle="1" w:styleId="QuickFormat2">
    <w:name w:val="QuickFormat2"/>
    <w:rsid w:val="007D287F"/>
    <w:rPr>
      <w:rFonts w:ascii="Arial" w:hAnsi="Arial" w:cs="Arial"/>
    </w:rPr>
  </w:style>
  <w:style w:type="character" w:customStyle="1" w:styleId="QuickFormat3">
    <w:name w:val="QuickFormat3"/>
    <w:rsid w:val="007D287F"/>
    <w:rPr>
      <w:rFonts w:ascii="Arial" w:hAnsi="Arial" w:cs="Arial"/>
      <w:b/>
      <w:bCs/>
      <w:i/>
      <w:iCs/>
    </w:rPr>
  </w:style>
  <w:style w:type="paragraph" w:styleId="Title">
    <w:name w:val="Title"/>
    <w:basedOn w:val="Normal"/>
    <w:link w:val="TitleChar"/>
    <w:autoRedefine/>
    <w:uiPriority w:val="10"/>
    <w:qFormat/>
    <w:rsid w:val="007D287F"/>
    <w:pPr>
      <w:autoSpaceDE w:val="0"/>
      <w:autoSpaceDN w:val="0"/>
      <w:adjustRightInd w:val="0"/>
      <w:jc w:val="center"/>
    </w:pPr>
    <w:rPr>
      <w:sz w:val="28"/>
      <w:szCs w:val="28"/>
    </w:rPr>
  </w:style>
  <w:style w:type="character" w:customStyle="1" w:styleId="TitleChar">
    <w:name w:val="Title Char"/>
    <w:basedOn w:val="DefaultParagraphFont"/>
    <w:link w:val="Title"/>
    <w:rsid w:val="007D287F"/>
    <w:rPr>
      <w:rFonts w:ascii="Arial" w:eastAsia="Times New Roman" w:hAnsi="Arial" w:cs="Arial"/>
      <w:sz w:val="28"/>
      <w:szCs w:val="28"/>
    </w:rPr>
  </w:style>
  <w:style w:type="paragraph" w:styleId="BodyText">
    <w:name w:val="Body Text"/>
    <w:basedOn w:val="Normal"/>
    <w:link w:val="BodyTextChar"/>
    <w:rsid w:val="007D287F"/>
    <w:pPr>
      <w:autoSpaceDE w:val="0"/>
      <w:autoSpaceDN w:val="0"/>
      <w:adjustRightInd w:val="0"/>
    </w:pPr>
    <w:rPr>
      <w:sz w:val="22"/>
      <w:szCs w:val="22"/>
    </w:rPr>
  </w:style>
  <w:style w:type="character" w:customStyle="1" w:styleId="BodyTextChar">
    <w:name w:val="Body Text Char"/>
    <w:basedOn w:val="DefaultParagraphFont"/>
    <w:link w:val="BodyText"/>
    <w:rsid w:val="007D287F"/>
    <w:rPr>
      <w:rFonts w:ascii="Arial" w:eastAsia="Times New Roman" w:hAnsi="Arial" w:cs="Arial"/>
    </w:rPr>
  </w:style>
  <w:style w:type="paragraph" w:styleId="Subtitle">
    <w:name w:val="Subtitle"/>
    <w:basedOn w:val="Normal"/>
    <w:link w:val="SubtitleChar"/>
    <w:autoRedefine/>
    <w:uiPriority w:val="11"/>
    <w:qFormat/>
    <w:rsid w:val="007D287F"/>
    <w:pPr>
      <w:autoSpaceDE w:val="0"/>
      <w:autoSpaceDN w:val="0"/>
      <w:adjustRightInd w:val="0"/>
    </w:pPr>
    <w:rPr>
      <w:b/>
      <w:bCs/>
    </w:rPr>
  </w:style>
  <w:style w:type="character" w:customStyle="1" w:styleId="SubtitleChar">
    <w:name w:val="Subtitle Char"/>
    <w:basedOn w:val="DefaultParagraphFont"/>
    <w:link w:val="Subtitle"/>
    <w:rsid w:val="007D287F"/>
    <w:rPr>
      <w:rFonts w:ascii="Arial" w:eastAsia="Times New Roman" w:hAnsi="Arial" w:cs="Arial"/>
      <w:b/>
      <w:bCs/>
      <w:sz w:val="24"/>
      <w:szCs w:val="24"/>
    </w:rPr>
  </w:style>
  <w:style w:type="paragraph" w:styleId="BodyTextIndent">
    <w:name w:val="Body Text Indent"/>
    <w:basedOn w:val="Normal"/>
    <w:link w:val="BodyTextIndentChar"/>
    <w:rsid w:val="007D287F"/>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basedOn w:val="DefaultParagraphFont"/>
    <w:link w:val="BodyTextIndent"/>
    <w:rsid w:val="007D287F"/>
    <w:rPr>
      <w:rFonts w:ascii="Arial" w:eastAsia="Times New Roman" w:hAnsi="Arial" w:cs="Arial"/>
      <w:sz w:val="32"/>
      <w:szCs w:val="32"/>
    </w:rPr>
  </w:style>
  <w:style w:type="paragraph" w:customStyle="1" w:styleId="QuickFormat6">
    <w:name w:val="QuickFormat6"/>
    <w:rsid w:val="007D287F"/>
    <w:pPr>
      <w:autoSpaceDE w:val="0"/>
      <w:autoSpaceDN w:val="0"/>
      <w:adjustRightInd w:val="0"/>
      <w:spacing w:after="0" w:line="240" w:lineRule="auto"/>
    </w:pPr>
    <w:rPr>
      <w:rFonts w:ascii="Times New Roman" w:eastAsia="Times New Roman" w:hAnsi="Times New Roman" w:cs="Arial"/>
      <w:sz w:val="24"/>
      <w:szCs w:val="24"/>
    </w:rPr>
  </w:style>
  <w:style w:type="character" w:styleId="PageNumber">
    <w:name w:val="page number"/>
    <w:basedOn w:val="DefaultParagraphFont"/>
    <w:uiPriority w:val="99"/>
    <w:rsid w:val="007D287F"/>
  </w:style>
  <w:style w:type="paragraph" w:styleId="BodyText2">
    <w:name w:val="Body Text 2"/>
    <w:basedOn w:val="Normal"/>
    <w:link w:val="BodyText2Char"/>
    <w:rsid w:val="007D287F"/>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character" w:customStyle="1" w:styleId="BodyText2Char">
    <w:name w:val="Body Text 2 Char"/>
    <w:basedOn w:val="DefaultParagraphFont"/>
    <w:link w:val="BodyText2"/>
    <w:rsid w:val="007D287F"/>
    <w:rPr>
      <w:rFonts w:ascii="Arial" w:eastAsia="Times New Roman" w:hAnsi="Arial" w:cs="Arial"/>
      <w:noProof/>
      <w:sz w:val="24"/>
      <w:szCs w:val="24"/>
    </w:rPr>
  </w:style>
  <w:style w:type="paragraph" w:styleId="BodyTextIndent2">
    <w:name w:val="Body Text Indent 2"/>
    <w:basedOn w:val="Normal"/>
    <w:link w:val="BodyTextIndent2Char"/>
    <w:rsid w:val="007D287F"/>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character" w:customStyle="1" w:styleId="BodyTextIndent2Char">
    <w:name w:val="Body Text Indent 2 Char"/>
    <w:basedOn w:val="DefaultParagraphFont"/>
    <w:link w:val="BodyTextIndent2"/>
    <w:rsid w:val="007D287F"/>
    <w:rPr>
      <w:rFonts w:ascii="Arial" w:eastAsia="Times New Roman" w:hAnsi="Arial" w:cs="Arial"/>
      <w:sz w:val="17"/>
      <w:szCs w:val="17"/>
    </w:rPr>
  </w:style>
  <w:style w:type="paragraph" w:styleId="BodyTextIndent3">
    <w:name w:val="Body Text Indent 3"/>
    <w:basedOn w:val="Normal"/>
    <w:link w:val="BodyTextIndent3Char"/>
    <w:rsid w:val="007D287F"/>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character" w:customStyle="1" w:styleId="BodyTextIndent3Char">
    <w:name w:val="Body Text Indent 3 Char"/>
    <w:basedOn w:val="DefaultParagraphFont"/>
    <w:link w:val="BodyTextIndent3"/>
    <w:rsid w:val="007D287F"/>
    <w:rPr>
      <w:rFonts w:ascii="Arial" w:eastAsia="Times New Roman" w:hAnsi="Arial" w:cs="Arial"/>
      <w:sz w:val="20"/>
      <w:szCs w:val="24"/>
    </w:rPr>
  </w:style>
  <w:style w:type="paragraph" w:styleId="BlockText">
    <w:name w:val="Block Text"/>
    <w:basedOn w:val="Normal"/>
    <w:rsid w:val="007D287F"/>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7D287F"/>
    <w:pPr>
      <w:spacing w:after="0" w:line="240" w:lineRule="auto"/>
    </w:pPr>
    <w:rPr>
      <w:rFonts w:ascii="Times New Roman" w:eastAsia="Times New Roman" w:hAnsi="Times New Roman"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7D287F"/>
    <w:pPr>
      <w:ind w:left="480" w:hanging="480"/>
    </w:pPr>
  </w:style>
  <w:style w:type="character" w:styleId="Hyperlink">
    <w:name w:val="Hyperlink"/>
    <w:uiPriority w:val="99"/>
    <w:qFormat/>
    <w:rsid w:val="007D287F"/>
    <w:rPr>
      <w:rFonts w:ascii="Arial" w:hAnsi="Arial"/>
      <w:color w:val="auto"/>
      <w:sz w:val="24"/>
      <w:u w:val="none"/>
    </w:rPr>
  </w:style>
  <w:style w:type="paragraph" w:styleId="TOC1">
    <w:name w:val="toc 1"/>
    <w:basedOn w:val="Normal"/>
    <w:next w:val="Normal"/>
    <w:autoRedefine/>
    <w:uiPriority w:val="39"/>
    <w:rsid w:val="003F646B"/>
    <w:pPr>
      <w:tabs>
        <w:tab w:val="right" w:leader="dot" w:pos="9350"/>
      </w:tabs>
      <w:spacing w:before="120"/>
    </w:pPr>
    <w:rPr>
      <w:rFonts w:asciiTheme="minorHAnsi" w:hAnsiTheme="minorHAnsi" w:cstheme="minorHAnsi"/>
      <w:b/>
      <w:bCs/>
      <w:i/>
      <w:iCs/>
    </w:rPr>
  </w:style>
  <w:style w:type="paragraph" w:styleId="TOC2">
    <w:name w:val="toc 2"/>
    <w:basedOn w:val="Normal"/>
    <w:next w:val="Normal"/>
    <w:autoRedefine/>
    <w:uiPriority w:val="39"/>
    <w:rsid w:val="00C72EA1"/>
    <w:pPr>
      <w:tabs>
        <w:tab w:val="right" w:leader="dot" w:pos="9350"/>
      </w:tabs>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rsid w:val="00C72EA1"/>
    <w:pPr>
      <w:tabs>
        <w:tab w:val="right" w:leader="dot" w:pos="9350"/>
      </w:tabs>
      <w:ind w:left="480"/>
    </w:pPr>
    <w:rPr>
      <w:rFonts w:asciiTheme="minorHAnsi" w:hAnsiTheme="minorHAnsi" w:cstheme="minorHAnsi"/>
      <w:sz w:val="20"/>
      <w:szCs w:val="20"/>
    </w:rPr>
  </w:style>
  <w:style w:type="paragraph" w:styleId="TOC4">
    <w:name w:val="toc 4"/>
    <w:basedOn w:val="Normal"/>
    <w:next w:val="Normal"/>
    <w:autoRedefine/>
    <w:uiPriority w:val="39"/>
    <w:semiHidden/>
    <w:rsid w:val="007D287F"/>
    <w:pPr>
      <w:ind w:left="720"/>
    </w:pPr>
    <w:rPr>
      <w:rFonts w:asciiTheme="minorHAnsi" w:hAnsiTheme="minorHAnsi" w:cstheme="minorHAnsi"/>
      <w:sz w:val="20"/>
      <w:szCs w:val="20"/>
    </w:rPr>
  </w:style>
  <w:style w:type="paragraph" w:styleId="TOC5">
    <w:name w:val="toc 5"/>
    <w:basedOn w:val="Normal"/>
    <w:next w:val="Normal"/>
    <w:autoRedefine/>
    <w:uiPriority w:val="39"/>
    <w:semiHidden/>
    <w:rsid w:val="007D287F"/>
    <w:pPr>
      <w:ind w:left="960"/>
    </w:pPr>
    <w:rPr>
      <w:rFonts w:asciiTheme="minorHAnsi" w:hAnsiTheme="minorHAnsi" w:cstheme="minorHAnsi"/>
      <w:sz w:val="20"/>
      <w:szCs w:val="20"/>
    </w:rPr>
  </w:style>
  <w:style w:type="paragraph" w:styleId="TOC6">
    <w:name w:val="toc 6"/>
    <w:basedOn w:val="Normal"/>
    <w:next w:val="Normal"/>
    <w:autoRedefine/>
    <w:uiPriority w:val="39"/>
    <w:semiHidden/>
    <w:rsid w:val="007D287F"/>
    <w:pPr>
      <w:ind w:left="1200"/>
    </w:pPr>
    <w:rPr>
      <w:rFonts w:asciiTheme="minorHAnsi" w:hAnsiTheme="minorHAnsi" w:cstheme="minorHAnsi"/>
      <w:sz w:val="20"/>
      <w:szCs w:val="20"/>
    </w:rPr>
  </w:style>
  <w:style w:type="paragraph" w:styleId="TOC7">
    <w:name w:val="toc 7"/>
    <w:basedOn w:val="Normal"/>
    <w:next w:val="Normal"/>
    <w:autoRedefine/>
    <w:uiPriority w:val="39"/>
    <w:semiHidden/>
    <w:rsid w:val="007D287F"/>
    <w:pPr>
      <w:ind w:left="1440"/>
    </w:pPr>
    <w:rPr>
      <w:rFonts w:asciiTheme="minorHAnsi" w:hAnsiTheme="minorHAnsi" w:cstheme="minorHAnsi"/>
      <w:sz w:val="20"/>
      <w:szCs w:val="20"/>
    </w:rPr>
  </w:style>
  <w:style w:type="paragraph" w:styleId="TOC8">
    <w:name w:val="toc 8"/>
    <w:basedOn w:val="Normal"/>
    <w:next w:val="Normal"/>
    <w:autoRedefine/>
    <w:uiPriority w:val="39"/>
    <w:semiHidden/>
    <w:rsid w:val="007D287F"/>
    <w:pPr>
      <w:ind w:left="1680"/>
    </w:pPr>
    <w:rPr>
      <w:rFonts w:asciiTheme="minorHAnsi" w:hAnsiTheme="minorHAnsi" w:cstheme="minorHAnsi"/>
      <w:sz w:val="20"/>
      <w:szCs w:val="20"/>
    </w:rPr>
  </w:style>
  <w:style w:type="paragraph" w:styleId="TOC9">
    <w:name w:val="toc 9"/>
    <w:basedOn w:val="Normal"/>
    <w:next w:val="Normal"/>
    <w:autoRedefine/>
    <w:uiPriority w:val="39"/>
    <w:semiHidden/>
    <w:rsid w:val="007D287F"/>
    <w:pPr>
      <w:ind w:left="1920"/>
    </w:pPr>
    <w:rPr>
      <w:rFonts w:asciiTheme="minorHAnsi" w:hAnsiTheme="minorHAnsi" w:cstheme="minorHAnsi"/>
      <w:sz w:val="20"/>
      <w:szCs w:val="20"/>
    </w:rPr>
  </w:style>
  <w:style w:type="paragraph" w:customStyle="1" w:styleId="thesistext">
    <w:name w:val="thesis text"/>
    <w:basedOn w:val="Normal"/>
    <w:autoRedefine/>
    <w:rsid w:val="007D287F"/>
    <w:pPr>
      <w:spacing w:after="240"/>
      <w:ind w:firstLine="540"/>
    </w:pPr>
    <w:rPr>
      <w:lang w:eastAsia="es-ES"/>
    </w:rPr>
  </w:style>
  <w:style w:type="paragraph" w:customStyle="1" w:styleId="StyleHeading1Centered">
    <w:name w:val="Style Heading 1 + Centered"/>
    <w:basedOn w:val="Heading1"/>
    <w:link w:val="StyleHeading1CenteredChar"/>
    <w:rsid w:val="007D287F"/>
    <w:rPr>
      <w:caps w:val="0"/>
    </w:rPr>
  </w:style>
  <w:style w:type="character" w:customStyle="1" w:styleId="StyleHeading1CenteredChar">
    <w:name w:val="Style Heading 1 + Centered Char"/>
    <w:link w:val="StyleHeading1Centered"/>
    <w:rsid w:val="007D287F"/>
    <w:rPr>
      <w:rFonts w:ascii="Times New Roman" w:eastAsia="Times New Roman" w:hAnsi="Times New Roman" w:cs="Times New Roman"/>
      <w:b/>
      <w:bCs/>
      <w:color w:val="000000" w:themeColor="text1"/>
      <w:sz w:val="24"/>
      <w:szCs w:val="28"/>
    </w:rPr>
  </w:style>
  <w:style w:type="paragraph" w:styleId="TOCHeading">
    <w:name w:val="TOC Heading"/>
    <w:basedOn w:val="Heading1"/>
    <w:next w:val="Normal"/>
    <w:autoRedefine/>
    <w:uiPriority w:val="39"/>
    <w:unhideWhenUsed/>
    <w:qFormat/>
    <w:rsid w:val="00CF3D58"/>
    <w:pPr>
      <w:keepNext/>
      <w:keepLines/>
      <w:autoSpaceDE/>
      <w:autoSpaceDN/>
      <w:adjustRightInd/>
      <w:spacing w:line="259" w:lineRule="auto"/>
      <w:outlineLvl w:val="9"/>
    </w:pPr>
    <w:rPr>
      <w:bCs w:val="0"/>
      <w:color w:val="auto"/>
    </w:rPr>
  </w:style>
  <w:style w:type="character" w:styleId="Strong">
    <w:name w:val="Strong"/>
    <w:basedOn w:val="DefaultParagraphFont"/>
    <w:qFormat/>
    <w:rsid w:val="007D287F"/>
    <w:rPr>
      <w:rFonts w:asciiTheme="majorHAnsi" w:hAnsiTheme="majorHAnsi"/>
      <w:b/>
      <w:bCs/>
    </w:rPr>
  </w:style>
  <w:style w:type="character" w:styleId="IntenseEmphasis">
    <w:name w:val="Intense Emphasis"/>
    <w:basedOn w:val="DefaultParagraphFont"/>
    <w:uiPriority w:val="21"/>
    <w:qFormat/>
    <w:rsid w:val="007D287F"/>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7D287F"/>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7D287F"/>
    <w:rPr>
      <w:rFonts w:ascii="Arial" w:eastAsia="Times New Roman" w:hAnsi="Arial" w:cs="Arial"/>
      <w:i/>
      <w:iCs/>
      <w:color w:val="000000" w:themeColor="text1"/>
      <w:sz w:val="24"/>
      <w:szCs w:val="24"/>
    </w:rPr>
  </w:style>
  <w:style w:type="character" w:styleId="SubtleReference">
    <w:name w:val="Subtle Reference"/>
    <w:basedOn w:val="DefaultParagraphFont"/>
    <w:uiPriority w:val="31"/>
    <w:qFormat/>
    <w:rsid w:val="007D287F"/>
    <w:rPr>
      <w:rFonts w:asciiTheme="majorHAnsi" w:hAnsiTheme="majorHAnsi"/>
      <w:smallCaps/>
      <w:color w:val="5A5A5A" w:themeColor="text1" w:themeTint="A5"/>
    </w:rPr>
  </w:style>
  <w:style w:type="character" w:styleId="IntenseReference">
    <w:name w:val="Intense Reference"/>
    <w:basedOn w:val="DefaultParagraphFont"/>
    <w:uiPriority w:val="32"/>
    <w:qFormat/>
    <w:rsid w:val="007D287F"/>
    <w:rPr>
      <w:b/>
      <w:bCs/>
      <w:smallCaps/>
      <w:color w:val="000000" w:themeColor="text1"/>
      <w:spacing w:val="5"/>
    </w:rPr>
  </w:style>
  <w:style w:type="character" w:styleId="Emphasis">
    <w:name w:val="Emphasis"/>
    <w:basedOn w:val="DefaultParagraphFont"/>
    <w:qFormat/>
    <w:rsid w:val="007D287F"/>
    <w:rPr>
      <w:rFonts w:asciiTheme="majorHAnsi" w:hAnsiTheme="majorHAnsi"/>
      <w:i/>
      <w:iCs/>
    </w:rPr>
  </w:style>
  <w:style w:type="paragraph" w:styleId="NoSpacing">
    <w:name w:val="No Spacing"/>
    <w:autoRedefine/>
    <w:uiPriority w:val="1"/>
    <w:qFormat/>
    <w:rsid w:val="007D287F"/>
    <w:pPr>
      <w:spacing w:after="0" w:line="240" w:lineRule="auto"/>
    </w:pPr>
    <w:rPr>
      <w:rFonts w:asciiTheme="majorHAnsi" w:eastAsia="Times New Roman" w:hAnsiTheme="majorHAnsi" w:cs="Arial"/>
      <w:sz w:val="24"/>
      <w:szCs w:val="24"/>
    </w:rPr>
  </w:style>
  <w:style w:type="character" w:styleId="SubtleEmphasis">
    <w:name w:val="Subtle Emphasis"/>
    <w:basedOn w:val="DefaultParagraphFont"/>
    <w:uiPriority w:val="19"/>
    <w:qFormat/>
    <w:rsid w:val="007D287F"/>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7D287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D287F"/>
    <w:rPr>
      <w:rFonts w:ascii="Arial" w:eastAsia="Times New Roman" w:hAnsi="Arial" w:cs="Arial"/>
      <w:i/>
      <w:iCs/>
      <w:color w:val="404040" w:themeColor="text1" w:themeTint="BF"/>
      <w:sz w:val="24"/>
      <w:szCs w:val="24"/>
    </w:rPr>
  </w:style>
  <w:style w:type="paragraph" w:styleId="ListParagraph">
    <w:name w:val="List Paragraph"/>
    <w:basedOn w:val="Normal"/>
    <w:autoRedefine/>
    <w:uiPriority w:val="34"/>
    <w:qFormat/>
    <w:rsid w:val="007D287F"/>
    <w:pPr>
      <w:ind w:left="720"/>
      <w:contextualSpacing/>
    </w:pPr>
  </w:style>
  <w:style w:type="character" w:styleId="FollowedHyperlink">
    <w:name w:val="FollowedHyperlink"/>
    <w:basedOn w:val="DefaultParagraphFont"/>
    <w:uiPriority w:val="99"/>
    <w:semiHidden/>
    <w:unhideWhenUsed/>
    <w:rsid w:val="007D287F"/>
    <w:rPr>
      <w:color w:val="954F72" w:themeColor="followedHyperlink"/>
      <w:u w:val="single"/>
    </w:rPr>
  </w:style>
  <w:style w:type="numbering" w:customStyle="1" w:styleId="Caption2">
    <w:name w:val="Caption2"/>
    <w:basedOn w:val="NoList"/>
    <w:uiPriority w:val="99"/>
    <w:rsid w:val="007D287F"/>
    <w:pPr>
      <w:numPr>
        <w:numId w:val="1"/>
      </w:numPr>
    </w:pPr>
  </w:style>
  <w:style w:type="paragraph" w:customStyle="1" w:styleId="Chapter">
    <w:name w:val="Chapter"/>
    <w:basedOn w:val="Heading1"/>
    <w:next w:val="Heading1"/>
    <w:link w:val="ChapterChar"/>
    <w:autoRedefine/>
    <w:rsid w:val="007D287F"/>
  </w:style>
  <w:style w:type="paragraph" w:styleId="Caption">
    <w:name w:val="caption"/>
    <w:basedOn w:val="Normal"/>
    <w:next w:val="Normal"/>
    <w:autoRedefine/>
    <w:uiPriority w:val="35"/>
    <w:unhideWhenUsed/>
    <w:qFormat/>
    <w:rsid w:val="007D287F"/>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7D287F"/>
    <w:rPr>
      <w:rFonts w:ascii="Times New Roman" w:eastAsia="Times New Roman" w:hAnsi="Times New Roman" w:cs="Times New Roman"/>
      <w:b/>
      <w:bCs/>
      <w:caps/>
      <w:color w:val="000000" w:themeColor="text1"/>
      <w:sz w:val="24"/>
      <w:szCs w:val="24"/>
    </w:rPr>
  </w:style>
  <w:style w:type="numbering" w:styleId="111111">
    <w:name w:val="Outline List 2"/>
    <w:basedOn w:val="NoList"/>
    <w:semiHidden/>
    <w:unhideWhenUsed/>
    <w:rsid w:val="007D287F"/>
    <w:pPr>
      <w:numPr>
        <w:numId w:val="3"/>
      </w:numPr>
    </w:pPr>
  </w:style>
  <w:style w:type="table" w:styleId="GridTable5Dark">
    <w:name w:val="Grid Table 5 Dark"/>
    <w:basedOn w:val="TableNormal"/>
    <w:uiPriority w:val="50"/>
    <w:rsid w:val="007D287F"/>
    <w:pPr>
      <w:spacing w:after="0" w:line="240" w:lineRule="auto"/>
    </w:pPr>
    <w:rPr>
      <w:rFonts w:ascii="Times New Roman" w:eastAsia="Times New Roman" w:hAnsi="Times New Roman" w:cs="Arial"/>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7D287F"/>
    <w:pPr>
      <w:spacing w:after="0" w:line="240" w:lineRule="auto"/>
    </w:pPr>
    <w:rPr>
      <w:rFonts w:ascii="Times New Roman" w:eastAsia="Times New Roman" w:hAnsi="Times New Roman" w:cs="Arial"/>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ltHeading1">
    <w:name w:val="AltHeading1"/>
    <w:basedOn w:val="Heading1"/>
    <w:autoRedefine/>
    <w:qFormat/>
    <w:rsid w:val="000654A5"/>
    <w:pPr>
      <w:numPr>
        <w:ilvl w:val="12"/>
      </w:numPr>
    </w:pPr>
    <w:rPr>
      <w:bCs w:val="0"/>
    </w:rPr>
  </w:style>
  <w:style w:type="paragraph" w:styleId="CommentText">
    <w:name w:val="annotation text"/>
    <w:basedOn w:val="Normal"/>
    <w:link w:val="CommentTextChar"/>
    <w:uiPriority w:val="99"/>
    <w:rsid w:val="007D287F"/>
    <w:rPr>
      <w:rFonts w:ascii="Times New Roman" w:hAnsi="Times New Roman" w:cs="Times New Roman"/>
      <w:sz w:val="20"/>
      <w:szCs w:val="20"/>
    </w:rPr>
  </w:style>
  <w:style w:type="character" w:customStyle="1" w:styleId="CommentTextChar">
    <w:name w:val="Comment Text Char"/>
    <w:basedOn w:val="DefaultParagraphFont"/>
    <w:link w:val="CommentText"/>
    <w:uiPriority w:val="99"/>
    <w:rsid w:val="007D287F"/>
    <w:rPr>
      <w:rFonts w:ascii="Times New Roman" w:eastAsia="Times New Roman" w:hAnsi="Times New Roman" w:cs="Times New Roman"/>
      <w:sz w:val="20"/>
      <w:szCs w:val="20"/>
    </w:rPr>
  </w:style>
  <w:style w:type="paragraph" w:styleId="Bibliography">
    <w:name w:val="Bibliography"/>
    <w:basedOn w:val="Normal"/>
    <w:next w:val="Normal"/>
    <w:uiPriority w:val="37"/>
    <w:unhideWhenUsed/>
    <w:rsid w:val="007D287F"/>
    <w:pPr>
      <w:spacing w:line="480" w:lineRule="auto"/>
      <w:ind w:left="720" w:hanging="720"/>
    </w:pPr>
  </w:style>
  <w:style w:type="character" w:customStyle="1" w:styleId="UnresolvedMention1">
    <w:name w:val="Unresolved Mention1"/>
    <w:basedOn w:val="DefaultParagraphFont"/>
    <w:uiPriority w:val="99"/>
    <w:semiHidden/>
    <w:unhideWhenUsed/>
    <w:rsid w:val="00672CCA"/>
    <w:rPr>
      <w:color w:val="605E5C"/>
      <w:shd w:val="clear" w:color="auto" w:fill="E1DFDD"/>
    </w:rPr>
  </w:style>
  <w:style w:type="paragraph" w:styleId="BalloonText">
    <w:name w:val="Balloon Text"/>
    <w:basedOn w:val="Normal"/>
    <w:link w:val="BalloonTextChar"/>
    <w:uiPriority w:val="99"/>
    <w:semiHidden/>
    <w:unhideWhenUsed/>
    <w:rsid w:val="00D10D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0DF2"/>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B16BD1"/>
    <w:rPr>
      <w:sz w:val="16"/>
      <w:szCs w:val="16"/>
    </w:rPr>
  </w:style>
  <w:style w:type="paragraph" w:styleId="CommentSubject">
    <w:name w:val="annotation subject"/>
    <w:basedOn w:val="CommentText"/>
    <w:next w:val="CommentText"/>
    <w:link w:val="CommentSubjectChar"/>
    <w:uiPriority w:val="99"/>
    <w:semiHidden/>
    <w:unhideWhenUsed/>
    <w:rsid w:val="00B16BD1"/>
    <w:rPr>
      <w:rFonts w:ascii="Arial" w:hAnsi="Arial" w:cs="Arial"/>
      <w:b/>
      <w:bCs/>
    </w:rPr>
  </w:style>
  <w:style w:type="character" w:customStyle="1" w:styleId="CommentSubjectChar">
    <w:name w:val="Comment Subject Char"/>
    <w:basedOn w:val="CommentTextChar"/>
    <w:link w:val="CommentSubject"/>
    <w:uiPriority w:val="99"/>
    <w:semiHidden/>
    <w:rsid w:val="00B16BD1"/>
    <w:rPr>
      <w:rFonts w:ascii="Arial" w:eastAsia="Times New Roman" w:hAnsi="Arial" w:cs="Arial"/>
      <w:b/>
      <w:bCs/>
      <w:sz w:val="20"/>
      <w:szCs w:val="20"/>
    </w:rPr>
  </w:style>
  <w:style w:type="paragraph" w:styleId="Revision">
    <w:name w:val="Revision"/>
    <w:hidden/>
    <w:uiPriority w:val="99"/>
    <w:semiHidden/>
    <w:rsid w:val="00B44FC2"/>
    <w:pPr>
      <w:spacing w:after="0" w:line="240" w:lineRule="auto"/>
    </w:pPr>
    <w:rPr>
      <w:rFonts w:ascii="Arial" w:eastAsia="Times New Roman" w:hAnsi="Arial" w:cs="Arial"/>
      <w:sz w:val="24"/>
      <w:szCs w:val="24"/>
    </w:rPr>
  </w:style>
  <w:style w:type="character" w:styleId="FootnoteReference">
    <w:name w:val="footnote reference"/>
    <w:basedOn w:val="DefaultParagraphFont"/>
    <w:uiPriority w:val="99"/>
    <w:semiHidden/>
    <w:unhideWhenUsed/>
    <w:rsid w:val="00FD022F"/>
    <w:rPr>
      <w:vertAlign w:val="superscript"/>
    </w:rPr>
  </w:style>
  <w:style w:type="paragraph" w:customStyle="1" w:styleId="Style2">
    <w:name w:val="Style2"/>
    <w:basedOn w:val="Normal"/>
    <w:qFormat/>
    <w:rsid w:val="00C016E8"/>
    <w:pPr>
      <w:spacing w:line="480" w:lineRule="auto"/>
    </w:pPr>
    <w:rPr>
      <w:rFonts w:ascii="Times" w:eastAsia="Times" w:hAnsi="Times" w:cs="Times"/>
      <w:i/>
      <w:color w:val="000000"/>
    </w:rPr>
  </w:style>
  <w:style w:type="table" w:styleId="PlainTable5">
    <w:name w:val="Plain Table 5"/>
    <w:basedOn w:val="TableNormal"/>
    <w:uiPriority w:val="45"/>
    <w:rsid w:val="00C016E8"/>
    <w:pPr>
      <w:spacing w:after="0" w:line="240" w:lineRule="auto"/>
    </w:pPr>
    <w:rPr>
      <w:rFonts w:ascii="Calibri" w:eastAsia="Calibri" w:hAnsi="Calibri" w:cs="Calibri"/>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C016E8"/>
    <w:pPr>
      <w:spacing w:after="0" w:line="240" w:lineRule="auto"/>
    </w:pPr>
    <w:rPr>
      <w:rFonts w:ascii="Calibri" w:eastAsia="Calibri" w:hAnsi="Calibri" w:cs="Calibri"/>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C016E8"/>
    <w:pPr>
      <w:spacing w:after="0" w:line="240" w:lineRule="auto"/>
    </w:pPr>
    <w:rPr>
      <w:rFonts w:ascii="Calibri" w:eastAsia="Calibri" w:hAnsi="Calibri" w:cs="Calibri"/>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016E8"/>
    <w:pPr>
      <w:spacing w:after="0" w:line="240" w:lineRule="auto"/>
    </w:pPr>
    <w:rPr>
      <w:rFonts w:ascii="Calibri" w:eastAsia="Calibri" w:hAnsi="Calibri" w:cs="Calibri"/>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016E8"/>
    <w:pPr>
      <w:spacing w:after="0" w:line="240" w:lineRule="auto"/>
    </w:pPr>
    <w:rPr>
      <w:rFonts w:ascii="Calibri" w:eastAsia="Calibri" w:hAnsi="Calibri" w:cs="Calibri"/>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C016E8"/>
    <w:pPr>
      <w:spacing w:after="0" w:line="240" w:lineRule="auto"/>
    </w:pPr>
    <w:rPr>
      <w:rFonts w:ascii="Calibri" w:eastAsia="Calibri" w:hAnsi="Calibri" w:cs="Calibri"/>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C016E8"/>
    <w:pPr>
      <w:spacing w:after="0" w:line="240" w:lineRule="auto"/>
    </w:pPr>
    <w:rPr>
      <w:rFonts w:ascii="Calibri" w:eastAsia="Calibri" w:hAnsi="Calibri" w:cs="Calibri"/>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C016E8"/>
    <w:rPr>
      <w:color w:val="808080"/>
    </w:rPr>
  </w:style>
  <w:style w:type="paragraph" w:styleId="FootnoteText">
    <w:name w:val="footnote text"/>
    <w:basedOn w:val="Normal"/>
    <w:link w:val="FootnoteTextChar"/>
    <w:uiPriority w:val="99"/>
    <w:semiHidden/>
    <w:unhideWhenUsed/>
    <w:rsid w:val="00C016E8"/>
    <w:rPr>
      <w:rFonts w:ascii="Calibri" w:eastAsiaTheme="minorEastAsia" w:hAnsi="Calibri" w:cs="Calibri"/>
      <w:sz w:val="20"/>
      <w:szCs w:val="20"/>
    </w:rPr>
  </w:style>
  <w:style w:type="character" w:customStyle="1" w:styleId="FootnoteTextChar">
    <w:name w:val="Footnote Text Char"/>
    <w:basedOn w:val="DefaultParagraphFont"/>
    <w:link w:val="FootnoteText"/>
    <w:uiPriority w:val="99"/>
    <w:semiHidden/>
    <w:rsid w:val="00C016E8"/>
    <w:rPr>
      <w:rFonts w:ascii="Calibri" w:hAnsi="Calibri" w:cs="Calibri"/>
      <w:sz w:val="20"/>
      <w:szCs w:val="20"/>
    </w:rPr>
  </w:style>
  <w:style w:type="character" w:styleId="EndnoteReference">
    <w:name w:val="endnote reference"/>
    <w:basedOn w:val="DefaultParagraphFont"/>
    <w:uiPriority w:val="99"/>
    <w:semiHidden/>
    <w:unhideWhenUsed/>
    <w:rsid w:val="00C016E8"/>
    <w:rPr>
      <w:vertAlign w:val="superscript"/>
    </w:rPr>
  </w:style>
  <w:style w:type="paragraph" w:styleId="NormalWeb">
    <w:name w:val="Normal (Web)"/>
    <w:basedOn w:val="Normal"/>
    <w:uiPriority w:val="99"/>
    <w:semiHidden/>
    <w:unhideWhenUsed/>
    <w:rsid w:val="00C016E8"/>
    <w:pPr>
      <w:spacing w:before="100" w:beforeAutospacing="1" w:after="100" w:afterAutospacing="1"/>
    </w:pPr>
    <w:rPr>
      <w:rFonts w:ascii="Times New Roman" w:hAnsi="Times New Roman" w:cs="Times New Roman"/>
    </w:rPr>
  </w:style>
  <w:style w:type="table" w:styleId="GridTable5Dark-Accent2">
    <w:name w:val="Grid Table 5 Dark Accent 2"/>
    <w:basedOn w:val="TableNormal"/>
    <w:uiPriority w:val="50"/>
    <w:rsid w:val="00C016E8"/>
    <w:pPr>
      <w:spacing w:after="0" w:line="240" w:lineRule="auto"/>
    </w:pPr>
    <w:rPr>
      <w:rFonts w:ascii="Calibri" w:eastAsia="Calibri" w:hAnsi="Calibri" w:cs="Calibri"/>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4-Accent2">
    <w:name w:val="Grid Table 4 Accent 2"/>
    <w:basedOn w:val="TableNormal"/>
    <w:uiPriority w:val="49"/>
    <w:rsid w:val="00C016E8"/>
    <w:pPr>
      <w:spacing w:after="0" w:line="240" w:lineRule="auto"/>
    </w:pPr>
    <w:rPr>
      <w:rFonts w:ascii="Calibri" w:eastAsia="Calibri" w:hAnsi="Calibri" w:cs="Calibri"/>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UnresolvedMention">
    <w:name w:val="Unresolved Mention"/>
    <w:basedOn w:val="DefaultParagraphFont"/>
    <w:uiPriority w:val="99"/>
    <w:semiHidden/>
    <w:unhideWhenUsed/>
    <w:rsid w:val="00C016E8"/>
    <w:rPr>
      <w:color w:val="605E5C"/>
      <w:shd w:val="clear" w:color="auto" w:fill="E1DFDD"/>
    </w:rPr>
  </w:style>
  <w:style w:type="table" w:styleId="GridTable1Light-Accent1">
    <w:name w:val="Grid Table 1 Light Accent 1"/>
    <w:basedOn w:val="TableNormal"/>
    <w:uiPriority w:val="46"/>
    <w:rsid w:val="00C016E8"/>
    <w:pPr>
      <w:spacing w:after="0" w:line="240" w:lineRule="auto"/>
    </w:pPr>
    <w:rPr>
      <w:rFonts w:ascii="Calibri" w:eastAsia="Calibri" w:hAnsi="Calibri" w:cs="Calibri"/>
      <w:sz w:val="24"/>
      <w:szCs w:val="24"/>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016E8"/>
    <w:pPr>
      <w:spacing w:after="0" w:line="240" w:lineRule="auto"/>
    </w:pPr>
    <w:rPr>
      <w:rFonts w:ascii="Calibri" w:eastAsia="Calibri" w:hAnsi="Calibri" w:cs="Calibri"/>
      <w:sz w:val="24"/>
      <w:szCs w:val="24"/>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Style1">
    <w:name w:val="Style1"/>
    <w:basedOn w:val="Normal"/>
    <w:qFormat/>
    <w:rsid w:val="00C016E8"/>
    <w:rPr>
      <w:rFonts w:ascii="Times New Roman" w:eastAsiaTheme="minorEastAsia" w:hAnsi="Times New Roman" w:cs="Calibri"/>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991513">
      <w:bodyDiv w:val="1"/>
      <w:marLeft w:val="0"/>
      <w:marRight w:val="0"/>
      <w:marTop w:val="0"/>
      <w:marBottom w:val="0"/>
      <w:divBdr>
        <w:top w:val="none" w:sz="0" w:space="0" w:color="auto"/>
        <w:left w:val="none" w:sz="0" w:space="0" w:color="auto"/>
        <w:bottom w:val="none" w:sz="0" w:space="0" w:color="auto"/>
        <w:right w:val="none" w:sz="0" w:space="0" w:color="auto"/>
      </w:divBdr>
    </w:div>
    <w:div w:id="752241547">
      <w:bodyDiv w:val="1"/>
      <w:marLeft w:val="0"/>
      <w:marRight w:val="0"/>
      <w:marTop w:val="0"/>
      <w:marBottom w:val="0"/>
      <w:divBdr>
        <w:top w:val="none" w:sz="0" w:space="0" w:color="auto"/>
        <w:left w:val="none" w:sz="0" w:space="0" w:color="auto"/>
        <w:bottom w:val="none" w:sz="0" w:space="0" w:color="auto"/>
        <w:right w:val="none" w:sz="0" w:space="0" w:color="auto"/>
      </w:divBdr>
    </w:div>
    <w:div w:id="20208155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1.emf"/><Relationship Id="rId26" Type="http://schemas.openxmlformats.org/officeDocument/2006/relationships/image" Target="media/image6.jpeg"/><Relationship Id="rId39" Type="http://schemas.openxmlformats.org/officeDocument/2006/relationships/image" Target="media/image15.jpeg"/><Relationship Id="rId21" Type="http://schemas.openxmlformats.org/officeDocument/2006/relationships/chart" Target="charts/chart1.xml"/><Relationship Id="rId34" Type="http://schemas.openxmlformats.org/officeDocument/2006/relationships/image" Target="media/image10.jpeg"/><Relationship Id="rId42" Type="http://schemas.openxmlformats.org/officeDocument/2006/relationships/image" Target="media/image18.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4.jpeg"/><Relationship Id="rId32" Type="http://schemas.openxmlformats.org/officeDocument/2006/relationships/chart" Target="charts/chart7.xml"/><Relationship Id="rId37" Type="http://schemas.openxmlformats.org/officeDocument/2006/relationships/image" Target="media/image13.jpeg"/><Relationship Id="rId40" Type="http://schemas.openxmlformats.org/officeDocument/2006/relationships/image" Target="media/image16.jpe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chart" Target="charts/chart3.xml"/><Relationship Id="rId28" Type="http://schemas.openxmlformats.org/officeDocument/2006/relationships/image" Target="media/image8.png"/><Relationship Id="rId36" Type="http://schemas.openxmlformats.org/officeDocument/2006/relationships/image" Target="media/image12.jpeg"/><Relationship Id="rId10" Type="http://schemas.openxmlformats.org/officeDocument/2006/relationships/footer" Target="footer1.xml"/><Relationship Id="rId19" Type="http://schemas.openxmlformats.org/officeDocument/2006/relationships/image" Target="media/image2.png"/><Relationship Id="rId31" Type="http://schemas.openxmlformats.org/officeDocument/2006/relationships/chart" Target="charts/chart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chart" Target="charts/chart2.xml"/><Relationship Id="rId27" Type="http://schemas.openxmlformats.org/officeDocument/2006/relationships/image" Target="media/image7.emf"/><Relationship Id="rId30" Type="http://schemas.openxmlformats.org/officeDocument/2006/relationships/chart" Target="charts/chart5.xml"/><Relationship Id="rId35" Type="http://schemas.openxmlformats.org/officeDocument/2006/relationships/image" Target="media/image11.jpeg"/><Relationship Id="rId43" Type="http://schemas.openxmlformats.org/officeDocument/2006/relationships/image" Target="media/image19.jpeg"/><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6.xml"/><Relationship Id="rId25" Type="http://schemas.openxmlformats.org/officeDocument/2006/relationships/image" Target="media/image5.emf"/><Relationship Id="rId33" Type="http://schemas.openxmlformats.org/officeDocument/2006/relationships/image" Target="media/image9.jpeg"/><Relationship Id="rId38" Type="http://schemas.openxmlformats.org/officeDocument/2006/relationships/image" Target="media/image14.jpeg"/><Relationship Id="rId20" Type="http://schemas.openxmlformats.org/officeDocument/2006/relationships/image" Target="media/image3.emf"/><Relationship Id="rId41" Type="http://schemas.openxmlformats.org/officeDocument/2006/relationships/image" Target="media/image1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Zotero\extensions\zoteroWinWordIntegration@zotero.org\install\Zotero.dot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Volumes\GoogleDrive\My%20Drive\Grad\Water%20ATP%20\FinalATPI&amp;IMPLANResults%201%2031%202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Volumes\GoogleDrive\My%20Drive\Grad\Water%20ATP%20\FinalATPI&amp;IMPLANResults%201%2031%202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Volumes\GoogleDrive\My%20Drive\Grad\Water%20ATP%20\FinalATPI&amp;IMPLANResults%201%2031%2022.xlsx" TargetMode="Externa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6.xml.rels><?xml version="1.0" encoding="UTF-8" standalone="yes"?>
<Relationships xmlns="http://schemas.openxmlformats.org/package/2006/relationships"><Relationship Id="rId3" Type="http://schemas.openxmlformats.org/officeDocument/2006/relationships/oleObject" Target="file:////Volumes\GoogleDrive\My%20Drive\Grad\Water%20ATP%20\FinalATPI%20IMPLANResults%203%2017%2022.xlsx" TargetMode="External"/><Relationship Id="rId2" Type="http://schemas.microsoft.com/office/2011/relationships/chartColorStyle" Target="colors3.xml"/><Relationship Id="rId1" Type="http://schemas.microsoft.com/office/2011/relationships/chartStyle" Target="style3.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spPr>
            <a:solidFill>
              <a:srgbClr val="ED7D31"/>
            </a:solidFill>
            <a:ln cmpd="sng">
              <a:solidFill>
                <a:srgbClr val="000000"/>
              </a:solidFill>
            </a:ln>
          </c:spPr>
          <c:invertIfNegative val="1"/>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'ATPI Compare'!$E$6:$E$16</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'ATPI Compare'!$G$6:$G$16</c:f>
              <c:numCache>
                <c:formatCode>General</c:formatCode>
                <c:ptCount val="11"/>
                <c:pt idx="0">
                  <c:v>2</c:v>
                </c:pt>
                <c:pt idx="1">
                  <c:v>12</c:v>
                </c:pt>
                <c:pt idx="2">
                  <c:v>11</c:v>
                </c:pt>
                <c:pt idx="3">
                  <c:v>9</c:v>
                </c:pt>
                <c:pt idx="4">
                  <c:v>9</c:v>
                </c:pt>
                <c:pt idx="5">
                  <c:v>9</c:v>
                </c:pt>
                <c:pt idx="6">
                  <c:v>8</c:v>
                </c:pt>
                <c:pt idx="7">
                  <c:v>17</c:v>
                </c:pt>
                <c:pt idx="8">
                  <c:v>14</c:v>
                </c:pt>
                <c:pt idx="9">
                  <c:v>3</c:v>
                </c:pt>
                <c:pt idx="10">
                  <c:v>1</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1B91-EE4E-91D3-7A3351399B51}"/>
            </c:ext>
          </c:extLst>
        </c:ser>
        <c:dLbls>
          <c:showLegendKey val="0"/>
          <c:showVal val="0"/>
          <c:showCatName val="0"/>
          <c:showSerName val="0"/>
          <c:showPercent val="0"/>
          <c:showBubbleSize val="0"/>
        </c:dLbls>
        <c:gapWidth val="150"/>
        <c:axId val="1042486727"/>
        <c:axId val="987671290"/>
      </c:barChart>
      <c:catAx>
        <c:axId val="1042486727"/>
        <c:scaling>
          <c:orientation val="minMax"/>
        </c:scaling>
        <c:delete val="0"/>
        <c:axPos val="b"/>
        <c:title>
          <c:tx>
            <c:rich>
              <a:bodyPr/>
              <a:lstStyle/>
              <a:p>
                <a:pPr>
                  <a:defRPr/>
                </a:pPr>
                <a:r>
                  <a:rPr lang="en-US"/>
                  <a:t>Affordability Score</a:t>
                </a:r>
              </a:p>
            </c:rich>
          </c:tx>
          <c:overlay val="0"/>
        </c:title>
        <c:numFmt formatCode="General" sourceLinked="1"/>
        <c:majorTickMark val="none"/>
        <c:minorTickMark val="none"/>
        <c:tickLblPos val="nextTo"/>
        <c:crossAx val="987671290"/>
        <c:crosses val="autoZero"/>
        <c:auto val="1"/>
        <c:lblAlgn val="ctr"/>
        <c:lblOffset val="100"/>
        <c:noMultiLvlLbl val="1"/>
      </c:catAx>
      <c:valAx>
        <c:axId val="987671290"/>
        <c:scaling>
          <c:orientation val="minMax"/>
        </c:scaling>
        <c:delete val="0"/>
        <c:axPos val="l"/>
        <c:majorGridlines>
          <c:spPr>
            <a:ln>
              <a:solidFill>
                <a:srgbClr val="B7B7B7"/>
              </a:solidFill>
            </a:ln>
          </c:spPr>
        </c:majorGridlines>
        <c:minorGridlines>
          <c:spPr>
            <a:ln>
              <a:solidFill>
                <a:srgbClr val="CCCCCC">
                  <a:alpha val="0"/>
                </a:srgbClr>
              </a:solidFill>
            </a:ln>
          </c:spPr>
        </c:minorGridlines>
        <c:title>
          <c:tx>
            <c:rich>
              <a:bodyPr/>
              <a:lstStyle/>
              <a:p>
                <a:pPr>
                  <a:defRPr/>
                </a:pPr>
                <a:r>
                  <a:rPr lang="en-US"/>
                  <a:t>Frequency</a:t>
                </a:r>
              </a:p>
            </c:rich>
          </c:tx>
          <c:overlay val="0"/>
        </c:title>
        <c:numFmt formatCode="General" sourceLinked="1"/>
        <c:majorTickMark val="none"/>
        <c:minorTickMark val="none"/>
        <c:tickLblPos val="nextTo"/>
        <c:spPr>
          <a:ln/>
        </c:spPr>
        <c:crossAx val="1042486727"/>
        <c:crosses val="autoZero"/>
        <c:crossBetween val="between"/>
      </c:valAx>
    </c:plotArea>
    <c:plotVisOnly val="1"/>
    <c:dispBlanksAs val="zero"/>
    <c:showDLblsOverMax val="1"/>
  </c:chart>
  <c:spPr>
    <a:ln>
      <a:noFill/>
    </a:ln>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spPr>
            <a:solidFill>
              <a:srgbClr val="ED7D31"/>
            </a:solidFill>
            <a:ln cmpd="sng">
              <a:solidFill>
                <a:srgbClr val="000000"/>
              </a:solidFill>
            </a:ln>
          </c:spPr>
          <c:invertIfNegative val="1"/>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'ATPI Compare'!$M$6:$M$16</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'ATPI Compare'!$O$6:$O$16</c:f>
              <c:numCache>
                <c:formatCode>General</c:formatCode>
                <c:ptCount val="11"/>
                <c:pt idx="0">
                  <c:v>2</c:v>
                </c:pt>
                <c:pt idx="1">
                  <c:v>15</c:v>
                </c:pt>
                <c:pt idx="2">
                  <c:v>16</c:v>
                </c:pt>
                <c:pt idx="3">
                  <c:v>9</c:v>
                </c:pt>
                <c:pt idx="4">
                  <c:v>10</c:v>
                </c:pt>
                <c:pt idx="5">
                  <c:v>13</c:v>
                </c:pt>
                <c:pt idx="6">
                  <c:v>10</c:v>
                </c:pt>
                <c:pt idx="7">
                  <c:v>6</c:v>
                </c:pt>
                <c:pt idx="8">
                  <c:v>9</c:v>
                </c:pt>
                <c:pt idx="9">
                  <c:v>3</c:v>
                </c:pt>
                <c:pt idx="10">
                  <c:v>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3048-734D-870E-B9D8575875A2}"/>
            </c:ext>
          </c:extLst>
        </c:ser>
        <c:dLbls>
          <c:showLegendKey val="0"/>
          <c:showVal val="0"/>
          <c:showCatName val="0"/>
          <c:showSerName val="0"/>
          <c:showPercent val="0"/>
          <c:showBubbleSize val="0"/>
        </c:dLbls>
        <c:gapWidth val="150"/>
        <c:axId val="1413700137"/>
        <c:axId val="2134578772"/>
      </c:barChart>
      <c:catAx>
        <c:axId val="1413700137"/>
        <c:scaling>
          <c:orientation val="minMax"/>
        </c:scaling>
        <c:delete val="0"/>
        <c:axPos val="b"/>
        <c:title>
          <c:tx>
            <c:rich>
              <a:bodyPr/>
              <a:lstStyle/>
              <a:p>
                <a:pPr>
                  <a:defRPr/>
                </a:pPr>
                <a:r>
                  <a:rPr lang="en-US"/>
                  <a:t>Affordability Score</a:t>
                </a:r>
              </a:p>
            </c:rich>
          </c:tx>
          <c:overlay val="0"/>
        </c:title>
        <c:numFmt formatCode="General" sourceLinked="1"/>
        <c:majorTickMark val="none"/>
        <c:minorTickMark val="none"/>
        <c:tickLblPos val="nextTo"/>
        <c:crossAx val="2134578772"/>
        <c:crosses val="autoZero"/>
        <c:auto val="1"/>
        <c:lblAlgn val="ctr"/>
        <c:lblOffset val="100"/>
        <c:noMultiLvlLbl val="1"/>
      </c:catAx>
      <c:valAx>
        <c:axId val="2134578772"/>
        <c:scaling>
          <c:orientation val="minMax"/>
        </c:scaling>
        <c:delete val="0"/>
        <c:axPos val="l"/>
        <c:majorGridlines>
          <c:spPr>
            <a:ln>
              <a:solidFill>
                <a:srgbClr val="B7B7B7"/>
              </a:solidFill>
            </a:ln>
          </c:spPr>
        </c:majorGridlines>
        <c:minorGridlines>
          <c:spPr>
            <a:ln>
              <a:solidFill>
                <a:srgbClr val="CCCCCC">
                  <a:alpha val="0"/>
                </a:srgbClr>
              </a:solidFill>
            </a:ln>
          </c:spPr>
        </c:minorGridlines>
        <c:title>
          <c:tx>
            <c:rich>
              <a:bodyPr/>
              <a:lstStyle/>
              <a:p>
                <a:pPr>
                  <a:defRPr/>
                </a:pPr>
                <a:r>
                  <a:rPr lang="en-US"/>
                  <a:t>Frequency</a:t>
                </a:r>
              </a:p>
            </c:rich>
          </c:tx>
          <c:overlay val="0"/>
        </c:title>
        <c:numFmt formatCode="General" sourceLinked="1"/>
        <c:majorTickMark val="none"/>
        <c:minorTickMark val="none"/>
        <c:tickLblPos val="nextTo"/>
        <c:spPr>
          <a:ln/>
        </c:spPr>
        <c:crossAx val="1413700137"/>
        <c:crosses val="autoZero"/>
        <c:crossBetween val="between"/>
      </c:valAx>
    </c:plotArea>
    <c:plotVisOnly val="1"/>
    <c:dispBlanksAs val="zero"/>
    <c:showDLblsOverMax val="1"/>
  </c:chart>
  <c:spPr>
    <a:ln>
      <a:noFill/>
    </a:ln>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spPr>
            <a:solidFill>
              <a:srgbClr val="ED7D31"/>
            </a:solidFill>
            <a:ln cmpd="sng">
              <a:solidFill>
                <a:srgbClr val="000000"/>
              </a:solidFill>
            </a:ln>
          </c:spPr>
          <c:invertIfNegative val="1"/>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'ATPI Compare'!$U$6:$U$16</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'ATPI Compare'!$W$6:$W$16</c:f>
              <c:numCache>
                <c:formatCode>General</c:formatCode>
                <c:ptCount val="11"/>
                <c:pt idx="0">
                  <c:v>1</c:v>
                </c:pt>
                <c:pt idx="1">
                  <c:v>3</c:v>
                </c:pt>
                <c:pt idx="2">
                  <c:v>13</c:v>
                </c:pt>
                <c:pt idx="3">
                  <c:v>15</c:v>
                </c:pt>
                <c:pt idx="4">
                  <c:v>10</c:v>
                </c:pt>
                <c:pt idx="5">
                  <c:v>15</c:v>
                </c:pt>
                <c:pt idx="6">
                  <c:v>16</c:v>
                </c:pt>
                <c:pt idx="7">
                  <c:v>9</c:v>
                </c:pt>
                <c:pt idx="8">
                  <c:v>7</c:v>
                </c:pt>
                <c:pt idx="9">
                  <c:v>5</c:v>
                </c:pt>
                <c:pt idx="10">
                  <c:v>1</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769E-3046-AB54-10562C5EB091}"/>
            </c:ext>
          </c:extLst>
        </c:ser>
        <c:dLbls>
          <c:showLegendKey val="0"/>
          <c:showVal val="0"/>
          <c:showCatName val="0"/>
          <c:showSerName val="0"/>
          <c:showPercent val="0"/>
          <c:showBubbleSize val="0"/>
        </c:dLbls>
        <c:gapWidth val="150"/>
        <c:axId val="1515217972"/>
        <c:axId val="1215301380"/>
      </c:barChart>
      <c:catAx>
        <c:axId val="1515217972"/>
        <c:scaling>
          <c:orientation val="minMax"/>
        </c:scaling>
        <c:delete val="0"/>
        <c:axPos val="b"/>
        <c:title>
          <c:tx>
            <c:rich>
              <a:bodyPr/>
              <a:lstStyle/>
              <a:p>
                <a:pPr>
                  <a:defRPr/>
                </a:pPr>
                <a:r>
                  <a:rPr lang="en-US"/>
                  <a:t>Affordability Score</a:t>
                </a:r>
              </a:p>
            </c:rich>
          </c:tx>
          <c:overlay val="0"/>
        </c:title>
        <c:numFmt formatCode="General" sourceLinked="1"/>
        <c:majorTickMark val="none"/>
        <c:minorTickMark val="none"/>
        <c:tickLblPos val="nextTo"/>
        <c:crossAx val="1215301380"/>
        <c:crosses val="autoZero"/>
        <c:auto val="1"/>
        <c:lblAlgn val="ctr"/>
        <c:lblOffset val="100"/>
        <c:noMultiLvlLbl val="1"/>
      </c:catAx>
      <c:valAx>
        <c:axId val="1215301380"/>
        <c:scaling>
          <c:orientation val="minMax"/>
        </c:scaling>
        <c:delete val="0"/>
        <c:axPos val="l"/>
        <c:majorGridlines>
          <c:spPr>
            <a:ln>
              <a:solidFill>
                <a:srgbClr val="B7B7B7"/>
              </a:solidFill>
            </a:ln>
          </c:spPr>
        </c:majorGridlines>
        <c:minorGridlines>
          <c:spPr>
            <a:ln>
              <a:solidFill>
                <a:srgbClr val="CCCCCC">
                  <a:alpha val="0"/>
                </a:srgbClr>
              </a:solidFill>
            </a:ln>
          </c:spPr>
        </c:minorGridlines>
        <c:title>
          <c:tx>
            <c:rich>
              <a:bodyPr/>
              <a:lstStyle/>
              <a:p>
                <a:pPr>
                  <a:defRPr/>
                </a:pPr>
                <a:r>
                  <a:rPr lang="en-US"/>
                  <a:t>Frequency</a:t>
                </a:r>
              </a:p>
            </c:rich>
          </c:tx>
          <c:overlay val="0"/>
        </c:title>
        <c:numFmt formatCode="General" sourceLinked="1"/>
        <c:majorTickMark val="none"/>
        <c:minorTickMark val="none"/>
        <c:tickLblPos val="nextTo"/>
        <c:spPr>
          <a:ln/>
        </c:spPr>
        <c:crossAx val="1515217972"/>
        <c:crosses val="autoZero"/>
        <c:crossBetween val="between"/>
      </c:valAx>
    </c:plotArea>
    <c:plotVisOnly val="1"/>
    <c:dispBlanksAs val="zero"/>
    <c:showDLblsOverMax val="1"/>
  </c:chart>
  <c:spPr>
    <a:ln>
      <a:noFill/>
    </a:ln>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'Total Impact Compare'!$B$23</c:f>
              <c:strCache>
                <c:ptCount val="1"/>
                <c:pt idx="0">
                  <c:v>MHI</c:v>
                </c:pt>
              </c:strCache>
            </c:strRef>
          </c:tx>
          <c:spPr>
            <a:solidFill>
              <a:schemeClr val="accent1"/>
            </a:solidFill>
            <a:ln>
              <a:noFill/>
            </a:ln>
            <a:effectLst/>
          </c:spPr>
          <c:invertIfNegative val="0"/>
          <c:cat>
            <c:strRef>
              <c:f>'Total Impact Compare'!$A$24:$A$27</c:f>
              <c:strCache>
                <c:ptCount val="4"/>
                <c:pt idx="0">
                  <c:v>Direct</c:v>
                </c:pt>
                <c:pt idx="1">
                  <c:v>Indirect</c:v>
                </c:pt>
                <c:pt idx="2">
                  <c:v>Induced</c:v>
                </c:pt>
                <c:pt idx="3">
                  <c:v>Total</c:v>
                </c:pt>
              </c:strCache>
            </c:strRef>
          </c:cat>
          <c:val>
            <c:numRef>
              <c:f>'Total Impact Compare'!$B$24:$B$27</c:f>
              <c:numCache>
                <c:formatCode>_(* #,##0_);_(* \(#,##0\);_(* "-"??_);_(@_)</c:formatCode>
                <c:ptCount val="4"/>
                <c:pt idx="0">
                  <c:v>3397.45</c:v>
                </c:pt>
                <c:pt idx="1">
                  <c:v>2553.4500000000003</c:v>
                </c:pt>
                <c:pt idx="2">
                  <c:v>1297.8700000000001</c:v>
                </c:pt>
                <c:pt idx="3">
                  <c:v>7248.7400000000007</c:v>
                </c:pt>
              </c:numCache>
            </c:numRef>
          </c:val>
          <c:extLst>
            <c:ext xmlns:c16="http://schemas.microsoft.com/office/drawing/2014/chart" uri="{C3380CC4-5D6E-409C-BE32-E72D297353CC}">
              <c16:uniqueId val="{00000000-29DF-6846-8F04-EE85DA5B6279}"/>
            </c:ext>
          </c:extLst>
        </c:ser>
        <c:ser>
          <c:idx val="1"/>
          <c:order val="1"/>
          <c:tx>
            <c:strRef>
              <c:f>'Total Impact Compare'!$C$23</c:f>
              <c:strCache>
                <c:ptCount val="1"/>
                <c:pt idx="0">
                  <c:v>Simple Average</c:v>
                </c:pt>
              </c:strCache>
            </c:strRef>
          </c:tx>
          <c:spPr>
            <a:solidFill>
              <a:schemeClr val="accent2"/>
            </a:solidFill>
            <a:ln>
              <a:noFill/>
            </a:ln>
            <a:effectLst/>
          </c:spPr>
          <c:invertIfNegative val="0"/>
          <c:cat>
            <c:strRef>
              <c:f>'Total Impact Compare'!$A$24:$A$27</c:f>
              <c:strCache>
                <c:ptCount val="4"/>
                <c:pt idx="0">
                  <c:v>Direct</c:v>
                </c:pt>
                <c:pt idx="1">
                  <c:v>Indirect</c:v>
                </c:pt>
                <c:pt idx="2">
                  <c:v>Induced</c:v>
                </c:pt>
                <c:pt idx="3">
                  <c:v>Total</c:v>
                </c:pt>
              </c:strCache>
            </c:strRef>
          </c:cat>
          <c:val>
            <c:numRef>
              <c:f>'Total Impact Compare'!$C$24:$C$27</c:f>
              <c:numCache>
                <c:formatCode>_(* #,##0_);_(* \(#,##0\);_(* "-"??_);_(@_)</c:formatCode>
                <c:ptCount val="4"/>
                <c:pt idx="0">
                  <c:v>3249.19</c:v>
                </c:pt>
                <c:pt idx="1">
                  <c:v>2483.1699999999996</c:v>
                </c:pt>
                <c:pt idx="2">
                  <c:v>1440.26</c:v>
                </c:pt>
                <c:pt idx="3">
                  <c:v>7172.59</c:v>
                </c:pt>
              </c:numCache>
            </c:numRef>
          </c:val>
          <c:extLst>
            <c:ext xmlns:c16="http://schemas.microsoft.com/office/drawing/2014/chart" uri="{C3380CC4-5D6E-409C-BE32-E72D297353CC}">
              <c16:uniqueId val="{00000001-29DF-6846-8F04-EE85DA5B6279}"/>
            </c:ext>
          </c:extLst>
        </c:ser>
        <c:ser>
          <c:idx val="2"/>
          <c:order val="2"/>
          <c:tx>
            <c:strRef>
              <c:f>'Total Impact Compare'!$D$23</c:f>
              <c:strCache>
                <c:ptCount val="1"/>
                <c:pt idx="0">
                  <c:v>Negative Scaled Average</c:v>
                </c:pt>
              </c:strCache>
            </c:strRef>
          </c:tx>
          <c:spPr>
            <a:solidFill>
              <a:schemeClr val="accent3"/>
            </a:solidFill>
            <a:ln>
              <a:noFill/>
            </a:ln>
            <a:effectLst/>
          </c:spPr>
          <c:invertIfNegative val="0"/>
          <c:cat>
            <c:strRef>
              <c:f>'Total Impact Compare'!$A$24:$A$27</c:f>
              <c:strCache>
                <c:ptCount val="4"/>
                <c:pt idx="0">
                  <c:v>Direct</c:v>
                </c:pt>
                <c:pt idx="1">
                  <c:v>Indirect</c:v>
                </c:pt>
                <c:pt idx="2">
                  <c:v>Induced</c:v>
                </c:pt>
                <c:pt idx="3">
                  <c:v>Total</c:v>
                </c:pt>
              </c:strCache>
            </c:strRef>
          </c:cat>
          <c:val>
            <c:numRef>
              <c:f>'Total Impact Compare'!$D$24:$D$27</c:f>
              <c:numCache>
                <c:formatCode>_(* #,##0_);_(* \(#,##0\);_(* "-"??_);_(@_)</c:formatCode>
                <c:ptCount val="4"/>
                <c:pt idx="0">
                  <c:v>3354.0299999999997</c:v>
                </c:pt>
                <c:pt idx="1">
                  <c:v>2536.04</c:v>
                </c:pt>
                <c:pt idx="2">
                  <c:v>1347.35</c:v>
                </c:pt>
                <c:pt idx="3">
                  <c:v>7237.42</c:v>
                </c:pt>
              </c:numCache>
            </c:numRef>
          </c:val>
          <c:extLst>
            <c:ext xmlns:c16="http://schemas.microsoft.com/office/drawing/2014/chart" uri="{C3380CC4-5D6E-409C-BE32-E72D297353CC}">
              <c16:uniqueId val="{00000002-29DF-6846-8F04-EE85DA5B6279}"/>
            </c:ext>
          </c:extLst>
        </c:ser>
        <c:dLbls>
          <c:showLegendKey val="0"/>
          <c:showVal val="0"/>
          <c:showCatName val="0"/>
          <c:showSerName val="0"/>
          <c:showPercent val="0"/>
          <c:showBubbleSize val="0"/>
        </c:dLbls>
        <c:gapWidth val="219"/>
        <c:overlap val="-27"/>
        <c:axId val="1641208544"/>
        <c:axId val="1641154560"/>
      </c:barChart>
      <c:catAx>
        <c:axId val="1641208544"/>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Impact Effects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41154560"/>
        <c:crosses val="autoZero"/>
        <c:auto val="1"/>
        <c:lblAlgn val="ctr"/>
        <c:lblOffset val="100"/>
        <c:noMultiLvlLbl val="0"/>
      </c:catAx>
      <c:valAx>
        <c:axId val="16411545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Jobs Supported</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412085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'Total Impact Compare'!$B$29</c:f>
              <c:strCache>
                <c:ptCount val="1"/>
                <c:pt idx="0">
                  <c:v>MHI</c:v>
                </c:pt>
              </c:strCache>
            </c:strRef>
          </c:tx>
          <c:spPr>
            <a:solidFill>
              <a:schemeClr val="accent1"/>
            </a:solidFill>
            <a:ln>
              <a:noFill/>
            </a:ln>
            <a:effectLst/>
          </c:spPr>
          <c:invertIfNegative val="0"/>
          <c:cat>
            <c:strRef>
              <c:f>'Total Impact Compare'!$A$30:$A$33</c:f>
              <c:strCache>
                <c:ptCount val="4"/>
                <c:pt idx="0">
                  <c:v>Direct</c:v>
                </c:pt>
                <c:pt idx="1">
                  <c:v>Indirect</c:v>
                </c:pt>
                <c:pt idx="2">
                  <c:v>Induced</c:v>
                </c:pt>
                <c:pt idx="3">
                  <c:v>Total</c:v>
                </c:pt>
              </c:strCache>
            </c:strRef>
          </c:cat>
          <c:val>
            <c:numRef>
              <c:f>'Total Impact Compare'!$B$30:$B$33</c:f>
              <c:numCache>
                <c:formatCode>_(* #,##0_);_(* \(#,##0\);_(* "-"??_);_(@_)</c:formatCode>
                <c:ptCount val="4"/>
                <c:pt idx="0">
                  <c:v>164937054.78</c:v>
                </c:pt>
                <c:pt idx="1">
                  <c:v>131482841.39</c:v>
                </c:pt>
                <c:pt idx="2">
                  <c:v>55998111.329999998</c:v>
                </c:pt>
                <c:pt idx="3">
                  <c:v>352418007.48000008</c:v>
                </c:pt>
              </c:numCache>
            </c:numRef>
          </c:val>
          <c:extLst>
            <c:ext xmlns:c16="http://schemas.microsoft.com/office/drawing/2014/chart" uri="{C3380CC4-5D6E-409C-BE32-E72D297353CC}">
              <c16:uniqueId val="{00000000-38CA-324E-A7C1-BF814C6876B4}"/>
            </c:ext>
          </c:extLst>
        </c:ser>
        <c:ser>
          <c:idx val="1"/>
          <c:order val="1"/>
          <c:tx>
            <c:strRef>
              <c:f>'Total Impact Compare'!$C$29</c:f>
              <c:strCache>
                <c:ptCount val="1"/>
                <c:pt idx="0">
                  <c:v>Simple Average</c:v>
                </c:pt>
              </c:strCache>
            </c:strRef>
          </c:tx>
          <c:spPr>
            <a:solidFill>
              <a:schemeClr val="accent2"/>
            </a:solidFill>
            <a:ln>
              <a:noFill/>
            </a:ln>
            <a:effectLst/>
          </c:spPr>
          <c:invertIfNegative val="0"/>
          <c:cat>
            <c:strRef>
              <c:f>'Total Impact Compare'!$A$30:$A$33</c:f>
              <c:strCache>
                <c:ptCount val="4"/>
                <c:pt idx="0">
                  <c:v>Direct</c:v>
                </c:pt>
                <c:pt idx="1">
                  <c:v>Indirect</c:v>
                </c:pt>
                <c:pt idx="2">
                  <c:v>Induced</c:v>
                </c:pt>
                <c:pt idx="3">
                  <c:v>Total</c:v>
                </c:pt>
              </c:strCache>
            </c:strRef>
          </c:cat>
          <c:val>
            <c:numRef>
              <c:f>'Total Impact Compare'!$C$30:$C$33</c:f>
              <c:numCache>
                <c:formatCode>_(* #,##0_);_(* \(#,##0\);_(* "-"??_);_(@_)</c:formatCode>
                <c:ptCount val="4"/>
                <c:pt idx="0">
                  <c:v>183381245.91999999</c:v>
                </c:pt>
                <c:pt idx="1">
                  <c:v>134777703.62000003</c:v>
                </c:pt>
                <c:pt idx="2">
                  <c:v>65901841.340000004</c:v>
                </c:pt>
                <c:pt idx="3">
                  <c:v>384060790.8900001</c:v>
                </c:pt>
              </c:numCache>
            </c:numRef>
          </c:val>
          <c:extLst>
            <c:ext xmlns:c16="http://schemas.microsoft.com/office/drawing/2014/chart" uri="{C3380CC4-5D6E-409C-BE32-E72D297353CC}">
              <c16:uniqueId val="{00000001-38CA-324E-A7C1-BF814C6876B4}"/>
            </c:ext>
          </c:extLst>
        </c:ser>
        <c:ser>
          <c:idx val="2"/>
          <c:order val="2"/>
          <c:tx>
            <c:strRef>
              <c:f>'Total Impact Compare'!$D$29</c:f>
              <c:strCache>
                <c:ptCount val="1"/>
                <c:pt idx="0">
                  <c:v>Negative Scaled Average</c:v>
                </c:pt>
              </c:strCache>
            </c:strRef>
          </c:tx>
          <c:spPr>
            <a:solidFill>
              <a:schemeClr val="accent3"/>
            </a:solidFill>
            <a:ln>
              <a:noFill/>
            </a:ln>
            <a:effectLst/>
          </c:spPr>
          <c:invertIfNegative val="0"/>
          <c:cat>
            <c:strRef>
              <c:f>'Total Impact Compare'!$A$30:$A$33</c:f>
              <c:strCache>
                <c:ptCount val="4"/>
                <c:pt idx="0">
                  <c:v>Direct</c:v>
                </c:pt>
                <c:pt idx="1">
                  <c:v>Indirect</c:v>
                </c:pt>
                <c:pt idx="2">
                  <c:v>Induced</c:v>
                </c:pt>
                <c:pt idx="3">
                  <c:v>Total</c:v>
                </c:pt>
              </c:strCache>
            </c:strRef>
          </c:cat>
          <c:val>
            <c:numRef>
              <c:f>'Total Impact Compare'!$D$30:$D$33</c:f>
              <c:numCache>
                <c:formatCode>_(* #,##0_);_(* \(#,##0\);_(* "-"??_);_(@_)</c:formatCode>
                <c:ptCount val="4"/>
                <c:pt idx="0">
                  <c:v>171807518.22000003</c:v>
                </c:pt>
                <c:pt idx="1">
                  <c:v>131908498.38999997</c:v>
                </c:pt>
                <c:pt idx="2">
                  <c:v>58820962.719999999</c:v>
                </c:pt>
                <c:pt idx="3">
                  <c:v>362536979.32999998</c:v>
                </c:pt>
              </c:numCache>
            </c:numRef>
          </c:val>
          <c:extLst>
            <c:ext xmlns:c16="http://schemas.microsoft.com/office/drawing/2014/chart" uri="{C3380CC4-5D6E-409C-BE32-E72D297353CC}">
              <c16:uniqueId val="{00000002-38CA-324E-A7C1-BF814C6876B4}"/>
            </c:ext>
          </c:extLst>
        </c:ser>
        <c:dLbls>
          <c:showLegendKey val="0"/>
          <c:showVal val="0"/>
          <c:showCatName val="0"/>
          <c:showSerName val="0"/>
          <c:showPercent val="0"/>
          <c:showBubbleSize val="0"/>
        </c:dLbls>
        <c:gapWidth val="219"/>
        <c:overlap val="-27"/>
        <c:axId val="1640437520"/>
        <c:axId val="1525746256"/>
      </c:barChart>
      <c:catAx>
        <c:axId val="1640437520"/>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Impact Effects</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25746256"/>
        <c:crosses val="autoZero"/>
        <c:auto val="1"/>
        <c:lblAlgn val="ctr"/>
        <c:lblOffset val="100"/>
        <c:noMultiLvlLbl val="0"/>
      </c:catAx>
      <c:valAx>
        <c:axId val="1525746256"/>
        <c:scaling>
          <c:orientation val="minMax"/>
          <c:max val="400000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Impacts in Dollars ($)</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404375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'Total Impact Compare'!$G$35</c:f>
              <c:strCache>
                <c:ptCount val="1"/>
                <c:pt idx="0">
                  <c:v>MHI</c:v>
                </c:pt>
              </c:strCache>
            </c:strRef>
          </c:tx>
          <c:spPr>
            <a:solidFill>
              <a:schemeClr val="accent1"/>
            </a:solidFill>
            <a:ln>
              <a:noFill/>
            </a:ln>
            <a:effectLst/>
          </c:spPr>
          <c:invertIfNegative val="0"/>
          <c:dLbls>
            <c:delete val="1"/>
          </c:dLbls>
          <c:cat>
            <c:strRef>
              <c:f>'Total Impact Compare'!$F$36:$F$39</c:f>
              <c:strCache>
                <c:ptCount val="4"/>
                <c:pt idx="0">
                  <c:v>Direct</c:v>
                </c:pt>
                <c:pt idx="1">
                  <c:v>Indirect</c:v>
                </c:pt>
                <c:pt idx="2">
                  <c:v>Induced</c:v>
                </c:pt>
                <c:pt idx="3">
                  <c:v>Total</c:v>
                </c:pt>
              </c:strCache>
            </c:strRef>
          </c:cat>
          <c:val>
            <c:numRef>
              <c:f>'Total Impact Compare'!$G$36:$G$39</c:f>
              <c:numCache>
                <c:formatCode>_(* #,##0.00_);_(* \(#,##0.00\);_(* "-"??_);_(@_)</c:formatCode>
                <c:ptCount val="4"/>
                <c:pt idx="0">
                  <c:v>490.14618435</c:v>
                </c:pt>
                <c:pt idx="1">
                  <c:v>196.57041901000002</c:v>
                </c:pt>
                <c:pt idx="2">
                  <c:v>101.16894397999999</c:v>
                </c:pt>
                <c:pt idx="3">
                  <c:v>787.88554737000004</c:v>
                </c:pt>
              </c:numCache>
            </c:numRef>
          </c:val>
          <c:extLst>
            <c:ext xmlns:c16="http://schemas.microsoft.com/office/drawing/2014/chart" uri="{C3380CC4-5D6E-409C-BE32-E72D297353CC}">
              <c16:uniqueId val="{00000000-6F61-AD4A-94B8-944EF26CD829}"/>
            </c:ext>
          </c:extLst>
        </c:ser>
        <c:ser>
          <c:idx val="1"/>
          <c:order val="1"/>
          <c:tx>
            <c:strRef>
              <c:f>'Total Impact Compare'!$H$35</c:f>
              <c:strCache>
                <c:ptCount val="1"/>
                <c:pt idx="0">
                  <c:v>Simple Average</c:v>
                </c:pt>
              </c:strCache>
            </c:strRef>
          </c:tx>
          <c:spPr>
            <a:solidFill>
              <a:schemeClr val="accent2"/>
            </a:solidFill>
            <a:ln>
              <a:noFill/>
            </a:ln>
            <a:effectLst/>
          </c:spPr>
          <c:invertIfNegative val="0"/>
          <c:dLbls>
            <c:delete val="1"/>
          </c:dLbls>
          <c:cat>
            <c:strRef>
              <c:f>'Total Impact Compare'!$F$36:$F$39</c:f>
              <c:strCache>
                <c:ptCount val="4"/>
                <c:pt idx="0">
                  <c:v>Direct</c:v>
                </c:pt>
                <c:pt idx="1">
                  <c:v>Indirect</c:v>
                </c:pt>
                <c:pt idx="2">
                  <c:v>Induced</c:v>
                </c:pt>
                <c:pt idx="3">
                  <c:v>Total</c:v>
                </c:pt>
              </c:strCache>
            </c:strRef>
          </c:cat>
          <c:val>
            <c:numRef>
              <c:f>'Total Impact Compare'!$H$36:$H$39</c:f>
              <c:numCache>
                <c:formatCode>_(* #,##0.00_);_(* \(#,##0.00\);_(* "-"??_);_(@_)</c:formatCode>
                <c:ptCount val="4"/>
                <c:pt idx="0">
                  <c:v>512.39799814000003</c:v>
                </c:pt>
                <c:pt idx="1">
                  <c:v>200.67219470999999</c:v>
                </c:pt>
                <c:pt idx="2">
                  <c:v>116.96383117999997</c:v>
                </c:pt>
                <c:pt idx="3">
                  <c:v>830.03402400000016</c:v>
                </c:pt>
              </c:numCache>
            </c:numRef>
          </c:val>
          <c:extLst>
            <c:ext xmlns:c16="http://schemas.microsoft.com/office/drawing/2014/chart" uri="{C3380CC4-5D6E-409C-BE32-E72D297353CC}">
              <c16:uniqueId val="{00000001-6F61-AD4A-94B8-944EF26CD829}"/>
            </c:ext>
          </c:extLst>
        </c:ser>
        <c:ser>
          <c:idx val="2"/>
          <c:order val="2"/>
          <c:tx>
            <c:strRef>
              <c:f>'Total Impact Compare'!$I$35</c:f>
              <c:strCache>
                <c:ptCount val="1"/>
                <c:pt idx="0">
                  <c:v>Negative Scaled Average</c:v>
                </c:pt>
              </c:strCache>
            </c:strRef>
          </c:tx>
          <c:spPr>
            <a:solidFill>
              <a:schemeClr val="accent3"/>
            </a:solidFill>
            <a:ln>
              <a:noFill/>
            </a:ln>
            <a:effectLst/>
          </c:spPr>
          <c:invertIfNegative val="0"/>
          <c:dLbls>
            <c:delete val="1"/>
          </c:dLbls>
          <c:cat>
            <c:strRef>
              <c:f>'Total Impact Compare'!$F$36:$F$39</c:f>
              <c:strCache>
                <c:ptCount val="4"/>
                <c:pt idx="0">
                  <c:v>Direct</c:v>
                </c:pt>
                <c:pt idx="1">
                  <c:v>Indirect</c:v>
                </c:pt>
                <c:pt idx="2">
                  <c:v>Induced</c:v>
                </c:pt>
                <c:pt idx="3">
                  <c:v>Total</c:v>
                </c:pt>
              </c:strCache>
            </c:strRef>
          </c:cat>
          <c:val>
            <c:numRef>
              <c:f>'Total Impact Compare'!$I$36:$I$39</c:f>
              <c:numCache>
                <c:formatCode>_(* #,##0.00_);_(* \(#,##0.00\);_(* "-"??_);_(@_)</c:formatCode>
                <c:ptCount val="4"/>
                <c:pt idx="0">
                  <c:v>496.661924</c:v>
                </c:pt>
                <c:pt idx="1">
                  <c:v>196.98850315000001</c:v>
                </c:pt>
                <c:pt idx="2">
                  <c:v>105.68941692</c:v>
                </c:pt>
                <c:pt idx="3">
                  <c:v>799.33984450000003</c:v>
                </c:pt>
              </c:numCache>
            </c:numRef>
          </c:val>
          <c:extLst>
            <c:ext xmlns:c16="http://schemas.microsoft.com/office/drawing/2014/chart" uri="{C3380CC4-5D6E-409C-BE32-E72D297353CC}">
              <c16:uniqueId val="{00000002-6F61-AD4A-94B8-944EF26CD829}"/>
            </c:ext>
          </c:extLst>
        </c:ser>
        <c:dLbls>
          <c:dLblPos val="outEnd"/>
          <c:showLegendKey val="0"/>
          <c:showVal val="1"/>
          <c:showCatName val="0"/>
          <c:showSerName val="0"/>
          <c:showPercent val="0"/>
          <c:showBubbleSize val="0"/>
        </c:dLbls>
        <c:gapWidth val="219"/>
        <c:overlap val="-27"/>
        <c:axId val="1381750944"/>
        <c:axId val="1525746672"/>
      </c:barChart>
      <c:catAx>
        <c:axId val="13817509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solidFill>
                      <a:schemeClr val="tx1"/>
                    </a:solidFill>
                  </a:rPr>
                  <a:t>Impact Effects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525746672"/>
        <c:crosses val="autoZero"/>
        <c:auto val="1"/>
        <c:lblAlgn val="ctr"/>
        <c:lblOffset val="100"/>
        <c:noMultiLvlLbl val="0"/>
      </c:catAx>
      <c:valAx>
        <c:axId val="15257466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0">
                    <a:solidFill>
                      <a:schemeClr val="tx1"/>
                    </a:solidFill>
                  </a:rPr>
                  <a:t>Impacts by Dollars (in millions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quot;$&quot;#,##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381750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'Total Impact Compare'!$B$41</c:f>
              <c:strCache>
                <c:ptCount val="1"/>
                <c:pt idx="0">
                  <c:v>MHI</c:v>
                </c:pt>
              </c:strCache>
            </c:strRef>
          </c:tx>
          <c:spPr>
            <a:solidFill>
              <a:schemeClr val="accent1"/>
            </a:solidFill>
            <a:ln>
              <a:noFill/>
            </a:ln>
            <a:effectLst/>
          </c:spPr>
          <c:invertIfNegative val="0"/>
          <c:cat>
            <c:strRef>
              <c:f>'Total Impact Compare'!$A$42:$A$45</c:f>
              <c:strCache>
                <c:ptCount val="4"/>
                <c:pt idx="0">
                  <c:v>Direct</c:v>
                </c:pt>
                <c:pt idx="1">
                  <c:v>Indirect</c:v>
                </c:pt>
                <c:pt idx="2">
                  <c:v>Induced</c:v>
                </c:pt>
                <c:pt idx="3">
                  <c:v>Total</c:v>
                </c:pt>
              </c:strCache>
            </c:strRef>
          </c:cat>
          <c:val>
            <c:numRef>
              <c:f>'Total Impact Compare'!$B$42:$B$45</c:f>
              <c:numCache>
                <c:formatCode>_(* #,##0_);_(* \(#,##0\);_(* "-"??_);_(@_)</c:formatCode>
                <c:ptCount val="4"/>
                <c:pt idx="0">
                  <c:v>999999998</c:v>
                </c:pt>
                <c:pt idx="1">
                  <c:v>412618784.67999995</c:v>
                </c:pt>
                <c:pt idx="2">
                  <c:v>181385633.21000001</c:v>
                </c:pt>
                <c:pt idx="3">
                  <c:v>1594004415.8800001</c:v>
                </c:pt>
              </c:numCache>
            </c:numRef>
          </c:val>
          <c:extLst>
            <c:ext xmlns:c16="http://schemas.microsoft.com/office/drawing/2014/chart" uri="{C3380CC4-5D6E-409C-BE32-E72D297353CC}">
              <c16:uniqueId val="{00000000-08DC-9646-8413-32D6CAB245C8}"/>
            </c:ext>
          </c:extLst>
        </c:ser>
        <c:ser>
          <c:idx val="1"/>
          <c:order val="1"/>
          <c:tx>
            <c:strRef>
              <c:f>'Total Impact Compare'!$C$41</c:f>
              <c:strCache>
                <c:ptCount val="1"/>
                <c:pt idx="0">
                  <c:v>Simple Average</c:v>
                </c:pt>
              </c:strCache>
            </c:strRef>
          </c:tx>
          <c:spPr>
            <a:solidFill>
              <a:schemeClr val="accent2"/>
            </a:solidFill>
            <a:ln>
              <a:noFill/>
            </a:ln>
            <a:effectLst/>
          </c:spPr>
          <c:invertIfNegative val="0"/>
          <c:cat>
            <c:strRef>
              <c:f>'Total Impact Compare'!$A$42:$A$45</c:f>
              <c:strCache>
                <c:ptCount val="4"/>
                <c:pt idx="0">
                  <c:v>Direct</c:v>
                </c:pt>
                <c:pt idx="1">
                  <c:v>Indirect</c:v>
                </c:pt>
                <c:pt idx="2">
                  <c:v>Induced</c:v>
                </c:pt>
                <c:pt idx="3">
                  <c:v>Total</c:v>
                </c:pt>
              </c:strCache>
            </c:strRef>
          </c:cat>
          <c:val>
            <c:numRef>
              <c:f>'Total Impact Compare'!$C$42:$C$45</c:f>
              <c:numCache>
                <c:formatCode>_(* #,##0_);_(* \(#,##0\);_(* "-"??_);_(@_)</c:formatCode>
                <c:ptCount val="4"/>
                <c:pt idx="0">
                  <c:v>1000000000</c:v>
                </c:pt>
                <c:pt idx="1">
                  <c:v>411148938.57999992</c:v>
                </c:pt>
                <c:pt idx="2">
                  <c:v>206808075.69999999</c:v>
                </c:pt>
                <c:pt idx="3">
                  <c:v>1617957014.2900002</c:v>
                </c:pt>
              </c:numCache>
            </c:numRef>
          </c:val>
          <c:extLst>
            <c:ext xmlns:c16="http://schemas.microsoft.com/office/drawing/2014/chart" uri="{C3380CC4-5D6E-409C-BE32-E72D297353CC}">
              <c16:uniqueId val="{00000001-08DC-9646-8413-32D6CAB245C8}"/>
            </c:ext>
          </c:extLst>
        </c:ser>
        <c:ser>
          <c:idx val="2"/>
          <c:order val="2"/>
          <c:tx>
            <c:strRef>
              <c:f>'Total Impact Compare'!$D$41</c:f>
              <c:strCache>
                <c:ptCount val="1"/>
                <c:pt idx="0">
                  <c:v>Negative Scaled Average</c:v>
                </c:pt>
              </c:strCache>
            </c:strRef>
          </c:tx>
          <c:spPr>
            <a:solidFill>
              <a:schemeClr val="accent3"/>
            </a:solidFill>
            <a:ln>
              <a:noFill/>
            </a:ln>
            <a:effectLst/>
          </c:spPr>
          <c:invertIfNegative val="0"/>
          <c:cat>
            <c:strRef>
              <c:f>'Total Impact Compare'!$A$42:$A$45</c:f>
              <c:strCache>
                <c:ptCount val="4"/>
                <c:pt idx="0">
                  <c:v>Direct</c:v>
                </c:pt>
                <c:pt idx="1">
                  <c:v>Indirect</c:v>
                </c:pt>
                <c:pt idx="2">
                  <c:v>Induced</c:v>
                </c:pt>
                <c:pt idx="3">
                  <c:v>Total</c:v>
                </c:pt>
              </c:strCache>
            </c:strRef>
          </c:cat>
          <c:val>
            <c:numRef>
              <c:f>'Total Impact Compare'!$D$42:$D$45</c:f>
              <c:numCache>
                <c:formatCode>_(* #,##0_);_(* \(#,##0\);_(* "-"??_);_(@_)</c:formatCode>
                <c:ptCount val="4"/>
                <c:pt idx="0">
                  <c:v>1000000001</c:v>
                </c:pt>
                <c:pt idx="1">
                  <c:v>411895982.61000001</c:v>
                </c:pt>
                <c:pt idx="2">
                  <c:v>188975289.06</c:v>
                </c:pt>
                <c:pt idx="3">
                  <c:v>1600871272.6600001</c:v>
                </c:pt>
              </c:numCache>
            </c:numRef>
          </c:val>
          <c:extLst>
            <c:ext xmlns:c16="http://schemas.microsoft.com/office/drawing/2014/chart" uri="{C3380CC4-5D6E-409C-BE32-E72D297353CC}">
              <c16:uniqueId val="{00000002-08DC-9646-8413-32D6CAB245C8}"/>
            </c:ext>
          </c:extLst>
        </c:ser>
        <c:dLbls>
          <c:showLegendKey val="0"/>
          <c:showVal val="0"/>
          <c:showCatName val="0"/>
          <c:showSerName val="0"/>
          <c:showPercent val="0"/>
          <c:showBubbleSize val="0"/>
        </c:dLbls>
        <c:gapWidth val="219"/>
        <c:overlap val="-27"/>
        <c:axId val="1529585200"/>
        <c:axId val="1451923872"/>
      </c:barChart>
      <c:catAx>
        <c:axId val="1529585200"/>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Impact Effects</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51923872"/>
        <c:crosses val="autoZero"/>
        <c:auto val="1"/>
        <c:lblAlgn val="ctr"/>
        <c:lblOffset val="100"/>
        <c:noMultiLvlLbl val="0"/>
      </c:catAx>
      <c:valAx>
        <c:axId val="14519238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Impacts by Dollars ($)</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295852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A531D-B127-4F5B-9A96-7B3B72F6B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C:\Program Files (x86)\Zotero\extensions\zoteroWinWordIntegration@zotero.org\install\Zotero.dotm</Template>
  <TotalTime>1</TotalTime>
  <Pages>78</Pages>
  <Words>33954</Words>
  <Characters>193541</Characters>
  <Application>Microsoft Office Word</Application>
  <DocSecurity>0</DocSecurity>
  <Lines>1612</Lines>
  <Paragraphs>454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Paola Bustos</dc:creator>
  <cp:lastModifiedBy>Marks, Mary Lynn</cp:lastModifiedBy>
  <cp:revision>3</cp:revision>
  <dcterms:created xsi:type="dcterms:W3CDTF">2022-04-10T23:06:00Z</dcterms:created>
  <dcterms:modified xsi:type="dcterms:W3CDTF">2022-04-10T23:08:00Z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zotero-version="5.0.96.4"&gt;&lt;session id="hmtlqVn6"/&gt;&lt;style id="http://www.zotero.org/styles/apa" locale="en-US" hasBibliography="1" bibliographyStyleHasBeenSet="1"/&gt;&lt;prefs&gt;&lt;pref name="fieldType" value="Field"/&gt;&lt;pref name="automaticJou</vt:lpwstr>
  </property>
  <property fmtid="{D5CDD505-2E9C-101B-9397-08002B2CF9AE}" pid="3" name="ZOTERO_PREF_2">
    <vt:lpwstr>rnalAbbreviations" value="true"/&gt;&lt;pref name="dontAskDelayCitationUpdates" value="true"/&gt;&lt;/prefs&gt;&lt;/data&gt;</vt:lpwstr>
  </property>
</Properties>
</file>