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79DB45" w14:textId="3ACB1340" w:rsidR="00757218" w:rsidRPr="00EB2A0B" w:rsidRDefault="00757218" w:rsidP="00757218">
      <w:pPr>
        <w:jc w:val="center"/>
        <w:rPr>
          <w:rFonts w:cs="Times New Roman"/>
          <w:b/>
          <w:bCs/>
          <w:sz w:val="28"/>
          <w:szCs w:val="28"/>
        </w:rPr>
      </w:pPr>
      <w:r w:rsidRPr="00EB2A0B">
        <w:rPr>
          <w:rFonts w:cs="Times New Roman"/>
          <w:b/>
          <w:bCs/>
          <w:sz w:val="28"/>
          <w:szCs w:val="28"/>
        </w:rPr>
        <w:t xml:space="preserve">Genome </w:t>
      </w:r>
      <w:r w:rsidR="00F63D20">
        <w:rPr>
          <w:rFonts w:cs="Times New Roman"/>
          <w:b/>
          <w:bCs/>
          <w:sz w:val="28"/>
          <w:szCs w:val="28"/>
        </w:rPr>
        <w:t>E</w:t>
      </w:r>
      <w:r w:rsidRPr="00EB2A0B">
        <w:rPr>
          <w:rFonts w:cs="Times New Roman"/>
          <w:b/>
          <w:bCs/>
          <w:sz w:val="28"/>
          <w:szCs w:val="28"/>
        </w:rPr>
        <w:t xml:space="preserve">volution in the </w:t>
      </w:r>
      <w:r w:rsidRPr="00EB2A0B">
        <w:rPr>
          <w:rFonts w:cs="Times New Roman"/>
          <w:b/>
          <w:bCs/>
          <w:i/>
          <w:iCs/>
          <w:sz w:val="28"/>
          <w:szCs w:val="28"/>
        </w:rPr>
        <w:t>Salicaceae</w:t>
      </w:r>
      <w:r w:rsidRPr="00EB2A0B">
        <w:rPr>
          <w:rFonts w:cs="Times New Roman"/>
          <w:b/>
          <w:bCs/>
          <w:sz w:val="28"/>
          <w:szCs w:val="28"/>
        </w:rPr>
        <w:t>: Genetic Novelty, Horizontal Gene Transfer, and Comparative Genomics</w:t>
      </w:r>
    </w:p>
    <w:p w14:paraId="10DDD5DD" w14:textId="77777777" w:rsidR="00757218" w:rsidRPr="00EB2A0B" w:rsidRDefault="00757218" w:rsidP="00757218">
      <w:pPr>
        <w:jc w:val="center"/>
        <w:rPr>
          <w:rFonts w:cs="Times New Roman"/>
          <w:b/>
          <w:bCs/>
          <w:sz w:val="28"/>
          <w:szCs w:val="28"/>
        </w:rPr>
      </w:pPr>
    </w:p>
    <w:p w14:paraId="29623310" w14:textId="77777777" w:rsidR="00757218" w:rsidRPr="00EB2A0B" w:rsidRDefault="00757218" w:rsidP="00757218">
      <w:pPr>
        <w:jc w:val="center"/>
        <w:rPr>
          <w:rFonts w:cs="Times New Roman"/>
          <w:b/>
          <w:bCs/>
          <w:sz w:val="28"/>
          <w:szCs w:val="28"/>
        </w:rPr>
      </w:pPr>
    </w:p>
    <w:p w14:paraId="374DB3FF" w14:textId="77777777" w:rsidR="00757218" w:rsidRPr="00EB2A0B" w:rsidRDefault="00757218" w:rsidP="00757218">
      <w:pPr>
        <w:jc w:val="center"/>
        <w:rPr>
          <w:rFonts w:cs="Times New Roman"/>
          <w:b/>
          <w:bCs/>
          <w:sz w:val="28"/>
          <w:szCs w:val="28"/>
        </w:rPr>
      </w:pPr>
    </w:p>
    <w:p w14:paraId="3AFF068B" w14:textId="77777777" w:rsidR="00757218" w:rsidRPr="00EB2A0B" w:rsidRDefault="00757218" w:rsidP="00757218">
      <w:pPr>
        <w:jc w:val="center"/>
        <w:rPr>
          <w:rFonts w:cs="Times New Roman"/>
          <w:b/>
          <w:bCs/>
          <w:sz w:val="28"/>
          <w:szCs w:val="28"/>
        </w:rPr>
      </w:pPr>
    </w:p>
    <w:p w14:paraId="64AAD238" w14:textId="77777777" w:rsidR="00757218" w:rsidRPr="00EB2A0B" w:rsidRDefault="00757218" w:rsidP="00757218">
      <w:pPr>
        <w:jc w:val="center"/>
        <w:rPr>
          <w:rFonts w:cs="Times New Roman"/>
          <w:b/>
          <w:bCs/>
          <w:sz w:val="28"/>
          <w:szCs w:val="28"/>
        </w:rPr>
      </w:pPr>
    </w:p>
    <w:p w14:paraId="084F9260" w14:textId="77777777" w:rsidR="00757218" w:rsidRPr="00EB2A0B" w:rsidRDefault="00757218" w:rsidP="00757218">
      <w:pPr>
        <w:jc w:val="center"/>
        <w:rPr>
          <w:rFonts w:cs="Times New Roman"/>
          <w:b/>
          <w:bCs/>
          <w:sz w:val="28"/>
          <w:szCs w:val="28"/>
        </w:rPr>
      </w:pPr>
    </w:p>
    <w:p w14:paraId="6FAF3328" w14:textId="77777777" w:rsidR="00757218" w:rsidRPr="00EB2A0B" w:rsidRDefault="00757218" w:rsidP="00757218">
      <w:pPr>
        <w:jc w:val="center"/>
        <w:rPr>
          <w:rFonts w:cs="Times New Roman"/>
          <w:b/>
          <w:bCs/>
          <w:sz w:val="28"/>
          <w:szCs w:val="28"/>
        </w:rPr>
      </w:pPr>
    </w:p>
    <w:p w14:paraId="2F4A6DE8" w14:textId="77777777" w:rsidR="00757218" w:rsidRPr="00EB2A0B" w:rsidRDefault="00757218" w:rsidP="00757218">
      <w:pPr>
        <w:jc w:val="center"/>
        <w:rPr>
          <w:rFonts w:cs="Times New Roman"/>
          <w:b/>
          <w:bCs/>
          <w:sz w:val="28"/>
          <w:szCs w:val="28"/>
        </w:rPr>
      </w:pPr>
    </w:p>
    <w:p w14:paraId="5567382B" w14:textId="77777777" w:rsidR="00757218" w:rsidRPr="00EB2A0B" w:rsidRDefault="00757218" w:rsidP="00757218">
      <w:pPr>
        <w:jc w:val="center"/>
        <w:rPr>
          <w:rFonts w:cs="Times New Roman"/>
          <w:b/>
          <w:bCs/>
          <w:sz w:val="28"/>
          <w:szCs w:val="28"/>
        </w:rPr>
      </w:pPr>
    </w:p>
    <w:p w14:paraId="73E2B01F" w14:textId="77777777" w:rsidR="00757218" w:rsidRPr="00EB2A0B" w:rsidRDefault="00757218" w:rsidP="00757218">
      <w:pPr>
        <w:jc w:val="center"/>
        <w:rPr>
          <w:rFonts w:cs="Times New Roman"/>
          <w:b/>
          <w:bCs/>
          <w:sz w:val="28"/>
          <w:szCs w:val="28"/>
        </w:rPr>
      </w:pPr>
    </w:p>
    <w:p w14:paraId="5A8B81AF" w14:textId="77777777" w:rsidR="00757218" w:rsidRPr="00EB2A0B" w:rsidRDefault="00757218" w:rsidP="00757218">
      <w:pPr>
        <w:jc w:val="center"/>
        <w:rPr>
          <w:rFonts w:cs="Times New Roman"/>
          <w:b/>
          <w:bCs/>
          <w:sz w:val="28"/>
          <w:szCs w:val="28"/>
        </w:rPr>
      </w:pPr>
    </w:p>
    <w:p w14:paraId="34FAEA1F" w14:textId="77777777" w:rsidR="00757218" w:rsidRPr="00EB2A0B" w:rsidRDefault="00757218" w:rsidP="00757218">
      <w:pPr>
        <w:jc w:val="center"/>
        <w:rPr>
          <w:rFonts w:cs="Times New Roman"/>
          <w:b/>
          <w:bCs/>
          <w:sz w:val="28"/>
          <w:szCs w:val="28"/>
        </w:rPr>
      </w:pPr>
    </w:p>
    <w:p w14:paraId="18F46F0C" w14:textId="77777777" w:rsidR="00757218" w:rsidRPr="00EB2A0B" w:rsidRDefault="00757218" w:rsidP="00757218">
      <w:pPr>
        <w:jc w:val="center"/>
        <w:rPr>
          <w:rFonts w:cs="Times New Roman"/>
          <w:b/>
          <w:bCs/>
          <w:sz w:val="28"/>
          <w:szCs w:val="28"/>
        </w:rPr>
      </w:pPr>
      <w:r w:rsidRPr="00EB2A0B">
        <w:rPr>
          <w:rFonts w:cs="Times New Roman"/>
          <w:b/>
          <w:bCs/>
          <w:sz w:val="28"/>
          <w:szCs w:val="28"/>
        </w:rPr>
        <w:t>A Dissertation Presented for the</w:t>
      </w:r>
    </w:p>
    <w:p w14:paraId="7454D348" w14:textId="77777777" w:rsidR="00757218" w:rsidRPr="00EB2A0B" w:rsidRDefault="00757218" w:rsidP="00757218">
      <w:pPr>
        <w:jc w:val="center"/>
        <w:rPr>
          <w:rFonts w:cs="Times New Roman"/>
          <w:b/>
          <w:bCs/>
          <w:sz w:val="28"/>
          <w:szCs w:val="28"/>
        </w:rPr>
      </w:pPr>
      <w:r w:rsidRPr="00EB2A0B">
        <w:rPr>
          <w:rFonts w:cs="Times New Roman"/>
          <w:b/>
          <w:bCs/>
          <w:sz w:val="28"/>
          <w:szCs w:val="28"/>
        </w:rPr>
        <w:t>Doctor of Philosophy</w:t>
      </w:r>
    </w:p>
    <w:p w14:paraId="753A6CA3" w14:textId="77777777" w:rsidR="00757218" w:rsidRPr="00EB2A0B" w:rsidRDefault="00757218" w:rsidP="00757218">
      <w:pPr>
        <w:jc w:val="center"/>
        <w:rPr>
          <w:rFonts w:cs="Times New Roman"/>
          <w:b/>
          <w:bCs/>
          <w:sz w:val="28"/>
          <w:szCs w:val="28"/>
        </w:rPr>
      </w:pPr>
      <w:r w:rsidRPr="00EB2A0B">
        <w:rPr>
          <w:rFonts w:cs="Times New Roman"/>
          <w:b/>
          <w:bCs/>
          <w:sz w:val="28"/>
          <w:szCs w:val="28"/>
        </w:rPr>
        <w:t>Degree</w:t>
      </w:r>
    </w:p>
    <w:p w14:paraId="5D66903D" w14:textId="77777777" w:rsidR="00757218" w:rsidRPr="00EB2A0B" w:rsidRDefault="00757218" w:rsidP="00757218">
      <w:pPr>
        <w:jc w:val="center"/>
        <w:rPr>
          <w:rFonts w:cs="Times New Roman"/>
          <w:b/>
          <w:bCs/>
          <w:sz w:val="28"/>
          <w:szCs w:val="28"/>
        </w:rPr>
      </w:pPr>
      <w:r w:rsidRPr="00EB2A0B">
        <w:rPr>
          <w:rFonts w:cs="Times New Roman"/>
          <w:b/>
          <w:bCs/>
          <w:sz w:val="28"/>
          <w:szCs w:val="28"/>
        </w:rPr>
        <w:t>The University of Tennessee, Knoxville</w:t>
      </w:r>
    </w:p>
    <w:p w14:paraId="42B86B12" w14:textId="77777777" w:rsidR="00757218" w:rsidRPr="00EB2A0B" w:rsidRDefault="00757218" w:rsidP="00757218">
      <w:pPr>
        <w:jc w:val="center"/>
        <w:rPr>
          <w:rFonts w:cs="Times New Roman"/>
          <w:b/>
          <w:bCs/>
          <w:sz w:val="28"/>
          <w:szCs w:val="28"/>
        </w:rPr>
      </w:pPr>
    </w:p>
    <w:p w14:paraId="37F0757F" w14:textId="77777777" w:rsidR="00757218" w:rsidRPr="00EB2A0B" w:rsidRDefault="00757218" w:rsidP="00757218">
      <w:pPr>
        <w:jc w:val="center"/>
        <w:rPr>
          <w:rFonts w:cs="Times New Roman"/>
          <w:b/>
          <w:bCs/>
          <w:sz w:val="28"/>
          <w:szCs w:val="28"/>
        </w:rPr>
      </w:pPr>
    </w:p>
    <w:p w14:paraId="1ED84874" w14:textId="77777777" w:rsidR="00757218" w:rsidRPr="00EB2A0B" w:rsidRDefault="00757218" w:rsidP="00757218">
      <w:pPr>
        <w:jc w:val="center"/>
        <w:rPr>
          <w:rFonts w:cs="Times New Roman"/>
          <w:b/>
          <w:bCs/>
          <w:sz w:val="28"/>
          <w:szCs w:val="28"/>
        </w:rPr>
      </w:pPr>
    </w:p>
    <w:p w14:paraId="6A605045" w14:textId="77777777" w:rsidR="00757218" w:rsidRPr="00EB2A0B" w:rsidRDefault="00757218" w:rsidP="00757218">
      <w:pPr>
        <w:jc w:val="center"/>
        <w:rPr>
          <w:rFonts w:cs="Times New Roman"/>
          <w:b/>
          <w:bCs/>
          <w:sz w:val="28"/>
          <w:szCs w:val="28"/>
        </w:rPr>
      </w:pPr>
    </w:p>
    <w:p w14:paraId="0BF467DF" w14:textId="77777777" w:rsidR="00757218" w:rsidRPr="00EB2A0B" w:rsidRDefault="00757218" w:rsidP="00757218">
      <w:pPr>
        <w:jc w:val="center"/>
        <w:rPr>
          <w:rFonts w:cs="Times New Roman"/>
          <w:b/>
          <w:bCs/>
          <w:sz w:val="28"/>
          <w:szCs w:val="28"/>
        </w:rPr>
      </w:pPr>
    </w:p>
    <w:p w14:paraId="3A4192B4" w14:textId="77777777" w:rsidR="00757218" w:rsidRPr="00EB2A0B" w:rsidRDefault="00757218" w:rsidP="00757218">
      <w:pPr>
        <w:jc w:val="center"/>
        <w:rPr>
          <w:rFonts w:cs="Times New Roman"/>
          <w:b/>
          <w:bCs/>
          <w:sz w:val="28"/>
          <w:szCs w:val="28"/>
        </w:rPr>
      </w:pPr>
    </w:p>
    <w:p w14:paraId="00A5E22E" w14:textId="77777777" w:rsidR="00757218" w:rsidRPr="00EB2A0B" w:rsidRDefault="00757218" w:rsidP="00757218">
      <w:pPr>
        <w:jc w:val="center"/>
        <w:rPr>
          <w:rFonts w:cs="Times New Roman"/>
          <w:b/>
          <w:bCs/>
          <w:sz w:val="28"/>
          <w:szCs w:val="28"/>
        </w:rPr>
      </w:pPr>
    </w:p>
    <w:p w14:paraId="76E2A991" w14:textId="77777777" w:rsidR="00757218" w:rsidRPr="00EB2A0B" w:rsidRDefault="00757218" w:rsidP="00757218">
      <w:pPr>
        <w:jc w:val="center"/>
        <w:rPr>
          <w:rFonts w:cs="Times New Roman"/>
          <w:b/>
          <w:bCs/>
          <w:sz w:val="28"/>
          <w:szCs w:val="28"/>
        </w:rPr>
      </w:pPr>
    </w:p>
    <w:p w14:paraId="70901BFB" w14:textId="77777777" w:rsidR="00757218" w:rsidRPr="00EB2A0B" w:rsidRDefault="00757218" w:rsidP="00757218">
      <w:pPr>
        <w:jc w:val="center"/>
        <w:rPr>
          <w:rFonts w:cs="Times New Roman"/>
          <w:b/>
          <w:bCs/>
          <w:sz w:val="28"/>
          <w:szCs w:val="28"/>
        </w:rPr>
      </w:pPr>
    </w:p>
    <w:p w14:paraId="638E5EBF" w14:textId="77777777" w:rsidR="00757218" w:rsidRPr="00EB2A0B" w:rsidRDefault="00757218" w:rsidP="00757218">
      <w:pPr>
        <w:jc w:val="center"/>
        <w:rPr>
          <w:rFonts w:cs="Times New Roman"/>
          <w:b/>
          <w:bCs/>
          <w:sz w:val="28"/>
          <w:szCs w:val="28"/>
        </w:rPr>
      </w:pPr>
    </w:p>
    <w:p w14:paraId="67D5BB3F" w14:textId="77777777" w:rsidR="00757218" w:rsidRPr="00EB2A0B" w:rsidRDefault="00757218" w:rsidP="00757218">
      <w:pPr>
        <w:jc w:val="center"/>
        <w:rPr>
          <w:rFonts w:cs="Times New Roman"/>
          <w:b/>
          <w:bCs/>
          <w:sz w:val="28"/>
          <w:szCs w:val="28"/>
        </w:rPr>
      </w:pPr>
    </w:p>
    <w:p w14:paraId="0D7D5561" w14:textId="77777777" w:rsidR="00757218" w:rsidRPr="00EB2A0B" w:rsidRDefault="00757218" w:rsidP="00757218">
      <w:pPr>
        <w:jc w:val="center"/>
        <w:rPr>
          <w:rFonts w:cs="Times New Roman"/>
          <w:b/>
          <w:bCs/>
          <w:sz w:val="28"/>
          <w:szCs w:val="28"/>
        </w:rPr>
      </w:pPr>
    </w:p>
    <w:p w14:paraId="1C411686" w14:textId="77777777" w:rsidR="00757218" w:rsidRPr="00EB2A0B" w:rsidRDefault="00757218" w:rsidP="00757218">
      <w:pPr>
        <w:jc w:val="center"/>
        <w:rPr>
          <w:rFonts w:cs="Times New Roman"/>
          <w:b/>
          <w:bCs/>
          <w:sz w:val="28"/>
          <w:szCs w:val="28"/>
        </w:rPr>
      </w:pPr>
    </w:p>
    <w:p w14:paraId="0809D392" w14:textId="77777777" w:rsidR="00757218" w:rsidRPr="00EB2A0B" w:rsidRDefault="00757218" w:rsidP="00757218">
      <w:pPr>
        <w:jc w:val="center"/>
        <w:rPr>
          <w:rFonts w:cs="Times New Roman"/>
          <w:b/>
          <w:bCs/>
          <w:sz w:val="28"/>
          <w:szCs w:val="28"/>
        </w:rPr>
      </w:pPr>
    </w:p>
    <w:p w14:paraId="7C06470D" w14:textId="77777777" w:rsidR="00757218" w:rsidRPr="00EB2A0B" w:rsidRDefault="00757218" w:rsidP="00757218">
      <w:pPr>
        <w:jc w:val="center"/>
        <w:rPr>
          <w:rFonts w:cs="Times New Roman"/>
          <w:b/>
          <w:bCs/>
          <w:sz w:val="28"/>
          <w:szCs w:val="28"/>
        </w:rPr>
      </w:pPr>
    </w:p>
    <w:p w14:paraId="17E0B4B6" w14:textId="77777777" w:rsidR="00757218" w:rsidRPr="00EB2A0B" w:rsidRDefault="00757218" w:rsidP="00757218">
      <w:pPr>
        <w:jc w:val="center"/>
        <w:rPr>
          <w:rFonts w:cs="Times New Roman"/>
          <w:b/>
          <w:bCs/>
          <w:sz w:val="28"/>
          <w:szCs w:val="28"/>
        </w:rPr>
      </w:pPr>
    </w:p>
    <w:p w14:paraId="22816EAE" w14:textId="77777777" w:rsidR="00757218" w:rsidRPr="00EB2A0B" w:rsidRDefault="00757218" w:rsidP="00757218">
      <w:pPr>
        <w:jc w:val="center"/>
        <w:rPr>
          <w:rFonts w:cs="Times New Roman"/>
          <w:b/>
          <w:bCs/>
          <w:sz w:val="28"/>
          <w:szCs w:val="28"/>
        </w:rPr>
      </w:pPr>
    </w:p>
    <w:p w14:paraId="5A7FC467" w14:textId="77777777" w:rsidR="00757218" w:rsidRPr="00EB2A0B" w:rsidRDefault="00757218" w:rsidP="00757218">
      <w:pPr>
        <w:jc w:val="center"/>
        <w:rPr>
          <w:rFonts w:cs="Times New Roman"/>
          <w:b/>
          <w:bCs/>
          <w:sz w:val="28"/>
          <w:szCs w:val="28"/>
        </w:rPr>
      </w:pPr>
    </w:p>
    <w:p w14:paraId="729E9049" w14:textId="77777777" w:rsidR="00757218" w:rsidRPr="00EB2A0B" w:rsidRDefault="00757218" w:rsidP="00757218">
      <w:pPr>
        <w:rPr>
          <w:rFonts w:cs="Times New Roman"/>
          <w:b/>
          <w:bCs/>
          <w:sz w:val="28"/>
          <w:szCs w:val="28"/>
        </w:rPr>
      </w:pPr>
    </w:p>
    <w:p w14:paraId="48123DCD" w14:textId="77777777" w:rsidR="00757218" w:rsidRPr="00EB2A0B" w:rsidRDefault="00757218" w:rsidP="00757218">
      <w:pPr>
        <w:jc w:val="center"/>
        <w:rPr>
          <w:rFonts w:cs="Times New Roman"/>
          <w:b/>
          <w:bCs/>
          <w:sz w:val="28"/>
          <w:szCs w:val="28"/>
        </w:rPr>
      </w:pPr>
      <w:r w:rsidRPr="00EB2A0B">
        <w:rPr>
          <w:rFonts w:cs="Times New Roman"/>
          <w:b/>
          <w:bCs/>
          <w:sz w:val="28"/>
          <w:szCs w:val="28"/>
        </w:rPr>
        <w:t>Timothy B. Yates</w:t>
      </w:r>
    </w:p>
    <w:p w14:paraId="7ED9AFEB" w14:textId="6DCA5A39" w:rsidR="00757218" w:rsidRDefault="007768FC" w:rsidP="00757218">
      <w:pPr>
        <w:jc w:val="center"/>
        <w:rPr>
          <w:rFonts w:cs="Times New Roman"/>
          <w:b/>
          <w:bCs/>
          <w:sz w:val="28"/>
          <w:szCs w:val="28"/>
        </w:rPr>
      </w:pPr>
      <w:r>
        <w:rPr>
          <w:rFonts w:cs="Times New Roman"/>
          <w:b/>
          <w:bCs/>
          <w:sz w:val="28"/>
          <w:szCs w:val="28"/>
        </w:rPr>
        <w:t>August</w:t>
      </w:r>
      <w:r w:rsidR="00757218" w:rsidRPr="00EB2A0B">
        <w:rPr>
          <w:rFonts w:cs="Times New Roman"/>
          <w:b/>
          <w:bCs/>
          <w:sz w:val="28"/>
          <w:szCs w:val="28"/>
        </w:rPr>
        <w:t xml:space="preserve"> 2022</w:t>
      </w:r>
    </w:p>
    <w:p w14:paraId="003ED165" w14:textId="77777777" w:rsidR="00757218" w:rsidRDefault="00757218" w:rsidP="00757218">
      <w:pPr>
        <w:rPr>
          <w:rFonts w:cs="Times New Roman"/>
        </w:rPr>
      </w:pPr>
    </w:p>
    <w:p w14:paraId="04F3CF76" w14:textId="77777777" w:rsidR="00757218" w:rsidRPr="00EB2A0B" w:rsidRDefault="00757218" w:rsidP="00757218">
      <w:pPr>
        <w:rPr>
          <w:rFonts w:cs="Times New Roman"/>
          <w:b/>
          <w:bCs/>
          <w:sz w:val="28"/>
          <w:szCs w:val="28"/>
        </w:rPr>
      </w:pPr>
      <w:r w:rsidRPr="009D2AA9">
        <w:rPr>
          <w:rFonts w:cs="Times New Roman"/>
        </w:rPr>
        <w:lastRenderedPageBreak/>
        <w:t>Copyright © 20</w:t>
      </w:r>
      <w:r>
        <w:rPr>
          <w:rFonts w:cs="Times New Roman"/>
        </w:rPr>
        <w:t>22</w:t>
      </w:r>
      <w:r w:rsidRPr="009D2AA9">
        <w:rPr>
          <w:rFonts w:cs="Times New Roman"/>
        </w:rPr>
        <w:t xml:space="preserve"> by </w:t>
      </w:r>
      <w:r>
        <w:rPr>
          <w:rFonts w:cs="Times New Roman"/>
        </w:rPr>
        <w:t>Timothy B</w:t>
      </w:r>
      <w:r w:rsidRPr="009D2AA9">
        <w:rPr>
          <w:rFonts w:cs="Times New Roman"/>
        </w:rPr>
        <w:t>.</w:t>
      </w:r>
      <w:r>
        <w:rPr>
          <w:rFonts w:cs="Times New Roman"/>
        </w:rPr>
        <w:t xml:space="preserve"> Yates</w:t>
      </w:r>
    </w:p>
    <w:p w14:paraId="186A8516" w14:textId="77777777" w:rsidR="00757218" w:rsidRDefault="00757218" w:rsidP="00757218">
      <w:pPr>
        <w:rPr>
          <w:rFonts w:cs="Times New Roman"/>
        </w:rPr>
      </w:pPr>
      <w:r w:rsidRPr="009D2AA9">
        <w:rPr>
          <w:rFonts w:cs="Times New Roman"/>
        </w:rPr>
        <w:t>All rights reserved.</w:t>
      </w:r>
    </w:p>
    <w:p w14:paraId="49806D14" w14:textId="77777777" w:rsidR="00757218" w:rsidRDefault="00757218" w:rsidP="00757218">
      <w:pPr>
        <w:rPr>
          <w:rFonts w:cs="Times New Roman"/>
        </w:rPr>
      </w:pPr>
    </w:p>
    <w:p w14:paraId="5EE561E2" w14:textId="77777777" w:rsidR="00757218" w:rsidRDefault="00757218" w:rsidP="00757218">
      <w:pPr>
        <w:rPr>
          <w:rFonts w:cs="Times New Roman"/>
        </w:rPr>
      </w:pPr>
    </w:p>
    <w:p w14:paraId="20E8F385" w14:textId="77777777" w:rsidR="00757218" w:rsidRDefault="00757218" w:rsidP="00757218">
      <w:pPr>
        <w:rPr>
          <w:rFonts w:cs="Times New Roman"/>
        </w:rPr>
      </w:pPr>
    </w:p>
    <w:p w14:paraId="23D2F5AF" w14:textId="77777777" w:rsidR="00757218" w:rsidRDefault="00757218" w:rsidP="00757218">
      <w:pPr>
        <w:rPr>
          <w:rFonts w:cs="Times New Roman"/>
        </w:rPr>
      </w:pPr>
    </w:p>
    <w:p w14:paraId="6F27EF2C" w14:textId="77777777" w:rsidR="00757218" w:rsidRDefault="00757218" w:rsidP="00757218">
      <w:pPr>
        <w:rPr>
          <w:rFonts w:cs="Times New Roman"/>
        </w:rPr>
      </w:pPr>
    </w:p>
    <w:p w14:paraId="6A0F5874" w14:textId="77777777" w:rsidR="00757218" w:rsidRDefault="00757218" w:rsidP="00757218">
      <w:pPr>
        <w:rPr>
          <w:rFonts w:cs="Times New Roman"/>
        </w:rPr>
      </w:pPr>
    </w:p>
    <w:p w14:paraId="69C14283" w14:textId="77777777" w:rsidR="00757218" w:rsidRDefault="00757218" w:rsidP="00757218">
      <w:pPr>
        <w:rPr>
          <w:rFonts w:cs="Times New Roman"/>
        </w:rPr>
      </w:pPr>
    </w:p>
    <w:p w14:paraId="36219CC4" w14:textId="77777777" w:rsidR="00757218" w:rsidRDefault="00757218" w:rsidP="00757218">
      <w:pPr>
        <w:rPr>
          <w:rFonts w:cs="Times New Roman"/>
        </w:rPr>
      </w:pPr>
    </w:p>
    <w:p w14:paraId="4287EABD" w14:textId="77777777" w:rsidR="00757218" w:rsidRDefault="00757218" w:rsidP="00757218">
      <w:pPr>
        <w:rPr>
          <w:rFonts w:cs="Times New Roman"/>
        </w:rPr>
      </w:pPr>
    </w:p>
    <w:p w14:paraId="73451ED6" w14:textId="77777777" w:rsidR="00757218" w:rsidRDefault="00757218" w:rsidP="00757218">
      <w:pPr>
        <w:rPr>
          <w:rFonts w:cs="Times New Roman"/>
        </w:rPr>
      </w:pPr>
    </w:p>
    <w:p w14:paraId="3DBCF134" w14:textId="77777777" w:rsidR="00757218" w:rsidRDefault="00757218" w:rsidP="00757218">
      <w:pPr>
        <w:rPr>
          <w:rFonts w:cs="Times New Roman"/>
        </w:rPr>
      </w:pPr>
    </w:p>
    <w:p w14:paraId="147E1C4E" w14:textId="77777777" w:rsidR="00757218" w:rsidRDefault="00757218" w:rsidP="00757218">
      <w:pPr>
        <w:rPr>
          <w:rFonts w:cs="Times New Roman"/>
        </w:rPr>
      </w:pPr>
    </w:p>
    <w:p w14:paraId="45108998" w14:textId="77777777" w:rsidR="00757218" w:rsidRDefault="00757218" w:rsidP="00757218">
      <w:pPr>
        <w:rPr>
          <w:rFonts w:cs="Times New Roman"/>
        </w:rPr>
      </w:pPr>
    </w:p>
    <w:p w14:paraId="267B5AF8" w14:textId="77777777" w:rsidR="00757218" w:rsidRDefault="00757218" w:rsidP="00757218">
      <w:pPr>
        <w:rPr>
          <w:rFonts w:cs="Times New Roman"/>
        </w:rPr>
      </w:pPr>
    </w:p>
    <w:p w14:paraId="655DB242" w14:textId="77777777" w:rsidR="00757218" w:rsidRDefault="00757218" w:rsidP="00757218">
      <w:pPr>
        <w:rPr>
          <w:rFonts w:cs="Times New Roman"/>
        </w:rPr>
      </w:pPr>
    </w:p>
    <w:p w14:paraId="568C89D5" w14:textId="77777777" w:rsidR="00757218" w:rsidRDefault="00757218" w:rsidP="00757218">
      <w:pPr>
        <w:rPr>
          <w:rFonts w:cs="Times New Roman"/>
        </w:rPr>
      </w:pPr>
    </w:p>
    <w:p w14:paraId="689093E2" w14:textId="77777777" w:rsidR="00757218" w:rsidRDefault="00757218" w:rsidP="00757218">
      <w:pPr>
        <w:rPr>
          <w:rFonts w:cs="Times New Roman"/>
        </w:rPr>
      </w:pPr>
    </w:p>
    <w:p w14:paraId="0D862756" w14:textId="77777777" w:rsidR="00757218" w:rsidRDefault="00757218" w:rsidP="00757218">
      <w:pPr>
        <w:rPr>
          <w:rFonts w:cs="Times New Roman"/>
        </w:rPr>
      </w:pPr>
    </w:p>
    <w:p w14:paraId="6E9FC6BC" w14:textId="77777777" w:rsidR="00757218" w:rsidRDefault="00757218" w:rsidP="00757218">
      <w:pPr>
        <w:rPr>
          <w:rFonts w:cs="Times New Roman"/>
        </w:rPr>
      </w:pPr>
    </w:p>
    <w:p w14:paraId="029818DB" w14:textId="77777777" w:rsidR="00757218" w:rsidRDefault="00757218" w:rsidP="00757218">
      <w:pPr>
        <w:rPr>
          <w:rFonts w:cs="Times New Roman"/>
        </w:rPr>
      </w:pPr>
    </w:p>
    <w:p w14:paraId="1FFE3518" w14:textId="77777777" w:rsidR="00757218" w:rsidRDefault="00757218" w:rsidP="00757218">
      <w:pPr>
        <w:rPr>
          <w:rFonts w:cs="Times New Roman"/>
        </w:rPr>
      </w:pPr>
    </w:p>
    <w:p w14:paraId="7647A1A6" w14:textId="77777777" w:rsidR="00757218" w:rsidRDefault="00757218" w:rsidP="00757218">
      <w:pPr>
        <w:rPr>
          <w:rFonts w:cs="Times New Roman"/>
        </w:rPr>
      </w:pPr>
    </w:p>
    <w:p w14:paraId="35115C89" w14:textId="77777777" w:rsidR="00757218" w:rsidRDefault="00757218" w:rsidP="00757218">
      <w:pPr>
        <w:rPr>
          <w:rFonts w:cs="Times New Roman"/>
        </w:rPr>
      </w:pPr>
    </w:p>
    <w:p w14:paraId="7617B7BA" w14:textId="77777777" w:rsidR="00757218" w:rsidRDefault="00757218" w:rsidP="00757218">
      <w:pPr>
        <w:rPr>
          <w:rFonts w:cs="Times New Roman"/>
        </w:rPr>
      </w:pPr>
    </w:p>
    <w:p w14:paraId="06F0511C" w14:textId="77777777" w:rsidR="00757218" w:rsidRDefault="00757218" w:rsidP="00757218">
      <w:pPr>
        <w:rPr>
          <w:rFonts w:cs="Times New Roman"/>
        </w:rPr>
      </w:pPr>
    </w:p>
    <w:p w14:paraId="4C64606F" w14:textId="77777777" w:rsidR="00757218" w:rsidRDefault="00757218" w:rsidP="00757218">
      <w:pPr>
        <w:rPr>
          <w:rFonts w:cs="Times New Roman"/>
        </w:rPr>
      </w:pPr>
    </w:p>
    <w:p w14:paraId="41D4642E" w14:textId="77777777" w:rsidR="00757218" w:rsidRDefault="00757218" w:rsidP="00757218">
      <w:pPr>
        <w:rPr>
          <w:rFonts w:cs="Times New Roman"/>
        </w:rPr>
      </w:pPr>
    </w:p>
    <w:p w14:paraId="0C141B18" w14:textId="77777777" w:rsidR="00757218" w:rsidRDefault="00757218" w:rsidP="00757218">
      <w:pPr>
        <w:rPr>
          <w:rFonts w:cs="Times New Roman"/>
        </w:rPr>
      </w:pPr>
    </w:p>
    <w:p w14:paraId="7A602E26" w14:textId="77777777" w:rsidR="00757218" w:rsidRDefault="00757218" w:rsidP="00757218">
      <w:pPr>
        <w:rPr>
          <w:rFonts w:cs="Times New Roman"/>
        </w:rPr>
      </w:pPr>
    </w:p>
    <w:p w14:paraId="56D75E1E" w14:textId="77777777" w:rsidR="00757218" w:rsidRDefault="00757218" w:rsidP="00757218">
      <w:pPr>
        <w:rPr>
          <w:rFonts w:cs="Times New Roman"/>
        </w:rPr>
      </w:pPr>
    </w:p>
    <w:p w14:paraId="1F42778C" w14:textId="77777777" w:rsidR="00757218" w:rsidRDefault="00757218" w:rsidP="00757218">
      <w:pPr>
        <w:rPr>
          <w:rFonts w:cs="Times New Roman"/>
        </w:rPr>
      </w:pPr>
    </w:p>
    <w:p w14:paraId="53F0F6BF" w14:textId="77777777" w:rsidR="00757218" w:rsidRDefault="00757218" w:rsidP="00757218">
      <w:pPr>
        <w:rPr>
          <w:rFonts w:cs="Times New Roman"/>
        </w:rPr>
      </w:pPr>
    </w:p>
    <w:p w14:paraId="5E36E2C3" w14:textId="77777777" w:rsidR="00757218" w:rsidRDefault="00757218" w:rsidP="00757218">
      <w:pPr>
        <w:rPr>
          <w:rFonts w:cs="Times New Roman"/>
        </w:rPr>
      </w:pPr>
    </w:p>
    <w:p w14:paraId="7AA649D3" w14:textId="77777777" w:rsidR="00757218" w:rsidRDefault="00757218" w:rsidP="00757218">
      <w:pPr>
        <w:rPr>
          <w:rFonts w:cs="Times New Roman"/>
        </w:rPr>
      </w:pPr>
    </w:p>
    <w:p w14:paraId="586B0E93" w14:textId="77777777" w:rsidR="00757218" w:rsidRDefault="00757218" w:rsidP="00757218">
      <w:pPr>
        <w:rPr>
          <w:rFonts w:cs="Times New Roman"/>
        </w:rPr>
      </w:pPr>
    </w:p>
    <w:p w14:paraId="1E1AFF09" w14:textId="77777777" w:rsidR="00757218" w:rsidRDefault="00757218" w:rsidP="00757218">
      <w:pPr>
        <w:rPr>
          <w:rFonts w:cs="Times New Roman"/>
        </w:rPr>
      </w:pPr>
    </w:p>
    <w:p w14:paraId="0CB6C9C0" w14:textId="77777777" w:rsidR="00757218" w:rsidRDefault="00757218" w:rsidP="00757218">
      <w:pPr>
        <w:rPr>
          <w:rFonts w:cs="Times New Roman"/>
        </w:rPr>
      </w:pPr>
    </w:p>
    <w:p w14:paraId="5B66772E" w14:textId="77777777" w:rsidR="00757218" w:rsidRDefault="00757218" w:rsidP="00757218">
      <w:pPr>
        <w:rPr>
          <w:rFonts w:cs="Times New Roman"/>
        </w:rPr>
      </w:pPr>
    </w:p>
    <w:p w14:paraId="04F714E7" w14:textId="77777777" w:rsidR="00757218" w:rsidRDefault="00757218" w:rsidP="00757218">
      <w:pPr>
        <w:rPr>
          <w:rFonts w:cs="Times New Roman"/>
        </w:rPr>
      </w:pPr>
    </w:p>
    <w:p w14:paraId="15E998B2" w14:textId="77777777" w:rsidR="00757218" w:rsidRDefault="00757218" w:rsidP="00757218">
      <w:pPr>
        <w:rPr>
          <w:rFonts w:cs="Times New Roman"/>
        </w:rPr>
      </w:pPr>
    </w:p>
    <w:p w14:paraId="3D938FAC" w14:textId="77777777" w:rsidR="00757218" w:rsidRDefault="00757218" w:rsidP="00757218">
      <w:pPr>
        <w:rPr>
          <w:rFonts w:cs="Times New Roman"/>
        </w:rPr>
      </w:pPr>
    </w:p>
    <w:p w14:paraId="60FB9D5D" w14:textId="77777777" w:rsidR="00757218" w:rsidRDefault="00757218" w:rsidP="00757218">
      <w:pPr>
        <w:rPr>
          <w:rFonts w:cs="Times New Roman"/>
        </w:rPr>
      </w:pPr>
    </w:p>
    <w:p w14:paraId="2FD0D77F" w14:textId="77777777" w:rsidR="00757218" w:rsidRDefault="00757218" w:rsidP="00757218">
      <w:pPr>
        <w:rPr>
          <w:rFonts w:cs="Times New Roman"/>
        </w:rPr>
      </w:pPr>
    </w:p>
    <w:p w14:paraId="79E7ED63" w14:textId="77777777" w:rsidR="00757218" w:rsidRDefault="00757218" w:rsidP="00757218">
      <w:pPr>
        <w:rPr>
          <w:rFonts w:cs="Times New Roman"/>
        </w:rPr>
      </w:pPr>
    </w:p>
    <w:p w14:paraId="518AEF64" w14:textId="77777777" w:rsidR="00757218" w:rsidRPr="00026406" w:rsidRDefault="00757218" w:rsidP="00757218">
      <w:pPr>
        <w:jc w:val="center"/>
        <w:rPr>
          <w:rFonts w:cs="Times New Roman"/>
          <w:b/>
          <w:bCs/>
          <w:sz w:val="28"/>
          <w:szCs w:val="28"/>
        </w:rPr>
      </w:pPr>
      <w:r>
        <w:rPr>
          <w:rFonts w:cs="Times New Roman"/>
          <w:b/>
          <w:bCs/>
          <w:sz w:val="28"/>
          <w:szCs w:val="28"/>
        </w:rPr>
        <w:lastRenderedPageBreak/>
        <w:t>DEDICATION</w:t>
      </w:r>
    </w:p>
    <w:p w14:paraId="5A0EB60E" w14:textId="77777777" w:rsidR="00757218" w:rsidRPr="009D2AA9" w:rsidRDefault="00757218" w:rsidP="00757218">
      <w:pPr>
        <w:jc w:val="center"/>
        <w:rPr>
          <w:rFonts w:cs="Times New Roman"/>
        </w:rPr>
      </w:pPr>
    </w:p>
    <w:p w14:paraId="016B120E" w14:textId="77777777" w:rsidR="00757218" w:rsidRDefault="00757218" w:rsidP="00757218">
      <w:pPr>
        <w:rPr>
          <w:rFonts w:cs="Times New Roman"/>
        </w:rPr>
      </w:pPr>
      <w:r>
        <w:rPr>
          <w:rFonts w:cs="Times New Roman"/>
        </w:rPr>
        <w:t>I dedicate this work to my parents, Brad Yates and Susan Lagasse, and my fiancé Sonja Feck, whose support during graduate school made this work possible.</w:t>
      </w:r>
    </w:p>
    <w:p w14:paraId="03A043D5" w14:textId="77777777" w:rsidR="00757218" w:rsidRDefault="00757218" w:rsidP="00757218">
      <w:pPr>
        <w:rPr>
          <w:rFonts w:cs="Times New Roman"/>
        </w:rPr>
      </w:pPr>
    </w:p>
    <w:p w14:paraId="36570451" w14:textId="77777777" w:rsidR="00757218" w:rsidRDefault="00757218" w:rsidP="00757218">
      <w:pPr>
        <w:rPr>
          <w:rFonts w:cs="Times New Roman"/>
        </w:rPr>
      </w:pPr>
    </w:p>
    <w:p w14:paraId="434D76C4" w14:textId="77777777" w:rsidR="00757218" w:rsidRDefault="00757218" w:rsidP="00757218">
      <w:pPr>
        <w:rPr>
          <w:rFonts w:cs="Times New Roman"/>
        </w:rPr>
      </w:pPr>
    </w:p>
    <w:p w14:paraId="0DD227E8" w14:textId="77777777" w:rsidR="00757218" w:rsidRDefault="00757218" w:rsidP="00757218">
      <w:pPr>
        <w:rPr>
          <w:rFonts w:cs="Times New Roman"/>
        </w:rPr>
      </w:pPr>
    </w:p>
    <w:p w14:paraId="52519592" w14:textId="77777777" w:rsidR="00757218" w:rsidRDefault="00757218" w:rsidP="00757218">
      <w:pPr>
        <w:rPr>
          <w:rFonts w:cs="Times New Roman"/>
        </w:rPr>
      </w:pPr>
    </w:p>
    <w:p w14:paraId="1EE3D4E9" w14:textId="77777777" w:rsidR="00757218" w:rsidRDefault="00757218" w:rsidP="00757218">
      <w:pPr>
        <w:rPr>
          <w:rFonts w:cs="Times New Roman"/>
        </w:rPr>
      </w:pPr>
    </w:p>
    <w:p w14:paraId="256BC470" w14:textId="77777777" w:rsidR="00757218" w:rsidRDefault="00757218" w:rsidP="00757218">
      <w:pPr>
        <w:rPr>
          <w:rFonts w:cs="Times New Roman"/>
        </w:rPr>
      </w:pPr>
    </w:p>
    <w:p w14:paraId="325BD5B4" w14:textId="77777777" w:rsidR="00757218" w:rsidRDefault="00757218" w:rsidP="00757218">
      <w:pPr>
        <w:rPr>
          <w:rFonts w:cs="Times New Roman"/>
        </w:rPr>
      </w:pPr>
    </w:p>
    <w:p w14:paraId="08222C24" w14:textId="77777777" w:rsidR="00757218" w:rsidRDefault="00757218" w:rsidP="00757218">
      <w:pPr>
        <w:rPr>
          <w:rFonts w:cs="Times New Roman"/>
        </w:rPr>
      </w:pPr>
    </w:p>
    <w:p w14:paraId="22041B13" w14:textId="77777777" w:rsidR="00757218" w:rsidRDefault="00757218" w:rsidP="00757218">
      <w:pPr>
        <w:rPr>
          <w:rFonts w:cs="Times New Roman"/>
        </w:rPr>
      </w:pPr>
    </w:p>
    <w:p w14:paraId="128F7202" w14:textId="77777777" w:rsidR="00757218" w:rsidRDefault="00757218" w:rsidP="00757218">
      <w:pPr>
        <w:rPr>
          <w:rFonts w:cs="Times New Roman"/>
        </w:rPr>
      </w:pPr>
    </w:p>
    <w:p w14:paraId="241582DB" w14:textId="77777777" w:rsidR="00757218" w:rsidRDefault="00757218" w:rsidP="00757218">
      <w:pPr>
        <w:rPr>
          <w:rFonts w:cs="Times New Roman"/>
        </w:rPr>
      </w:pPr>
    </w:p>
    <w:p w14:paraId="6849D403" w14:textId="77777777" w:rsidR="00757218" w:rsidRDefault="00757218" w:rsidP="00757218">
      <w:pPr>
        <w:rPr>
          <w:rFonts w:cs="Times New Roman"/>
        </w:rPr>
      </w:pPr>
    </w:p>
    <w:p w14:paraId="735769BA" w14:textId="77777777" w:rsidR="00757218" w:rsidRDefault="00757218" w:rsidP="00757218">
      <w:pPr>
        <w:rPr>
          <w:rFonts w:cs="Times New Roman"/>
        </w:rPr>
      </w:pPr>
    </w:p>
    <w:p w14:paraId="7B800153" w14:textId="77777777" w:rsidR="00757218" w:rsidRDefault="00757218" w:rsidP="00757218">
      <w:pPr>
        <w:rPr>
          <w:rFonts w:cs="Times New Roman"/>
        </w:rPr>
      </w:pPr>
    </w:p>
    <w:p w14:paraId="78BFB79F" w14:textId="77777777" w:rsidR="00757218" w:rsidRDefault="00757218" w:rsidP="00757218">
      <w:pPr>
        <w:rPr>
          <w:rFonts w:cs="Times New Roman"/>
        </w:rPr>
      </w:pPr>
    </w:p>
    <w:p w14:paraId="6DF4534F" w14:textId="77777777" w:rsidR="00757218" w:rsidRDefault="00757218" w:rsidP="00757218">
      <w:pPr>
        <w:rPr>
          <w:rFonts w:cs="Times New Roman"/>
        </w:rPr>
      </w:pPr>
    </w:p>
    <w:p w14:paraId="512CE3FA" w14:textId="77777777" w:rsidR="00757218" w:rsidRDefault="00757218" w:rsidP="00757218">
      <w:pPr>
        <w:rPr>
          <w:rFonts w:cs="Times New Roman"/>
        </w:rPr>
      </w:pPr>
    </w:p>
    <w:p w14:paraId="4232C569" w14:textId="77777777" w:rsidR="00757218" w:rsidRDefault="00757218" w:rsidP="00757218">
      <w:pPr>
        <w:rPr>
          <w:rFonts w:cs="Times New Roman"/>
        </w:rPr>
      </w:pPr>
    </w:p>
    <w:p w14:paraId="30CC33F3" w14:textId="77777777" w:rsidR="00757218" w:rsidRDefault="00757218" w:rsidP="00757218">
      <w:pPr>
        <w:rPr>
          <w:rFonts w:cs="Times New Roman"/>
        </w:rPr>
      </w:pPr>
    </w:p>
    <w:p w14:paraId="24F1ACD9" w14:textId="77777777" w:rsidR="00757218" w:rsidRDefault="00757218" w:rsidP="00757218">
      <w:pPr>
        <w:rPr>
          <w:rFonts w:cs="Times New Roman"/>
        </w:rPr>
      </w:pPr>
    </w:p>
    <w:p w14:paraId="6680C3D1" w14:textId="77777777" w:rsidR="00757218" w:rsidRDefault="00757218" w:rsidP="00757218">
      <w:pPr>
        <w:rPr>
          <w:rFonts w:cs="Times New Roman"/>
        </w:rPr>
      </w:pPr>
    </w:p>
    <w:p w14:paraId="74E51199" w14:textId="77777777" w:rsidR="00757218" w:rsidRDefault="00757218" w:rsidP="00757218">
      <w:pPr>
        <w:rPr>
          <w:rFonts w:cs="Times New Roman"/>
        </w:rPr>
      </w:pPr>
    </w:p>
    <w:p w14:paraId="12E11146" w14:textId="77777777" w:rsidR="00757218" w:rsidRDefault="00757218" w:rsidP="00757218">
      <w:pPr>
        <w:rPr>
          <w:rFonts w:cs="Times New Roman"/>
        </w:rPr>
      </w:pPr>
    </w:p>
    <w:p w14:paraId="5F60531D" w14:textId="77777777" w:rsidR="00757218" w:rsidRDefault="00757218" w:rsidP="00757218">
      <w:pPr>
        <w:rPr>
          <w:rFonts w:cs="Times New Roman"/>
        </w:rPr>
      </w:pPr>
    </w:p>
    <w:p w14:paraId="0D617194" w14:textId="77777777" w:rsidR="00757218" w:rsidRDefault="00757218" w:rsidP="00757218">
      <w:pPr>
        <w:rPr>
          <w:rFonts w:cs="Times New Roman"/>
        </w:rPr>
      </w:pPr>
    </w:p>
    <w:p w14:paraId="6E4EFFC6" w14:textId="77777777" w:rsidR="00757218" w:rsidRDefault="00757218" w:rsidP="00757218">
      <w:pPr>
        <w:rPr>
          <w:rFonts w:cs="Times New Roman"/>
        </w:rPr>
      </w:pPr>
    </w:p>
    <w:p w14:paraId="67B733EE" w14:textId="77777777" w:rsidR="00757218" w:rsidRDefault="00757218" w:rsidP="00757218">
      <w:pPr>
        <w:rPr>
          <w:rFonts w:cs="Times New Roman"/>
        </w:rPr>
      </w:pPr>
    </w:p>
    <w:p w14:paraId="7A502BF7" w14:textId="77777777" w:rsidR="00757218" w:rsidRDefault="00757218" w:rsidP="00757218">
      <w:pPr>
        <w:rPr>
          <w:rFonts w:cs="Times New Roman"/>
        </w:rPr>
      </w:pPr>
    </w:p>
    <w:p w14:paraId="70B3A241" w14:textId="77777777" w:rsidR="00757218" w:rsidRDefault="00757218" w:rsidP="00757218">
      <w:pPr>
        <w:rPr>
          <w:rFonts w:cs="Times New Roman"/>
        </w:rPr>
      </w:pPr>
    </w:p>
    <w:p w14:paraId="36649DD0" w14:textId="77777777" w:rsidR="00757218" w:rsidRDefault="00757218" w:rsidP="00757218">
      <w:pPr>
        <w:rPr>
          <w:rFonts w:cs="Times New Roman"/>
        </w:rPr>
      </w:pPr>
    </w:p>
    <w:p w14:paraId="4D06F453" w14:textId="77777777" w:rsidR="00757218" w:rsidRDefault="00757218" w:rsidP="00757218">
      <w:pPr>
        <w:rPr>
          <w:rFonts w:cs="Times New Roman"/>
        </w:rPr>
      </w:pPr>
    </w:p>
    <w:p w14:paraId="1ED80419" w14:textId="77777777" w:rsidR="00757218" w:rsidRDefault="00757218" w:rsidP="00757218">
      <w:pPr>
        <w:rPr>
          <w:rFonts w:cs="Times New Roman"/>
        </w:rPr>
      </w:pPr>
    </w:p>
    <w:p w14:paraId="6021F4CB" w14:textId="77777777" w:rsidR="00757218" w:rsidRDefault="00757218" w:rsidP="00757218">
      <w:pPr>
        <w:rPr>
          <w:rFonts w:cs="Times New Roman"/>
        </w:rPr>
      </w:pPr>
    </w:p>
    <w:p w14:paraId="11B8F50D" w14:textId="77777777" w:rsidR="00757218" w:rsidRDefault="00757218" w:rsidP="00757218">
      <w:pPr>
        <w:rPr>
          <w:rFonts w:cs="Times New Roman"/>
        </w:rPr>
      </w:pPr>
    </w:p>
    <w:p w14:paraId="7F9DBD60" w14:textId="77777777" w:rsidR="00757218" w:rsidRDefault="00757218" w:rsidP="00757218">
      <w:pPr>
        <w:rPr>
          <w:rFonts w:cs="Times New Roman"/>
        </w:rPr>
      </w:pPr>
    </w:p>
    <w:p w14:paraId="6176FAEB" w14:textId="77777777" w:rsidR="00757218" w:rsidRDefault="00757218" w:rsidP="00757218">
      <w:pPr>
        <w:rPr>
          <w:rFonts w:cs="Times New Roman"/>
        </w:rPr>
      </w:pPr>
    </w:p>
    <w:p w14:paraId="2C84EAB4" w14:textId="77777777" w:rsidR="00757218" w:rsidRDefault="00757218" w:rsidP="00757218">
      <w:pPr>
        <w:rPr>
          <w:rFonts w:cs="Times New Roman"/>
        </w:rPr>
      </w:pPr>
    </w:p>
    <w:p w14:paraId="022CD35C" w14:textId="77777777" w:rsidR="00757218" w:rsidRDefault="00757218" w:rsidP="00757218">
      <w:pPr>
        <w:rPr>
          <w:rFonts w:cs="Times New Roman"/>
        </w:rPr>
      </w:pPr>
    </w:p>
    <w:p w14:paraId="0CB52D58" w14:textId="77777777" w:rsidR="00757218" w:rsidRDefault="00757218" w:rsidP="00757218">
      <w:pPr>
        <w:rPr>
          <w:rFonts w:cs="Times New Roman"/>
        </w:rPr>
      </w:pPr>
    </w:p>
    <w:p w14:paraId="1D992FF0" w14:textId="77777777" w:rsidR="00757218" w:rsidRDefault="00757218" w:rsidP="00757218">
      <w:pPr>
        <w:rPr>
          <w:rFonts w:cs="Times New Roman"/>
        </w:rPr>
      </w:pPr>
    </w:p>
    <w:p w14:paraId="18D0BFAE" w14:textId="77777777" w:rsidR="00757218" w:rsidRDefault="00757218" w:rsidP="00757218">
      <w:pPr>
        <w:rPr>
          <w:rFonts w:cs="Times New Roman"/>
        </w:rPr>
      </w:pPr>
    </w:p>
    <w:p w14:paraId="1B5634F7" w14:textId="77777777" w:rsidR="00757218" w:rsidRDefault="00757218" w:rsidP="00757218">
      <w:pPr>
        <w:jc w:val="center"/>
        <w:rPr>
          <w:rFonts w:cs="Times New Roman"/>
          <w:b/>
          <w:bCs/>
          <w:color w:val="000000" w:themeColor="text1"/>
          <w:sz w:val="28"/>
          <w:szCs w:val="28"/>
        </w:rPr>
      </w:pPr>
      <w:r>
        <w:rPr>
          <w:rFonts w:cs="Times New Roman"/>
          <w:b/>
          <w:bCs/>
          <w:color w:val="000000" w:themeColor="text1"/>
          <w:sz w:val="28"/>
          <w:szCs w:val="28"/>
        </w:rPr>
        <w:lastRenderedPageBreak/>
        <w:t>ACKNOWLEDGEMENTS</w:t>
      </w:r>
    </w:p>
    <w:p w14:paraId="553AB325" w14:textId="77777777" w:rsidR="00757218" w:rsidRDefault="00757218" w:rsidP="00757218">
      <w:pPr>
        <w:jc w:val="center"/>
        <w:rPr>
          <w:rFonts w:cs="Times New Roman"/>
          <w:b/>
          <w:bCs/>
          <w:color w:val="000000" w:themeColor="text1"/>
          <w:sz w:val="28"/>
          <w:szCs w:val="28"/>
        </w:rPr>
      </w:pPr>
    </w:p>
    <w:p w14:paraId="47F7789B" w14:textId="77777777" w:rsidR="00757218" w:rsidRDefault="00757218" w:rsidP="00757218">
      <w:pPr>
        <w:ind w:firstLine="720"/>
        <w:rPr>
          <w:rFonts w:cs="Times New Roman"/>
          <w:color w:val="000000" w:themeColor="text1"/>
        </w:rPr>
      </w:pPr>
      <w:r>
        <w:rPr>
          <w:rFonts w:cs="Times New Roman"/>
          <w:color w:val="000000" w:themeColor="text1"/>
        </w:rPr>
        <w:t xml:space="preserve">First, I would like to thank my advisor Dr. Wellington </w:t>
      </w:r>
      <w:proofErr w:type="spellStart"/>
      <w:r>
        <w:rPr>
          <w:rFonts w:cs="Times New Roman"/>
          <w:color w:val="000000" w:themeColor="text1"/>
        </w:rPr>
        <w:t>Muchero</w:t>
      </w:r>
      <w:proofErr w:type="spellEnd"/>
      <w:r>
        <w:rPr>
          <w:rFonts w:cs="Times New Roman"/>
          <w:color w:val="000000" w:themeColor="text1"/>
        </w:rPr>
        <w:t xml:space="preserve"> for his support and mentorship throughout graduate school. I also would like to thank members of my committee, Dr. Jay Chen, Dr. Margaret </w:t>
      </w:r>
      <w:proofErr w:type="spellStart"/>
      <w:r>
        <w:rPr>
          <w:rFonts w:cs="Times New Roman"/>
          <w:color w:val="000000" w:themeColor="text1"/>
        </w:rPr>
        <w:t>Staton</w:t>
      </w:r>
      <w:proofErr w:type="spellEnd"/>
      <w:r>
        <w:rPr>
          <w:rFonts w:cs="Times New Roman"/>
          <w:color w:val="000000" w:themeColor="text1"/>
        </w:rPr>
        <w:t xml:space="preserve">, and Dr. Bode </w:t>
      </w:r>
      <w:proofErr w:type="spellStart"/>
      <w:r>
        <w:rPr>
          <w:rFonts w:cs="Times New Roman"/>
          <w:color w:val="000000" w:themeColor="text1"/>
        </w:rPr>
        <w:t>Olukulu</w:t>
      </w:r>
      <w:proofErr w:type="spellEnd"/>
      <w:r>
        <w:rPr>
          <w:rFonts w:cs="Times New Roman"/>
          <w:color w:val="000000" w:themeColor="text1"/>
        </w:rPr>
        <w:t xml:space="preserve"> for their support, guidance, and helpful feedback.</w:t>
      </w:r>
    </w:p>
    <w:p w14:paraId="7BDAB283" w14:textId="77777777" w:rsidR="00757218" w:rsidRDefault="00757218" w:rsidP="00757218">
      <w:pPr>
        <w:ind w:firstLine="720"/>
        <w:rPr>
          <w:rFonts w:cs="Times New Roman"/>
          <w:color w:val="000000" w:themeColor="text1"/>
        </w:rPr>
      </w:pPr>
      <w:r>
        <w:rPr>
          <w:rFonts w:cs="Times New Roman"/>
          <w:color w:val="000000" w:themeColor="text1"/>
        </w:rPr>
        <w:t xml:space="preserve">I also want to thank the plant systems biology group at ORNL. To Lee Gunter, Mindy Clark, Sara </w:t>
      </w:r>
      <w:proofErr w:type="spellStart"/>
      <w:r>
        <w:rPr>
          <w:rFonts w:cs="Times New Roman"/>
          <w:color w:val="000000" w:themeColor="text1"/>
        </w:rPr>
        <w:t>Jawdy</w:t>
      </w:r>
      <w:proofErr w:type="spellEnd"/>
      <w:r>
        <w:rPr>
          <w:rFonts w:cs="Times New Roman"/>
          <w:color w:val="000000" w:themeColor="text1"/>
        </w:rPr>
        <w:t xml:space="preserve">, and Mac McLennan without whom this work would not be possible. To Priya Ranjan, Kai Feng, </w:t>
      </w:r>
      <w:proofErr w:type="spellStart"/>
      <w:r>
        <w:rPr>
          <w:rFonts w:cs="Times New Roman"/>
          <w:color w:val="000000" w:themeColor="text1"/>
        </w:rPr>
        <w:t>Jin</w:t>
      </w:r>
      <w:proofErr w:type="spellEnd"/>
      <w:r>
        <w:rPr>
          <w:rFonts w:cs="Times New Roman"/>
          <w:color w:val="000000" w:themeColor="text1"/>
        </w:rPr>
        <w:t xml:space="preserve"> Zhang, and Cai John for their discussion, friendship, and help which enabled this work.</w:t>
      </w:r>
    </w:p>
    <w:p w14:paraId="0FFF547D" w14:textId="77777777" w:rsidR="00757218" w:rsidRDefault="00757218" w:rsidP="00757218">
      <w:pPr>
        <w:ind w:firstLine="720"/>
        <w:rPr>
          <w:rFonts w:cs="Times New Roman"/>
          <w:color w:val="000000" w:themeColor="text1"/>
        </w:rPr>
      </w:pPr>
      <w:r>
        <w:rPr>
          <w:rFonts w:cs="Times New Roman"/>
          <w:color w:val="000000" w:themeColor="text1"/>
        </w:rPr>
        <w:t xml:space="preserve">I also would like to thank the Bredesen Center staff, Dr. Lee </w:t>
      </w:r>
      <w:proofErr w:type="spellStart"/>
      <w:r>
        <w:rPr>
          <w:rFonts w:cs="Times New Roman"/>
          <w:color w:val="000000" w:themeColor="text1"/>
        </w:rPr>
        <w:t>Reidinger</w:t>
      </w:r>
      <w:proofErr w:type="spellEnd"/>
      <w:r>
        <w:rPr>
          <w:rFonts w:cs="Times New Roman"/>
          <w:color w:val="000000" w:themeColor="text1"/>
        </w:rPr>
        <w:t>, Wanda Davis, Dr. Suresh Babu, and Allie Burns for their support.</w:t>
      </w:r>
    </w:p>
    <w:p w14:paraId="5158ED7E" w14:textId="77777777" w:rsidR="00757218" w:rsidRDefault="00757218" w:rsidP="00757218">
      <w:pPr>
        <w:ind w:firstLine="720"/>
        <w:rPr>
          <w:rFonts w:cs="Times New Roman"/>
          <w:color w:val="000000" w:themeColor="text1"/>
        </w:rPr>
      </w:pPr>
      <w:r>
        <w:rPr>
          <w:rFonts w:cs="Times New Roman"/>
          <w:color w:val="000000" w:themeColor="text1"/>
        </w:rPr>
        <w:t>I also want to thank my friends and family in Tennessee and California who supported me on this journey and made grad school much more enjoyable. Lastly, I want to thank Sonja Feck, my fiancé, for her unwavering support throughout this process.</w:t>
      </w:r>
    </w:p>
    <w:p w14:paraId="5B9BC972" w14:textId="77777777" w:rsidR="00757218" w:rsidRDefault="00757218" w:rsidP="00757218">
      <w:pPr>
        <w:ind w:firstLine="720"/>
        <w:rPr>
          <w:rFonts w:cs="Times New Roman"/>
          <w:color w:val="000000" w:themeColor="text1"/>
        </w:rPr>
      </w:pPr>
    </w:p>
    <w:p w14:paraId="028C0FFB" w14:textId="77777777" w:rsidR="00757218" w:rsidRDefault="00757218" w:rsidP="00757218">
      <w:pPr>
        <w:ind w:firstLine="720"/>
        <w:rPr>
          <w:rFonts w:cs="Times New Roman"/>
          <w:color w:val="000000" w:themeColor="text1"/>
        </w:rPr>
      </w:pPr>
    </w:p>
    <w:p w14:paraId="524DC36F" w14:textId="77777777" w:rsidR="00757218" w:rsidRDefault="00757218" w:rsidP="00757218">
      <w:pPr>
        <w:ind w:firstLine="720"/>
        <w:rPr>
          <w:rFonts w:cs="Times New Roman"/>
          <w:color w:val="000000" w:themeColor="text1"/>
        </w:rPr>
      </w:pPr>
    </w:p>
    <w:p w14:paraId="0C4F5C76" w14:textId="77777777" w:rsidR="00757218" w:rsidRDefault="00757218" w:rsidP="00757218">
      <w:pPr>
        <w:ind w:firstLine="720"/>
        <w:rPr>
          <w:rFonts w:cs="Times New Roman"/>
          <w:color w:val="000000" w:themeColor="text1"/>
        </w:rPr>
      </w:pPr>
    </w:p>
    <w:p w14:paraId="5B9ACAE5" w14:textId="77777777" w:rsidR="00757218" w:rsidRDefault="00757218" w:rsidP="00757218">
      <w:pPr>
        <w:ind w:firstLine="720"/>
        <w:rPr>
          <w:rFonts w:cs="Times New Roman"/>
          <w:color w:val="000000" w:themeColor="text1"/>
        </w:rPr>
      </w:pPr>
    </w:p>
    <w:p w14:paraId="5C669D97" w14:textId="77777777" w:rsidR="00757218" w:rsidRDefault="00757218" w:rsidP="00757218">
      <w:pPr>
        <w:ind w:firstLine="720"/>
        <w:rPr>
          <w:rFonts w:cs="Times New Roman"/>
          <w:color w:val="000000" w:themeColor="text1"/>
        </w:rPr>
      </w:pPr>
    </w:p>
    <w:p w14:paraId="67B880FF" w14:textId="77777777" w:rsidR="00757218" w:rsidRDefault="00757218" w:rsidP="00757218">
      <w:pPr>
        <w:ind w:firstLine="720"/>
        <w:rPr>
          <w:rFonts w:cs="Times New Roman"/>
          <w:color w:val="000000" w:themeColor="text1"/>
        </w:rPr>
      </w:pPr>
    </w:p>
    <w:p w14:paraId="2C3999FE" w14:textId="77777777" w:rsidR="00757218" w:rsidRDefault="00757218" w:rsidP="00757218">
      <w:pPr>
        <w:ind w:firstLine="720"/>
        <w:rPr>
          <w:rFonts w:cs="Times New Roman"/>
          <w:color w:val="000000" w:themeColor="text1"/>
        </w:rPr>
      </w:pPr>
    </w:p>
    <w:p w14:paraId="38D57992" w14:textId="77777777" w:rsidR="00757218" w:rsidRDefault="00757218" w:rsidP="00757218">
      <w:pPr>
        <w:ind w:firstLine="720"/>
        <w:rPr>
          <w:rFonts w:cs="Times New Roman"/>
          <w:color w:val="000000" w:themeColor="text1"/>
        </w:rPr>
      </w:pPr>
    </w:p>
    <w:p w14:paraId="70A596C6" w14:textId="77777777" w:rsidR="00757218" w:rsidRDefault="00757218" w:rsidP="00757218">
      <w:pPr>
        <w:ind w:firstLine="720"/>
        <w:rPr>
          <w:rFonts w:cs="Times New Roman"/>
          <w:color w:val="000000" w:themeColor="text1"/>
        </w:rPr>
      </w:pPr>
    </w:p>
    <w:p w14:paraId="1B9627BD" w14:textId="77777777" w:rsidR="00757218" w:rsidRDefault="00757218" w:rsidP="00757218">
      <w:pPr>
        <w:ind w:firstLine="720"/>
        <w:rPr>
          <w:rFonts w:cs="Times New Roman"/>
          <w:color w:val="000000" w:themeColor="text1"/>
        </w:rPr>
      </w:pPr>
    </w:p>
    <w:p w14:paraId="6A7F303C" w14:textId="77777777" w:rsidR="00757218" w:rsidRDefault="00757218" w:rsidP="00757218">
      <w:pPr>
        <w:ind w:firstLine="720"/>
        <w:rPr>
          <w:rFonts w:cs="Times New Roman"/>
          <w:color w:val="000000" w:themeColor="text1"/>
        </w:rPr>
      </w:pPr>
    </w:p>
    <w:p w14:paraId="2C6A5EF1" w14:textId="77777777" w:rsidR="00757218" w:rsidRDefault="00757218" w:rsidP="00757218">
      <w:pPr>
        <w:ind w:firstLine="720"/>
        <w:rPr>
          <w:rFonts w:cs="Times New Roman"/>
          <w:color w:val="000000" w:themeColor="text1"/>
        </w:rPr>
      </w:pPr>
    </w:p>
    <w:p w14:paraId="07C901AC" w14:textId="77777777" w:rsidR="00757218" w:rsidRDefault="00757218" w:rsidP="00757218">
      <w:pPr>
        <w:ind w:firstLine="720"/>
        <w:rPr>
          <w:rFonts w:cs="Times New Roman"/>
          <w:color w:val="000000" w:themeColor="text1"/>
        </w:rPr>
      </w:pPr>
    </w:p>
    <w:p w14:paraId="4551C6DA" w14:textId="77777777" w:rsidR="00757218" w:rsidRDefault="00757218" w:rsidP="00757218">
      <w:pPr>
        <w:ind w:firstLine="720"/>
        <w:rPr>
          <w:rFonts w:cs="Times New Roman"/>
          <w:color w:val="000000" w:themeColor="text1"/>
        </w:rPr>
      </w:pPr>
    </w:p>
    <w:p w14:paraId="6D4668D7" w14:textId="77777777" w:rsidR="00757218" w:rsidRDefault="00757218" w:rsidP="00757218">
      <w:pPr>
        <w:ind w:firstLine="720"/>
        <w:rPr>
          <w:rFonts w:cs="Times New Roman"/>
          <w:color w:val="000000" w:themeColor="text1"/>
        </w:rPr>
      </w:pPr>
    </w:p>
    <w:p w14:paraId="41310388" w14:textId="77777777" w:rsidR="00757218" w:rsidRDefault="00757218" w:rsidP="00757218">
      <w:pPr>
        <w:ind w:firstLine="720"/>
        <w:rPr>
          <w:rFonts w:cs="Times New Roman"/>
          <w:color w:val="000000" w:themeColor="text1"/>
        </w:rPr>
      </w:pPr>
    </w:p>
    <w:p w14:paraId="106142F7" w14:textId="77777777" w:rsidR="00757218" w:rsidRDefault="00757218" w:rsidP="00757218">
      <w:pPr>
        <w:ind w:firstLine="720"/>
        <w:rPr>
          <w:rFonts w:cs="Times New Roman"/>
          <w:color w:val="000000" w:themeColor="text1"/>
        </w:rPr>
      </w:pPr>
    </w:p>
    <w:p w14:paraId="7E52A6F0" w14:textId="77777777" w:rsidR="00757218" w:rsidRDefault="00757218" w:rsidP="00757218">
      <w:pPr>
        <w:ind w:firstLine="720"/>
        <w:rPr>
          <w:rFonts w:cs="Times New Roman"/>
          <w:color w:val="000000" w:themeColor="text1"/>
        </w:rPr>
      </w:pPr>
    </w:p>
    <w:p w14:paraId="43DB41A5" w14:textId="77777777" w:rsidR="00757218" w:rsidRDefault="00757218" w:rsidP="00757218">
      <w:pPr>
        <w:ind w:firstLine="720"/>
        <w:rPr>
          <w:rFonts w:cs="Times New Roman"/>
          <w:color w:val="000000" w:themeColor="text1"/>
        </w:rPr>
      </w:pPr>
    </w:p>
    <w:p w14:paraId="4D72258A" w14:textId="77777777" w:rsidR="00757218" w:rsidRDefault="00757218" w:rsidP="00757218">
      <w:pPr>
        <w:ind w:firstLine="720"/>
        <w:rPr>
          <w:rFonts w:cs="Times New Roman"/>
          <w:color w:val="000000" w:themeColor="text1"/>
        </w:rPr>
      </w:pPr>
    </w:p>
    <w:p w14:paraId="2F170DBA" w14:textId="77777777" w:rsidR="00757218" w:rsidRDefault="00757218" w:rsidP="00757218">
      <w:pPr>
        <w:ind w:firstLine="720"/>
        <w:rPr>
          <w:rFonts w:cs="Times New Roman"/>
          <w:color w:val="000000" w:themeColor="text1"/>
        </w:rPr>
      </w:pPr>
    </w:p>
    <w:p w14:paraId="2276764F" w14:textId="77777777" w:rsidR="00757218" w:rsidRDefault="00757218" w:rsidP="00757218">
      <w:pPr>
        <w:ind w:firstLine="720"/>
        <w:rPr>
          <w:rFonts w:cs="Times New Roman"/>
          <w:color w:val="000000" w:themeColor="text1"/>
        </w:rPr>
      </w:pPr>
    </w:p>
    <w:p w14:paraId="35A57118" w14:textId="77777777" w:rsidR="00757218" w:rsidRDefault="00757218" w:rsidP="00757218">
      <w:pPr>
        <w:ind w:firstLine="720"/>
        <w:rPr>
          <w:rFonts w:cs="Times New Roman"/>
          <w:color w:val="000000" w:themeColor="text1"/>
        </w:rPr>
      </w:pPr>
    </w:p>
    <w:p w14:paraId="26F068A2" w14:textId="77777777" w:rsidR="00757218" w:rsidRDefault="00757218" w:rsidP="00757218">
      <w:pPr>
        <w:ind w:firstLine="720"/>
        <w:rPr>
          <w:rFonts w:cs="Times New Roman"/>
          <w:color w:val="000000" w:themeColor="text1"/>
        </w:rPr>
      </w:pPr>
    </w:p>
    <w:p w14:paraId="6FEACA31" w14:textId="77777777" w:rsidR="00757218" w:rsidRDefault="00757218" w:rsidP="00757218">
      <w:pPr>
        <w:ind w:firstLine="720"/>
        <w:rPr>
          <w:rFonts w:cs="Times New Roman"/>
          <w:color w:val="000000" w:themeColor="text1"/>
        </w:rPr>
      </w:pPr>
    </w:p>
    <w:p w14:paraId="1D5BB49C" w14:textId="77777777" w:rsidR="00757218" w:rsidRDefault="00757218" w:rsidP="00757218">
      <w:pPr>
        <w:ind w:firstLine="720"/>
        <w:rPr>
          <w:rFonts w:cs="Times New Roman"/>
          <w:color w:val="000000" w:themeColor="text1"/>
        </w:rPr>
      </w:pPr>
    </w:p>
    <w:p w14:paraId="622C936B" w14:textId="77777777" w:rsidR="00757218" w:rsidRDefault="00757218" w:rsidP="00757218">
      <w:pPr>
        <w:ind w:firstLine="720"/>
        <w:rPr>
          <w:rFonts w:cs="Times New Roman"/>
          <w:color w:val="000000" w:themeColor="text1"/>
        </w:rPr>
      </w:pPr>
    </w:p>
    <w:p w14:paraId="63206C66" w14:textId="77777777" w:rsidR="00757218" w:rsidRDefault="00757218" w:rsidP="00757218">
      <w:pPr>
        <w:ind w:firstLine="720"/>
        <w:rPr>
          <w:rFonts w:cs="Times New Roman"/>
          <w:color w:val="000000" w:themeColor="text1"/>
        </w:rPr>
      </w:pPr>
    </w:p>
    <w:p w14:paraId="6DEB80E9" w14:textId="77777777" w:rsidR="00757218" w:rsidRDefault="00757218" w:rsidP="00757218">
      <w:pPr>
        <w:ind w:firstLine="720"/>
        <w:rPr>
          <w:rFonts w:cs="Times New Roman"/>
          <w:color w:val="000000" w:themeColor="text1"/>
        </w:rPr>
      </w:pPr>
    </w:p>
    <w:p w14:paraId="7EBD4E25" w14:textId="77777777" w:rsidR="00757218" w:rsidRDefault="00757218" w:rsidP="00757218">
      <w:pPr>
        <w:ind w:firstLine="720"/>
        <w:rPr>
          <w:rFonts w:cs="Times New Roman"/>
          <w:color w:val="000000" w:themeColor="text1"/>
        </w:rPr>
      </w:pPr>
    </w:p>
    <w:p w14:paraId="3F6BEA09" w14:textId="77777777" w:rsidR="00757218" w:rsidRDefault="00757218" w:rsidP="00757218">
      <w:pPr>
        <w:rPr>
          <w:rFonts w:cs="Times New Roman"/>
          <w:color w:val="000000" w:themeColor="text1"/>
        </w:rPr>
      </w:pPr>
    </w:p>
    <w:p w14:paraId="29FE3A35" w14:textId="77777777" w:rsidR="00757218" w:rsidRDefault="00757218" w:rsidP="00757218">
      <w:pPr>
        <w:jc w:val="center"/>
        <w:rPr>
          <w:rFonts w:cs="Times New Roman"/>
          <w:b/>
          <w:bCs/>
          <w:color w:val="000000" w:themeColor="text1"/>
          <w:sz w:val="28"/>
          <w:szCs w:val="28"/>
        </w:rPr>
      </w:pPr>
      <w:r>
        <w:rPr>
          <w:rFonts w:cs="Times New Roman"/>
          <w:b/>
          <w:bCs/>
          <w:color w:val="000000" w:themeColor="text1"/>
          <w:sz w:val="28"/>
          <w:szCs w:val="28"/>
        </w:rPr>
        <w:t>ABSTRACT</w:t>
      </w:r>
    </w:p>
    <w:p w14:paraId="190BBC0D" w14:textId="77777777" w:rsidR="00757218" w:rsidRDefault="00757218" w:rsidP="00757218">
      <w:pPr>
        <w:rPr>
          <w:rFonts w:cs="Times New Roman"/>
          <w:b/>
          <w:bCs/>
          <w:color w:val="000000" w:themeColor="text1"/>
          <w:sz w:val="28"/>
          <w:szCs w:val="28"/>
        </w:rPr>
      </w:pPr>
    </w:p>
    <w:p w14:paraId="723A0C6C" w14:textId="77777777" w:rsidR="00757218" w:rsidRDefault="00757218" w:rsidP="00757218">
      <w:pPr>
        <w:rPr>
          <w:rFonts w:cs="Times New Roman"/>
          <w:color w:val="000000" w:themeColor="text1"/>
        </w:rPr>
      </w:pPr>
      <w:r>
        <w:rPr>
          <w:rFonts w:cs="Times New Roman"/>
          <w:b/>
          <w:bCs/>
          <w:color w:val="000000" w:themeColor="text1"/>
          <w:sz w:val="28"/>
          <w:szCs w:val="28"/>
        </w:rPr>
        <w:tab/>
      </w:r>
      <w:r>
        <w:rPr>
          <w:rFonts w:cs="Times New Roman"/>
          <w:color w:val="000000" w:themeColor="text1"/>
        </w:rPr>
        <w:t>Genome evolution is a powerful force which shapes genomes over time through processes like mutation, horizontal transfer, and sexual reproduction. Although questions which aim to explore genome evolution are broad, they are all understood through the discovery and comparison of genetic variation. For example, genetic diversity may explain differences in phenotypes, etiology of disease, and is essential for phylogenomic analysis. Recently, the democratization of next generation and third generation DNA sequencing technologies have allowed for genomics to produce large amounts of sequence data. This has facilitated the capture of genetic variation at species and population scales.</w:t>
      </w:r>
    </w:p>
    <w:p w14:paraId="37FB72F0" w14:textId="77777777" w:rsidR="00757218" w:rsidRPr="00987197" w:rsidRDefault="00757218" w:rsidP="00757218">
      <w:pPr>
        <w:ind w:firstLine="720"/>
        <w:rPr>
          <w:rFonts w:cs="Times New Roman"/>
          <w:color w:val="000000" w:themeColor="text1"/>
        </w:rPr>
      </w:pPr>
      <w:r>
        <w:rPr>
          <w:rFonts w:cs="Times New Roman"/>
          <w:i/>
          <w:iCs/>
          <w:color w:val="000000" w:themeColor="text1"/>
        </w:rPr>
        <w:t xml:space="preserve">Populus </w:t>
      </w:r>
      <w:r>
        <w:rPr>
          <w:rFonts w:cs="Times New Roman"/>
          <w:color w:val="000000" w:themeColor="text1"/>
        </w:rPr>
        <w:t xml:space="preserve">and </w:t>
      </w:r>
      <w:r>
        <w:rPr>
          <w:rFonts w:cs="Times New Roman"/>
          <w:i/>
          <w:iCs/>
          <w:color w:val="000000" w:themeColor="text1"/>
        </w:rPr>
        <w:t xml:space="preserve">Salix </w:t>
      </w:r>
      <w:r>
        <w:rPr>
          <w:rFonts w:cs="Times New Roman"/>
          <w:color w:val="000000" w:themeColor="text1"/>
        </w:rPr>
        <w:t xml:space="preserve">are members of the </w:t>
      </w:r>
      <w:r>
        <w:rPr>
          <w:rFonts w:cs="Times New Roman"/>
          <w:i/>
          <w:iCs/>
          <w:color w:val="000000" w:themeColor="text1"/>
        </w:rPr>
        <w:t>Salicaceae</w:t>
      </w:r>
      <w:r>
        <w:rPr>
          <w:rFonts w:cs="Times New Roman"/>
          <w:color w:val="000000" w:themeColor="text1"/>
        </w:rPr>
        <w:t xml:space="preserve"> family and are ecologically and economically important woody plants. Currently, there are multiple high-quality reference genomes available for these two genera. Two important sources of genome evolution that will be explored here are genetic novelty in the form of new genes and horizontal gene transfer from the organelle genomes. In the context of genome evolution, both processes have been shown to contribute to beneficial phenotypes as well as disease. The primary contributions of this dissertation research are to identify and assign putative functions to orphan and </w:t>
      </w:r>
      <w:r>
        <w:rPr>
          <w:rFonts w:cs="Times New Roman"/>
          <w:i/>
          <w:iCs/>
          <w:color w:val="000000" w:themeColor="text1"/>
        </w:rPr>
        <w:t xml:space="preserve">de novo </w:t>
      </w:r>
      <w:r>
        <w:rPr>
          <w:rFonts w:cs="Times New Roman"/>
          <w:color w:val="000000" w:themeColor="text1"/>
        </w:rPr>
        <w:t xml:space="preserve">genes in </w:t>
      </w:r>
      <w:r w:rsidRPr="00333E28">
        <w:rPr>
          <w:rFonts w:cs="Times New Roman"/>
          <w:i/>
          <w:iCs/>
          <w:color w:val="000000" w:themeColor="text1"/>
        </w:rPr>
        <w:t xml:space="preserve">P. </w:t>
      </w:r>
      <w:proofErr w:type="spellStart"/>
      <w:r w:rsidRPr="00333E28">
        <w:rPr>
          <w:rFonts w:cs="Times New Roman"/>
          <w:i/>
          <w:iCs/>
          <w:color w:val="000000" w:themeColor="text1"/>
        </w:rPr>
        <w:t>trichocarpa</w:t>
      </w:r>
      <w:proofErr w:type="spellEnd"/>
      <w:r>
        <w:rPr>
          <w:rFonts w:cs="Times New Roman"/>
          <w:color w:val="000000" w:themeColor="text1"/>
        </w:rPr>
        <w:t xml:space="preserve">, identify and compare horizontal transfer from the organelle genomes to the nuclear genomes of </w:t>
      </w:r>
      <w:r w:rsidRPr="00333E28">
        <w:rPr>
          <w:rFonts w:cs="Times New Roman"/>
          <w:i/>
          <w:iCs/>
          <w:color w:val="000000" w:themeColor="text1"/>
        </w:rPr>
        <w:t xml:space="preserve">P. </w:t>
      </w:r>
      <w:proofErr w:type="spellStart"/>
      <w:r w:rsidRPr="00333E28">
        <w:rPr>
          <w:rFonts w:cs="Times New Roman"/>
          <w:i/>
          <w:iCs/>
          <w:color w:val="000000" w:themeColor="text1"/>
        </w:rPr>
        <w:t>trichocarpa</w:t>
      </w:r>
      <w:proofErr w:type="spellEnd"/>
      <w:r>
        <w:rPr>
          <w:rFonts w:cs="Times New Roman"/>
          <w:i/>
          <w:iCs/>
          <w:color w:val="000000" w:themeColor="text1"/>
        </w:rPr>
        <w:t xml:space="preserve"> </w:t>
      </w:r>
      <w:r>
        <w:rPr>
          <w:rFonts w:cs="Times New Roman"/>
          <w:color w:val="000000" w:themeColor="text1"/>
        </w:rPr>
        <w:t xml:space="preserve">and </w:t>
      </w:r>
      <w:r w:rsidRPr="00333E28">
        <w:rPr>
          <w:rFonts w:cs="Times New Roman"/>
          <w:i/>
          <w:iCs/>
          <w:color w:val="000000" w:themeColor="text1"/>
        </w:rPr>
        <w:t xml:space="preserve">P. </w:t>
      </w:r>
      <w:proofErr w:type="spellStart"/>
      <w:r w:rsidRPr="00333E28">
        <w:rPr>
          <w:rFonts w:cs="Times New Roman"/>
          <w:i/>
          <w:iCs/>
          <w:color w:val="000000" w:themeColor="text1"/>
        </w:rPr>
        <w:t>deltoides</w:t>
      </w:r>
      <w:proofErr w:type="spellEnd"/>
      <w:r>
        <w:rPr>
          <w:rFonts w:cs="Times New Roman"/>
          <w:color w:val="000000" w:themeColor="text1"/>
        </w:rPr>
        <w:t xml:space="preserve">, and generate new organelle genome resources for 6 different </w:t>
      </w:r>
      <w:r>
        <w:rPr>
          <w:rFonts w:cs="Times New Roman"/>
          <w:i/>
          <w:iCs/>
          <w:color w:val="000000" w:themeColor="text1"/>
        </w:rPr>
        <w:t xml:space="preserve">Salix </w:t>
      </w:r>
      <w:r>
        <w:rPr>
          <w:rFonts w:cs="Times New Roman"/>
          <w:color w:val="000000" w:themeColor="text1"/>
        </w:rPr>
        <w:t>species.</w:t>
      </w:r>
    </w:p>
    <w:p w14:paraId="447523A6" w14:textId="77777777" w:rsidR="00757218" w:rsidRDefault="00757218" w:rsidP="00757218">
      <w:pPr>
        <w:rPr>
          <w:rFonts w:cs="Times New Roman"/>
          <w:color w:val="000000" w:themeColor="text1"/>
        </w:rPr>
      </w:pPr>
      <w:r>
        <w:rPr>
          <w:rFonts w:cs="Times New Roman"/>
          <w:color w:val="000000" w:themeColor="text1"/>
        </w:rPr>
        <w:tab/>
      </w:r>
    </w:p>
    <w:p w14:paraId="5CE57590" w14:textId="77777777" w:rsidR="00757218" w:rsidRPr="00F72D47" w:rsidRDefault="00757218" w:rsidP="00757218">
      <w:pPr>
        <w:rPr>
          <w:rFonts w:cs="Times New Roman"/>
          <w:color w:val="000000" w:themeColor="text1"/>
        </w:rPr>
      </w:pPr>
      <w:r>
        <w:rPr>
          <w:rFonts w:cs="Times New Roman"/>
          <w:color w:val="000000" w:themeColor="text1"/>
        </w:rPr>
        <w:tab/>
      </w:r>
    </w:p>
    <w:p w14:paraId="69DC027B" w14:textId="77777777" w:rsidR="00757218" w:rsidRPr="00524F22" w:rsidRDefault="00757218" w:rsidP="00757218">
      <w:pPr>
        <w:rPr>
          <w:rFonts w:cs="Times New Roman"/>
          <w:color w:val="000000" w:themeColor="text1"/>
        </w:rPr>
      </w:pPr>
    </w:p>
    <w:p w14:paraId="38581B79" w14:textId="77777777" w:rsidR="00757218" w:rsidRDefault="00757218" w:rsidP="00757218">
      <w:pPr>
        <w:rPr>
          <w:rFonts w:cs="Times New Roman"/>
          <w:b/>
          <w:bCs/>
          <w:color w:val="000000" w:themeColor="text1"/>
          <w:sz w:val="28"/>
          <w:szCs w:val="28"/>
        </w:rPr>
      </w:pPr>
    </w:p>
    <w:p w14:paraId="2722D54A" w14:textId="77777777" w:rsidR="00757218" w:rsidRDefault="00757218" w:rsidP="00757218">
      <w:pPr>
        <w:rPr>
          <w:rFonts w:cs="Times New Roman"/>
          <w:b/>
          <w:bCs/>
          <w:color w:val="000000" w:themeColor="text1"/>
          <w:sz w:val="28"/>
          <w:szCs w:val="28"/>
        </w:rPr>
      </w:pPr>
    </w:p>
    <w:p w14:paraId="7E5D33AC" w14:textId="77777777" w:rsidR="00757218" w:rsidRDefault="00757218" w:rsidP="00757218">
      <w:pPr>
        <w:rPr>
          <w:rFonts w:cs="Times New Roman"/>
          <w:b/>
          <w:bCs/>
          <w:color w:val="000000" w:themeColor="text1"/>
          <w:sz w:val="28"/>
          <w:szCs w:val="28"/>
        </w:rPr>
      </w:pPr>
    </w:p>
    <w:p w14:paraId="58944BBD" w14:textId="77777777" w:rsidR="00757218" w:rsidRDefault="00757218" w:rsidP="00757218">
      <w:pPr>
        <w:rPr>
          <w:rFonts w:cs="Times New Roman"/>
          <w:b/>
          <w:bCs/>
          <w:color w:val="000000" w:themeColor="text1"/>
          <w:sz w:val="28"/>
          <w:szCs w:val="28"/>
        </w:rPr>
      </w:pPr>
    </w:p>
    <w:p w14:paraId="4C2A6E0C" w14:textId="77777777" w:rsidR="00757218" w:rsidRDefault="00757218" w:rsidP="00757218">
      <w:pPr>
        <w:rPr>
          <w:rFonts w:cs="Times New Roman"/>
          <w:b/>
          <w:bCs/>
          <w:color w:val="000000" w:themeColor="text1"/>
          <w:sz w:val="28"/>
          <w:szCs w:val="28"/>
        </w:rPr>
      </w:pPr>
    </w:p>
    <w:p w14:paraId="12CC9AC7" w14:textId="77777777" w:rsidR="00757218" w:rsidRDefault="00757218" w:rsidP="00757218">
      <w:pPr>
        <w:rPr>
          <w:rFonts w:cs="Times New Roman"/>
          <w:b/>
          <w:bCs/>
          <w:color w:val="000000" w:themeColor="text1"/>
          <w:sz w:val="28"/>
          <w:szCs w:val="28"/>
        </w:rPr>
      </w:pPr>
    </w:p>
    <w:p w14:paraId="4E5A84A8" w14:textId="77777777" w:rsidR="00757218" w:rsidRDefault="00757218" w:rsidP="00757218">
      <w:pPr>
        <w:rPr>
          <w:rFonts w:cs="Times New Roman"/>
          <w:color w:val="000000" w:themeColor="text1"/>
        </w:rPr>
      </w:pPr>
    </w:p>
    <w:p w14:paraId="019FFC00" w14:textId="77777777" w:rsidR="00757218" w:rsidRDefault="00757218" w:rsidP="00757218">
      <w:pPr>
        <w:rPr>
          <w:rFonts w:cs="Times New Roman"/>
          <w:color w:val="000000" w:themeColor="text1"/>
        </w:rPr>
      </w:pPr>
    </w:p>
    <w:p w14:paraId="71932CBE" w14:textId="77777777" w:rsidR="00757218" w:rsidRDefault="00757218" w:rsidP="00757218">
      <w:pPr>
        <w:rPr>
          <w:rFonts w:cs="Times New Roman"/>
          <w:color w:val="000000" w:themeColor="text1"/>
        </w:rPr>
      </w:pPr>
    </w:p>
    <w:p w14:paraId="36285D53" w14:textId="77777777" w:rsidR="00757218" w:rsidRDefault="00757218" w:rsidP="00757218">
      <w:pPr>
        <w:rPr>
          <w:rFonts w:cs="Times New Roman"/>
          <w:color w:val="000000" w:themeColor="text1"/>
        </w:rPr>
      </w:pPr>
    </w:p>
    <w:p w14:paraId="45911889" w14:textId="77777777" w:rsidR="00757218" w:rsidRDefault="00757218" w:rsidP="00757218">
      <w:pPr>
        <w:rPr>
          <w:rFonts w:cs="Times New Roman"/>
          <w:color w:val="000000" w:themeColor="text1"/>
        </w:rPr>
      </w:pPr>
    </w:p>
    <w:p w14:paraId="6A67225F" w14:textId="77777777" w:rsidR="00757218" w:rsidRDefault="00757218" w:rsidP="00757218">
      <w:pPr>
        <w:rPr>
          <w:rFonts w:cs="Times New Roman"/>
          <w:color w:val="000000" w:themeColor="text1"/>
        </w:rPr>
      </w:pPr>
    </w:p>
    <w:p w14:paraId="119E9837" w14:textId="77777777" w:rsidR="00757218" w:rsidRDefault="00757218" w:rsidP="00757218">
      <w:pPr>
        <w:rPr>
          <w:rFonts w:cs="Times New Roman"/>
          <w:color w:val="000000" w:themeColor="text1"/>
        </w:rPr>
      </w:pPr>
    </w:p>
    <w:p w14:paraId="0C423992" w14:textId="77777777" w:rsidR="00757218" w:rsidRDefault="00757218" w:rsidP="00757218">
      <w:pPr>
        <w:rPr>
          <w:rFonts w:cs="Times New Roman"/>
          <w:color w:val="000000" w:themeColor="text1"/>
        </w:rPr>
      </w:pPr>
    </w:p>
    <w:p w14:paraId="63A7435E" w14:textId="77777777" w:rsidR="00757218" w:rsidRDefault="00757218" w:rsidP="00757218">
      <w:pPr>
        <w:rPr>
          <w:rFonts w:cs="Times New Roman"/>
          <w:color w:val="000000" w:themeColor="text1"/>
        </w:rPr>
      </w:pPr>
    </w:p>
    <w:p w14:paraId="22D0693B" w14:textId="77777777" w:rsidR="00757218" w:rsidRDefault="00757218" w:rsidP="00757218">
      <w:pPr>
        <w:rPr>
          <w:rFonts w:cs="Times New Roman"/>
          <w:color w:val="000000" w:themeColor="text1"/>
        </w:rPr>
      </w:pPr>
    </w:p>
    <w:p w14:paraId="3061CE7B" w14:textId="77777777" w:rsidR="00757218" w:rsidRDefault="00757218" w:rsidP="00757218">
      <w:pPr>
        <w:rPr>
          <w:rFonts w:cs="Times New Roman"/>
          <w:color w:val="000000" w:themeColor="text1"/>
        </w:rPr>
      </w:pPr>
    </w:p>
    <w:p w14:paraId="333B1A8D" w14:textId="77777777" w:rsidR="00757218" w:rsidRDefault="00757218" w:rsidP="00757218">
      <w:pPr>
        <w:rPr>
          <w:rFonts w:cs="Times New Roman"/>
          <w:color w:val="000000" w:themeColor="text1"/>
        </w:rPr>
      </w:pPr>
    </w:p>
    <w:p w14:paraId="7D767334" w14:textId="77777777" w:rsidR="00757218" w:rsidRDefault="00757218" w:rsidP="00757218">
      <w:pPr>
        <w:rPr>
          <w:rFonts w:cs="Times New Roman"/>
          <w:color w:val="000000" w:themeColor="text1"/>
        </w:rPr>
      </w:pPr>
    </w:p>
    <w:p w14:paraId="442E85E1" w14:textId="77777777" w:rsidR="00757218" w:rsidRDefault="00757218" w:rsidP="00757218">
      <w:pPr>
        <w:rPr>
          <w:rFonts w:cs="Times New Roman"/>
          <w:color w:val="000000" w:themeColor="text1"/>
        </w:rPr>
      </w:pPr>
    </w:p>
    <w:p w14:paraId="47D2E978" w14:textId="77777777" w:rsidR="00757218" w:rsidRDefault="00757218" w:rsidP="00757218">
      <w:pPr>
        <w:rPr>
          <w:rFonts w:cs="Times New Roman"/>
          <w:color w:val="000000" w:themeColor="text1"/>
        </w:rPr>
      </w:pPr>
    </w:p>
    <w:p w14:paraId="01538D8B" w14:textId="77777777" w:rsidR="00757218" w:rsidRDefault="00757218" w:rsidP="00757218">
      <w:pPr>
        <w:rPr>
          <w:rFonts w:cs="Times New Roman"/>
          <w:color w:val="000000" w:themeColor="text1"/>
        </w:rPr>
      </w:pPr>
    </w:p>
    <w:p w14:paraId="077DFDBB" w14:textId="77777777" w:rsidR="00D854F9" w:rsidRDefault="00D854F9" w:rsidP="00D854F9">
      <w:pPr>
        <w:jc w:val="center"/>
        <w:rPr>
          <w:rFonts w:cs="Times New Roman"/>
          <w:b/>
          <w:bCs/>
          <w:color w:val="000000" w:themeColor="text1"/>
          <w:sz w:val="28"/>
          <w:szCs w:val="28"/>
        </w:rPr>
      </w:pPr>
      <w:r>
        <w:rPr>
          <w:rFonts w:cs="Times New Roman"/>
          <w:b/>
          <w:bCs/>
          <w:color w:val="000000" w:themeColor="text1"/>
          <w:sz w:val="28"/>
          <w:szCs w:val="28"/>
        </w:rPr>
        <w:t>TABLE OF CONTENTS</w:t>
      </w:r>
    </w:p>
    <w:p w14:paraId="077BA124" w14:textId="77777777" w:rsidR="00D854F9" w:rsidRDefault="00D854F9" w:rsidP="00D854F9">
      <w:pPr>
        <w:jc w:val="center"/>
        <w:rPr>
          <w:rFonts w:cs="Times New Roman"/>
          <w:b/>
          <w:bCs/>
          <w:color w:val="000000" w:themeColor="text1"/>
          <w:sz w:val="28"/>
          <w:szCs w:val="28"/>
        </w:rPr>
      </w:pPr>
    </w:p>
    <w:p w14:paraId="2CE18A04" w14:textId="77777777" w:rsidR="00D854F9" w:rsidRDefault="00D854F9" w:rsidP="00D854F9">
      <w:pPr>
        <w:tabs>
          <w:tab w:val="right" w:leader="dot" w:pos="9360"/>
        </w:tabs>
      </w:pPr>
      <w:r>
        <w:t>Chapter I. Introduction</w:t>
      </w:r>
      <w:r>
        <w:tab/>
        <w:t>1</w:t>
      </w:r>
    </w:p>
    <w:p w14:paraId="63788E2C" w14:textId="77777777" w:rsidR="00D854F9" w:rsidRDefault="00D854F9" w:rsidP="00D854F9">
      <w:pPr>
        <w:tabs>
          <w:tab w:val="right" w:leader="dot" w:pos="9360"/>
        </w:tabs>
      </w:pPr>
      <w:r>
        <w:t xml:space="preserve">      Genetic novelty and De novo gene evolution</w:t>
      </w:r>
      <w:r>
        <w:tab/>
        <w:t>2</w:t>
      </w:r>
    </w:p>
    <w:p w14:paraId="22F31C35" w14:textId="77777777" w:rsidR="00D854F9" w:rsidRDefault="00D854F9" w:rsidP="00D854F9">
      <w:pPr>
        <w:tabs>
          <w:tab w:val="right" w:leader="dot" w:pos="9360"/>
        </w:tabs>
      </w:pPr>
      <w:r>
        <w:t xml:space="preserve">      Organelle derived transfer to the nuclear genome</w:t>
      </w:r>
      <w:r>
        <w:tab/>
        <w:t>6</w:t>
      </w:r>
    </w:p>
    <w:p w14:paraId="638DD825" w14:textId="77777777" w:rsidR="00D854F9" w:rsidRDefault="00D854F9" w:rsidP="00D854F9">
      <w:pPr>
        <w:tabs>
          <w:tab w:val="right" w:leader="dot" w:pos="9360"/>
        </w:tabs>
      </w:pPr>
      <w:r>
        <w:t xml:space="preserve">      Organelle genomics and </w:t>
      </w:r>
      <w:proofErr w:type="spellStart"/>
      <w:r>
        <w:t>phylogenomics</w:t>
      </w:r>
      <w:proofErr w:type="spellEnd"/>
      <w:r>
        <w:t xml:space="preserve"> in plants</w:t>
      </w:r>
      <w:r>
        <w:tab/>
        <w:t>11</w:t>
      </w:r>
    </w:p>
    <w:p w14:paraId="53A9FACD" w14:textId="77777777" w:rsidR="00D854F9" w:rsidRDefault="00D854F9" w:rsidP="00D854F9">
      <w:pPr>
        <w:tabs>
          <w:tab w:val="right" w:leader="dot" w:pos="9360"/>
        </w:tabs>
      </w:pPr>
      <w:r>
        <w:t xml:space="preserve">      Outline and scientific contribution of dissertation</w:t>
      </w:r>
      <w:r>
        <w:tab/>
        <w:t>14</w:t>
      </w:r>
    </w:p>
    <w:p w14:paraId="3B0771E0" w14:textId="77777777" w:rsidR="00D854F9" w:rsidRDefault="00D854F9" w:rsidP="00D854F9">
      <w:pPr>
        <w:tabs>
          <w:tab w:val="right" w:leader="dot" w:pos="9360"/>
        </w:tabs>
      </w:pPr>
      <w:r>
        <w:t xml:space="preserve">Chapter II. The ancient </w:t>
      </w:r>
      <w:proofErr w:type="spellStart"/>
      <w:r>
        <w:t>Salicoid</w:t>
      </w:r>
      <w:proofErr w:type="spellEnd"/>
      <w:r>
        <w:t xml:space="preserve"> genome duplication event: A platform for reconstruction of de novo gene evolution in </w:t>
      </w:r>
      <w:r w:rsidRPr="00B06C65">
        <w:rPr>
          <w:i/>
          <w:iCs/>
        </w:rPr>
        <w:t xml:space="preserve">Populus </w:t>
      </w:r>
      <w:proofErr w:type="spellStart"/>
      <w:r w:rsidRPr="00B06C65">
        <w:rPr>
          <w:i/>
          <w:iCs/>
        </w:rPr>
        <w:t>trichocarpa</w:t>
      </w:r>
      <w:proofErr w:type="spellEnd"/>
      <w:r>
        <w:tab/>
        <w:t>27</w:t>
      </w:r>
    </w:p>
    <w:p w14:paraId="27A86B54" w14:textId="77777777" w:rsidR="00D854F9" w:rsidRDefault="00D854F9" w:rsidP="00D854F9">
      <w:pPr>
        <w:tabs>
          <w:tab w:val="right" w:leader="dot" w:pos="9360"/>
        </w:tabs>
      </w:pPr>
      <w:r>
        <w:t xml:space="preserve">      Abstract</w:t>
      </w:r>
      <w:r>
        <w:tab/>
        <w:t>29</w:t>
      </w:r>
    </w:p>
    <w:p w14:paraId="032A3DE7" w14:textId="77777777" w:rsidR="00D854F9" w:rsidRDefault="00D854F9" w:rsidP="00D854F9">
      <w:pPr>
        <w:tabs>
          <w:tab w:val="right" w:leader="dot" w:pos="9360"/>
        </w:tabs>
      </w:pPr>
      <w:r>
        <w:t xml:space="preserve">      Introduction</w:t>
      </w:r>
      <w:r>
        <w:tab/>
        <w:t>30</w:t>
      </w:r>
    </w:p>
    <w:p w14:paraId="069565DE" w14:textId="77777777" w:rsidR="00D854F9" w:rsidRDefault="00D854F9" w:rsidP="00D854F9">
      <w:pPr>
        <w:tabs>
          <w:tab w:val="right" w:leader="dot" w:pos="9360"/>
        </w:tabs>
      </w:pPr>
      <w:r>
        <w:t xml:space="preserve">      Results</w:t>
      </w:r>
      <w:r>
        <w:tab/>
        <w:t>31</w:t>
      </w:r>
    </w:p>
    <w:p w14:paraId="2C71A9CD" w14:textId="77777777" w:rsidR="00D854F9" w:rsidRDefault="00D854F9" w:rsidP="00D854F9">
      <w:pPr>
        <w:tabs>
          <w:tab w:val="right" w:leader="dot" w:pos="9360"/>
        </w:tabs>
      </w:pPr>
      <w:r>
        <w:t xml:space="preserve">            Identification and curation of de novo genes in </w:t>
      </w:r>
      <w:r w:rsidRPr="00B06C65">
        <w:rPr>
          <w:i/>
          <w:iCs/>
        </w:rPr>
        <w:t xml:space="preserve">P. </w:t>
      </w:r>
      <w:proofErr w:type="spellStart"/>
      <w:r w:rsidRPr="00B06C65">
        <w:rPr>
          <w:i/>
          <w:iCs/>
        </w:rPr>
        <w:t>trichocarpa</w:t>
      </w:r>
      <w:proofErr w:type="spellEnd"/>
      <w:r>
        <w:tab/>
        <w:t>31</w:t>
      </w:r>
    </w:p>
    <w:p w14:paraId="1F8BF821" w14:textId="77777777" w:rsidR="00D854F9" w:rsidRDefault="00D854F9" w:rsidP="00D854F9">
      <w:pPr>
        <w:tabs>
          <w:tab w:val="right" w:leader="dot" w:pos="9360"/>
        </w:tabs>
      </w:pPr>
      <w:r>
        <w:t xml:space="preserve">            Reconstruction of de novo gene evolution in P</w:t>
      </w:r>
      <w:r w:rsidRPr="00B06C65">
        <w:rPr>
          <w:i/>
          <w:iCs/>
        </w:rPr>
        <w:t xml:space="preserve">. </w:t>
      </w:r>
      <w:proofErr w:type="spellStart"/>
      <w:r w:rsidRPr="00B06C65">
        <w:rPr>
          <w:i/>
          <w:iCs/>
        </w:rPr>
        <w:t>trichocarpa</w:t>
      </w:r>
      <w:proofErr w:type="spellEnd"/>
      <w:r>
        <w:tab/>
        <w:t>32</w:t>
      </w:r>
    </w:p>
    <w:p w14:paraId="57BACC56" w14:textId="77777777" w:rsidR="00D854F9" w:rsidRDefault="00D854F9" w:rsidP="00D854F9">
      <w:pPr>
        <w:tabs>
          <w:tab w:val="right" w:leader="dot" w:pos="9360"/>
        </w:tabs>
        <w:ind w:left="720"/>
      </w:pPr>
      <w:r w:rsidRPr="00B06C65">
        <w:rPr>
          <w:i/>
          <w:iCs/>
        </w:rPr>
        <w:t>De novo</w:t>
      </w:r>
      <w:r>
        <w:t xml:space="preserve">-evolved genes are polymorphic within the </w:t>
      </w:r>
      <w:r w:rsidRPr="00B06C65">
        <w:rPr>
          <w:i/>
          <w:iCs/>
        </w:rPr>
        <w:t xml:space="preserve">P. </w:t>
      </w:r>
      <w:proofErr w:type="spellStart"/>
      <w:r w:rsidRPr="00B06C65">
        <w:rPr>
          <w:i/>
          <w:iCs/>
        </w:rPr>
        <w:t>trichocarpa</w:t>
      </w:r>
      <w:proofErr w:type="spellEnd"/>
      <w:r w:rsidRPr="00B06C65">
        <w:rPr>
          <w:i/>
          <w:iCs/>
        </w:rPr>
        <w:t xml:space="preserve"> </w:t>
      </w:r>
      <w:r>
        <w:t>genome-wide association study population</w:t>
      </w:r>
      <w:r>
        <w:tab/>
        <w:t>33</w:t>
      </w:r>
    </w:p>
    <w:p w14:paraId="343DE63B" w14:textId="77777777" w:rsidR="00D854F9" w:rsidRDefault="00D854F9" w:rsidP="00D854F9">
      <w:pPr>
        <w:tabs>
          <w:tab w:val="right" w:leader="dot" w:pos="9360"/>
        </w:tabs>
        <w:ind w:left="720"/>
      </w:pPr>
      <w:r w:rsidRPr="00B06C65">
        <w:rPr>
          <w:i/>
          <w:iCs/>
        </w:rPr>
        <w:t xml:space="preserve">P. </w:t>
      </w:r>
      <w:proofErr w:type="spellStart"/>
      <w:r w:rsidRPr="00B06C65">
        <w:rPr>
          <w:i/>
          <w:iCs/>
        </w:rPr>
        <w:t>trichocarpa</w:t>
      </w:r>
      <w:proofErr w:type="spellEnd"/>
      <w:r>
        <w:t xml:space="preserve"> orphan genes exhibit a narrow expression breadth, lower expression levels, and a subset show evidence of translation</w:t>
      </w:r>
      <w:r>
        <w:tab/>
        <w:t>34</w:t>
      </w:r>
    </w:p>
    <w:p w14:paraId="45B645A4" w14:textId="77777777" w:rsidR="00D854F9" w:rsidRDefault="00D854F9" w:rsidP="00D854F9">
      <w:pPr>
        <w:tabs>
          <w:tab w:val="right" w:leader="dot" w:pos="9360"/>
        </w:tabs>
      </w:pPr>
      <w:r>
        <w:t xml:space="preserve">            </w:t>
      </w:r>
      <w:r w:rsidRPr="00B06C65">
        <w:rPr>
          <w:i/>
          <w:iCs/>
        </w:rPr>
        <w:t>cis</w:t>
      </w:r>
      <w:r>
        <w:t>-</w:t>
      </w:r>
      <w:proofErr w:type="spellStart"/>
      <w:r>
        <w:t>eQTL</w:t>
      </w:r>
      <w:proofErr w:type="spellEnd"/>
      <w:r>
        <w:t xml:space="preserve"> analysis of orphan genes provides insight into proximal regulatory features</w:t>
      </w:r>
      <w:r>
        <w:tab/>
        <w:t>35</w:t>
      </w:r>
    </w:p>
    <w:p w14:paraId="7C9A871B" w14:textId="77777777" w:rsidR="00D854F9" w:rsidRDefault="00D854F9" w:rsidP="00D854F9">
      <w:pPr>
        <w:tabs>
          <w:tab w:val="right" w:leader="dot" w:pos="9360"/>
        </w:tabs>
      </w:pPr>
      <w:r>
        <w:t xml:space="preserve">            Orphan genes are found in leaf and xylem </w:t>
      </w:r>
      <w:r w:rsidRPr="00B06C65">
        <w:rPr>
          <w:i/>
          <w:iCs/>
        </w:rPr>
        <w:t>trans</w:t>
      </w:r>
      <w:r>
        <w:t>-</w:t>
      </w:r>
      <w:proofErr w:type="spellStart"/>
      <w:r>
        <w:t>eQTL</w:t>
      </w:r>
      <w:proofErr w:type="spellEnd"/>
      <w:r>
        <w:t xml:space="preserve"> networks</w:t>
      </w:r>
      <w:r>
        <w:tab/>
        <w:t>36</w:t>
      </w:r>
    </w:p>
    <w:p w14:paraId="4F3E118A" w14:textId="77777777" w:rsidR="00D854F9" w:rsidRDefault="00D854F9" w:rsidP="00D854F9">
      <w:pPr>
        <w:tabs>
          <w:tab w:val="right" w:leader="dot" w:pos="9360"/>
        </w:tabs>
      </w:pPr>
      <w:r>
        <w:t xml:space="preserve">      Discussion and conclusion</w:t>
      </w:r>
      <w:r>
        <w:tab/>
        <w:t>37</w:t>
      </w:r>
    </w:p>
    <w:p w14:paraId="1B33C95B" w14:textId="77777777" w:rsidR="00D854F9" w:rsidRDefault="00D854F9" w:rsidP="00D854F9">
      <w:pPr>
        <w:tabs>
          <w:tab w:val="right" w:leader="dot" w:pos="9360"/>
        </w:tabs>
      </w:pPr>
      <w:r>
        <w:t xml:space="preserve">      Materials and Methods</w:t>
      </w:r>
      <w:r>
        <w:tab/>
        <w:t>39</w:t>
      </w:r>
    </w:p>
    <w:p w14:paraId="2CC062F4" w14:textId="77777777" w:rsidR="00D854F9" w:rsidRDefault="00D854F9" w:rsidP="00D854F9">
      <w:pPr>
        <w:tabs>
          <w:tab w:val="right" w:leader="dot" w:pos="9360"/>
        </w:tabs>
      </w:pPr>
      <w:r>
        <w:t xml:space="preserve">            Phylogenetics, synteny, and selection analysis</w:t>
      </w:r>
      <w:r>
        <w:tab/>
        <w:t>39</w:t>
      </w:r>
    </w:p>
    <w:p w14:paraId="6BA0FBA3" w14:textId="77777777" w:rsidR="00D854F9" w:rsidRDefault="00D854F9" w:rsidP="00D854F9">
      <w:pPr>
        <w:tabs>
          <w:tab w:val="right" w:leader="dot" w:pos="9360"/>
        </w:tabs>
      </w:pPr>
      <w:r>
        <w:t xml:space="preserve">            Orphan gene curation</w:t>
      </w:r>
      <w:r>
        <w:tab/>
        <w:t>40</w:t>
      </w:r>
    </w:p>
    <w:p w14:paraId="19E2839E" w14:textId="77777777" w:rsidR="00D854F9" w:rsidRDefault="00D854F9" w:rsidP="00D854F9">
      <w:pPr>
        <w:tabs>
          <w:tab w:val="right" w:leader="dot" w:pos="9360"/>
        </w:tabs>
      </w:pPr>
      <w:r>
        <w:t xml:space="preserve">            </w:t>
      </w:r>
      <w:r w:rsidRPr="00B06C65">
        <w:rPr>
          <w:i/>
          <w:iCs/>
        </w:rPr>
        <w:t>De novo</w:t>
      </w:r>
      <w:r>
        <w:t xml:space="preserve"> gene identification</w:t>
      </w:r>
      <w:r>
        <w:tab/>
        <w:t>41</w:t>
      </w:r>
    </w:p>
    <w:p w14:paraId="21E0115A" w14:textId="77777777" w:rsidR="00D854F9" w:rsidRDefault="00D854F9" w:rsidP="00D854F9">
      <w:pPr>
        <w:tabs>
          <w:tab w:val="right" w:leader="dot" w:pos="9360"/>
        </w:tabs>
      </w:pPr>
      <w:r>
        <w:t xml:space="preserve">            SNP effect and polymorphism analysis in 917 </w:t>
      </w:r>
      <w:r w:rsidRPr="00B06C65">
        <w:rPr>
          <w:i/>
          <w:iCs/>
        </w:rPr>
        <w:t xml:space="preserve">P. </w:t>
      </w:r>
      <w:proofErr w:type="spellStart"/>
      <w:r w:rsidRPr="00B06C65">
        <w:rPr>
          <w:i/>
          <w:iCs/>
        </w:rPr>
        <w:t>trichocarpa</w:t>
      </w:r>
      <w:proofErr w:type="spellEnd"/>
      <w:r>
        <w:t xml:space="preserve"> individuals</w:t>
      </w:r>
      <w:r>
        <w:tab/>
        <w:t>42</w:t>
      </w:r>
    </w:p>
    <w:p w14:paraId="2C067214" w14:textId="77777777" w:rsidR="00D854F9" w:rsidRDefault="00D854F9" w:rsidP="00D854F9">
      <w:pPr>
        <w:tabs>
          <w:tab w:val="right" w:leader="dot" w:pos="9360"/>
        </w:tabs>
      </w:pPr>
      <w:r>
        <w:t xml:space="preserve">            Protein extraction and digestion</w:t>
      </w:r>
      <w:r>
        <w:tab/>
        <w:t>42</w:t>
      </w:r>
    </w:p>
    <w:p w14:paraId="0E532E94" w14:textId="77777777" w:rsidR="00D854F9" w:rsidRDefault="00D854F9" w:rsidP="00D854F9">
      <w:pPr>
        <w:tabs>
          <w:tab w:val="right" w:leader="dot" w:pos="9360"/>
        </w:tabs>
      </w:pPr>
      <w:r>
        <w:t xml:space="preserve">            LC-MS/MS analysis</w:t>
      </w:r>
      <w:r>
        <w:tab/>
        <w:t>43</w:t>
      </w:r>
    </w:p>
    <w:p w14:paraId="282E97EB" w14:textId="77777777" w:rsidR="00D854F9" w:rsidRDefault="00D854F9" w:rsidP="00D854F9">
      <w:pPr>
        <w:tabs>
          <w:tab w:val="right" w:leader="dot" w:pos="9360"/>
        </w:tabs>
      </w:pPr>
      <w:r>
        <w:t xml:space="preserve">            Peptide identification and protein inference</w:t>
      </w:r>
      <w:r>
        <w:tab/>
        <w:t>43</w:t>
      </w:r>
    </w:p>
    <w:p w14:paraId="1E86D609" w14:textId="77777777" w:rsidR="00D854F9" w:rsidRDefault="00D854F9" w:rsidP="00D854F9">
      <w:pPr>
        <w:tabs>
          <w:tab w:val="right" w:leader="dot" w:pos="9360"/>
        </w:tabs>
      </w:pPr>
      <w:r>
        <w:t xml:space="preserve">            Protein quantification</w:t>
      </w:r>
      <w:r>
        <w:tab/>
        <w:t>43</w:t>
      </w:r>
    </w:p>
    <w:p w14:paraId="35CDCB92" w14:textId="77777777" w:rsidR="00D854F9" w:rsidRDefault="00D854F9" w:rsidP="00D854F9">
      <w:pPr>
        <w:tabs>
          <w:tab w:val="right" w:leader="dot" w:pos="9360"/>
        </w:tabs>
      </w:pPr>
      <w:r>
        <w:t xml:space="preserve">            RNA-Seq and data analysis</w:t>
      </w:r>
      <w:r>
        <w:tab/>
        <w:t>44</w:t>
      </w:r>
    </w:p>
    <w:p w14:paraId="330771A3" w14:textId="77777777" w:rsidR="00D854F9" w:rsidRDefault="00D854F9" w:rsidP="00D854F9">
      <w:pPr>
        <w:tabs>
          <w:tab w:val="right" w:leader="dot" w:pos="9360"/>
        </w:tabs>
      </w:pPr>
      <w:r>
        <w:t xml:space="preserve">            </w:t>
      </w:r>
      <w:proofErr w:type="spellStart"/>
      <w:r>
        <w:t>eQTL</w:t>
      </w:r>
      <w:proofErr w:type="spellEnd"/>
      <w:r>
        <w:t xml:space="preserve"> analysis</w:t>
      </w:r>
      <w:r>
        <w:tab/>
        <w:t>45</w:t>
      </w:r>
    </w:p>
    <w:p w14:paraId="3F9F4CA3" w14:textId="77777777" w:rsidR="00D854F9" w:rsidRDefault="00D854F9" w:rsidP="00D854F9">
      <w:pPr>
        <w:tabs>
          <w:tab w:val="right" w:leader="dot" w:pos="9360"/>
        </w:tabs>
      </w:pPr>
      <w:r>
        <w:t xml:space="preserve">      References</w:t>
      </w:r>
      <w:r>
        <w:tab/>
        <w:t>46</w:t>
      </w:r>
    </w:p>
    <w:p w14:paraId="5D4BDB8F" w14:textId="77777777" w:rsidR="00D854F9" w:rsidRDefault="00D854F9" w:rsidP="00D854F9">
      <w:pPr>
        <w:tabs>
          <w:tab w:val="right" w:leader="dot" w:pos="9360"/>
        </w:tabs>
      </w:pPr>
      <w:r>
        <w:t xml:space="preserve">      Appendix</w:t>
      </w:r>
      <w:r>
        <w:tab/>
        <w:t>50</w:t>
      </w:r>
    </w:p>
    <w:p w14:paraId="4232EEB1" w14:textId="77777777" w:rsidR="00D854F9" w:rsidRDefault="00D854F9" w:rsidP="00D854F9">
      <w:pPr>
        <w:tabs>
          <w:tab w:val="right" w:leader="dot" w:pos="9360"/>
        </w:tabs>
      </w:pPr>
      <w:r>
        <w:t xml:space="preserve">Chapter III. A comparative analyses of organelle DNA transfer to nuclear genomes in </w:t>
      </w:r>
      <w:r w:rsidRPr="00B06C65">
        <w:rPr>
          <w:i/>
          <w:iCs/>
        </w:rPr>
        <w:t xml:space="preserve">Populus </w:t>
      </w:r>
      <w:proofErr w:type="spellStart"/>
      <w:r w:rsidRPr="00B06C65">
        <w:rPr>
          <w:i/>
          <w:iCs/>
        </w:rPr>
        <w:t>trichocarpa</w:t>
      </w:r>
      <w:proofErr w:type="spellEnd"/>
      <w:r>
        <w:t xml:space="preserve"> and </w:t>
      </w:r>
      <w:r w:rsidRPr="00B06C65">
        <w:rPr>
          <w:i/>
          <w:iCs/>
        </w:rPr>
        <w:t xml:space="preserve">Populus </w:t>
      </w:r>
      <w:proofErr w:type="spellStart"/>
      <w:r w:rsidRPr="00B06C65">
        <w:rPr>
          <w:i/>
          <w:iCs/>
        </w:rPr>
        <w:t>deltoides</w:t>
      </w:r>
      <w:proofErr w:type="spellEnd"/>
      <w:r>
        <w:tab/>
        <w:t>69</w:t>
      </w:r>
    </w:p>
    <w:p w14:paraId="36FBCBCD" w14:textId="77777777" w:rsidR="00D854F9" w:rsidRDefault="00D854F9" w:rsidP="00D854F9">
      <w:pPr>
        <w:tabs>
          <w:tab w:val="right" w:leader="dot" w:pos="9360"/>
        </w:tabs>
      </w:pPr>
      <w:r>
        <w:t xml:space="preserve">      Abstract</w:t>
      </w:r>
      <w:r>
        <w:tab/>
        <w:t>71</w:t>
      </w:r>
    </w:p>
    <w:p w14:paraId="74C64698" w14:textId="77777777" w:rsidR="00D854F9" w:rsidRDefault="00D854F9" w:rsidP="00D854F9">
      <w:pPr>
        <w:tabs>
          <w:tab w:val="right" w:leader="dot" w:pos="9360"/>
        </w:tabs>
      </w:pPr>
      <w:r>
        <w:t xml:space="preserve">      Introduction</w:t>
      </w:r>
      <w:r>
        <w:tab/>
        <w:t>72</w:t>
      </w:r>
    </w:p>
    <w:p w14:paraId="758F2E3A" w14:textId="77777777" w:rsidR="00D854F9" w:rsidRDefault="00D854F9" w:rsidP="00D854F9">
      <w:pPr>
        <w:tabs>
          <w:tab w:val="right" w:leader="dot" w:pos="9360"/>
        </w:tabs>
      </w:pPr>
      <w:r>
        <w:t xml:space="preserve">      Results</w:t>
      </w:r>
      <w:r>
        <w:tab/>
        <w:t>73</w:t>
      </w:r>
    </w:p>
    <w:p w14:paraId="10ED4E66" w14:textId="77777777" w:rsidR="00D854F9" w:rsidRDefault="00D854F9" w:rsidP="00D854F9">
      <w:pPr>
        <w:tabs>
          <w:tab w:val="right" w:leader="dot" w:pos="9360"/>
        </w:tabs>
        <w:ind w:left="720"/>
      </w:pPr>
      <w:r>
        <w:t xml:space="preserve">Assembly and annotation of the </w:t>
      </w:r>
      <w:r w:rsidRPr="00B06C65">
        <w:rPr>
          <w:i/>
          <w:iCs/>
        </w:rPr>
        <w:t xml:space="preserve">P. </w:t>
      </w:r>
      <w:proofErr w:type="spellStart"/>
      <w:r w:rsidRPr="00B06C65">
        <w:rPr>
          <w:i/>
          <w:iCs/>
        </w:rPr>
        <w:t>trichocarpa</w:t>
      </w:r>
      <w:proofErr w:type="spellEnd"/>
      <w:r>
        <w:t xml:space="preserve"> mitochondrial genome and the </w:t>
      </w:r>
      <w:r w:rsidRPr="00B06C65">
        <w:rPr>
          <w:i/>
          <w:iCs/>
        </w:rPr>
        <w:t xml:space="preserve">P. </w:t>
      </w:r>
      <w:proofErr w:type="spellStart"/>
      <w:r w:rsidRPr="00B06C65">
        <w:rPr>
          <w:i/>
          <w:iCs/>
        </w:rPr>
        <w:t>deltoides</w:t>
      </w:r>
      <w:proofErr w:type="spellEnd"/>
      <w:r>
        <w:t xml:space="preserve"> chloroplast and mitochondrial genomes</w:t>
      </w:r>
      <w:r>
        <w:tab/>
        <w:t>73</w:t>
      </w:r>
    </w:p>
    <w:p w14:paraId="7AE5651C" w14:textId="77777777" w:rsidR="00D854F9" w:rsidRDefault="00D854F9" w:rsidP="00D854F9">
      <w:pPr>
        <w:tabs>
          <w:tab w:val="right" w:leader="dot" w:pos="9360"/>
        </w:tabs>
      </w:pPr>
      <w:r>
        <w:t xml:space="preserve">            Organelle derived transfer to the nuclear genome in </w:t>
      </w:r>
      <w:r w:rsidRPr="00B06C65">
        <w:rPr>
          <w:i/>
          <w:iCs/>
        </w:rPr>
        <w:t xml:space="preserve">P. </w:t>
      </w:r>
      <w:proofErr w:type="spellStart"/>
      <w:r w:rsidRPr="00B06C65">
        <w:rPr>
          <w:i/>
          <w:iCs/>
        </w:rPr>
        <w:t>trichocarpa</w:t>
      </w:r>
      <w:proofErr w:type="spellEnd"/>
      <w:r>
        <w:t xml:space="preserve"> and </w:t>
      </w:r>
      <w:r w:rsidRPr="00B06C65">
        <w:rPr>
          <w:i/>
          <w:iCs/>
        </w:rPr>
        <w:t xml:space="preserve">P. </w:t>
      </w:r>
      <w:proofErr w:type="spellStart"/>
      <w:r w:rsidRPr="00B06C65">
        <w:rPr>
          <w:i/>
          <w:iCs/>
        </w:rPr>
        <w:t>deltoides</w:t>
      </w:r>
      <w:proofErr w:type="spellEnd"/>
      <w:r>
        <w:tab/>
        <w:t>75</w:t>
      </w:r>
    </w:p>
    <w:p w14:paraId="4D64DD01" w14:textId="77777777" w:rsidR="00D854F9" w:rsidRDefault="00D854F9" w:rsidP="00D854F9">
      <w:pPr>
        <w:tabs>
          <w:tab w:val="right" w:leader="dot" w:pos="9360"/>
        </w:tabs>
      </w:pPr>
      <w:r>
        <w:t xml:space="preserve">            Presence and absence of NUPTs and NUMTs between </w:t>
      </w:r>
      <w:r w:rsidRPr="00B06C65">
        <w:rPr>
          <w:i/>
          <w:iCs/>
        </w:rPr>
        <w:t xml:space="preserve">P. </w:t>
      </w:r>
      <w:proofErr w:type="spellStart"/>
      <w:r w:rsidRPr="00B06C65">
        <w:rPr>
          <w:i/>
          <w:iCs/>
        </w:rPr>
        <w:t>deltoides</w:t>
      </w:r>
      <w:proofErr w:type="spellEnd"/>
      <w:r>
        <w:t xml:space="preserve"> and </w:t>
      </w:r>
      <w:r w:rsidRPr="00B06C65">
        <w:rPr>
          <w:i/>
          <w:iCs/>
        </w:rPr>
        <w:t xml:space="preserve">P. </w:t>
      </w:r>
      <w:proofErr w:type="spellStart"/>
      <w:r w:rsidRPr="00B06C65">
        <w:rPr>
          <w:i/>
          <w:iCs/>
        </w:rPr>
        <w:t>trichocarpa</w:t>
      </w:r>
      <w:proofErr w:type="spellEnd"/>
      <w:r>
        <w:tab/>
        <w:t>76</w:t>
      </w:r>
    </w:p>
    <w:p w14:paraId="317F56B1" w14:textId="77777777" w:rsidR="00D854F9" w:rsidRDefault="00D854F9" w:rsidP="00D854F9">
      <w:pPr>
        <w:tabs>
          <w:tab w:val="right" w:leader="dot" w:pos="9360"/>
        </w:tabs>
      </w:pPr>
      <w:r>
        <w:t xml:space="preserve">            Expression and proteomic evidence for putative </w:t>
      </w:r>
      <w:proofErr w:type="gramStart"/>
      <w:r>
        <w:t>protein-coding</w:t>
      </w:r>
      <w:proofErr w:type="gramEnd"/>
      <w:r>
        <w:t xml:space="preserve"> NUPTs and NUPTs</w:t>
      </w:r>
      <w:r>
        <w:tab/>
        <w:t>77</w:t>
      </w:r>
    </w:p>
    <w:p w14:paraId="7D2D8A48" w14:textId="77777777" w:rsidR="00D854F9" w:rsidRDefault="00D854F9" w:rsidP="00D854F9">
      <w:pPr>
        <w:tabs>
          <w:tab w:val="right" w:leader="dot" w:pos="9360"/>
        </w:tabs>
      </w:pPr>
      <w:r>
        <w:t xml:space="preserve">            The </w:t>
      </w:r>
      <w:r w:rsidRPr="007354B4">
        <w:rPr>
          <w:i/>
          <w:iCs/>
        </w:rPr>
        <w:t xml:space="preserve">P. </w:t>
      </w:r>
      <w:proofErr w:type="spellStart"/>
      <w:r w:rsidRPr="007354B4">
        <w:rPr>
          <w:i/>
          <w:iCs/>
        </w:rPr>
        <w:t>trichocarpa</w:t>
      </w:r>
      <w:proofErr w:type="spellEnd"/>
      <w:r w:rsidRPr="007354B4">
        <w:rPr>
          <w:i/>
          <w:iCs/>
        </w:rPr>
        <w:t xml:space="preserve"> </w:t>
      </w:r>
      <w:r>
        <w:t>and P</w:t>
      </w:r>
      <w:r w:rsidRPr="007354B4">
        <w:rPr>
          <w:i/>
          <w:iCs/>
        </w:rPr>
        <w:t xml:space="preserve">. </w:t>
      </w:r>
      <w:proofErr w:type="spellStart"/>
      <w:r w:rsidRPr="007354B4">
        <w:rPr>
          <w:i/>
          <w:iCs/>
        </w:rPr>
        <w:t>deltoides</w:t>
      </w:r>
      <w:proofErr w:type="spellEnd"/>
      <w:r>
        <w:t xml:space="preserve"> whole chloroplast integration events</w:t>
      </w:r>
      <w:r>
        <w:tab/>
        <w:t>78</w:t>
      </w:r>
    </w:p>
    <w:p w14:paraId="571EDF05" w14:textId="77777777" w:rsidR="00D854F9" w:rsidRDefault="00D854F9" w:rsidP="00D854F9">
      <w:pPr>
        <w:tabs>
          <w:tab w:val="right" w:leader="dot" w:pos="9360"/>
        </w:tabs>
      </w:pPr>
      <w:r>
        <w:lastRenderedPageBreak/>
        <w:t xml:space="preserve">      Discussion and conclusion</w:t>
      </w:r>
      <w:r>
        <w:tab/>
        <w:t>79</w:t>
      </w:r>
    </w:p>
    <w:p w14:paraId="565EAE30" w14:textId="77777777" w:rsidR="00D854F9" w:rsidRDefault="00D854F9" w:rsidP="00D854F9">
      <w:pPr>
        <w:tabs>
          <w:tab w:val="right" w:leader="dot" w:pos="9360"/>
        </w:tabs>
      </w:pPr>
      <w:r>
        <w:t xml:space="preserve">      Materials and Methods</w:t>
      </w:r>
      <w:r>
        <w:tab/>
        <w:t>82</w:t>
      </w:r>
    </w:p>
    <w:p w14:paraId="094D4C72" w14:textId="77777777" w:rsidR="00D854F9" w:rsidRDefault="00D854F9" w:rsidP="00D854F9">
      <w:pPr>
        <w:tabs>
          <w:tab w:val="right" w:leader="dot" w:pos="9360"/>
        </w:tabs>
      </w:pPr>
      <w:r>
        <w:t xml:space="preserve">            Organelle genome assembly and annotation</w:t>
      </w:r>
      <w:r>
        <w:tab/>
        <w:t>82</w:t>
      </w:r>
    </w:p>
    <w:p w14:paraId="757A5F31" w14:textId="77777777" w:rsidR="00D854F9" w:rsidRDefault="00D854F9" w:rsidP="00D854F9">
      <w:pPr>
        <w:tabs>
          <w:tab w:val="right" w:leader="dot" w:pos="9360"/>
        </w:tabs>
      </w:pPr>
      <w:r>
        <w:t xml:space="preserve">            Phylogenomic analysis of </w:t>
      </w:r>
      <w:r w:rsidRPr="007354B4">
        <w:rPr>
          <w:i/>
          <w:iCs/>
        </w:rPr>
        <w:t>Populus</w:t>
      </w:r>
      <w:r>
        <w:t xml:space="preserve"> chloroplast and mitochondrial genomes</w:t>
      </w:r>
      <w:r>
        <w:tab/>
        <w:t>83</w:t>
      </w:r>
    </w:p>
    <w:p w14:paraId="72A2DA53" w14:textId="77777777" w:rsidR="00D854F9" w:rsidRDefault="00D854F9" w:rsidP="00D854F9">
      <w:pPr>
        <w:tabs>
          <w:tab w:val="right" w:leader="dot" w:pos="9360"/>
        </w:tabs>
      </w:pPr>
      <w:r>
        <w:t xml:space="preserve">            Identification of organelle derived transfers to the nuclear genome</w:t>
      </w:r>
      <w:r>
        <w:tab/>
        <w:t>83</w:t>
      </w:r>
    </w:p>
    <w:p w14:paraId="6C9EA859" w14:textId="77777777" w:rsidR="00D854F9" w:rsidRDefault="00D854F9" w:rsidP="00D854F9">
      <w:pPr>
        <w:tabs>
          <w:tab w:val="right" w:leader="dot" w:pos="9360"/>
        </w:tabs>
      </w:pPr>
      <w:r>
        <w:t xml:space="preserve">            AT transversion-based genetic distance</w:t>
      </w:r>
      <w:r>
        <w:tab/>
        <w:t>84</w:t>
      </w:r>
    </w:p>
    <w:p w14:paraId="1DAD4476" w14:textId="77777777" w:rsidR="00D854F9" w:rsidRDefault="00D854F9" w:rsidP="00D854F9">
      <w:pPr>
        <w:tabs>
          <w:tab w:val="right" w:leader="dot" w:pos="9360"/>
        </w:tabs>
      </w:pPr>
      <w:r>
        <w:t xml:space="preserve">            Presence and absence of NUPTs and NUMTs in </w:t>
      </w:r>
      <w:r w:rsidRPr="007354B4">
        <w:rPr>
          <w:i/>
          <w:iCs/>
        </w:rPr>
        <w:t xml:space="preserve">P. </w:t>
      </w:r>
      <w:proofErr w:type="spellStart"/>
      <w:r w:rsidRPr="007354B4">
        <w:rPr>
          <w:i/>
          <w:iCs/>
        </w:rPr>
        <w:t>trichocarpa</w:t>
      </w:r>
      <w:proofErr w:type="spellEnd"/>
      <w:r>
        <w:t xml:space="preserve"> and </w:t>
      </w:r>
      <w:r w:rsidRPr="007354B4">
        <w:rPr>
          <w:i/>
          <w:iCs/>
        </w:rPr>
        <w:t xml:space="preserve">P. </w:t>
      </w:r>
      <w:proofErr w:type="spellStart"/>
      <w:r w:rsidRPr="007354B4">
        <w:rPr>
          <w:i/>
          <w:iCs/>
        </w:rPr>
        <w:t>deltoides</w:t>
      </w:r>
      <w:proofErr w:type="spellEnd"/>
      <w:r>
        <w:tab/>
        <w:t>84</w:t>
      </w:r>
    </w:p>
    <w:p w14:paraId="1B282C86" w14:textId="77777777" w:rsidR="00D854F9" w:rsidRDefault="00D854F9" w:rsidP="00D854F9">
      <w:pPr>
        <w:tabs>
          <w:tab w:val="right" w:leader="dot" w:pos="9360"/>
        </w:tabs>
      </w:pPr>
      <w:r>
        <w:t xml:space="preserve">            Synteny and structural variation analysis between </w:t>
      </w:r>
      <w:r w:rsidRPr="007354B4">
        <w:rPr>
          <w:i/>
          <w:iCs/>
        </w:rPr>
        <w:t xml:space="preserve">P. </w:t>
      </w:r>
      <w:proofErr w:type="spellStart"/>
      <w:r w:rsidRPr="007354B4">
        <w:rPr>
          <w:i/>
          <w:iCs/>
        </w:rPr>
        <w:t>trichocarpa</w:t>
      </w:r>
      <w:proofErr w:type="spellEnd"/>
      <w:r>
        <w:t xml:space="preserve"> and </w:t>
      </w:r>
      <w:r w:rsidRPr="007354B4">
        <w:rPr>
          <w:i/>
          <w:iCs/>
        </w:rPr>
        <w:t xml:space="preserve">P. </w:t>
      </w:r>
      <w:proofErr w:type="spellStart"/>
      <w:r w:rsidRPr="007354B4">
        <w:rPr>
          <w:i/>
          <w:iCs/>
        </w:rPr>
        <w:t>deltoides</w:t>
      </w:r>
      <w:proofErr w:type="spellEnd"/>
      <w:r>
        <w:tab/>
        <w:t>84</w:t>
      </w:r>
    </w:p>
    <w:p w14:paraId="6F40D95C" w14:textId="77777777" w:rsidR="00D854F9" w:rsidRDefault="00D854F9" w:rsidP="00D854F9">
      <w:pPr>
        <w:tabs>
          <w:tab w:val="right" w:leader="dot" w:pos="9360"/>
        </w:tabs>
        <w:ind w:left="720"/>
      </w:pPr>
      <w:r>
        <w:t xml:space="preserve">Comparative methylation analysis of NUPTs and NUMTs in </w:t>
      </w:r>
      <w:r w:rsidRPr="007354B4">
        <w:rPr>
          <w:i/>
          <w:iCs/>
        </w:rPr>
        <w:t xml:space="preserve">P. </w:t>
      </w:r>
      <w:proofErr w:type="spellStart"/>
      <w:r w:rsidRPr="007354B4">
        <w:rPr>
          <w:i/>
          <w:iCs/>
        </w:rPr>
        <w:t>trichocarpa</w:t>
      </w:r>
      <w:proofErr w:type="spellEnd"/>
      <w:r w:rsidRPr="007354B4">
        <w:rPr>
          <w:i/>
          <w:iCs/>
        </w:rPr>
        <w:t xml:space="preserve"> </w:t>
      </w:r>
      <w:r>
        <w:t xml:space="preserve">and </w:t>
      </w:r>
      <w:r w:rsidRPr="007354B4">
        <w:rPr>
          <w:i/>
          <w:iCs/>
        </w:rPr>
        <w:t xml:space="preserve">P. </w:t>
      </w:r>
      <w:proofErr w:type="spellStart"/>
      <w:r w:rsidRPr="007354B4">
        <w:rPr>
          <w:i/>
          <w:iCs/>
        </w:rPr>
        <w:t>deltoides</w:t>
      </w:r>
      <w:proofErr w:type="spellEnd"/>
      <w:r>
        <w:tab/>
        <w:t>84</w:t>
      </w:r>
    </w:p>
    <w:p w14:paraId="25DF7F9B" w14:textId="77777777" w:rsidR="00D854F9" w:rsidRDefault="00D854F9" w:rsidP="00D854F9">
      <w:pPr>
        <w:tabs>
          <w:tab w:val="right" w:leader="dot" w:pos="9360"/>
        </w:tabs>
        <w:ind w:left="720"/>
      </w:pPr>
      <w:r>
        <w:t xml:space="preserve">Alignment, synteny, and </w:t>
      </w:r>
      <w:proofErr w:type="spellStart"/>
      <w:r>
        <w:t>orthogroup</w:t>
      </w:r>
      <w:proofErr w:type="spellEnd"/>
      <w:r>
        <w:t xml:space="preserve"> analysis of the whole chloroplast genome insertion event in </w:t>
      </w:r>
      <w:r w:rsidRPr="007354B4">
        <w:rPr>
          <w:i/>
          <w:iCs/>
        </w:rPr>
        <w:t xml:space="preserve">P. </w:t>
      </w:r>
      <w:proofErr w:type="spellStart"/>
      <w:r w:rsidRPr="007354B4">
        <w:rPr>
          <w:i/>
          <w:iCs/>
        </w:rPr>
        <w:t>trichocarpa</w:t>
      </w:r>
      <w:proofErr w:type="spellEnd"/>
      <w:r>
        <w:t xml:space="preserve"> and </w:t>
      </w:r>
      <w:r w:rsidRPr="007354B4">
        <w:rPr>
          <w:i/>
          <w:iCs/>
        </w:rPr>
        <w:t xml:space="preserve">P. </w:t>
      </w:r>
      <w:proofErr w:type="spellStart"/>
      <w:r w:rsidRPr="007354B4">
        <w:rPr>
          <w:i/>
          <w:iCs/>
        </w:rPr>
        <w:t>deltoides</w:t>
      </w:r>
      <w:proofErr w:type="spellEnd"/>
      <w:r>
        <w:tab/>
        <w:t>85</w:t>
      </w:r>
    </w:p>
    <w:p w14:paraId="0A2F276B" w14:textId="77777777" w:rsidR="00D854F9" w:rsidRDefault="00D854F9" w:rsidP="00D854F9">
      <w:pPr>
        <w:tabs>
          <w:tab w:val="right" w:leader="dot" w:pos="9360"/>
        </w:tabs>
      </w:pPr>
      <w:r>
        <w:t xml:space="preserve">      References</w:t>
      </w:r>
      <w:r>
        <w:tab/>
        <w:t>86</w:t>
      </w:r>
    </w:p>
    <w:p w14:paraId="4E07D9A2" w14:textId="77777777" w:rsidR="00D854F9" w:rsidRDefault="00D854F9" w:rsidP="00D854F9">
      <w:pPr>
        <w:tabs>
          <w:tab w:val="right" w:leader="dot" w:pos="9360"/>
        </w:tabs>
      </w:pPr>
      <w:r>
        <w:t xml:space="preserve">      Appendix</w:t>
      </w:r>
      <w:r>
        <w:tab/>
        <w:t>90</w:t>
      </w:r>
    </w:p>
    <w:p w14:paraId="1E350AAC" w14:textId="77777777" w:rsidR="00D854F9" w:rsidRDefault="00D854F9" w:rsidP="00D854F9">
      <w:pPr>
        <w:tabs>
          <w:tab w:val="right" w:leader="dot" w:pos="9360"/>
        </w:tabs>
      </w:pPr>
      <w:r>
        <w:t>Chapter IV. Assembly, annotation, and characterization of 11 S</w:t>
      </w:r>
      <w:r w:rsidRPr="007354B4">
        <w:rPr>
          <w:i/>
          <w:iCs/>
        </w:rPr>
        <w:t>alix</w:t>
      </w:r>
      <w:r>
        <w:t xml:space="preserve"> organelle genomes</w:t>
      </w:r>
      <w:r>
        <w:tab/>
        <w:t>101</w:t>
      </w:r>
    </w:p>
    <w:p w14:paraId="73E734C2" w14:textId="77777777" w:rsidR="00D854F9" w:rsidRDefault="00D854F9" w:rsidP="00D854F9">
      <w:pPr>
        <w:tabs>
          <w:tab w:val="right" w:leader="dot" w:pos="9360"/>
        </w:tabs>
      </w:pPr>
      <w:r>
        <w:t xml:space="preserve">      Abstract</w:t>
      </w:r>
      <w:r>
        <w:tab/>
        <w:t>103</w:t>
      </w:r>
    </w:p>
    <w:p w14:paraId="07DFF33C" w14:textId="77777777" w:rsidR="00D854F9" w:rsidRDefault="00D854F9" w:rsidP="00D854F9">
      <w:pPr>
        <w:tabs>
          <w:tab w:val="right" w:leader="dot" w:pos="9360"/>
        </w:tabs>
      </w:pPr>
      <w:r>
        <w:t xml:space="preserve">      Introduction</w:t>
      </w:r>
      <w:r>
        <w:tab/>
        <w:t>104</w:t>
      </w:r>
    </w:p>
    <w:p w14:paraId="358308E8" w14:textId="77777777" w:rsidR="00D854F9" w:rsidRDefault="00D854F9" w:rsidP="00D854F9">
      <w:pPr>
        <w:tabs>
          <w:tab w:val="right" w:leader="dot" w:pos="9360"/>
        </w:tabs>
      </w:pPr>
      <w:r>
        <w:t xml:space="preserve">      Results</w:t>
      </w:r>
      <w:r>
        <w:tab/>
        <w:t>104</w:t>
      </w:r>
    </w:p>
    <w:p w14:paraId="7EF98A63" w14:textId="77777777" w:rsidR="00D854F9" w:rsidRDefault="00D854F9" w:rsidP="00D854F9">
      <w:pPr>
        <w:tabs>
          <w:tab w:val="right" w:leader="dot" w:pos="9360"/>
        </w:tabs>
      </w:pPr>
      <w:r>
        <w:t xml:space="preserve">            Assembly and annotation of the 11 </w:t>
      </w:r>
      <w:r w:rsidRPr="00DC632D">
        <w:rPr>
          <w:i/>
          <w:iCs/>
        </w:rPr>
        <w:t>Salix</w:t>
      </w:r>
      <w:r>
        <w:t xml:space="preserve"> chloroplast and mitochondrial genomes</w:t>
      </w:r>
      <w:r>
        <w:tab/>
        <w:t>105</w:t>
      </w:r>
    </w:p>
    <w:p w14:paraId="463EFD90" w14:textId="77777777" w:rsidR="00D854F9" w:rsidRDefault="00D854F9" w:rsidP="00D854F9">
      <w:pPr>
        <w:tabs>
          <w:tab w:val="right" w:leader="dot" w:pos="9360"/>
        </w:tabs>
      </w:pPr>
      <w:r>
        <w:t xml:space="preserve">            Repeat sequences in the 11 </w:t>
      </w:r>
      <w:r w:rsidRPr="00DC632D">
        <w:rPr>
          <w:i/>
          <w:iCs/>
        </w:rPr>
        <w:t>Salix</w:t>
      </w:r>
      <w:r>
        <w:t xml:space="preserve"> chloroplast and mitogenomes</w:t>
      </w:r>
      <w:r>
        <w:tab/>
        <w:t>107</w:t>
      </w:r>
    </w:p>
    <w:p w14:paraId="7992520E" w14:textId="77777777" w:rsidR="00D854F9" w:rsidRDefault="00D854F9" w:rsidP="00D854F9">
      <w:pPr>
        <w:tabs>
          <w:tab w:val="right" w:leader="dot" w:pos="9360"/>
        </w:tabs>
        <w:ind w:left="720"/>
      </w:pPr>
      <w:r>
        <w:t xml:space="preserve">Phylogenomic analysis of the 11 </w:t>
      </w:r>
      <w:r w:rsidRPr="00DC632D">
        <w:rPr>
          <w:i/>
          <w:iCs/>
        </w:rPr>
        <w:t>Salix</w:t>
      </w:r>
      <w:r>
        <w:t xml:space="preserve"> chloroplast and mitogenomes with publicly available genomes</w:t>
      </w:r>
      <w:r>
        <w:tab/>
        <w:t>108</w:t>
      </w:r>
    </w:p>
    <w:p w14:paraId="7D62CDA1" w14:textId="77777777" w:rsidR="00D854F9" w:rsidRDefault="00D854F9" w:rsidP="00D854F9">
      <w:pPr>
        <w:tabs>
          <w:tab w:val="right" w:leader="dot" w:pos="9360"/>
        </w:tabs>
      </w:pPr>
      <w:r>
        <w:t xml:space="preserve">            Chloroplast DNA transfer to the mitogenome in gene and intergenic contexts</w:t>
      </w:r>
      <w:r>
        <w:tab/>
        <w:t>109</w:t>
      </w:r>
    </w:p>
    <w:p w14:paraId="5277A514" w14:textId="77777777" w:rsidR="00D854F9" w:rsidRDefault="00D854F9" w:rsidP="00D854F9">
      <w:pPr>
        <w:tabs>
          <w:tab w:val="right" w:leader="dot" w:pos="9360"/>
        </w:tabs>
      </w:pPr>
      <w:r>
        <w:t xml:space="preserve">            Selection on protein-coding genes in the 11 </w:t>
      </w:r>
      <w:r w:rsidRPr="00DC632D">
        <w:rPr>
          <w:i/>
          <w:iCs/>
        </w:rPr>
        <w:t xml:space="preserve">Salix </w:t>
      </w:r>
      <w:r>
        <w:t>chloroplast and mitogenomes</w:t>
      </w:r>
      <w:r>
        <w:tab/>
        <w:t>110</w:t>
      </w:r>
    </w:p>
    <w:p w14:paraId="5304D964" w14:textId="77777777" w:rsidR="00D854F9" w:rsidRDefault="00D854F9" w:rsidP="00D854F9">
      <w:pPr>
        <w:tabs>
          <w:tab w:val="right" w:leader="dot" w:pos="9360"/>
        </w:tabs>
      </w:pPr>
      <w:r>
        <w:t xml:space="preserve">      Discussion and Conclusion</w:t>
      </w:r>
      <w:r>
        <w:tab/>
        <w:t>111</w:t>
      </w:r>
    </w:p>
    <w:p w14:paraId="7C14A518" w14:textId="77777777" w:rsidR="00D854F9" w:rsidRDefault="00D854F9" w:rsidP="00D854F9">
      <w:pPr>
        <w:tabs>
          <w:tab w:val="right" w:leader="dot" w:pos="9360"/>
        </w:tabs>
      </w:pPr>
      <w:r>
        <w:t xml:space="preserve">      Materials and Methods</w:t>
      </w:r>
      <w:r>
        <w:tab/>
        <w:t>114</w:t>
      </w:r>
    </w:p>
    <w:p w14:paraId="3F0E8CC5" w14:textId="77777777" w:rsidR="00D854F9" w:rsidRDefault="00D854F9" w:rsidP="00D854F9">
      <w:pPr>
        <w:tabs>
          <w:tab w:val="right" w:leader="dot" w:pos="9360"/>
        </w:tabs>
      </w:pPr>
      <w:r>
        <w:t xml:space="preserve">            DNA extraction and sequencing</w:t>
      </w:r>
      <w:r>
        <w:tab/>
        <w:t>114</w:t>
      </w:r>
    </w:p>
    <w:p w14:paraId="2C3B2F91" w14:textId="77777777" w:rsidR="00D854F9" w:rsidRDefault="00D854F9" w:rsidP="00D854F9">
      <w:pPr>
        <w:tabs>
          <w:tab w:val="right" w:leader="dot" w:pos="9360"/>
        </w:tabs>
      </w:pPr>
      <w:r>
        <w:t xml:space="preserve">            Organelle genome assembly and annotation</w:t>
      </w:r>
      <w:r>
        <w:tab/>
        <w:t>114</w:t>
      </w:r>
    </w:p>
    <w:p w14:paraId="759CAAE2" w14:textId="77777777" w:rsidR="00D854F9" w:rsidRDefault="00D854F9" w:rsidP="00D854F9">
      <w:pPr>
        <w:tabs>
          <w:tab w:val="right" w:leader="dot" w:pos="9360"/>
        </w:tabs>
      </w:pPr>
      <w:r>
        <w:t xml:space="preserve">            Phylogenomic analysis of 11 </w:t>
      </w:r>
      <w:r w:rsidRPr="00EB3081">
        <w:rPr>
          <w:i/>
          <w:iCs/>
        </w:rPr>
        <w:t>Salix</w:t>
      </w:r>
      <w:r>
        <w:t xml:space="preserve"> chloroplast and mitogenomes</w:t>
      </w:r>
      <w:r>
        <w:tab/>
        <w:t>115</w:t>
      </w:r>
    </w:p>
    <w:p w14:paraId="16549ECF" w14:textId="77777777" w:rsidR="00D854F9" w:rsidRDefault="00D854F9" w:rsidP="00D854F9">
      <w:pPr>
        <w:tabs>
          <w:tab w:val="right" w:leader="dot" w:pos="9360"/>
        </w:tabs>
      </w:pPr>
      <w:r>
        <w:t xml:space="preserve">            Structural variation analysis</w:t>
      </w:r>
      <w:r>
        <w:tab/>
        <w:t>115</w:t>
      </w:r>
    </w:p>
    <w:p w14:paraId="475D24AB" w14:textId="77777777" w:rsidR="00D854F9" w:rsidRDefault="00D854F9" w:rsidP="00D854F9">
      <w:pPr>
        <w:tabs>
          <w:tab w:val="right" w:leader="dot" w:pos="9360"/>
        </w:tabs>
      </w:pPr>
      <w:r>
        <w:t xml:space="preserve">            Plastid-derived content in the </w:t>
      </w:r>
      <w:r w:rsidRPr="00EB3081">
        <w:rPr>
          <w:i/>
          <w:iCs/>
        </w:rPr>
        <w:t>Salix</w:t>
      </w:r>
      <w:r>
        <w:t xml:space="preserve"> mitogenomes</w:t>
      </w:r>
      <w:r>
        <w:tab/>
        <w:t>115</w:t>
      </w:r>
    </w:p>
    <w:p w14:paraId="5B549A2C" w14:textId="77777777" w:rsidR="00D854F9" w:rsidRDefault="00D854F9" w:rsidP="00D854F9">
      <w:pPr>
        <w:tabs>
          <w:tab w:val="right" w:leader="dot" w:pos="9360"/>
        </w:tabs>
      </w:pPr>
      <w:r>
        <w:t xml:space="preserve">            Repeat analysis</w:t>
      </w:r>
      <w:r>
        <w:tab/>
        <w:t>116</w:t>
      </w:r>
    </w:p>
    <w:p w14:paraId="57AB72F5" w14:textId="77777777" w:rsidR="00D854F9" w:rsidRDefault="00D854F9" w:rsidP="00D854F9">
      <w:pPr>
        <w:tabs>
          <w:tab w:val="right" w:leader="dot" w:pos="9360"/>
        </w:tabs>
      </w:pPr>
      <w:r>
        <w:t xml:space="preserve">            Selection analysis</w:t>
      </w:r>
      <w:r>
        <w:tab/>
        <w:t>116</w:t>
      </w:r>
    </w:p>
    <w:p w14:paraId="67660D33" w14:textId="77777777" w:rsidR="00D854F9" w:rsidRDefault="00D854F9" w:rsidP="00D854F9">
      <w:pPr>
        <w:tabs>
          <w:tab w:val="right" w:leader="dot" w:pos="9360"/>
        </w:tabs>
      </w:pPr>
      <w:r>
        <w:t xml:space="preserve">            RNA-Seq analysis</w:t>
      </w:r>
      <w:r>
        <w:tab/>
        <w:t>116</w:t>
      </w:r>
    </w:p>
    <w:p w14:paraId="51154274" w14:textId="77777777" w:rsidR="00D854F9" w:rsidRDefault="00D854F9" w:rsidP="00D854F9">
      <w:pPr>
        <w:tabs>
          <w:tab w:val="right" w:leader="dot" w:pos="9360"/>
        </w:tabs>
      </w:pPr>
      <w:r>
        <w:t xml:space="preserve">      References</w:t>
      </w:r>
      <w:r>
        <w:tab/>
        <w:t>117</w:t>
      </w:r>
    </w:p>
    <w:p w14:paraId="37A34FAE" w14:textId="77777777" w:rsidR="00D854F9" w:rsidRDefault="00D854F9" w:rsidP="00D854F9">
      <w:pPr>
        <w:tabs>
          <w:tab w:val="right" w:leader="dot" w:pos="9360"/>
        </w:tabs>
      </w:pPr>
      <w:r>
        <w:t>Appendix</w:t>
      </w:r>
      <w:r>
        <w:tab/>
        <w:t>121</w:t>
      </w:r>
    </w:p>
    <w:p w14:paraId="0F34A380" w14:textId="77777777" w:rsidR="00D854F9" w:rsidRDefault="00D854F9" w:rsidP="00D854F9">
      <w:pPr>
        <w:tabs>
          <w:tab w:val="right" w:leader="dot" w:pos="9360"/>
        </w:tabs>
      </w:pPr>
      <w:r>
        <w:t>Chapter V. Conclusion</w:t>
      </w:r>
      <w:r>
        <w:tab/>
        <w:t>133</w:t>
      </w:r>
    </w:p>
    <w:p w14:paraId="71711E71" w14:textId="77777777" w:rsidR="00D854F9" w:rsidRDefault="00D854F9" w:rsidP="00D854F9">
      <w:pPr>
        <w:tabs>
          <w:tab w:val="right" w:leader="dot" w:pos="9360"/>
        </w:tabs>
        <w:rPr>
          <w:rFonts w:cs="Times New Roman"/>
          <w:color w:val="000000" w:themeColor="text1"/>
        </w:rPr>
      </w:pPr>
      <w:r>
        <w:t>VITA</w:t>
      </w:r>
      <w:r>
        <w:tab/>
        <w:t>136</w:t>
      </w:r>
    </w:p>
    <w:p w14:paraId="0788E662" w14:textId="77777777" w:rsidR="00C87105" w:rsidRDefault="00C87105" w:rsidP="00C87105"/>
    <w:p w14:paraId="7037D583" w14:textId="77777777" w:rsidR="00757218" w:rsidRDefault="00757218" w:rsidP="00757218"/>
    <w:p w14:paraId="2906FE99" w14:textId="77777777" w:rsidR="00757218" w:rsidRDefault="00757218" w:rsidP="00757218">
      <w:pPr>
        <w:rPr>
          <w:rFonts w:cs="Times New Roman"/>
          <w:color w:val="000000" w:themeColor="text1"/>
        </w:rPr>
      </w:pPr>
    </w:p>
    <w:p w14:paraId="0C61FEBD" w14:textId="77777777" w:rsidR="00757218" w:rsidRPr="00432DCF" w:rsidRDefault="00757218" w:rsidP="00757218">
      <w:pPr>
        <w:rPr>
          <w:rFonts w:cs="Times New Roman"/>
          <w:color w:val="000000" w:themeColor="text1"/>
        </w:rPr>
      </w:pPr>
    </w:p>
    <w:p w14:paraId="26765342" w14:textId="77777777" w:rsidR="00757218" w:rsidRDefault="00757218" w:rsidP="00757218">
      <w:pPr>
        <w:ind w:firstLine="720"/>
        <w:rPr>
          <w:rFonts w:cs="Times New Roman"/>
          <w:color w:val="000000" w:themeColor="text1"/>
        </w:rPr>
      </w:pPr>
    </w:p>
    <w:p w14:paraId="2464C01A" w14:textId="77777777" w:rsidR="00757218" w:rsidRDefault="00757218" w:rsidP="00757218">
      <w:pPr>
        <w:ind w:firstLine="720"/>
        <w:rPr>
          <w:rFonts w:cs="Times New Roman"/>
          <w:color w:val="000000" w:themeColor="text1"/>
        </w:rPr>
      </w:pPr>
    </w:p>
    <w:p w14:paraId="482A76F8" w14:textId="77777777" w:rsidR="00757218" w:rsidRDefault="00757218" w:rsidP="00757218">
      <w:pPr>
        <w:jc w:val="center"/>
        <w:rPr>
          <w:rFonts w:cs="Times New Roman"/>
          <w:b/>
          <w:bCs/>
          <w:color w:val="000000" w:themeColor="text1"/>
          <w:sz w:val="28"/>
          <w:szCs w:val="28"/>
        </w:rPr>
      </w:pPr>
    </w:p>
    <w:p w14:paraId="5986F985" w14:textId="77777777" w:rsidR="00757218" w:rsidRDefault="00757218" w:rsidP="00757218">
      <w:pPr>
        <w:rPr>
          <w:rFonts w:cs="Times New Roman"/>
          <w:b/>
          <w:bCs/>
          <w:color w:val="000000" w:themeColor="text1"/>
          <w:sz w:val="28"/>
          <w:szCs w:val="28"/>
        </w:rPr>
      </w:pPr>
    </w:p>
    <w:p w14:paraId="1DBCB7D4" w14:textId="77777777" w:rsidR="00A87A4A" w:rsidRDefault="00A87A4A" w:rsidP="00A87A4A">
      <w:pPr>
        <w:jc w:val="center"/>
        <w:rPr>
          <w:rFonts w:cs="Times New Roman"/>
          <w:b/>
          <w:bCs/>
          <w:color w:val="000000" w:themeColor="text1"/>
          <w:sz w:val="28"/>
          <w:szCs w:val="28"/>
        </w:rPr>
      </w:pPr>
      <w:r>
        <w:rPr>
          <w:rFonts w:cs="Times New Roman"/>
          <w:b/>
          <w:bCs/>
          <w:color w:val="000000" w:themeColor="text1"/>
          <w:sz w:val="28"/>
          <w:szCs w:val="28"/>
        </w:rPr>
        <w:lastRenderedPageBreak/>
        <w:t>LIST OF FIGURES</w:t>
      </w:r>
    </w:p>
    <w:p w14:paraId="6BE50E9D" w14:textId="77777777" w:rsidR="00A87A4A" w:rsidRDefault="00A87A4A" w:rsidP="00A87A4A">
      <w:pPr>
        <w:jc w:val="center"/>
        <w:rPr>
          <w:rFonts w:cs="Times New Roman"/>
          <w:b/>
          <w:bCs/>
          <w:color w:val="000000" w:themeColor="text1"/>
          <w:sz w:val="28"/>
          <w:szCs w:val="28"/>
        </w:rPr>
      </w:pPr>
    </w:p>
    <w:p w14:paraId="4D6E8BA1" w14:textId="77777777" w:rsidR="00A87A4A" w:rsidRPr="00D05611" w:rsidRDefault="00A87A4A" w:rsidP="00A87A4A">
      <w:pPr>
        <w:tabs>
          <w:tab w:val="right" w:leader="dot" w:pos="9360"/>
        </w:tabs>
        <w:rPr>
          <w:rFonts w:cs="Times New Roman"/>
          <w:color w:val="000000" w:themeColor="text1"/>
        </w:rPr>
      </w:pPr>
      <w:r w:rsidRPr="00D05611">
        <w:rPr>
          <w:rFonts w:cs="Times New Roman"/>
          <w:color w:val="000000" w:themeColor="text1"/>
        </w:rPr>
        <w:t xml:space="preserve">Figure II-1. A species tree and </w:t>
      </w:r>
      <w:proofErr w:type="spellStart"/>
      <w:r w:rsidRPr="00D05611">
        <w:rPr>
          <w:rFonts w:cs="Times New Roman"/>
          <w:color w:val="000000" w:themeColor="text1"/>
        </w:rPr>
        <w:t>macrosynteny</w:t>
      </w:r>
      <w:proofErr w:type="spellEnd"/>
      <w:r w:rsidRPr="00D05611">
        <w:rPr>
          <w:rFonts w:cs="Times New Roman"/>
          <w:color w:val="000000" w:themeColor="text1"/>
        </w:rPr>
        <w:t xml:space="preserve"> relationships between </w:t>
      </w:r>
      <w:r w:rsidRPr="00D879AC">
        <w:rPr>
          <w:rFonts w:cs="Times New Roman"/>
          <w:i/>
          <w:iCs/>
          <w:color w:val="000000" w:themeColor="text1"/>
        </w:rPr>
        <w:t xml:space="preserve">P. </w:t>
      </w:r>
      <w:proofErr w:type="spellStart"/>
      <w:r w:rsidRPr="00D879AC">
        <w:rPr>
          <w:rFonts w:cs="Times New Roman"/>
          <w:i/>
          <w:iCs/>
          <w:color w:val="000000" w:themeColor="text1"/>
        </w:rPr>
        <w:t>trichocarpa</w:t>
      </w:r>
      <w:proofErr w:type="spellEnd"/>
      <w:r w:rsidRPr="00D05611">
        <w:rPr>
          <w:rFonts w:cs="Times New Roman"/>
          <w:color w:val="000000" w:themeColor="text1"/>
        </w:rPr>
        <w:t xml:space="preserve">, </w:t>
      </w:r>
      <w:r w:rsidRPr="00D879AC">
        <w:rPr>
          <w:rFonts w:cs="Times New Roman"/>
          <w:i/>
          <w:iCs/>
          <w:color w:val="000000" w:themeColor="text1"/>
        </w:rPr>
        <w:t xml:space="preserve">P. </w:t>
      </w:r>
      <w:proofErr w:type="spellStart"/>
      <w:r w:rsidRPr="00D879AC">
        <w:rPr>
          <w:rFonts w:cs="Times New Roman"/>
          <w:i/>
          <w:iCs/>
          <w:color w:val="000000" w:themeColor="text1"/>
        </w:rPr>
        <w:t>deltoides</w:t>
      </w:r>
      <w:proofErr w:type="spellEnd"/>
      <w:r w:rsidRPr="00D05611">
        <w:rPr>
          <w:rFonts w:cs="Times New Roman"/>
          <w:color w:val="000000" w:themeColor="text1"/>
        </w:rPr>
        <w:t xml:space="preserve"> and </w:t>
      </w:r>
      <w:r w:rsidRPr="00D879AC">
        <w:rPr>
          <w:rFonts w:cs="Times New Roman"/>
          <w:i/>
          <w:iCs/>
          <w:color w:val="000000" w:themeColor="text1"/>
        </w:rPr>
        <w:t>S. purpurea</w:t>
      </w:r>
      <w:r w:rsidRPr="00D05611">
        <w:rPr>
          <w:rFonts w:cs="Times New Roman"/>
          <w:color w:val="000000" w:themeColor="text1"/>
        </w:rPr>
        <w:t xml:space="preserve"> and alignments of </w:t>
      </w:r>
      <w:r w:rsidRPr="00262E00">
        <w:rPr>
          <w:rFonts w:cs="Times New Roman"/>
          <w:i/>
          <w:iCs/>
          <w:color w:val="000000" w:themeColor="text1"/>
        </w:rPr>
        <w:t>de novo</w:t>
      </w:r>
      <w:r w:rsidRPr="00D05611">
        <w:rPr>
          <w:rFonts w:cs="Times New Roman"/>
          <w:color w:val="000000" w:themeColor="text1"/>
        </w:rPr>
        <w:t xml:space="preserve"> genes Potri.001G124250 and Potri.001G400201 against their respective syntenic intergenic regions in </w:t>
      </w:r>
      <w:r w:rsidRPr="00D879AC">
        <w:rPr>
          <w:rFonts w:cs="Times New Roman"/>
          <w:i/>
          <w:iCs/>
          <w:color w:val="000000" w:themeColor="text1"/>
        </w:rPr>
        <w:t xml:space="preserve">Populus </w:t>
      </w:r>
      <w:proofErr w:type="spellStart"/>
      <w:r w:rsidRPr="00D879AC">
        <w:rPr>
          <w:rFonts w:cs="Times New Roman"/>
          <w:i/>
          <w:iCs/>
          <w:color w:val="000000" w:themeColor="text1"/>
        </w:rPr>
        <w:t>deltoides</w:t>
      </w:r>
      <w:proofErr w:type="spellEnd"/>
      <w:r w:rsidRPr="00D05611">
        <w:rPr>
          <w:rFonts w:cs="Times New Roman"/>
          <w:color w:val="000000" w:themeColor="text1"/>
        </w:rPr>
        <w:t xml:space="preserve"> and </w:t>
      </w:r>
      <w:r w:rsidRPr="00D879AC">
        <w:rPr>
          <w:rFonts w:cs="Times New Roman"/>
          <w:i/>
          <w:iCs/>
          <w:color w:val="000000" w:themeColor="text1"/>
        </w:rPr>
        <w:t>Salix purpurea</w:t>
      </w:r>
      <w:r w:rsidRPr="00D05611">
        <w:rPr>
          <w:rFonts w:cs="Times New Roman"/>
          <w:color w:val="000000" w:themeColor="text1"/>
        </w:rPr>
        <w:tab/>
      </w:r>
      <w:r>
        <w:rPr>
          <w:rFonts w:cs="Times New Roman"/>
          <w:color w:val="000000" w:themeColor="text1"/>
        </w:rPr>
        <w:t>50</w:t>
      </w:r>
    </w:p>
    <w:p w14:paraId="24EF7D3A" w14:textId="77777777" w:rsidR="00A87A4A" w:rsidRPr="00D05611" w:rsidRDefault="00A87A4A" w:rsidP="00A87A4A">
      <w:pPr>
        <w:tabs>
          <w:tab w:val="right" w:leader="dot" w:pos="9360"/>
        </w:tabs>
        <w:rPr>
          <w:rFonts w:cs="Times New Roman"/>
          <w:color w:val="000000" w:themeColor="text1"/>
        </w:rPr>
      </w:pPr>
      <w:r w:rsidRPr="00D05611">
        <w:rPr>
          <w:rFonts w:cs="Times New Roman"/>
          <w:color w:val="000000" w:themeColor="text1"/>
        </w:rPr>
        <w:t>Figure II-2. Orphan gene impact class frequency and variant profile similarity to Nisqually-1 (reference genome)</w:t>
      </w:r>
      <w:r w:rsidRPr="00D05611">
        <w:rPr>
          <w:rFonts w:cs="Times New Roman"/>
          <w:color w:val="000000" w:themeColor="text1"/>
        </w:rPr>
        <w:tab/>
        <w:t>5</w:t>
      </w:r>
      <w:r>
        <w:rPr>
          <w:rFonts w:cs="Times New Roman"/>
          <w:color w:val="000000" w:themeColor="text1"/>
        </w:rPr>
        <w:t>1</w:t>
      </w:r>
    </w:p>
    <w:p w14:paraId="12A3D677" w14:textId="77777777" w:rsidR="00A87A4A" w:rsidRPr="00D05611" w:rsidRDefault="00A87A4A" w:rsidP="00A87A4A">
      <w:pPr>
        <w:tabs>
          <w:tab w:val="right" w:leader="dot" w:pos="9360"/>
        </w:tabs>
        <w:rPr>
          <w:rFonts w:cs="Times New Roman"/>
          <w:color w:val="000000" w:themeColor="text1"/>
        </w:rPr>
      </w:pPr>
      <w:r w:rsidRPr="00D05611">
        <w:rPr>
          <w:rFonts w:cs="Times New Roman"/>
          <w:color w:val="000000" w:themeColor="text1"/>
        </w:rPr>
        <w:t>Figure II-3. Orphan gene expression breadth, translation evidence, and expression variation in the GWAS mapping panel</w:t>
      </w:r>
      <w:r w:rsidRPr="00D05611">
        <w:rPr>
          <w:rFonts w:cs="Times New Roman"/>
          <w:color w:val="000000" w:themeColor="text1"/>
        </w:rPr>
        <w:tab/>
        <w:t>5</w:t>
      </w:r>
      <w:r>
        <w:rPr>
          <w:rFonts w:cs="Times New Roman"/>
          <w:color w:val="000000" w:themeColor="text1"/>
        </w:rPr>
        <w:t>2</w:t>
      </w:r>
    </w:p>
    <w:p w14:paraId="32675625" w14:textId="77777777" w:rsidR="00A87A4A" w:rsidRPr="00D05611" w:rsidRDefault="00A87A4A" w:rsidP="00A87A4A">
      <w:pPr>
        <w:tabs>
          <w:tab w:val="right" w:leader="dot" w:pos="9360"/>
        </w:tabs>
        <w:rPr>
          <w:rFonts w:cs="Times New Roman"/>
          <w:color w:val="000000" w:themeColor="text1"/>
        </w:rPr>
      </w:pPr>
      <w:r w:rsidRPr="00D05611">
        <w:rPr>
          <w:rFonts w:cs="Times New Roman"/>
          <w:color w:val="000000" w:themeColor="text1"/>
        </w:rPr>
        <w:t xml:space="preserve">Figure II-4. </w:t>
      </w:r>
      <w:r w:rsidRPr="00262E00">
        <w:rPr>
          <w:rFonts w:cs="Times New Roman"/>
          <w:i/>
          <w:iCs/>
          <w:color w:val="000000" w:themeColor="text1"/>
        </w:rPr>
        <w:t>cis</w:t>
      </w:r>
      <w:r w:rsidRPr="00D05611">
        <w:rPr>
          <w:rFonts w:cs="Times New Roman"/>
          <w:color w:val="000000" w:themeColor="text1"/>
        </w:rPr>
        <w:t>-</w:t>
      </w:r>
      <w:proofErr w:type="spellStart"/>
      <w:r w:rsidRPr="00D05611">
        <w:rPr>
          <w:rFonts w:cs="Times New Roman"/>
          <w:color w:val="000000" w:themeColor="text1"/>
        </w:rPr>
        <w:t>eQTL</w:t>
      </w:r>
      <w:proofErr w:type="spellEnd"/>
      <w:r w:rsidRPr="00D05611">
        <w:rPr>
          <w:rFonts w:cs="Times New Roman"/>
          <w:color w:val="000000" w:themeColor="text1"/>
        </w:rPr>
        <w:t xml:space="preserve"> analysis facilitates assignment and reconstruction of probable proximal regulatory elements</w:t>
      </w:r>
      <w:r w:rsidRPr="00D05611">
        <w:rPr>
          <w:rFonts w:cs="Times New Roman"/>
          <w:color w:val="000000" w:themeColor="text1"/>
        </w:rPr>
        <w:tab/>
        <w:t>5</w:t>
      </w:r>
      <w:r>
        <w:rPr>
          <w:rFonts w:cs="Times New Roman"/>
          <w:color w:val="000000" w:themeColor="text1"/>
        </w:rPr>
        <w:t>3</w:t>
      </w:r>
    </w:p>
    <w:p w14:paraId="416084C9" w14:textId="77777777" w:rsidR="00A87A4A" w:rsidRPr="00D05611" w:rsidRDefault="00A87A4A" w:rsidP="00A87A4A">
      <w:pPr>
        <w:tabs>
          <w:tab w:val="right" w:leader="dot" w:pos="9360"/>
        </w:tabs>
        <w:rPr>
          <w:rFonts w:cs="Times New Roman"/>
          <w:color w:val="000000" w:themeColor="text1"/>
        </w:rPr>
      </w:pPr>
      <w:r w:rsidRPr="00D05611">
        <w:rPr>
          <w:rFonts w:cs="Times New Roman"/>
          <w:color w:val="000000" w:themeColor="text1"/>
        </w:rPr>
        <w:t xml:space="preserve">Figure II-5. </w:t>
      </w:r>
      <w:r w:rsidRPr="00262E00">
        <w:rPr>
          <w:rFonts w:cs="Times New Roman"/>
          <w:i/>
          <w:iCs/>
          <w:color w:val="000000" w:themeColor="text1"/>
        </w:rPr>
        <w:t>trans</w:t>
      </w:r>
      <w:r w:rsidRPr="00D05611">
        <w:rPr>
          <w:rFonts w:cs="Times New Roman"/>
          <w:color w:val="000000" w:themeColor="text1"/>
        </w:rPr>
        <w:t>-</w:t>
      </w:r>
      <w:proofErr w:type="spellStart"/>
      <w:r w:rsidRPr="00D05611">
        <w:rPr>
          <w:rFonts w:cs="Times New Roman"/>
          <w:color w:val="000000" w:themeColor="text1"/>
        </w:rPr>
        <w:t>eQTL</w:t>
      </w:r>
      <w:proofErr w:type="spellEnd"/>
      <w:r w:rsidRPr="00D05611">
        <w:rPr>
          <w:rFonts w:cs="Times New Roman"/>
          <w:color w:val="000000" w:themeColor="text1"/>
        </w:rPr>
        <w:t xml:space="preserve"> analysis of orphan genes in the GWAS mapping panel</w:t>
      </w:r>
      <w:r w:rsidRPr="00D05611">
        <w:rPr>
          <w:rFonts w:cs="Times New Roman"/>
          <w:color w:val="000000" w:themeColor="text1"/>
        </w:rPr>
        <w:tab/>
        <w:t>5</w:t>
      </w:r>
      <w:r>
        <w:rPr>
          <w:rFonts w:cs="Times New Roman"/>
          <w:color w:val="000000" w:themeColor="text1"/>
        </w:rPr>
        <w:t>4</w:t>
      </w:r>
    </w:p>
    <w:p w14:paraId="2ED2E777" w14:textId="77777777" w:rsidR="00A87A4A" w:rsidRPr="00D05611" w:rsidRDefault="00A87A4A" w:rsidP="00A87A4A">
      <w:pPr>
        <w:tabs>
          <w:tab w:val="right" w:leader="dot" w:pos="9360"/>
        </w:tabs>
        <w:rPr>
          <w:rFonts w:cs="Times New Roman"/>
          <w:color w:val="000000" w:themeColor="text1"/>
        </w:rPr>
      </w:pPr>
      <w:r w:rsidRPr="00D05611">
        <w:rPr>
          <w:rFonts w:cs="Times New Roman"/>
          <w:color w:val="000000" w:themeColor="text1"/>
        </w:rPr>
        <w:t xml:space="preserve">Figure II-S1. Orphan and </w:t>
      </w:r>
      <w:r w:rsidRPr="00262E00">
        <w:rPr>
          <w:rFonts w:cs="Times New Roman"/>
          <w:i/>
          <w:iCs/>
          <w:color w:val="000000" w:themeColor="text1"/>
        </w:rPr>
        <w:t>de novo</w:t>
      </w:r>
      <w:r w:rsidRPr="00D05611">
        <w:rPr>
          <w:rFonts w:cs="Times New Roman"/>
          <w:color w:val="000000" w:themeColor="text1"/>
        </w:rPr>
        <w:t xml:space="preserve"> gene curation pipeline</w:t>
      </w:r>
      <w:r w:rsidRPr="00D05611">
        <w:rPr>
          <w:rFonts w:cs="Times New Roman"/>
          <w:color w:val="000000" w:themeColor="text1"/>
        </w:rPr>
        <w:tab/>
        <w:t>5</w:t>
      </w:r>
      <w:r>
        <w:rPr>
          <w:rFonts w:cs="Times New Roman"/>
          <w:color w:val="000000" w:themeColor="text1"/>
        </w:rPr>
        <w:t>5</w:t>
      </w:r>
    </w:p>
    <w:p w14:paraId="6C068EE7" w14:textId="77777777" w:rsidR="00A87A4A" w:rsidRPr="00D05611" w:rsidRDefault="00A87A4A" w:rsidP="00A87A4A">
      <w:pPr>
        <w:tabs>
          <w:tab w:val="right" w:leader="dot" w:pos="9360"/>
        </w:tabs>
        <w:rPr>
          <w:rFonts w:cs="Times New Roman"/>
          <w:color w:val="000000" w:themeColor="text1"/>
        </w:rPr>
      </w:pPr>
      <w:r w:rsidRPr="00D05611">
        <w:rPr>
          <w:rFonts w:cs="Times New Roman"/>
          <w:color w:val="000000" w:themeColor="text1"/>
        </w:rPr>
        <w:t xml:space="preserve">Figure II-S2. Expression and proteomic evidence for the 13 P. </w:t>
      </w:r>
      <w:proofErr w:type="spellStart"/>
      <w:r w:rsidRPr="00D05611">
        <w:rPr>
          <w:rFonts w:cs="Times New Roman"/>
          <w:color w:val="000000" w:themeColor="text1"/>
        </w:rPr>
        <w:t>trichocarpa</w:t>
      </w:r>
      <w:proofErr w:type="spellEnd"/>
      <w:r w:rsidRPr="00D05611">
        <w:rPr>
          <w:rFonts w:cs="Times New Roman"/>
          <w:color w:val="000000" w:themeColor="text1"/>
        </w:rPr>
        <w:t xml:space="preserve"> </w:t>
      </w:r>
      <w:r w:rsidRPr="00262E00">
        <w:rPr>
          <w:rFonts w:cs="Times New Roman"/>
          <w:i/>
          <w:iCs/>
          <w:color w:val="000000" w:themeColor="text1"/>
        </w:rPr>
        <w:t>de novo</w:t>
      </w:r>
      <w:r w:rsidRPr="00D05611">
        <w:rPr>
          <w:rFonts w:cs="Times New Roman"/>
          <w:color w:val="000000" w:themeColor="text1"/>
        </w:rPr>
        <w:t xml:space="preserve"> genes</w:t>
      </w:r>
      <w:r w:rsidRPr="00D05611">
        <w:rPr>
          <w:rFonts w:cs="Times New Roman"/>
          <w:color w:val="000000" w:themeColor="text1"/>
        </w:rPr>
        <w:tab/>
        <w:t>5</w:t>
      </w:r>
      <w:r>
        <w:rPr>
          <w:rFonts w:cs="Times New Roman"/>
          <w:color w:val="000000" w:themeColor="text1"/>
        </w:rPr>
        <w:t>6</w:t>
      </w:r>
    </w:p>
    <w:p w14:paraId="52A5297B" w14:textId="77777777" w:rsidR="00A87A4A" w:rsidRPr="00D05611" w:rsidRDefault="00A87A4A" w:rsidP="00A87A4A">
      <w:pPr>
        <w:tabs>
          <w:tab w:val="right" w:leader="dot" w:pos="9360"/>
        </w:tabs>
        <w:rPr>
          <w:rFonts w:cs="Times New Roman"/>
          <w:color w:val="000000" w:themeColor="text1"/>
        </w:rPr>
      </w:pPr>
      <w:r w:rsidRPr="00D05611">
        <w:rPr>
          <w:rFonts w:cs="Times New Roman"/>
          <w:color w:val="000000" w:themeColor="text1"/>
        </w:rPr>
        <w:t xml:space="preserve">Figure II-S3. Identity plots to </w:t>
      </w:r>
      <w:r w:rsidRPr="00262E00">
        <w:rPr>
          <w:rFonts w:cs="Times New Roman"/>
          <w:i/>
          <w:iCs/>
          <w:color w:val="000000" w:themeColor="text1"/>
        </w:rPr>
        <w:t>de novo</w:t>
      </w:r>
      <w:r w:rsidRPr="00D05611">
        <w:rPr>
          <w:rFonts w:cs="Times New Roman"/>
          <w:color w:val="000000" w:themeColor="text1"/>
        </w:rPr>
        <w:t xml:space="preserve"> gene syntenic regions</w:t>
      </w:r>
      <w:r w:rsidRPr="00D05611">
        <w:rPr>
          <w:rFonts w:cs="Times New Roman"/>
          <w:color w:val="000000" w:themeColor="text1"/>
        </w:rPr>
        <w:tab/>
        <w:t>5</w:t>
      </w:r>
      <w:r>
        <w:rPr>
          <w:rFonts w:cs="Times New Roman"/>
          <w:color w:val="000000" w:themeColor="text1"/>
        </w:rPr>
        <w:t>6</w:t>
      </w:r>
    </w:p>
    <w:p w14:paraId="25352D60" w14:textId="77777777" w:rsidR="00A87A4A" w:rsidRPr="00D05611" w:rsidRDefault="00A87A4A" w:rsidP="00A87A4A">
      <w:pPr>
        <w:tabs>
          <w:tab w:val="right" w:leader="dot" w:pos="9360"/>
        </w:tabs>
        <w:rPr>
          <w:rFonts w:cs="Times New Roman"/>
          <w:color w:val="000000" w:themeColor="text1"/>
        </w:rPr>
      </w:pPr>
      <w:r w:rsidRPr="00D05611">
        <w:rPr>
          <w:rFonts w:cs="Times New Roman"/>
          <w:color w:val="000000" w:themeColor="text1"/>
        </w:rPr>
        <w:t xml:space="preserve">Figure II-S4. Alignment of </w:t>
      </w:r>
      <w:r w:rsidRPr="00262E00">
        <w:rPr>
          <w:rFonts w:cs="Times New Roman"/>
          <w:i/>
          <w:iCs/>
          <w:color w:val="000000" w:themeColor="text1"/>
        </w:rPr>
        <w:t>de novo</w:t>
      </w:r>
      <w:r w:rsidRPr="00D05611">
        <w:rPr>
          <w:rFonts w:cs="Times New Roman"/>
          <w:color w:val="000000" w:themeColor="text1"/>
        </w:rPr>
        <w:t xml:space="preserve"> gene Potri.001G257200 against its non-coding syntenic regions</w:t>
      </w:r>
      <w:r w:rsidRPr="00D05611">
        <w:rPr>
          <w:rFonts w:cs="Times New Roman"/>
          <w:color w:val="000000" w:themeColor="text1"/>
        </w:rPr>
        <w:tab/>
        <w:t>5</w:t>
      </w:r>
      <w:r>
        <w:rPr>
          <w:rFonts w:cs="Times New Roman"/>
          <w:color w:val="000000" w:themeColor="text1"/>
        </w:rPr>
        <w:t>7</w:t>
      </w:r>
    </w:p>
    <w:p w14:paraId="041A7F9D" w14:textId="77777777" w:rsidR="00A87A4A" w:rsidRPr="00D05611" w:rsidRDefault="00A87A4A" w:rsidP="00A87A4A">
      <w:pPr>
        <w:tabs>
          <w:tab w:val="right" w:leader="dot" w:pos="9360"/>
        </w:tabs>
        <w:rPr>
          <w:rFonts w:cs="Times New Roman"/>
          <w:color w:val="000000" w:themeColor="text1"/>
        </w:rPr>
      </w:pPr>
      <w:r w:rsidRPr="00D05611">
        <w:rPr>
          <w:rFonts w:cs="Times New Roman"/>
          <w:color w:val="000000" w:themeColor="text1"/>
        </w:rPr>
        <w:t xml:space="preserve">Figure II-S5. Alignment of </w:t>
      </w:r>
      <w:r w:rsidRPr="00262E00">
        <w:rPr>
          <w:rFonts w:cs="Times New Roman"/>
          <w:i/>
          <w:iCs/>
          <w:color w:val="000000" w:themeColor="text1"/>
        </w:rPr>
        <w:t>de novo</w:t>
      </w:r>
      <w:r w:rsidRPr="00D05611">
        <w:rPr>
          <w:rFonts w:cs="Times New Roman"/>
          <w:color w:val="000000" w:themeColor="text1"/>
        </w:rPr>
        <w:t xml:space="preserve"> gene Potri.002G037600 against its non-coding syntenic regions</w:t>
      </w:r>
      <w:r w:rsidRPr="00D05611">
        <w:rPr>
          <w:rFonts w:cs="Times New Roman"/>
          <w:color w:val="000000" w:themeColor="text1"/>
        </w:rPr>
        <w:tab/>
        <w:t>5</w:t>
      </w:r>
      <w:r>
        <w:rPr>
          <w:rFonts w:cs="Times New Roman"/>
          <w:color w:val="000000" w:themeColor="text1"/>
        </w:rPr>
        <w:t>7</w:t>
      </w:r>
    </w:p>
    <w:p w14:paraId="079E654F" w14:textId="77777777" w:rsidR="00A87A4A" w:rsidRPr="00D05611" w:rsidRDefault="00A87A4A" w:rsidP="00A87A4A">
      <w:pPr>
        <w:tabs>
          <w:tab w:val="right" w:leader="dot" w:pos="9360"/>
        </w:tabs>
        <w:rPr>
          <w:rFonts w:cs="Times New Roman"/>
          <w:color w:val="000000" w:themeColor="text1"/>
        </w:rPr>
      </w:pPr>
      <w:r w:rsidRPr="00D05611">
        <w:rPr>
          <w:rFonts w:cs="Times New Roman"/>
          <w:color w:val="000000" w:themeColor="text1"/>
        </w:rPr>
        <w:t xml:space="preserve">Figure II-S6. Alignment of </w:t>
      </w:r>
      <w:r w:rsidRPr="00262E00">
        <w:rPr>
          <w:rFonts w:cs="Times New Roman"/>
          <w:i/>
          <w:iCs/>
          <w:color w:val="000000" w:themeColor="text1"/>
        </w:rPr>
        <w:t xml:space="preserve">de novo </w:t>
      </w:r>
      <w:r w:rsidRPr="00D05611">
        <w:rPr>
          <w:rFonts w:cs="Times New Roman"/>
          <w:color w:val="000000" w:themeColor="text1"/>
        </w:rPr>
        <w:t>gene Potri.002G127150 against its non-coding syntenic regions</w:t>
      </w:r>
      <w:r w:rsidRPr="00D05611">
        <w:rPr>
          <w:rFonts w:cs="Times New Roman"/>
          <w:color w:val="000000" w:themeColor="text1"/>
        </w:rPr>
        <w:tab/>
        <w:t>5</w:t>
      </w:r>
      <w:r>
        <w:rPr>
          <w:rFonts w:cs="Times New Roman"/>
          <w:color w:val="000000" w:themeColor="text1"/>
        </w:rPr>
        <w:t>8</w:t>
      </w:r>
    </w:p>
    <w:p w14:paraId="62A12ECF" w14:textId="77777777" w:rsidR="00A87A4A" w:rsidRPr="00D05611" w:rsidRDefault="00A87A4A" w:rsidP="00A87A4A">
      <w:pPr>
        <w:tabs>
          <w:tab w:val="right" w:leader="dot" w:pos="9360"/>
        </w:tabs>
        <w:rPr>
          <w:rFonts w:cs="Times New Roman"/>
          <w:color w:val="000000" w:themeColor="text1"/>
        </w:rPr>
      </w:pPr>
      <w:r w:rsidRPr="00D05611">
        <w:rPr>
          <w:rFonts w:cs="Times New Roman"/>
          <w:color w:val="000000" w:themeColor="text1"/>
        </w:rPr>
        <w:t xml:space="preserve">Figure II-S7. Alignment of </w:t>
      </w:r>
      <w:r w:rsidRPr="00262E00">
        <w:rPr>
          <w:rFonts w:cs="Times New Roman"/>
          <w:i/>
          <w:iCs/>
          <w:color w:val="000000" w:themeColor="text1"/>
        </w:rPr>
        <w:t>de novo</w:t>
      </w:r>
      <w:r w:rsidRPr="00D05611">
        <w:rPr>
          <w:rFonts w:cs="Times New Roman"/>
          <w:color w:val="000000" w:themeColor="text1"/>
        </w:rPr>
        <w:t xml:space="preserve"> gene Potri.005G061300 against its non-coding syntenic regions</w:t>
      </w:r>
      <w:r w:rsidRPr="00D05611">
        <w:rPr>
          <w:rFonts w:cs="Times New Roman"/>
          <w:color w:val="000000" w:themeColor="text1"/>
        </w:rPr>
        <w:tab/>
        <w:t>5</w:t>
      </w:r>
      <w:r>
        <w:rPr>
          <w:rFonts w:cs="Times New Roman"/>
          <w:color w:val="000000" w:themeColor="text1"/>
        </w:rPr>
        <w:t>8</w:t>
      </w:r>
    </w:p>
    <w:p w14:paraId="5C8DB45B" w14:textId="77777777" w:rsidR="00A87A4A" w:rsidRPr="00D05611" w:rsidRDefault="00A87A4A" w:rsidP="00A87A4A">
      <w:pPr>
        <w:tabs>
          <w:tab w:val="right" w:leader="dot" w:pos="9360"/>
        </w:tabs>
        <w:rPr>
          <w:rFonts w:cs="Times New Roman"/>
          <w:color w:val="000000" w:themeColor="text1"/>
        </w:rPr>
      </w:pPr>
      <w:r w:rsidRPr="00D05611">
        <w:rPr>
          <w:rFonts w:cs="Times New Roman"/>
          <w:color w:val="000000" w:themeColor="text1"/>
        </w:rPr>
        <w:t xml:space="preserve">Figure II-S8. Alignment of </w:t>
      </w:r>
      <w:r w:rsidRPr="00262E00">
        <w:rPr>
          <w:rFonts w:cs="Times New Roman"/>
          <w:i/>
          <w:iCs/>
          <w:color w:val="000000" w:themeColor="text1"/>
        </w:rPr>
        <w:t>de novo</w:t>
      </w:r>
      <w:r w:rsidRPr="00D05611">
        <w:rPr>
          <w:rFonts w:cs="Times New Roman"/>
          <w:color w:val="000000" w:themeColor="text1"/>
        </w:rPr>
        <w:t xml:space="preserve"> gene Potri.005G213700 against its non-coding syntenic regions</w:t>
      </w:r>
      <w:r w:rsidRPr="00D05611">
        <w:rPr>
          <w:rFonts w:cs="Times New Roman"/>
          <w:color w:val="000000" w:themeColor="text1"/>
        </w:rPr>
        <w:tab/>
        <w:t>5</w:t>
      </w:r>
      <w:r>
        <w:rPr>
          <w:rFonts w:cs="Times New Roman"/>
          <w:color w:val="000000" w:themeColor="text1"/>
        </w:rPr>
        <w:t>9</w:t>
      </w:r>
    </w:p>
    <w:p w14:paraId="434CFC3F" w14:textId="77777777" w:rsidR="00A87A4A" w:rsidRPr="00D05611" w:rsidRDefault="00A87A4A" w:rsidP="00A87A4A">
      <w:pPr>
        <w:tabs>
          <w:tab w:val="right" w:leader="dot" w:pos="9360"/>
        </w:tabs>
        <w:rPr>
          <w:rFonts w:cs="Times New Roman"/>
          <w:color w:val="000000" w:themeColor="text1"/>
        </w:rPr>
      </w:pPr>
      <w:r w:rsidRPr="00D05611">
        <w:rPr>
          <w:rFonts w:cs="Times New Roman"/>
          <w:color w:val="000000" w:themeColor="text1"/>
        </w:rPr>
        <w:t xml:space="preserve">Figure II-S9. Alignment of </w:t>
      </w:r>
      <w:r w:rsidRPr="00262E00">
        <w:rPr>
          <w:rFonts w:cs="Times New Roman"/>
          <w:i/>
          <w:iCs/>
          <w:color w:val="000000" w:themeColor="text1"/>
        </w:rPr>
        <w:t>de novo</w:t>
      </w:r>
      <w:r w:rsidRPr="00D05611">
        <w:rPr>
          <w:rFonts w:cs="Times New Roman"/>
          <w:color w:val="000000" w:themeColor="text1"/>
        </w:rPr>
        <w:t xml:space="preserve"> gene Potri.005G222100 against its non-coding syntenic regions</w:t>
      </w:r>
      <w:r w:rsidRPr="00D05611">
        <w:rPr>
          <w:rFonts w:cs="Times New Roman"/>
          <w:color w:val="000000" w:themeColor="text1"/>
        </w:rPr>
        <w:tab/>
        <w:t>5</w:t>
      </w:r>
      <w:r>
        <w:rPr>
          <w:rFonts w:cs="Times New Roman"/>
          <w:color w:val="000000" w:themeColor="text1"/>
        </w:rPr>
        <w:t>9</w:t>
      </w:r>
    </w:p>
    <w:p w14:paraId="7B75DA05" w14:textId="77777777" w:rsidR="00A87A4A" w:rsidRPr="00D05611" w:rsidRDefault="00A87A4A" w:rsidP="00A87A4A">
      <w:pPr>
        <w:tabs>
          <w:tab w:val="right" w:leader="dot" w:pos="9360"/>
        </w:tabs>
        <w:rPr>
          <w:rFonts w:cs="Times New Roman"/>
          <w:color w:val="000000" w:themeColor="text1"/>
        </w:rPr>
      </w:pPr>
      <w:r w:rsidRPr="00D05611">
        <w:rPr>
          <w:rFonts w:cs="Times New Roman"/>
          <w:color w:val="000000" w:themeColor="text1"/>
        </w:rPr>
        <w:t xml:space="preserve">Figure II-S10. Alignment of </w:t>
      </w:r>
      <w:r w:rsidRPr="00262E00">
        <w:rPr>
          <w:rFonts w:cs="Times New Roman"/>
          <w:i/>
          <w:iCs/>
          <w:color w:val="000000" w:themeColor="text1"/>
        </w:rPr>
        <w:t>de novo</w:t>
      </w:r>
      <w:r w:rsidRPr="00D05611">
        <w:rPr>
          <w:rFonts w:cs="Times New Roman"/>
          <w:color w:val="000000" w:themeColor="text1"/>
        </w:rPr>
        <w:t xml:space="preserve"> gene Potri.007G051750 against its non-coding syntenic regions</w:t>
      </w:r>
      <w:r w:rsidRPr="00D05611">
        <w:rPr>
          <w:rFonts w:cs="Times New Roman"/>
          <w:color w:val="000000" w:themeColor="text1"/>
        </w:rPr>
        <w:tab/>
      </w:r>
      <w:r>
        <w:rPr>
          <w:rFonts w:cs="Times New Roman"/>
          <w:color w:val="000000" w:themeColor="text1"/>
        </w:rPr>
        <w:t>60</w:t>
      </w:r>
    </w:p>
    <w:p w14:paraId="7339E98D" w14:textId="77777777" w:rsidR="00A87A4A" w:rsidRPr="00D05611" w:rsidRDefault="00A87A4A" w:rsidP="00A87A4A">
      <w:pPr>
        <w:tabs>
          <w:tab w:val="right" w:leader="dot" w:pos="9360"/>
        </w:tabs>
        <w:rPr>
          <w:rFonts w:cs="Times New Roman"/>
          <w:color w:val="000000" w:themeColor="text1"/>
        </w:rPr>
      </w:pPr>
      <w:r w:rsidRPr="00D05611">
        <w:rPr>
          <w:rFonts w:cs="Times New Roman"/>
          <w:color w:val="000000" w:themeColor="text1"/>
        </w:rPr>
        <w:t xml:space="preserve">Figure II-S11. Alignment of </w:t>
      </w:r>
      <w:r w:rsidRPr="00262E00">
        <w:rPr>
          <w:rFonts w:cs="Times New Roman"/>
          <w:i/>
          <w:iCs/>
          <w:color w:val="000000" w:themeColor="text1"/>
        </w:rPr>
        <w:t>de novo</w:t>
      </w:r>
      <w:r w:rsidRPr="00D05611">
        <w:rPr>
          <w:rFonts w:cs="Times New Roman"/>
          <w:color w:val="000000" w:themeColor="text1"/>
        </w:rPr>
        <w:t xml:space="preserve"> gene Potri.009G089450 against its non-coding syntenic regions</w:t>
      </w:r>
      <w:r w:rsidRPr="00D05611">
        <w:rPr>
          <w:rFonts w:cs="Times New Roman"/>
          <w:color w:val="000000" w:themeColor="text1"/>
        </w:rPr>
        <w:tab/>
        <w:t>6</w:t>
      </w:r>
      <w:r>
        <w:rPr>
          <w:rFonts w:cs="Times New Roman"/>
          <w:color w:val="000000" w:themeColor="text1"/>
        </w:rPr>
        <w:t>1</w:t>
      </w:r>
    </w:p>
    <w:p w14:paraId="0FC1AA41" w14:textId="77777777" w:rsidR="00A87A4A" w:rsidRPr="00D05611" w:rsidRDefault="00A87A4A" w:rsidP="00A87A4A">
      <w:pPr>
        <w:tabs>
          <w:tab w:val="right" w:leader="dot" w:pos="9360"/>
        </w:tabs>
        <w:rPr>
          <w:rFonts w:cs="Times New Roman"/>
          <w:color w:val="000000" w:themeColor="text1"/>
        </w:rPr>
      </w:pPr>
      <w:r w:rsidRPr="00D05611">
        <w:rPr>
          <w:rFonts w:cs="Times New Roman"/>
          <w:color w:val="000000" w:themeColor="text1"/>
        </w:rPr>
        <w:t xml:space="preserve">Figure II-S12. Alignment of </w:t>
      </w:r>
      <w:r w:rsidRPr="00262E00">
        <w:rPr>
          <w:rFonts w:cs="Times New Roman"/>
          <w:i/>
          <w:iCs/>
          <w:color w:val="000000" w:themeColor="text1"/>
        </w:rPr>
        <w:t>de novo</w:t>
      </w:r>
      <w:r w:rsidRPr="00D05611">
        <w:rPr>
          <w:rFonts w:cs="Times New Roman"/>
          <w:color w:val="000000" w:themeColor="text1"/>
        </w:rPr>
        <w:t xml:space="preserve"> gene Potri.009G129850 against its non-coding syntenic regions</w:t>
      </w:r>
      <w:r w:rsidRPr="00D05611">
        <w:rPr>
          <w:rFonts w:cs="Times New Roman"/>
          <w:color w:val="000000" w:themeColor="text1"/>
        </w:rPr>
        <w:tab/>
        <w:t>6</w:t>
      </w:r>
      <w:r>
        <w:rPr>
          <w:rFonts w:cs="Times New Roman"/>
          <w:color w:val="000000" w:themeColor="text1"/>
        </w:rPr>
        <w:t>1</w:t>
      </w:r>
    </w:p>
    <w:p w14:paraId="13AD45F9" w14:textId="77777777" w:rsidR="00A87A4A" w:rsidRPr="00D05611" w:rsidRDefault="00A87A4A" w:rsidP="00A87A4A">
      <w:pPr>
        <w:tabs>
          <w:tab w:val="right" w:leader="dot" w:pos="9360"/>
        </w:tabs>
        <w:rPr>
          <w:rFonts w:cs="Times New Roman"/>
          <w:color w:val="000000" w:themeColor="text1"/>
        </w:rPr>
      </w:pPr>
      <w:r w:rsidRPr="00D05611">
        <w:rPr>
          <w:rFonts w:cs="Times New Roman"/>
          <w:color w:val="000000" w:themeColor="text1"/>
        </w:rPr>
        <w:t xml:space="preserve">Figure II-S13. Alignment of </w:t>
      </w:r>
      <w:r w:rsidRPr="00262E00">
        <w:rPr>
          <w:rFonts w:cs="Times New Roman"/>
          <w:i/>
          <w:iCs/>
          <w:color w:val="000000" w:themeColor="text1"/>
        </w:rPr>
        <w:t>de novo</w:t>
      </w:r>
      <w:r w:rsidRPr="00D05611">
        <w:rPr>
          <w:rFonts w:cs="Times New Roman"/>
          <w:color w:val="000000" w:themeColor="text1"/>
        </w:rPr>
        <w:t xml:space="preserve"> gene Potri.010G164000 against its non-coding syntenic regions</w:t>
      </w:r>
      <w:r w:rsidRPr="00D05611">
        <w:rPr>
          <w:rFonts w:cs="Times New Roman"/>
          <w:color w:val="000000" w:themeColor="text1"/>
        </w:rPr>
        <w:tab/>
        <w:t>6</w:t>
      </w:r>
      <w:r>
        <w:rPr>
          <w:rFonts w:cs="Times New Roman"/>
          <w:color w:val="000000" w:themeColor="text1"/>
        </w:rPr>
        <w:t>2</w:t>
      </w:r>
    </w:p>
    <w:p w14:paraId="79622A6F" w14:textId="77777777" w:rsidR="00A87A4A" w:rsidRPr="00D05611" w:rsidRDefault="00A87A4A" w:rsidP="00A87A4A">
      <w:pPr>
        <w:tabs>
          <w:tab w:val="right" w:leader="dot" w:pos="9360"/>
        </w:tabs>
        <w:rPr>
          <w:rFonts w:cs="Times New Roman"/>
          <w:color w:val="000000" w:themeColor="text1"/>
        </w:rPr>
      </w:pPr>
      <w:r w:rsidRPr="00D05611">
        <w:rPr>
          <w:rFonts w:cs="Times New Roman"/>
          <w:color w:val="000000" w:themeColor="text1"/>
        </w:rPr>
        <w:t xml:space="preserve">Figure II-S14. Alignment of </w:t>
      </w:r>
      <w:r w:rsidRPr="00262E00">
        <w:rPr>
          <w:rFonts w:cs="Times New Roman"/>
          <w:i/>
          <w:iCs/>
          <w:color w:val="000000" w:themeColor="text1"/>
        </w:rPr>
        <w:t>de novo</w:t>
      </w:r>
      <w:r w:rsidRPr="00D05611">
        <w:rPr>
          <w:rFonts w:cs="Times New Roman"/>
          <w:color w:val="000000" w:themeColor="text1"/>
        </w:rPr>
        <w:t xml:space="preserve"> gene Potri.010G241900 against its non-coding syntenic regions </w:t>
      </w:r>
      <w:r w:rsidRPr="00D05611">
        <w:rPr>
          <w:rFonts w:cs="Times New Roman"/>
          <w:color w:val="000000" w:themeColor="text1"/>
        </w:rPr>
        <w:tab/>
        <w:t>6</w:t>
      </w:r>
      <w:r>
        <w:rPr>
          <w:rFonts w:cs="Times New Roman"/>
          <w:color w:val="000000" w:themeColor="text1"/>
        </w:rPr>
        <w:t>3</w:t>
      </w:r>
    </w:p>
    <w:p w14:paraId="4602E161" w14:textId="77777777" w:rsidR="00A87A4A" w:rsidRPr="00D05611" w:rsidRDefault="00A87A4A" w:rsidP="00A87A4A">
      <w:pPr>
        <w:tabs>
          <w:tab w:val="right" w:leader="dot" w:pos="9360"/>
        </w:tabs>
        <w:rPr>
          <w:rFonts w:cs="Times New Roman"/>
          <w:color w:val="000000" w:themeColor="text1"/>
        </w:rPr>
      </w:pPr>
      <w:r w:rsidRPr="00D05611">
        <w:rPr>
          <w:rFonts w:cs="Times New Roman"/>
          <w:color w:val="000000" w:themeColor="text1"/>
        </w:rPr>
        <w:t>Figure II-S15. Tissue specificity index (tau) comparison between non-orphan and orphan genes</w:t>
      </w:r>
      <w:r w:rsidRPr="00D05611">
        <w:rPr>
          <w:rFonts w:cs="Times New Roman"/>
          <w:color w:val="000000" w:themeColor="text1"/>
        </w:rPr>
        <w:tab/>
        <w:t>6</w:t>
      </w:r>
      <w:r>
        <w:rPr>
          <w:rFonts w:cs="Times New Roman"/>
          <w:color w:val="000000" w:themeColor="text1"/>
        </w:rPr>
        <w:t>3</w:t>
      </w:r>
    </w:p>
    <w:p w14:paraId="778D2638" w14:textId="77777777" w:rsidR="00A87A4A" w:rsidRPr="00D05611" w:rsidRDefault="00A87A4A" w:rsidP="00A87A4A">
      <w:pPr>
        <w:tabs>
          <w:tab w:val="right" w:leader="dot" w:pos="9360"/>
        </w:tabs>
        <w:rPr>
          <w:rFonts w:cs="Times New Roman"/>
          <w:color w:val="000000" w:themeColor="text1"/>
        </w:rPr>
      </w:pPr>
      <w:r w:rsidRPr="00D05611">
        <w:rPr>
          <w:rFonts w:cs="Times New Roman"/>
          <w:color w:val="000000" w:themeColor="text1"/>
        </w:rPr>
        <w:t>Figure II-S16. Non-orphan gene and orphan gene expression across five data sets</w:t>
      </w:r>
      <w:r w:rsidRPr="00D05611">
        <w:rPr>
          <w:rFonts w:cs="Times New Roman"/>
          <w:color w:val="000000" w:themeColor="text1"/>
        </w:rPr>
        <w:tab/>
        <w:t>6</w:t>
      </w:r>
      <w:r>
        <w:rPr>
          <w:rFonts w:cs="Times New Roman"/>
          <w:color w:val="000000" w:themeColor="text1"/>
        </w:rPr>
        <w:t>4</w:t>
      </w:r>
    </w:p>
    <w:p w14:paraId="7D002654" w14:textId="77777777" w:rsidR="00A87A4A" w:rsidRPr="00D05611" w:rsidRDefault="00A87A4A" w:rsidP="00A87A4A">
      <w:pPr>
        <w:tabs>
          <w:tab w:val="right" w:leader="dot" w:pos="9360"/>
        </w:tabs>
        <w:rPr>
          <w:rFonts w:cs="Times New Roman"/>
          <w:color w:val="000000" w:themeColor="text1"/>
        </w:rPr>
      </w:pPr>
      <w:r w:rsidRPr="00D05611">
        <w:rPr>
          <w:rFonts w:cs="Times New Roman"/>
          <w:color w:val="000000" w:themeColor="text1"/>
        </w:rPr>
        <w:t xml:space="preserve">Figure II-S17. Percentage and count of orphan genes by </w:t>
      </w:r>
      <w:proofErr w:type="spellStart"/>
      <w:r w:rsidRPr="00D05611">
        <w:rPr>
          <w:rFonts w:cs="Times New Roman"/>
          <w:color w:val="000000" w:themeColor="text1"/>
        </w:rPr>
        <w:t>eQTL</w:t>
      </w:r>
      <w:proofErr w:type="spellEnd"/>
      <w:r w:rsidRPr="00D05611">
        <w:rPr>
          <w:rFonts w:cs="Times New Roman"/>
          <w:color w:val="000000" w:themeColor="text1"/>
        </w:rPr>
        <w:t xml:space="preserve"> category</w:t>
      </w:r>
      <w:r w:rsidRPr="00D05611">
        <w:rPr>
          <w:rFonts w:cs="Times New Roman"/>
          <w:color w:val="000000" w:themeColor="text1"/>
        </w:rPr>
        <w:tab/>
        <w:t>6</w:t>
      </w:r>
      <w:r>
        <w:rPr>
          <w:rFonts w:cs="Times New Roman"/>
          <w:color w:val="000000" w:themeColor="text1"/>
        </w:rPr>
        <w:t>5</w:t>
      </w:r>
    </w:p>
    <w:p w14:paraId="09CB6B9D" w14:textId="77777777" w:rsidR="00A87A4A" w:rsidRPr="00D05611" w:rsidRDefault="00A87A4A" w:rsidP="00A87A4A">
      <w:pPr>
        <w:tabs>
          <w:tab w:val="right" w:leader="dot" w:pos="9360"/>
        </w:tabs>
        <w:rPr>
          <w:rFonts w:cs="Times New Roman"/>
          <w:color w:val="000000" w:themeColor="text1"/>
        </w:rPr>
      </w:pPr>
      <w:r w:rsidRPr="00D05611">
        <w:rPr>
          <w:rFonts w:cs="Times New Roman"/>
          <w:color w:val="000000" w:themeColor="text1"/>
        </w:rPr>
        <w:t xml:space="preserve">Figure II-S18. Comparative functional analysis of genes in </w:t>
      </w:r>
      <w:r w:rsidRPr="00F71556">
        <w:rPr>
          <w:rFonts w:cs="Times New Roman"/>
          <w:i/>
          <w:iCs/>
          <w:color w:val="000000" w:themeColor="text1"/>
        </w:rPr>
        <w:t>trans</w:t>
      </w:r>
      <w:r w:rsidRPr="00D05611">
        <w:rPr>
          <w:rFonts w:cs="Times New Roman"/>
          <w:color w:val="000000" w:themeColor="text1"/>
        </w:rPr>
        <w:t>-</w:t>
      </w:r>
      <w:proofErr w:type="spellStart"/>
      <w:r w:rsidRPr="00D05611">
        <w:rPr>
          <w:rFonts w:cs="Times New Roman"/>
          <w:color w:val="000000" w:themeColor="text1"/>
        </w:rPr>
        <w:t>eQTL</w:t>
      </w:r>
      <w:proofErr w:type="spellEnd"/>
      <w:r w:rsidRPr="00D05611">
        <w:rPr>
          <w:rFonts w:cs="Times New Roman"/>
          <w:color w:val="000000" w:themeColor="text1"/>
        </w:rPr>
        <w:t xml:space="preserve"> intervals in xylem and leaf based on the BP GO ontology</w:t>
      </w:r>
      <w:r w:rsidRPr="00D05611">
        <w:rPr>
          <w:rFonts w:cs="Times New Roman"/>
          <w:color w:val="000000" w:themeColor="text1"/>
        </w:rPr>
        <w:tab/>
        <w:t>6</w:t>
      </w:r>
      <w:r>
        <w:rPr>
          <w:rFonts w:cs="Times New Roman"/>
          <w:color w:val="000000" w:themeColor="text1"/>
        </w:rPr>
        <w:t>6</w:t>
      </w:r>
    </w:p>
    <w:p w14:paraId="5BEC2CB1" w14:textId="77777777" w:rsidR="00A87A4A" w:rsidRPr="00D05611" w:rsidRDefault="00A87A4A" w:rsidP="00A87A4A">
      <w:pPr>
        <w:tabs>
          <w:tab w:val="right" w:leader="dot" w:pos="9360"/>
        </w:tabs>
        <w:rPr>
          <w:rFonts w:cs="Times New Roman"/>
          <w:color w:val="000000" w:themeColor="text1"/>
        </w:rPr>
      </w:pPr>
      <w:r w:rsidRPr="00D05611">
        <w:rPr>
          <w:rFonts w:cs="Times New Roman"/>
          <w:color w:val="000000" w:themeColor="text1"/>
        </w:rPr>
        <w:t xml:space="preserve">Figure II-S19. Comparative functional analysis of genes in </w:t>
      </w:r>
      <w:r w:rsidRPr="00F71556">
        <w:rPr>
          <w:rFonts w:cs="Times New Roman"/>
          <w:i/>
          <w:iCs/>
          <w:color w:val="000000" w:themeColor="text1"/>
        </w:rPr>
        <w:t>trans</w:t>
      </w:r>
      <w:r w:rsidRPr="00D05611">
        <w:rPr>
          <w:rFonts w:cs="Times New Roman"/>
          <w:color w:val="000000" w:themeColor="text1"/>
        </w:rPr>
        <w:t>-</w:t>
      </w:r>
      <w:proofErr w:type="spellStart"/>
      <w:r w:rsidRPr="00D05611">
        <w:rPr>
          <w:rFonts w:cs="Times New Roman"/>
          <w:color w:val="000000" w:themeColor="text1"/>
        </w:rPr>
        <w:t>eQTL</w:t>
      </w:r>
      <w:proofErr w:type="spellEnd"/>
      <w:r w:rsidRPr="00D05611">
        <w:rPr>
          <w:rFonts w:cs="Times New Roman"/>
          <w:color w:val="000000" w:themeColor="text1"/>
        </w:rPr>
        <w:t xml:space="preserve"> intervals in xylem and leaf based on the MF GO ontology</w:t>
      </w:r>
      <w:r w:rsidRPr="00D05611">
        <w:rPr>
          <w:rFonts w:cs="Times New Roman"/>
          <w:color w:val="000000" w:themeColor="text1"/>
        </w:rPr>
        <w:tab/>
        <w:t>6</w:t>
      </w:r>
      <w:r>
        <w:rPr>
          <w:rFonts w:cs="Times New Roman"/>
          <w:color w:val="000000" w:themeColor="text1"/>
        </w:rPr>
        <w:t>7</w:t>
      </w:r>
    </w:p>
    <w:p w14:paraId="0E7B6728" w14:textId="77777777" w:rsidR="00A87A4A" w:rsidRPr="00D05611" w:rsidRDefault="00A87A4A" w:rsidP="00A87A4A">
      <w:pPr>
        <w:tabs>
          <w:tab w:val="right" w:leader="dot" w:pos="9360"/>
        </w:tabs>
        <w:rPr>
          <w:rFonts w:cs="Times New Roman"/>
          <w:color w:val="000000" w:themeColor="text1"/>
        </w:rPr>
      </w:pPr>
      <w:r w:rsidRPr="00D05611">
        <w:rPr>
          <w:rFonts w:cs="Times New Roman"/>
          <w:color w:val="000000" w:themeColor="text1"/>
        </w:rPr>
        <w:lastRenderedPageBreak/>
        <w:t>Figure II-S20. Correlation of the proportion orphan genes in 1 Mb bins with nucleotide diversity</w:t>
      </w:r>
      <w:r w:rsidRPr="00D05611">
        <w:rPr>
          <w:rFonts w:cs="Times New Roman"/>
          <w:color w:val="000000" w:themeColor="text1"/>
        </w:rPr>
        <w:tab/>
        <w:t>6</w:t>
      </w:r>
      <w:r>
        <w:rPr>
          <w:rFonts w:cs="Times New Roman"/>
          <w:color w:val="000000" w:themeColor="text1"/>
        </w:rPr>
        <w:t>8</w:t>
      </w:r>
    </w:p>
    <w:p w14:paraId="2F312FBE" w14:textId="77777777" w:rsidR="00A87A4A" w:rsidRPr="00D05611" w:rsidRDefault="00A87A4A" w:rsidP="00A87A4A">
      <w:pPr>
        <w:tabs>
          <w:tab w:val="right" w:leader="dot" w:pos="9360"/>
        </w:tabs>
        <w:rPr>
          <w:rFonts w:cs="Times New Roman"/>
          <w:color w:val="000000" w:themeColor="text1"/>
        </w:rPr>
      </w:pPr>
      <w:r w:rsidRPr="00D05611">
        <w:rPr>
          <w:rFonts w:cs="Times New Roman"/>
          <w:color w:val="000000" w:themeColor="text1"/>
        </w:rPr>
        <w:t xml:space="preserve">Figure III-1. New organelle assemblies in </w:t>
      </w:r>
      <w:r w:rsidRPr="00262E00">
        <w:rPr>
          <w:rFonts w:cs="Times New Roman"/>
          <w:i/>
          <w:iCs/>
          <w:color w:val="000000" w:themeColor="text1"/>
        </w:rPr>
        <w:t xml:space="preserve">P. </w:t>
      </w:r>
      <w:proofErr w:type="spellStart"/>
      <w:r w:rsidRPr="00262E00">
        <w:rPr>
          <w:rFonts w:cs="Times New Roman"/>
          <w:i/>
          <w:iCs/>
          <w:color w:val="000000" w:themeColor="text1"/>
        </w:rPr>
        <w:t>trichocarpa</w:t>
      </w:r>
      <w:proofErr w:type="spellEnd"/>
      <w:r w:rsidRPr="00D05611">
        <w:rPr>
          <w:rFonts w:cs="Times New Roman"/>
          <w:color w:val="000000" w:themeColor="text1"/>
        </w:rPr>
        <w:t xml:space="preserve"> and </w:t>
      </w:r>
      <w:r w:rsidRPr="00262E00">
        <w:rPr>
          <w:rFonts w:cs="Times New Roman"/>
          <w:i/>
          <w:iCs/>
          <w:color w:val="000000" w:themeColor="text1"/>
        </w:rPr>
        <w:t xml:space="preserve">P. </w:t>
      </w:r>
      <w:proofErr w:type="spellStart"/>
      <w:r w:rsidRPr="00262E00">
        <w:rPr>
          <w:rFonts w:cs="Times New Roman"/>
          <w:i/>
          <w:iCs/>
          <w:color w:val="000000" w:themeColor="text1"/>
        </w:rPr>
        <w:t>deltoides</w:t>
      </w:r>
      <w:proofErr w:type="spellEnd"/>
      <w:r w:rsidRPr="00D05611">
        <w:rPr>
          <w:rFonts w:cs="Times New Roman"/>
          <w:color w:val="000000" w:themeColor="text1"/>
        </w:rPr>
        <w:t xml:space="preserve"> facilitate phylogenomic analysis with existing publicly available chloroplast and mitochondrial genomes</w:t>
      </w:r>
      <w:r w:rsidRPr="00D05611">
        <w:rPr>
          <w:rFonts w:cs="Times New Roman"/>
          <w:color w:val="000000" w:themeColor="text1"/>
        </w:rPr>
        <w:tab/>
        <w:t>9</w:t>
      </w:r>
      <w:r>
        <w:rPr>
          <w:rFonts w:cs="Times New Roman"/>
          <w:color w:val="000000" w:themeColor="text1"/>
        </w:rPr>
        <w:t>0</w:t>
      </w:r>
    </w:p>
    <w:p w14:paraId="0D014712" w14:textId="77777777" w:rsidR="00A87A4A" w:rsidRPr="00D05611" w:rsidRDefault="00A87A4A" w:rsidP="00A87A4A">
      <w:pPr>
        <w:tabs>
          <w:tab w:val="right" w:leader="dot" w:pos="9360"/>
        </w:tabs>
        <w:rPr>
          <w:rFonts w:cs="Times New Roman"/>
          <w:color w:val="000000" w:themeColor="text1"/>
        </w:rPr>
      </w:pPr>
      <w:r w:rsidRPr="00D05611">
        <w:rPr>
          <w:rFonts w:cs="Times New Roman"/>
          <w:color w:val="000000" w:themeColor="text1"/>
        </w:rPr>
        <w:t xml:space="preserve">Figure III-2. NUPT and NUMTs and organellar derived protein-coding genes are identified in the </w:t>
      </w:r>
      <w:r w:rsidRPr="00262E00">
        <w:rPr>
          <w:rFonts w:cs="Times New Roman"/>
          <w:i/>
          <w:iCs/>
          <w:color w:val="000000" w:themeColor="text1"/>
        </w:rPr>
        <w:t xml:space="preserve">P. </w:t>
      </w:r>
      <w:proofErr w:type="spellStart"/>
      <w:r w:rsidRPr="00262E00">
        <w:rPr>
          <w:rFonts w:cs="Times New Roman"/>
          <w:i/>
          <w:iCs/>
          <w:color w:val="000000" w:themeColor="text1"/>
        </w:rPr>
        <w:t>trichocarpa</w:t>
      </w:r>
      <w:proofErr w:type="spellEnd"/>
      <w:r w:rsidRPr="00D05611">
        <w:rPr>
          <w:rFonts w:cs="Times New Roman"/>
          <w:color w:val="000000" w:themeColor="text1"/>
        </w:rPr>
        <w:t xml:space="preserve"> and </w:t>
      </w:r>
      <w:r w:rsidRPr="00262E00">
        <w:rPr>
          <w:rFonts w:cs="Times New Roman"/>
          <w:i/>
          <w:iCs/>
          <w:color w:val="000000" w:themeColor="text1"/>
        </w:rPr>
        <w:t xml:space="preserve">P. </w:t>
      </w:r>
      <w:proofErr w:type="spellStart"/>
      <w:r w:rsidRPr="00262E00">
        <w:rPr>
          <w:rFonts w:cs="Times New Roman"/>
          <w:i/>
          <w:iCs/>
          <w:color w:val="000000" w:themeColor="text1"/>
        </w:rPr>
        <w:t>deltoides</w:t>
      </w:r>
      <w:proofErr w:type="spellEnd"/>
      <w:r w:rsidRPr="00D05611">
        <w:rPr>
          <w:rFonts w:cs="Times New Roman"/>
          <w:color w:val="000000" w:themeColor="text1"/>
        </w:rPr>
        <w:t xml:space="preserve"> nuclear genomes</w:t>
      </w:r>
      <w:r w:rsidRPr="00D05611">
        <w:rPr>
          <w:rFonts w:cs="Times New Roman"/>
          <w:color w:val="000000" w:themeColor="text1"/>
        </w:rPr>
        <w:tab/>
        <w:t>9</w:t>
      </w:r>
      <w:r>
        <w:rPr>
          <w:rFonts w:cs="Times New Roman"/>
          <w:color w:val="000000" w:themeColor="text1"/>
        </w:rPr>
        <w:t>1</w:t>
      </w:r>
    </w:p>
    <w:p w14:paraId="0510361D" w14:textId="77777777" w:rsidR="00A87A4A" w:rsidRPr="00D05611" w:rsidRDefault="00A87A4A" w:rsidP="00A87A4A">
      <w:pPr>
        <w:tabs>
          <w:tab w:val="right" w:leader="dot" w:pos="9360"/>
        </w:tabs>
        <w:rPr>
          <w:rFonts w:cs="Times New Roman"/>
          <w:color w:val="000000" w:themeColor="text1"/>
        </w:rPr>
      </w:pPr>
      <w:r w:rsidRPr="00D05611">
        <w:rPr>
          <w:rFonts w:cs="Times New Roman"/>
          <w:color w:val="000000" w:themeColor="text1"/>
        </w:rPr>
        <w:t xml:space="preserve">Figure III-3. NUPT and NUMT content varies between </w:t>
      </w:r>
      <w:r w:rsidRPr="00262E00">
        <w:rPr>
          <w:rFonts w:cs="Times New Roman"/>
          <w:i/>
          <w:iCs/>
          <w:color w:val="000000" w:themeColor="text1"/>
        </w:rPr>
        <w:t xml:space="preserve">P. </w:t>
      </w:r>
      <w:proofErr w:type="spellStart"/>
      <w:r w:rsidRPr="00262E00">
        <w:rPr>
          <w:rFonts w:cs="Times New Roman"/>
          <w:i/>
          <w:iCs/>
          <w:color w:val="000000" w:themeColor="text1"/>
        </w:rPr>
        <w:t>trichocarpa</w:t>
      </w:r>
      <w:proofErr w:type="spellEnd"/>
      <w:r w:rsidRPr="00D05611">
        <w:rPr>
          <w:rFonts w:cs="Times New Roman"/>
          <w:color w:val="000000" w:themeColor="text1"/>
        </w:rPr>
        <w:t xml:space="preserve"> and </w:t>
      </w:r>
      <w:r w:rsidRPr="00262E00">
        <w:rPr>
          <w:rFonts w:cs="Times New Roman"/>
          <w:i/>
          <w:iCs/>
          <w:color w:val="000000" w:themeColor="text1"/>
        </w:rPr>
        <w:t xml:space="preserve">P. </w:t>
      </w:r>
      <w:proofErr w:type="spellStart"/>
      <w:r w:rsidRPr="00262E00">
        <w:rPr>
          <w:rFonts w:cs="Times New Roman"/>
          <w:i/>
          <w:iCs/>
          <w:color w:val="000000" w:themeColor="text1"/>
        </w:rPr>
        <w:t>deltoides</w:t>
      </w:r>
      <w:proofErr w:type="spellEnd"/>
      <w:r w:rsidRPr="00D05611">
        <w:rPr>
          <w:rFonts w:cs="Times New Roman"/>
          <w:color w:val="000000" w:themeColor="text1"/>
        </w:rPr>
        <w:tab/>
        <w:t>9</w:t>
      </w:r>
      <w:r>
        <w:rPr>
          <w:rFonts w:cs="Times New Roman"/>
          <w:color w:val="000000" w:themeColor="text1"/>
        </w:rPr>
        <w:t>2</w:t>
      </w:r>
    </w:p>
    <w:p w14:paraId="59F8AF54" w14:textId="77777777" w:rsidR="00A87A4A" w:rsidRPr="00D05611" w:rsidRDefault="00A87A4A" w:rsidP="00A87A4A">
      <w:pPr>
        <w:tabs>
          <w:tab w:val="right" w:leader="dot" w:pos="9360"/>
        </w:tabs>
        <w:rPr>
          <w:rFonts w:cs="Times New Roman"/>
          <w:color w:val="000000" w:themeColor="text1"/>
        </w:rPr>
      </w:pPr>
      <w:r w:rsidRPr="00D05611">
        <w:rPr>
          <w:rFonts w:cs="Times New Roman"/>
          <w:color w:val="000000" w:themeColor="text1"/>
        </w:rPr>
        <w:t xml:space="preserve">Figure III-4. The </w:t>
      </w:r>
      <w:r w:rsidRPr="00262E00">
        <w:rPr>
          <w:rFonts w:cs="Times New Roman"/>
          <w:i/>
          <w:iCs/>
          <w:color w:val="000000" w:themeColor="text1"/>
        </w:rPr>
        <w:t xml:space="preserve">P. </w:t>
      </w:r>
      <w:proofErr w:type="spellStart"/>
      <w:r w:rsidRPr="00262E00">
        <w:rPr>
          <w:rFonts w:cs="Times New Roman"/>
          <w:i/>
          <w:iCs/>
          <w:color w:val="000000" w:themeColor="text1"/>
        </w:rPr>
        <w:t>trichocarpa</w:t>
      </w:r>
      <w:proofErr w:type="spellEnd"/>
      <w:r w:rsidRPr="00D05611">
        <w:rPr>
          <w:rFonts w:cs="Times New Roman"/>
          <w:color w:val="000000" w:themeColor="text1"/>
        </w:rPr>
        <w:t xml:space="preserve"> and </w:t>
      </w:r>
      <w:r w:rsidRPr="00262E00">
        <w:rPr>
          <w:rFonts w:cs="Times New Roman"/>
          <w:i/>
          <w:iCs/>
          <w:color w:val="000000" w:themeColor="text1"/>
        </w:rPr>
        <w:t xml:space="preserve">P. </w:t>
      </w:r>
      <w:proofErr w:type="spellStart"/>
      <w:r w:rsidRPr="00262E00">
        <w:rPr>
          <w:rFonts w:cs="Times New Roman"/>
          <w:i/>
          <w:iCs/>
          <w:color w:val="000000" w:themeColor="text1"/>
        </w:rPr>
        <w:t>deltoides</w:t>
      </w:r>
      <w:proofErr w:type="spellEnd"/>
      <w:r w:rsidRPr="00D05611">
        <w:rPr>
          <w:rFonts w:cs="Times New Roman"/>
          <w:color w:val="000000" w:themeColor="text1"/>
        </w:rPr>
        <w:t xml:space="preserve"> whole chloroplast integration events</w:t>
      </w:r>
      <w:r w:rsidRPr="00D05611">
        <w:rPr>
          <w:rFonts w:cs="Times New Roman"/>
          <w:color w:val="000000" w:themeColor="text1"/>
        </w:rPr>
        <w:tab/>
        <w:t>9</w:t>
      </w:r>
      <w:r>
        <w:rPr>
          <w:rFonts w:cs="Times New Roman"/>
          <w:color w:val="000000" w:themeColor="text1"/>
        </w:rPr>
        <w:t>3</w:t>
      </w:r>
    </w:p>
    <w:p w14:paraId="346B1D95" w14:textId="77777777" w:rsidR="00A87A4A" w:rsidRPr="00D05611" w:rsidRDefault="00A87A4A" w:rsidP="00A87A4A">
      <w:pPr>
        <w:tabs>
          <w:tab w:val="right" w:leader="dot" w:pos="9360"/>
        </w:tabs>
        <w:rPr>
          <w:rFonts w:cs="Times New Roman"/>
          <w:color w:val="000000" w:themeColor="text1"/>
        </w:rPr>
      </w:pPr>
      <w:r w:rsidRPr="00D05611">
        <w:rPr>
          <w:rFonts w:cs="Times New Roman"/>
          <w:color w:val="000000" w:themeColor="text1"/>
        </w:rPr>
        <w:t xml:space="preserve">Figure III-S1. </w:t>
      </w:r>
      <w:r w:rsidRPr="00262E00">
        <w:rPr>
          <w:rFonts w:cs="Times New Roman"/>
          <w:i/>
          <w:iCs/>
          <w:color w:val="000000" w:themeColor="text1"/>
        </w:rPr>
        <w:t xml:space="preserve">P. </w:t>
      </w:r>
      <w:proofErr w:type="spellStart"/>
      <w:r w:rsidRPr="00262E00">
        <w:rPr>
          <w:rFonts w:cs="Times New Roman"/>
          <w:i/>
          <w:iCs/>
          <w:color w:val="000000" w:themeColor="text1"/>
        </w:rPr>
        <w:t>trichocarpa</w:t>
      </w:r>
      <w:proofErr w:type="spellEnd"/>
      <w:r w:rsidRPr="00D05611">
        <w:rPr>
          <w:rFonts w:cs="Times New Roman"/>
          <w:color w:val="000000" w:themeColor="text1"/>
        </w:rPr>
        <w:t xml:space="preserve"> Nisqually-1 mitogenome assembly</w:t>
      </w:r>
      <w:r w:rsidRPr="00D05611">
        <w:rPr>
          <w:rFonts w:cs="Times New Roman"/>
          <w:color w:val="000000" w:themeColor="text1"/>
        </w:rPr>
        <w:tab/>
        <w:t>9</w:t>
      </w:r>
      <w:r>
        <w:rPr>
          <w:rFonts w:cs="Times New Roman"/>
          <w:color w:val="000000" w:themeColor="text1"/>
        </w:rPr>
        <w:t>4</w:t>
      </w:r>
    </w:p>
    <w:p w14:paraId="0C5A9E78" w14:textId="77777777" w:rsidR="00A87A4A" w:rsidRPr="00D05611" w:rsidRDefault="00A87A4A" w:rsidP="00A87A4A">
      <w:pPr>
        <w:tabs>
          <w:tab w:val="right" w:leader="dot" w:pos="9360"/>
        </w:tabs>
        <w:rPr>
          <w:rFonts w:cs="Times New Roman"/>
          <w:color w:val="000000" w:themeColor="text1"/>
        </w:rPr>
      </w:pPr>
      <w:r w:rsidRPr="00D05611">
        <w:rPr>
          <w:rFonts w:cs="Times New Roman"/>
          <w:color w:val="000000" w:themeColor="text1"/>
        </w:rPr>
        <w:t xml:space="preserve">Figure III-S2. </w:t>
      </w:r>
      <w:r w:rsidRPr="00262E00">
        <w:rPr>
          <w:rFonts w:cs="Times New Roman"/>
          <w:i/>
          <w:iCs/>
          <w:color w:val="000000" w:themeColor="text1"/>
        </w:rPr>
        <w:t xml:space="preserve">P. </w:t>
      </w:r>
      <w:proofErr w:type="spellStart"/>
      <w:r w:rsidRPr="00262E00">
        <w:rPr>
          <w:rFonts w:cs="Times New Roman"/>
          <w:i/>
          <w:iCs/>
          <w:color w:val="000000" w:themeColor="text1"/>
        </w:rPr>
        <w:t>deltoides</w:t>
      </w:r>
      <w:proofErr w:type="spellEnd"/>
      <w:r w:rsidRPr="00D05611">
        <w:rPr>
          <w:rFonts w:cs="Times New Roman"/>
          <w:color w:val="000000" w:themeColor="text1"/>
        </w:rPr>
        <w:t xml:space="preserve"> WV94 mitogenome assembly</w:t>
      </w:r>
      <w:r w:rsidRPr="00D05611">
        <w:rPr>
          <w:rFonts w:cs="Times New Roman"/>
          <w:color w:val="000000" w:themeColor="text1"/>
        </w:rPr>
        <w:tab/>
        <w:t>9</w:t>
      </w:r>
      <w:r>
        <w:rPr>
          <w:rFonts w:cs="Times New Roman"/>
          <w:color w:val="000000" w:themeColor="text1"/>
        </w:rPr>
        <w:t>5</w:t>
      </w:r>
    </w:p>
    <w:p w14:paraId="0B7E240F" w14:textId="77777777" w:rsidR="00A87A4A" w:rsidRPr="00D05611" w:rsidRDefault="00A87A4A" w:rsidP="00A87A4A">
      <w:pPr>
        <w:tabs>
          <w:tab w:val="right" w:leader="dot" w:pos="9360"/>
        </w:tabs>
        <w:rPr>
          <w:rFonts w:cs="Times New Roman"/>
          <w:color w:val="000000" w:themeColor="text1"/>
        </w:rPr>
      </w:pPr>
      <w:r w:rsidRPr="00D05611">
        <w:rPr>
          <w:rFonts w:cs="Times New Roman"/>
          <w:color w:val="000000" w:themeColor="text1"/>
        </w:rPr>
        <w:t xml:space="preserve">Figure III-S3. Methylation frequency of a large 336 kb possible </w:t>
      </w:r>
      <w:proofErr w:type="spellStart"/>
      <w:r w:rsidRPr="00D05611">
        <w:rPr>
          <w:rFonts w:cs="Times New Roman"/>
          <w:color w:val="000000" w:themeColor="text1"/>
        </w:rPr>
        <w:t>misassembly</w:t>
      </w:r>
      <w:proofErr w:type="spellEnd"/>
      <w:r w:rsidRPr="00D05611">
        <w:rPr>
          <w:rFonts w:cs="Times New Roman"/>
          <w:color w:val="000000" w:themeColor="text1"/>
        </w:rPr>
        <w:t xml:space="preserve"> in </w:t>
      </w:r>
      <w:r w:rsidRPr="00262E00">
        <w:rPr>
          <w:rFonts w:cs="Times New Roman"/>
          <w:i/>
          <w:iCs/>
          <w:color w:val="000000" w:themeColor="text1"/>
        </w:rPr>
        <w:t xml:space="preserve">P. </w:t>
      </w:r>
      <w:proofErr w:type="spellStart"/>
      <w:r w:rsidRPr="00262E00">
        <w:rPr>
          <w:rFonts w:cs="Times New Roman"/>
          <w:i/>
          <w:iCs/>
          <w:color w:val="000000" w:themeColor="text1"/>
        </w:rPr>
        <w:t>deltoides</w:t>
      </w:r>
      <w:proofErr w:type="spellEnd"/>
      <w:r w:rsidRPr="00D05611">
        <w:rPr>
          <w:rFonts w:cs="Times New Roman"/>
          <w:color w:val="000000" w:themeColor="text1"/>
        </w:rPr>
        <w:tab/>
        <w:t>9</w:t>
      </w:r>
      <w:r>
        <w:rPr>
          <w:rFonts w:cs="Times New Roman"/>
          <w:color w:val="000000" w:themeColor="text1"/>
        </w:rPr>
        <w:t>6</w:t>
      </w:r>
    </w:p>
    <w:p w14:paraId="013A0B5A" w14:textId="77777777" w:rsidR="00A87A4A" w:rsidRPr="00D05611" w:rsidRDefault="00A87A4A" w:rsidP="00A87A4A">
      <w:pPr>
        <w:tabs>
          <w:tab w:val="right" w:leader="dot" w:pos="9360"/>
        </w:tabs>
        <w:rPr>
          <w:rFonts w:cs="Times New Roman"/>
          <w:color w:val="000000" w:themeColor="text1"/>
        </w:rPr>
      </w:pPr>
      <w:r w:rsidRPr="00D05611">
        <w:rPr>
          <w:rFonts w:cs="Times New Roman"/>
          <w:color w:val="000000" w:themeColor="text1"/>
        </w:rPr>
        <w:t xml:space="preserve">Figure III-S4. Methylation frequency of scaffold_22 in </w:t>
      </w:r>
      <w:r w:rsidRPr="00262E00">
        <w:rPr>
          <w:rFonts w:cs="Times New Roman"/>
          <w:i/>
          <w:iCs/>
          <w:color w:val="000000" w:themeColor="text1"/>
        </w:rPr>
        <w:t xml:space="preserve">P. </w:t>
      </w:r>
      <w:proofErr w:type="spellStart"/>
      <w:r w:rsidRPr="00262E00">
        <w:rPr>
          <w:rFonts w:cs="Times New Roman"/>
          <w:i/>
          <w:iCs/>
          <w:color w:val="000000" w:themeColor="text1"/>
        </w:rPr>
        <w:t>deltoides</w:t>
      </w:r>
      <w:proofErr w:type="spellEnd"/>
      <w:r w:rsidRPr="00D05611">
        <w:rPr>
          <w:rFonts w:cs="Times New Roman"/>
          <w:color w:val="000000" w:themeColor="text1"/>
        </w:rPr>
        <w:tab/>
      </w:r>
      <w:r>
        <w:rPr>
          <w:rFonts w:cs="Times New Roman"/>
          <w:color w:val="000000" w:themeColor="text1"/>
        </w:rPr>
        <w:t>97</w:t>
      </w:r>
    </w:p>
    <w:p w14:paraId="2AD21C24" w14:textId="77777777" w:rsidR="00A87A4A" w:rsidRPr="00D05611" w:rsidRDefault="00A87A4A" w:rsidP="00A87A4A">
      <w:pPr>
        <w:tabs>
          <w:tab w:val="right" w:leader="dot" w:pos="9360"/>
        </w:tabs>
        <w:rPr>
          <w:rFonts w:cs="Times New Roman"/>
          <w:color w:val="000000" w:themeColor="text1"/>
        </w:rPr>
      </w:pPr>
      <w:r w:rsidRPr="00D05611">
        <w:rPr>
          <w:rFonts w:cs="Times New Roman"/>
          <w:color w:val="000000" w:themeColor="text1"/>
        </w:rPr>
        <w:t xml:space="preserve">Figure III-S5. Methylation frequency of </w:t>
      </w:r>
      <w:r w:rsidRPr="00262E00">
        <w:rPr>
          <w:rFonts w:cs="Times New Roman"/>
          <w:i/>
          <w:iCs/>
          <w:color w:val="000000" w:themeColor="text1"/>
        </w:rPr>
        <w:t xml:space="preserve">P. </w:t>
      </w:r>
      <w:proofErr w:type="spellStart"/>
      <w:r w:rsidRPr="00262E00">
        <w:rPr>
          <w:rFonts w:cs="Times New Roman"/>
          <w:i/>
          <w:iCs/>
          <w:color w:val="000000" w:themeColor="text1"/>
        </w:rPr>
        <w:t>trichocarpa</w:t>
      </w:r>
      <w:proofErr w:type="spellEnd"/>
      <w:r w:rsidRPr="00D05611">
        <w:rPr>
          <w:rFonts w:cs="Times New Roman"/>
          <w:color w:val="000000" w:themeColor="text1"/>
        </w:rPr>
        <w:t xml:space="preserve"> and </w:t>
      </w:r>
      <w:r w:rsidRPr="00262E00">
        <w:rPr>
          <w:rFonts w:cs="Times New Roman"/>
          <w:i/>
          <w:iCs/>
          <w:color w:val="000000" w:themeColor="text1"/>
        </w:rPr>
        <w:t xml:space="preserve">P. </w:t>
      </w:r>
      <w:proofErr w:type="spellStart"/>
      <w:r w:rsidRPr="00262E00">
        <w:rPr>
          <w:rFonts w:cs="Times New Roman"/>
          <w:i/>
          <w:iCs/>
          <w:color w:val="000000" w:themeColor="text1"/>
        </w:rPr>
        <w:t>del</w:t>
      </w:r>
      <w:r>
        <w:rPr>
          <w:rFonts w:cs="Times New Roman"/>
          <w:i/>
          <w:iCs/>
          <w:color w:val="000000" w:themeColor="text1"/>
        </w:rPr>
        <w:t>t</w:t>
      </w:r>
      <w:r w:rsidRPr="00262E00">
        <w:rPr>
          <w:rFonts w:cs="Times New Roman"/>
          <w:i/>
          <w:iCs/>
          <w:color w:val="000000" w:themeColor="text1"/>
        </w:rPr>
        <w:t>oides</w:t>
      </w:r>
      <w:proofErr w:type="spellEnd"/>
      <w:r w:rsidRPr="00D05611">
        <w:rPr>
          <w:rFonts w:cs="Times New Roman"/>
          <w:color w:val="000000" w:themeColor="text1"/>
        </w:rPr>
        <w:t xml:space="preserve"> NUPTs and NUMTs in present and absent contexts</w:t>
      </w:r>
      <w:r w:rsidRPr="00D05611">
        <w:rPr>
          <w:rFonts w:cs="Times New Roman"/>
          <w:color w:val="000000" w:themeColor="text1"/>
        </w:rPr>
        <w:tab/>
      </w:r>
      <w:r>
        <w:rPr>
          <w:rFonts w:cs="Times New Roman"/>
          <w:color w:val="000000" w:themeColor="text1"/>
        </w:rPr>
        <w:t>98</w:t>
      </w:r>
    </w:p>
    <w:p w14:paraId="598E5D81" w14:textId="77777777" w:rsidR="00A87A4A" w:rsidRPr="00D05611" w:rsidRDefault="00A87A4A" w:rsidP="00A87A4A">
      <w:pPr>
        <w:tabs>
          <w:tab w:val="right" w:leader="dot" w:pos="9360"/>
        </w:tabs>
        <w:rPr>
          <w:rFonts w:cs="Times New Roman"/>
          <w:color w:val="000000" w:themeColor="text1"/>
        </w:rPr>
      </w:pPr>
      <w:r w:rsidRPr="00D05611">
        <w:rPr>
          <w:rFonts w:cs="Times New Roman"/>
          <w:color w:val="000000" w:themeColor="text1"/>
        </w:rPr>
        <w:t xml:space="preserve">Figure III-S6. AT transversion-based genetic distance of </w:t>
      </w:r>
      <w:r w:rsidRPr="00262E00">
        <w:rPr>
          <w:rFonts w:cs="Times New Roman"/>
          <w:i/>
          <w:iCs/>
          <w:color w:val="000000" w:themeColor="text1"/>
        </w:rPr>
        <w:t xml:space="preserve">P. </w:t>
      </w:r>
      <w:proofErr w:type="spellStart"/>
      <w:r w:rsidRPr="00262E00">
        <w:rPr>
          <w:rFonts w:cs="Times New Roman"/>
          <w:i/>
          <w:iCs/>
          <w:color w:val="000000" w:themeColor="text1"/>
        </w:rPr>
        <w:t>trichocarpa</w:t>
      </w:r>
      <w:proofErr w:type="spellEnd"/>
      <w:r w:rsidRPr="00D05611">
        <w:rPr>
          <w:rFonts w:cs="Times New Roman"/>
          <w:color w:val="000000" w:themeColor="text1"/>
        </w:rPr>
        <w:t xml:space="preserve"> and </w:t>
      </w:r>
      <w:r w:rsidRPr="00262E00">
        <w:rPr>
          <w:rFonts w:cs="Times New Roman"/>
          <w:i/>
          <w:iCs/>
          <w:color w:val="000000" w:themeColor="text1"/>
        </w:rPr>
        <w:t xml:space="preserve">P. </w:t>
      </w:r>
      <w:proofErr w:type="spellStart"/>
      <w:r w:rsidRPr="00262E00">
        <w:rPr>
          <w:rFonts w:cs="Times New Roman"/>
          <w:i/>
          <w:iCs/>
          <w:color w:val="000000" w:themeColor="text1"/>
        </w:rPr>
        <w:t>deltoides</w:t>
      </w:r>
      <w:proofErr w:type="spellEnd"/>
      <w:r w:rsidRPr="00D05611">
        <w:rPr>
          <w:rFonts w:cs="Times New Roman"/>
          <w:color w:val="000000" w:themeColor="text1"/>
        </w:rPr>
        <w:t xml:space="preserve"> NUPTs and NUMTs in present and absent contexts</w:t>
      </w:r>
      <w:r w:rsidRPr="00D05611">
        <w:rPr>
          <w:rFonts w:cs="Times New Roman"/>
          <w:color w:val="000000" w:themeColor="text1"/>
        </w:rPr>
        <w:tab/>
      </w:r>
      <w:r>
        <w:rPr>
          <w:rFonts w:cs="Times New Roman"/>
          <w:color w:val="000000" w:themeColor="text1"/>
        </w:rPr>
        <w:t>99</w:t>
      </w:r>
    </w:p>
    <w:p w14:paraId="45A60DB2" w14:textId="77777777" w:rsidR="00A87A4A" w:rsidRPr="00D05611" w:rsidRDefault="00A87A4A" w:rsidP="00A87A4A">
      <w:pPr>
        <w:tabs>
          <w:tab w:val="right" w:leader="dot" w:pos="9360"/>
        </w:tabs>
        <w:rPr>
          <w:rFonts w:cs="Times New Roman"/>
          <w:color w:val="000000" w:themeColor="text1"/>
        </w:rPr>
      </w:pPr>
      <w:r w:rsidRPr="00D05611">
        <w:rPr>
          <w:rFonts w:cs="Times New Roman"/>
          <w:color w:val="000000" w:themeColor="text1"/>
        </w:rPr>
        <w:t xml:space="preserve">Figure III-S7. Methylation frequency in the </w:t>
      </w:r>
      <w:r w:rsidRPr="00262E00">
        <w:rPr>
          <w:rFonts w:cs="Times New Roman"/>
          <w:i/>
          <w:iCs/>
          <w:color w:val="000000" w:themeColor="text1"/>
        </w:rPr>
        <w:t xml:space="preserve">P. </w:t>
      </w:r>
      <w:proofErr w:type="spellStart"/>
      <w:r w:rsidRPr="00262E00">
        <w:rPr>
          <w:rFonts w:cs="Times New Roman"/>
          <w:i/>
          <w:iCs/>
          <w:color w:val="000000" w:themeColor="text1"/>
        </w:rPr>
        <w:t>trichocarpa</w:t>
      </w:r>
      <w:proofErr w:type="spellEnd"/>
      <w:r w:rsidRPr="00D05611">
        <w:rPr>
          <w:rFonts w:cs="Times New Roman"/>
          <w:color w:val="000000" w:themeColor="text1"/>
        </w:rPr>
        <w:t xml:space="preserve"> and </w:t>
      </w:r>
      <w:r w:rsidRPr="00262E00">
        <w:rPr>
          <w:rFonts w:cs="Times New Roman"/>
          <w:i/>
          <w:iCs/>
          <w:color w:val="000000" w:themeColor="text1"/>
        </w:rPr>
        <w:t xml:space="preserve">P. </w:t>
      </w:r>
      <w:proofErr w:type="spellStart"/>
      <w:r w:rsidRPr="00262E00">
        <w:rPr>
          <w:rFonts w:cs="Times New Roman"/>
          <w:i/>
          <w:iCs/>
          <w:color w:val="000000" w:themeColor="text1"/>
        </w:rPr>
        <w:t>deltoides</w:t>
      </w:r>
      <w:proofErr w:type="spellEnd"/>
      <w:r w:rsidRPr="00D05611">
        <w:rPr>
          <w:rFonts w:cs="Times New Roman"/>
          <w:color w:val="000000" w:themeColor="text1"/>
        </w:rPr>
        <w:t xml:space="preserve"> whole chloroplast integration regions</w:t>
      </w:r>
      <w:r w:rsidRPr="00D05611">
        <w:rPr>
          <w:rFonts w:cs="Times New Roman"/>
          <w:color w:val="000000" w:themeColor="text1"/>
        </w:rPr>
        <w:tab/>
        <w:t>10</w:t>
      </w:r>
      <w:r>
        <w:rPr>
          <w:rFonts w:cs="Times New Roman"/>
          <w:color w:val="000000" w:themeColor="text1"/>
        </w:rPr>
        <w:t>0</w:t>
      </w:r>
    </w:p>
    <w:p w14:paraId="0E683025" w14:textId="77777777" w:rsidR="00A87A4A" w:rsidRPr="00D05611" w:rsidRDefault="00A87A4A" w:rsidP="00A87A4A">
      <w:pPr>
        <w:tabs>
          <w:tab w:val="right" w:leader="dot" w:pos="9360"/>
        </w:tabs>
        <w:rPr>
          <w:rFonts w:cs="Times New Roman"/>
          <w:color w:val="000000" w:themeColor="text1"/>
        </w:rPr>
      </w:pPr>
      <w:r w:rsidRPr="00D05611">
        <w:rPr>
          <w:rFonts w:cs="Times New Roman"/>
          <w:color w:val="000000" w:themeColor="text1"/>
        </w:rPr>
        <w:t xml:space="preserve">Figure IV-1. </w:t>
      </w:r>
      <w:proofErr w:type="spellStart"/>
      <w:r w:rsidRPr="00D05611">
        <w:rPr>
          <w:rFonts w:cs="Times New Roman"/>
          <w:color w:val="000000" w:themeColor="text1"/>
        </w:rPr>
        <w:t>mVista</w:t>
      </w:r>
      <w:proofErr w:type="spellEnd"/>
      <w:r w:rsidRPr="00D05611">
        <w:rPr>
          <w:rFonts w:cs="Times New Roman"/>
          <w:color w:val="000000" w:themeColor="text1"/>
        </w:rPr>
        <w:t xml:space="preserve"> plot describing structural variation in the 11 </w:t>
      </w:r>
      <w:r w:rsidRPr="00262E00">
        <w:rPr>
          <w:rFonts w:cs="Times New Roman"/>
          <w:i/>
          <w:iCs/>
          <w:color w:val="000000" w:themeColor="text1"/>
        </w:rPr>
        <w:t>Salix</w:t>
      </w:r>
      <w:r w:rsidRPr="00D05611">
        <w:rPr>
          <w:rFonts w:cs="Times New Roman"/>
          <w:color w:val="000000" w:themeColor="text1"/>
        </w:rPr>
        <w:t xml:space="preserve"> chloroplast genomes</w:t>
      </w:r>
      <w:r w:rsidRPr="00D05611">
        <w:rPr>
          <w:rFonts w:cs="Times New Roman"/>
          <w:color w:val="000000" w:themeColor="text1"/>
        </w:rPr>
        <w:tab/>
        <w:t>12</w:t>
      </w:r>
      <w:r>
        <w:rPr>
          <w:rFonts w:cs="Times New Roman"/>
          <w:color w:val="000000" w:themeColor="text1"/>
        </w:rPr>
        <w:t>1</w:t>
      </w:r>
    </w:p>
    <w:p w14:paraId="4E0BC40C" w14:textId="77777777" w:rsidR="00A87A4A" w:rsidRPr="00D05611" w:rsidRDefault="00A87A4A" w:rsidP="00A87A4A">
      <w:pPr>
        <w:tabs>
          <w:tab w:val="right" w:leader="dot" w:pos="9360"/>
        </w:tabs>
        <w:rPr>
          <w:rFonts w:cs="Times New Roman"/>
          <w:color w:val="000000" w:themeColor="text1"/>
        </w:rPr>
      </w:pPr>
      <w:r w:rsidRPr="00D05611">
        <w:rPr>
          <w:rFonts w:cs="Times New Roman"/>
          <w:color w:val="000000" w:themeColor="text1"/>
        </w:rPr>
        <w:t xml:space="preserve">Figure IV-2. Gene presence absence in the 11 </w:t>
      </w:r>
      <w:r w:rsidRPr="00262E00">
        <w:rPr>
          <w:rFonts w:cs="Times New Roman"/>
          <w:i/>
          <w:iCs/>
          <w:color w:val="000000" w:themeColor="text1"/>
        </w:rPr>
        <w:t>Salix</w:t>
      </w:r>
      <w:r w:rsidRPr="00D05611">
        <w:rPr>
          <w:rFonts w:cs="Times New Roman"/>
          <w:color w:val="000000" w:themeColor="text1"/>
        </w:rPr>
        <w:t xml:space="preserve"> chloroplast and mitogenomes</w:t>
      </w:r>
      <w:r w:rsidRPr="00D05611">
        <w:rPr>
          <w:rFonts w:cs="Times New Roman"/>
          <w:color w:val="000000" w:themeColor="text1"/>
        </w:rPr>
        <w:tab/>
        <w:t>12</w:t>
      </w:r>
      <w:r>
        <w:rPr>
          <w:rFonts w:cs="Times New Roman"/>
          <w:color w:val="000000" w:themeColor="text1"/>
        </w:rPr>
        <w:t>2</w:t>
      </w:r>
    </w:p>
    <w:p w14:paraId="346CDA93" w14:textId="77777777" w:rsidR="00A87A4A" w:rsidRPr="00D05611" w:rsidRDefault="00A87A4A" w:rsidP="00A87A4A">
      <w:pPr>
        <w:tabs>
          <w:tab w:val="right" w:leader="dot" w:pos="9360"/>
        </w:tabs>
        <w:rPr>
          <w:rFonts w:cs="Times New Roman"/>
          <w:color w:val="000000" w:themeColor="text1"/>
        </w:rPr>
      </w:pPr>
      <w:r w:rsidRPr="00D05611">
        <w:rPr>
          <w:rFonts w:cs="Times New Roman"/>
          <w:color w:val="000000" w:themeColor="text1"/>
        </w:rPr>
        <w:t xml:space="preserve">Figure IV-3. SSRs and dispersed repeats vary throughout the 11 </w:t>
      </w:r>
      <w:r w:rsidRPr="00262E00">
        <w:rPr>
          <w:rFonts w:cs="Times New Roman"/>
          <w:i/>
          <w:iCs/>
          <w:color w:val="000000" w:themeColor="text1"/>
        </w:rPr>
        <w:t>Salix</w:t>
      </w:r>
      <w:r w:rsidRPr="00D05611">
        <w:rPr>
          <w:rFonts w:cs="Times New Roman"/>
          <w:color w:val="000000" w:themeColor="text1"/>
        </w:rPr>
        <w:t xml:space="preserve"> chloroplast and mitogenomes</w:t>
      </w:r>
      <w:r w:rsidRPr="00D05611">
        <w:rPr>
          <w:rFonts w:cs="Times New Roman"/>
          <w:color w:val="000000" w:themeColor="text1"/>
        </w:rPr>
        <w:tab/>
        <w:t>12</w:t>
      </w:r>
      <w:r>
        <w:rPr>
          <w:rFonts w:cs="Times New Roman"/>
          <w:color w:val="000000" w:themeColor="text1"/>
        </w:rPr>
        <w:t>3</w:t>
      </w:r>
    </w:p>
    <w:p w14:paraId="4F0A078D" w14:textId="77777777" w:rsidR="00A87A4A" w:rsidRPr="00D05611" w:rsidRDefault="00A87A4A" w:rsidP="00A87A4A">
      <w:pPr>
        <w:tabs>
          <w:tab w:val="right" w:leader="dot" w:pos="9360"/>
        </w:tabs>
        <w:rPr>
          <w:rFonts w:cs="Times New Roman"/>
          <w:color w:val="000000" w:themeColor="text1"/>
        </w:rPr>
      </w:pPr>
      <w:r w:rsidRPr="00D05611">
        <w:rPr>
          <w:rFonts w:cs="Times New Roman"/>
          <w:color w:val="000000" w:themeColor="text1"/>
        </w:rPr>
        <w:t>Figure IV-4. Chloroplast transfer to the mitogenomes is variable across the 11 F</w:t>
      </w:r>
      <w:r w:rsidRPr="00262E00">
        <w:rPr>
          <w:rFonts w:cs="Times New Roman"/>
          <w:color w:val="000000" w:themeColor="text1"/>
          <w:u w:val="single"/>
        </w:rPr>
        <w:t>1</w:t>
      </w:r>
      <w:r w:rsidRPr="00D05611">
        <w:rPr>
          <w:rFonts w:cs="Times New Roman"/>
          <w:color w:val="000000" w:themeColor="text1"/>
        </w:rPr>
        <w:t xml:space="preserve"> </w:t>
      </w:r>
      <w:r w:rsidRPr="00262E00">
        <w:rPr>
          <w:rFonts w:cs="Times New Roman"/>
          <w:i/>
          <w:iCs/>
          <w:color w:val="000000" w:themeColor="text1"/>
        </w:rPr>
        <w:t>Salix</w:t>
      </w:r>
      <w:r w:rsidRPr="00D05611">
        <w:rPr>
          <w:rFonts w:cs="Times New Roman"/>
          <w:color w:val="000000" w:themeColor="text1"/>
        </w:rPr>
        <w:t xml:space="preserve"> genotypes</w:t>
      </w:r>
      <w:r w:rsidRPr="00D05611">
        <w:rPr>
          <w:rFonts w:cs="Times New Roman"/>
          <w:color w:val="000000" w:themeColor="text1"/>
        </w:rPr>
        <w:tab/>
        <w:t>12</w:t>
      </w:r>
      <w:r>
        <w:rPr>
          <w:rFonts w:cs="Times New Roman"/>
          <w:color w:val="000000" w:themeColor="text1"/>
        </w:rPr>
        <w:t>4</w:t>
      </w:r>
    </w:p>
    <w:p w14:paraId="4ED0975F" w14:textId="77777777" w:rsidR="00A87A4A" w:rsidRPr="00D05611" w:rsidRDefault="00A87A4A" w:rsidP="00A87A4A">
      <w:pPr>
        <w:tabs>
          <w:tab w:val="right" w:leader="dot" w:pos="9360"/>
        </w:tabs>
        <w:rPr>
          <w:rFonts w:cs="Times New Roman"/>
          <w:color w:val="000000" w:themeColor="text1"/>
        </w:rPr>
      </w:pPr>
      <w:r w:rsidRPr="00D05611">
        <w:rPr>
          <w:rFonts w:cs="Times New Roman"/>
          <w:color w:val="000000" w:themeColor="text1"/>
        </w:rPr>
        <w:t xml:space="preserve">Figure IV-5. Phylogenomic analysis of the 11 </w:t>
      </w:r>
      <w:r w:rsidRPr="00262E00">
        <w:rPr>
          <w:rFonts w:cs="Times New Roman"/>
          <w:i/>
          <w:iCs/>
          <w:color w:val="000000" w:themeColor="text1"/>
        </w:rPr>
        <w:t>Salix</w:t>
      </w:r>
      <w:r w:rsidRPr="00D05611">
        <w:rPr>
          <w:rFonts w:cs="Times New Roman"/>
          <w:color w:val="000000" w:themeColor="text1"/>
        </w:rPr>
        <w:t xml:space="preserve"> chloroplast and mitogenomes</w:t>
      </w:r>
      <w:r w:rsidRPr="00D05611">
        <w:rPr>
          <w:rFonts w:cs="Times New Roman"/>
          <w:color w:val="000000" w:themeColor="text1"/>
        </w:rPr>
        <w:tab/>
        <w:t>12</w:t>
      </w:r>
      <w:r>
        <w:rPr>
          <w:rFonts w:cs="Times New Roman"/>
          <w:color w:val="000000" w:themeColor="text1"/>
        </w:rPr>
        <w:t>5</w:t>
      </w:r>
    </w:p>
    <w:p w14:paraId="334BE79C" w14:textId="77777777" w:rsidR="00A87A4A" w:rsidRPr="00D05611" w:rsidRDefault="00A87A4A" w:rsidP="00A87A4A">
      <w:pPr>
        <w:tabs>
          <w:tab w:val="right" w:leader="dot" w:pos="9360"/>
        </w:tabs>
        <w:rPr>
          <w:rFonts w:cs="Times New Roman"/>
          <w:color w:val="000000" w:themeColor="text1"/>
        </w:rPr>
      </w:pPr>
      <w:r w:rsidRPr="00D05611">
        <w:rPr>
          <w:rFonts w:cs="Times New Roman"/>
          <w:color w:val="000000" w:themeColor="text1"/>
        </w:rPr>
        <w:t xml:space="preserve">Figure IV-6. Ka/Ks values of the protein-coding genes in the 11 </w:t>
      </w:r>
      <w:r w:rsidRPr="00262E00">
        <w:rPr>
          <w:rFonts w:cs="Times New Roman"/>
          <w:i/>
          <w:iCs/>
          <w:color w:val="000000" w:themeColor="text1"/>
        </w:rPr>
        <w:t>Salix</w:t>
      </w:r>
      <w:r w:rsidRPr="00D05611">
        <w:rPr>
          <w:rFonts w:cs="Times New Roman"/>
          <w:color w:val="000000" w:themeColor="text1"/>
        </w:rPr>
        <w:t xml:space="preserve"> chloroplast and mitogenomes</w:t>
      </w:r>
      <w:r w:rsidRPr="00D05611">
        <w:rPr>
          <w:rFonts w:cs="Times New Roman"/>
          <w:color w:val="000000" w:themeColor="text1"/>
        </w:rPr>
        <w:tab/>
        <w:t>12</w:t>
      </w:r>
      <w:r>
        <w:rPr>
          <w:rFonts w:cs="Times New Roman"/>
          <w:color w:val="000000" w:themeColor="text1"/>
        </w:rPr>
        <w:t>6</w:t>
      </w:r>
    </w:p>
    <w:p w14:paraId="02012C2F" w14:textId="77777777" w:rsidR="00A87A4A" w:rsidRPr="00D05611" w:rsidRDefault="00A87A4A" w:rsidP="00A87A4A">
      <w:pPr>
        <w:tabs>
          <w:tab w:val="right" w:leader="dot" w:pos="9360"/>
        </w:tabs>
        <w:rPr>
          <w:rFonts w:cs="Times New Roman"/>
          <w:color w:val="000000" w:themeColor="text1"/>
        </w:rPr>
      </w:pPr>
      <w:r w:rsidRPr="00D05611">
        <w:rPr>
          <w:rFonts w:cs="Times New Roman"/>
          <w:color w:val="000000" w:themeColor="text1"/>
        </w:rPr>
        <w:t xml:space="preserve">Figure IV-S1. Structural variation around IR junctions in the 11 </w:t>
      </w:r>
      <w:r w:rsidRPr="00262E00">
        <w:rPr>
          <w:rFonts w:cs="Times New Roman"/>
          <w:i/>
          <w:iCs/>
          <w:color w:val="000000" w:themeColor="text1"/>
        </w:rPr>
        <w:t>Salix</w:t>
      </w:r>
      <w:r w:rsidRPr="00D05611">
        <w:rPr>
          <w:rFonts w:cs="Times New Roman"/>
          <w:color w:val="000000" w:themeColor="text1"/>
        </w:rPr>
        <w:t xml:space="preserve"> chloroplast genomes</w:t>
      </w:r>
      <w:r w:rsidRPr="00D05611">
        <w:rPr>
          <w:rFonts w:cs="Times New Roman"/>
          <w:color w:val="000000" w:themeColor="text1"/>
        </w:rPr>
        <w:tab/>
        <w:t>12</w:t>
      </w:r>
      <w:r>
        <w:rPr>
          <w:rFonts w:cs="Times New Roman"/>
          <w:color w:val="000000" w:themeColor="text1"/>
        </w:rPr>
        <w:t>7</w:t>
      </w:r>
    </w:p>
    <w:p w14:paraId="0208B8C1" w14:textId="77777777" w:rsidR="00A87A4A" w:rsidRPr="00D05611" w:rsidRDefault="00A87A4A" w:rsidP="00A87A4A">
      <w:pPr>
        <w:tabs>
          <w:tab w:val="right" w:leader="dot" w:pos="9360"/>
        </w:tabs>
        <w:rPr>
          <w:rFonts w:cs="Times New Roman"/>
          <w:color w:val="000000" w:themeColor="text1"/>
        </w:rPr>
      </w:pPr>
      <w:r w:rsidRPr="00D05611">
        <w:rPr>
          <w:rFonts w:cs="Times New Roman"/>
          <w:color w:val="000000" w:themeColor="text1"/>
        </w:rPr>
        <w:t xml:space="preserve">Figure IV-S2. </w:t>
      </w:r>
      <w:proofErr w:type="spellStart"/>
      <w:r w:rsidRPr="00D05611">
        <w:rPr>
          <w:rFonts w:cs="Times New Roman"/>
          <w:color w:val="000000" w:themeColor="text1"/>
        </w:rPr>
        <w:t>progressiveMauve</w:t>
      </w:r>
      <w:proofErr w:type="spellEnd"/>
      <w:r w:rsidRPr="00D05611">
        <w:rPr>
          <w:rFonts w:cs="Times New Roman"/>
          <w:color w:val="000000" w:themeColor="text1"/>
        </w:rPr>
        <w:t xml:space="preserve"> whole genome alignment of 1</w:t>
      </w:r>
      <w:r>
        <w:rPr>
          <w:rFonts w:cs="Times New Roman"/>
          <w:color w:val="000000" w:themeColor="text1"/>
        </w:rPr>
        <w:t>1</w:t>
      </w:r>
      <w:r w:rsidRPr="00D05611">
        <w:rPr>
          <w:rFonts w:cs="Times New Roman"/>
          <w:color w:val="000000" w:themeColor="text1"/>
        </w:rPr>
        <w:t xml:space="preserve"> </w:t>
      </w:r>
      <w:r w:rsidRPr="00262E00">
        <w:rPr>
          <w:rFonts w:cs="Times New Roman"/>
          <w:i/>
          <w:iCs/>
          <w:color w:val="000000" w:themeColor="text1"/>
        </w:rPr>
        <w:t>Salix</w:t>
      </w:r>
      <w:r w:rsidRPr="00D05611">
        <w:rPr>
          <w:rFonts w:cs="Times New Roman"/>
          <w:color w:val="000000" w:themeColor="text1"/>
        </w:rPr>
        <w:t xml:space="preserve"> mitogenomes</w:t>
      </w:r>
      <w:r w:rsidRPr="00D05611">
        <w:rPr>
          <w:rFonts w:cs="Times New Roman"/>
          <w:color w:val="000000" w:themeColor="text1"/>
        </w:rPr>
        <w:tab/>
        <w:t>1</w:t>
      </w:r>
      <w:r>
        <w:rPr>
          <w:rFonts w:cs="Times New Roman"/>
          <w:color w:val="000000" w:themeColor="text1"/>
        </w:rPr>
        <w:t>28</w:t>
      </w:r>
    </w:p>
    <w:p w14:paraId="23A48801" w14:textId="77777777" w:rsidR="00A87A4A" w:rsidRPr="00D05611" w:rsidRDefault="00A87A4A" w:rsidP="00A87A4A">
      <w:pPr>
        <w:tabs>
          <w:tab w:val="right" w:leader="dot" w:pos="9360"/>
        </w:tabs>
        <w:rPr>
          <w:rFonts w:cs="Times New Roman"/>
          <w:color w:val="000000" w:themeColor="text1"/>
        </w:rPr>
      </w:pPr>
      <w:r w:rsidRPr="00D05611">
        <w:rPr>
          <w:rFonts w:cs="Times New Roman"/>
          <w:color w:val="000000" w:themeColor="text1"/>
        </w:rPr>
        <w:t>Figure IV-S3. Expression of protein-coding genes in the 11 F</w:t>
      </w:r>
      <w:r w:rsidRPr="00262E00">
        <w:rPr>
          <w:rFonts w:cs="Times New Roman"/>
          <w:color w:val="000000" w:themeColor="text1"/>
          <w:u w:val="single"/>
        </w:rPr>
        <w:t>1</w:t>
      </w:r>
      <w:r>
        <w:rPr>
          <w:rFonts w:cs="Times New Roman"/>
          <w:color w:val="000000" w:themeColor="text1"/>
        </w:rPr>
        <w:t xml:space="preserve"> </w:t>
      </w:r>
      <w:r>
        <w:rPr>
          <w:rFonts w:cs="Times New Roman"/>
          <w:i/>
          <w:iCs/>
          <w:color w:val="000000" w:themeColor="text1"/>
        </w:rPr>
        <w:t>Salix</w:t>
      </w:r>
      <w:r w:rsidRPr="00D05611">
        <w:rPr>
          <w:rFonts w:cs="Times New Roman"/>
          <w:color w:val="000000" w:themeColor="text1"/>
        </w:rPr>
        <w:t xml:space="preserve"> mitogenomes </w:t>
      </w:r>
      <w:r w:rsidRPr="00D05611">
        <w:rPr>
          <w:rFonts w:cs="Times New Roman"/>
          <w:color w:val="000000" w:themeColor="text1"/>
        </w:rPr>
        <w:tab/>
        <w:t>1</w:t>
      </w:r>
      <w:r>
        <w:rPr>
          <w:rFonts w:cs="Times New Roman"/>
          <w:color w:val="000000" w:themeColor="text1"/>
        </w:rPr>
        <w:t>29</w:t>
      </w:r>
    </w:p>
    <w:p w14:paraId="7A024833" w14:textId="77777777" w:rsidR="00A87A4A" w:rsidRPr="00D05611" w:rsidRDefault="00A87A4A" w:rsidP="00A87A4A">
      <w:pPr>
        <w:tabs>
          <w:tab w:val="right" w:leader="dot" w:pos="9360"/>
        </w:tabs>
        <w:rPr>
          <w:rFonts w:cs="Times New Roman"/>
          <w:color w:val="000000" w:themeColor="text1"/>
        </w:rPr>
      </w:pPr>
      <w:r w:rsidRPr="00D05611">
        <w:rPr>
          <w:rFonts w:cs="Times New Roman"/>
          <w:color w:val="000000" w:themeColor="text1"/>
        </w:rPr>
        <w:t xml:space="preserve">Figure IV-S4. Dispersed repeat percentage by genotype in the 11 </w:t>
      </w:r>
      <w:r w:rsidRPr="00262E00">
        <w:rPr>
          <w:rFonts w:cs="Times New Roman"/>
          <w:i/>
          <w:iCs/>
          <w:color w:val="000000" w:themeColor="text1"/>
        </w:rPr>
        <w:t>Salix</w:t>
      </w:r>
      <w:r w:rsidRPr="00D05611">
        <w:rPr>
          <w:rFonts w:cs="Times New Roman"/>
          <w:color w:val="000000" w:themeColor="text1"/>
        </w:rPr>
        <w:t xml:space="preserve"> chloroplast and mitogenomes</w:t>
      </w:r>
      <w:r w:rsidRPr="00D05611">
        <w:rPr>
          <w:rFonts w:cs="Times New Roman"/>
          <w:color w:val="000000" w:themeColor="text1"/>
        </w:rPr>
        <w:tab/>
        <w:t>1</w:t>
      </w:r>
      <w:r>
        <w:rPr>
          <w:rFonts w:cs="Times New Roman"/>
          <w:color w:val="000000" w:themeColor="text1"/>
        </w:rPr>
        <w:t>30</w:t>
      </w:r>
    </w:p>
    <w:p w14:paraId="4498CDC7" w14:textId="77777777" w:rsidR="00A87A4A" w:rsidRPr="00D05611" w:rsidRDefault="00A87A4A" w:rsidP="00A87A4A">
      <w:pPr>
        <w:tabs>
          <w:tab w:val="right" w:leader="dot" w:pos="9360"/>
        </w:tabs>
        <w:rPr>
          <w:rFonts w:cs="Times New Roman"/>
          <w:color w:val="000000" w:themeColor="text1"/>
        </w:rPr>
      </w:pPr>
      <w:r w:rsidRPr="00D05611">
        <w:rPr>
          <w:rFonts w:cs="Times New Roman"/>
          <w:color w:val="000000" w:themeColor="text1"/>
        </w:rPr>
        <w:t xml:space="preserve">Figure IV-S5. Dispersed repeat counts by size class in the 11 </w:t>
      </w:r>
      <w:r w:rsidRPr="00262E00">
        <w:rPr>
          <w:rFonts w:cs="Times New Roman"/>
          <w:i/>
          <w:iCs/>
          <w:color w:val="000000" w:themeColor="text1"/>
        </w:rPr>
        <w:t>Salix</w:t>
      </w:r>
      <w:r w:rsidRPr="00D05611">
        <w:rPr>
          <w:rFonts w:cs="Times New Roman"/>
          <w:color w:val="000000" w:themeColor="text1"/>
        </w:rPr>
        <w:t xml:space="preserve"> chloroplast and mitogenomes</w:t>
      </w:r>
      <w:r w:rsidRPr="00D05611">
        <w:rPr>
          <w:rFonts w:cs="Times New Roman"/>
          <w:color w:val="000000" w:themeColor="text1"/>
        </w:rPr>
        <w:tab/>
        <w:t>13</w:t>
      </w:r>
      <w:r>
        <w:rPr>
          <w:rFonts w:cs="Times New Roman"/>
          <w:color w:val="000000" w:themeColor="text1"/>
        </w:rPr>
        <w:t>1</w:t>
      </w:r>
    </w:p>
    <w:p w14:paraId="351B31DF" w14:textId="77777777" w:rsidR="00A87A4A" w:rsidRPr="00D05611" w:rsidRDefault="00A87A4A" w:rsidP="00A87A4A">
      <w:pPr>
        <w:tabs>
          <w:tab w:val="right" w:leader="dot" w:pos="9360"/>
        </w:tabs>
        <w:rPr>
          <w:rFonts w:cs="Times New Roman"/>
          <w:color w:val="000000" w:themeColor="text1"/>
        </w:rPr>
      </w:pPr>
      <w:r w:rsidRPr="00D05611">
        <w:rPr>
          <w:rFonts w:cs="Times New Roman"/>
          <w:color w:val="000000" w:themeColor="text1"/>
        </w:rPr>
        <w:t xml:space="preserve">Figure IV-S6. Average Ka and Ks values by gene in the 11 </w:t>
      </w:r>
      <w:r w:rsidRPr="00262E00">
        <w:rPr>
          <w:rFonts w:cs="Times New Roman"/>
          <w:i/>
          <w:iCs/>
          <w:color w:val="000000" w:themeColor="text1"/>
        </w:rPr>
        <w:t>Salix</w:t>
      </w:r>
      <w:r w:rsidRPr="00D05611">
        <w:rPr>
          <w:rFonts w:cs="Times New Roman"/>
          <w:color w:val="000000" w:themeColor="text1"/>
        </w:rPr>
        <w:t xml:space="preserve"> chloroplast and mitogenomes</w:t>
      </w:r>
      <w:r w:rsidRPr="00D05611">
        <w:rPr>
          <w:rFonts w:cs="Times New Roman"/>
          <w:color w:val="000000" w:themeColor="text1"/>
        </w:rPr>
        <w:tab/>
        <w:t>13</w:t>
      </w:r>
      <w:r>
        <w:rPr>
          <w:rFonts w:cs="Times New Roman"/>
          <w:color w:val="000000" w:themeColor="text1"/>
        </w:rPr>
        <w:t>2</w:t>
      </w:r>
    </w:p>
    <w:p w14:paraId="66732EFA" w14:textId="77777777" w:rsidR="00757218" w:rsidRDefault="00757218" w:rsidP="00864AEF">
      <w:pPr>
        <w:rPr>
          <w:rFonts w:cs="Times New Roman"/>
          <w:b/>
          <w:bCs/>
          <w:color w:val="000000" w:themeColor="text1"/>
          <w:sz w:val="28"/>
          <w:szCs w:val="28"/>
        </w:rPr>
      </w:pPr>
    </w:p>
    <w:p w14:paraId="6BDE1232" w14:textId="77777777" w:rsidR="00757218" w:rsidRDefault="00757218" w:rsidP="00757218">
      <w:pPr>
        <w:jc w:val="center"/>
        <w:rPr>
          <w:rFonts w:cs="Times New Roman"/>
          <w:b/>
          <w:bCs/>
          <w:color w:val="000000" w:themeColor="text1"/>
          <w:sz w:val="28"/>
          <w:szCs w:val="28"/>
        </w:rPr>
      </w:pPr>
    </w:p>
    <w:p w14:paraId="416CFF27" w14:textId="77777777" w:rsidR="00757218" w:rsidRDefault="00757218" w:rsidP="00757218">
      <w:pPr>
        <w:jc w:val="center"/>
        <w:rPr>
          <w:rFonts w:cs="Times New Roman"/>
          <w:b/>
          <w:bCs/>
          <w:color w:val="000000" w:themeColor="text1"/>
          <w:sz w:val="28"/>
          <w:szCs w:val="28"/>
        </w:rPr>
      </w:pPr>
    </w:p>
    <w:p w14:paraId="0D853FBB" w14:textId="77777777" w:rsidR="00757218" w:rsidRDefault="00757218" w:rsidP="00757218">
      <w:pPr>
        <w:jc w:val="center"/>
        <w:rPr>
          <w:rFonts w:cs="Times New Roman"/>
          <w:b/>
          <w:bCs/>
          <w:color w:val="000000" w:themeColor="text1"/>
          <w:sz w:val="28"/>
          <w:szCs w:val="28"/>
        </w:rPr>
      </w:pPr>
    </w:p>
    <w:p w14:paraId="4BEAA420" w14:textId="77777777" w:rsidR="00757218" w:rsidRDefault="00757218" w:rsidP="00757218">
      <w:pPr>
        <w:jc w:val="center"/>
        <w:rPr>
          <w:rFonts w:cs="Times New Roman"/>
          <w:b/>
          <w:bCs/>
          <w:color w:val="000000" w:themeColor="text1"/>
          <w:sz w:val="28"/>
          <w:szCs w:val="28"/>
        </w:rPr>
      </w:pPr>
    </w:p>
    <w:p w14:paraId="03A74C80" w14:textId="77777777" w:rsidR="00757218" w:rsidRDefault="00757218" w:rsidP="00757218">
      <w:pPr>
        <w:jc w:val="center"/>
        <w:rPr>
          <w:rFonts w:cs="Times New Roman"/>
          <w:b/>
          <w:bCs/>
          <w:color w:val="000000" w:themeColor="text1"/>
          <w:sz w:val="28"/>
          <w:szCs w:val="28"/>
        </w:rPr>
      </w:pPr>
    </w:p>
    <w:p w14:paraId="442E7B0E" w14:textId="77777777" w:rsidR="00757218" w:rsidRDefault="00757218" w:rsidP="00757218">
      <w:pPr>
        <w:rPr>
          <w:rFonts w:cs="Times New Roman"/>
          <w:b/>
          <w:bCs/>
          <w:color w:val="000000" w:themeColor="text1"/>
          <w:sz w:val="28"/>
          <w:szCs w:val="28"/>
        </w:rPr>
      </w:pPr>
    </w:p>
    <w:p w14:paraId="1EF7065F" w14:textId="77777777" w:rsidR="00C87105" w:rsidRDefault="00C87105" w:rsidP="00757218">
      <w:pPr>
        <w:jc w:val="center"/>
        <w:rPr>
          <w:rFonts w:cs="Times New Roman"/>
          <w:b/>
          <w:bCs/>
          <w:color w:val="000000" w:themeColor="text1"/>
          <w:sz w:val="28"/>
          <w:szCs w:val="28"/>
        </w:rPr>
      </w:pPr>
    </w:p>
    <w:p w14:paraId="46339689" w14:textId="0FD5FA7B" w:rsidR="00757218" w:rsidRDefault="00757218" w:rsidP="00757218">
      <w:pPr>
        <w:jc w:val="center"/>
        <w:rPr>
          <w:rFonts w:cs="Times New Roman"/>
          <w:b/>
          <w:bCs/>
          <w:color w:val="000000" w:themeColor="text1"/>
          <w:sz w:val="28"/>
          <w:szCs w:val="28"/>
        </w:rPr>
      </w:pPr>
      <w:r>
        <w:rPr>
          <w:rFonts w:cs="Times New Roman"/>
          <w:b/>
          <w:bCs/>
          <w:color w:val="000000" w:themeColor="text1"/>
          <w:sz w:val="28"/>
          <w:szCs w:val="28"/>
        </w:rPr>
        <w:lastRenderedPageBreak/>
        <w:t>LIST OF ATTACHMENTS</w:t>
      </w:r>
    </w:p>
    <w:p w14:paraId="4422E66D" w14:textId="77777777" w:rsidR="00757218" w:rsidRDefault="00757218" w:rsidP="00757218">
      <w:pPr>
        <w:rPr>
          <w:rFonts w:cs="Times New Roman"/>
          <w:b/>
          <w:bCs/>
          <w:color w:val="000000" w:themeColor="text1"/>
          <w:sz w:val="28"/>
          <w:szCs w:val="28"/>
        </w:rPr>
      </w:pPr>
    </w:p>
    <w:p w14:paraId="09EEC994" w14:textId="77777777" w:rsidR="00757218" w:rsidRPr="00E819E3" w:rsidRDefault="00757218" w:rsidP="00757218">
      <w:pPr>
        <w:tabs>
          <w:tab w:val="right" w:leader="dot" w:pos="9360"/>
        </w:tabs>
        <w:rPr>
          <w:rFonts w:cs="Times New Roman"/>
          <w:color w:val="000000" w:themeColor="text1"/>
        </w:rPr>
      </w:pPr>
      <w:r w:rsidRPr="00E819E3">
        <w:rPr>
          <w:rFonts w:cs="Times New Roman"/>
          <w:color w:val="000000" w:themeColor="text1"/>
        </w:rPr>
        <w:t>Table II-S1. Genomes used in BLASTP analysis</w:t>
      </w:r>
      <w:r w:rsidRPr="00E819E3">
        <w:rPr>
          <w:rFonts w:cs="Times New Roman"/>
          <w:color w:val="000000" w:themeColor="text1"/>
        </w:rPr>
        <w:tab/>
        <w:t>Table_II-S1.xlsx</w:t>
      </w:r>
    </w:p>
    <w:p w14:paraId="28B7EE69" w14:textId="77777777" w:rsidR="00757218" w:rsidRPr="00E819E3" w:rsidRDefault="00757218" w:rsidP="00757218">
      <w:pPr>
        <w:tabs>
          <w:tab w:val="right" w:leader="dot" w:pos="9360"/>
        </w:tabs>
        <w:rPr>
          <w:rFonts w:cs="Times New Roman"/>
          <w:color w:val="000000" w:themeColor="text1"/>
        </w:rPr>
      </w:pPr>
      <w:r w:rsidRPr="00E819E3">
        <w:rPr>
          <w:rFonts w:cs="Times New Roman"/>
          <w:color w:val="000000" w:themeColor="text1"/>
        </w:rPr>
        <w:t xml:space="preserve">Table II-S2. Orphan and </w:t>
      </w:r>
      <w:r w:rsidRPr="00262E00">
        <w:rPr>
          <w:rFonts w:cs="Times New Roman"/>
          <w:i/>
          <w:iCs/>
          <w:color w:val="000000" w:themeColor="text1"/>
        </w:rPr>
        <w:t>de novo</w:t>
      </w:r>
      <w:r w:rsidRPr="00E819E3">
        <w:rPr>
          <w:rFonts w:cs="Times New Roman"/>
          <w:color w:val="000000" w:themeColor="text1"/>
        </w:rPr>
        <w:t xml:space="preserve"> gene list with features</w:t>
      </w:r>
      <w:r w:rsidRPr="00E819E3">
        <w:rPr>
          <w:rFonts w:cs="Times New Roman"/>
          <w:color w:val="000000" w:themeColor="text1"/>
        </w:rPr>
        <w:tab/>
        <w:t>Table_II-S2.xlsx</w:t>
      </w:r>
    </w:p>
    <w:p w14:paraId="3341FC1A" w14:textId="77777777" w:rsidR="00757218" w:rsidRPr="00E819E3" w:rsidRDefault="00757218" w:rsidP="00757218">
      <w:pPr>
        <w:tabs>
          <w:tab w:val="right" w:leader="dot" w:pos="9360"/>
        </w:tabs>
        <w:rPr>
          <w:rFonts w:cs="Times New Roman"/>
          <w:color w:val="000000" w:themeColor="text1"/>
        </w:rPr>
      </w:pPr>
      <w:r w:rsidRPr="00E819E3">
        <w:rPr>
          <w:rFonts w:cs="Times New Roman"/>
          <w:color w:val="000000" w:themeColor="text1"/>
        </w:rPr>
        <w:t>Table II-S3. Expression level for 445 putative orphan genes</w:t>
      </w:r>
      <w:r w:rsidRPr="00E819E3">
        <w:rPr>
          <w:rFonts w:cs="Times New Roman"/>
          <w:color w:val="000000" w:themeColor="text1"/>
        </w:rPr>
        <w:tab/>
        <w:t>Table_II-S3.xlsx</w:t>
      </w:r>
    </w:p>
    <w:p w14:paraId="05712FA4" w14:textId="77777777" w:rsidR="00757218" w:rsidRPr="00E819E3" w:rsidRDefault="00757218" w:rsidP="00757218">
      <w:pPr>
        <w:tabs>
          <w:tab w:val="right" w:leader="dot" w:pos="9360"/>
        </w:tabs>
        <w:rPr>
          <w:rFonts w:cs="Times New Roman"/>
          <w:color w:val="000000" w:themeColor="text1"/>
        </w:rPr>
      </w:pPr>
      <w:r w:rsidRPr="00E819E3">
        <w:rPr>
          <w:rFonts w:cs="Times New Roman"/>
          <w:color w:val="000000" w:themeColor="text1"/>
        </w:rPr>
        <w:t xml:space="preserve">Table II-S4. </w:t>
      </w:r>
      <w:proofErr w:type="spellStart"/>
      <w:r w:rsidRPr="00E819E3">
        <w:rPr>
          <w:rFonts w:cs="Times New Roman"/>
          <w:color w:val="000000" w:themeColor="text1"/>
        </w:rPr>
        <w:t>piN</w:t>
      </w:r>
      <w:proofErr w:type="spellEnd"/>
      <w:r w:rsidRPr="00E819E3">
        <w:rPr>
          <w:rFonts w:cs="Times New Roman"/>
          <w:color w:val="000000" w:themeColor="text1"/>
        </w:rPr>
        <w:t>/</w:t>
      </w:r>
      <w:proofErr w:type="spellStart"/>
      <w:r w:rsidRPr="00E819E3">
        <w:rPr>
          <w:rFonts w:cs="Times New Roman"/>
          <w:color w:val="000000" w:themeColor="text1"/>
        </w:rPr>
        <w:t>piS</w:t>
      </w:r>
      <w:proofErr w:type="spellEnd"/>
      <w:r w:rsidRPr="00E819E3">
        <w:rPr>
          <w:rFonts w:cs="Times New Roman"/>
          <w:color w:val="000000" w:themeColor="text1"/>
        </w:rPr>
        <w:t xml:space="preserve"> values for the 13 </w:t>
      </w:r>
      <w:r w:rsidRPr="00262E00">
        <w:rPr>
          <w:rFonts w:cs="Times New Roman"/>
          <w:i/>
          <w:iCs/>
          <w:color w:val="000000" w:themeColor="text1"/>
        </w:rPr>
        <w:t>de novo</w:t>
      </w:r>
      <w:r w:rsidRPr="00E819E3">
        <w:rPr>
          <w:rFonts w:cs="Times New Roman"/>
          <w:color w:val="000000" w:themeColor="text1"/>
        </w:rPr>
        <w:t xml:space="preserve"> genes</w:t>
      </w:r>
      <w:r w:rsidRPr="00E819E3">
        <w:rPr>
          <w:rFonts w:cs="Times New Roman"/>
          <w:color w:val="000000" w:themeColor="text1"/>
        </w:rPr>
        <w:tab/>
        <w:t>Table_II-S4.xlsx</w:t>
      </w:r>
    </w:p>
    <w:p w14:paraId="623D50E9" w14:textId="77777777" w:rsidR="00757218" w:rsidRPr="00E819E3" w:rsidRDefault="00757218" w:rsidP="00757218">
      <w:pPr>
        <w:tabs>
          <w:tab w:val="right" w:leader="dot" w:pos="9360"/>
        </w:tabs>
        <w:rPr>
          <w:rFonts w:cs="Times New Roman"/>
          <w:color w:val="000000" w:themeColor="text1"/>
        </w:rPr>
      </w:pPr>
      <w:r w:rsidRPr="00E819E3">
        <w:rPr>
          <w:rFonts w:cs="Times New Roman"/>
          <w:color w:val="000000" w:themeColor="text1"/>
        </w:rPr>
        <w:t xml:space="preserve">Table II-S5. High and moderate impact variants in the 13 </w:t>
      </w:r>
      <w:r w:rsidRPr="00262E00">
        <w:rPr>
          <w:rFonts w:cs="Times New Roman"/>
          <w:i/>
          <w:iCs/>
          <w:color w:val="000000" w:themeColor="text1"/>
        </w:rPr>
        <w:t>de novo</w:t>
      </w:r>
      <w:r w:rsidRPr="00E819E3">
        <w:rPr>
          <w:rFonts w:cs="Times New Roman"/>
          <w:color w:val="000000" w:themeColor="text1"/>
        </w:rPr>
        <w:t xml:space="preserve"> genes</w:t>
      </w:r>
      <w:r w:rsidRPr="00E819E3">
        <w:rPr>
          <w:rFonts w:cs="Times New Roman"/>
          <w:color w:val="000000" w:themeColor="text1"/>
        </w:rPr>
        <w:tab/>
        <w:t>Table_II-S5.xlsx</w:t>
      </w:r>
    </w:p>
    <w:p w14:paraId="6555EC89" w14:textId="77777777" w:rsidR="00757218" w:rsidRPr="00E819E3" w:rsidRDefault="00757218" w:rsidP="00757218">
      <w:pPr>
        <w:tabs>
          <w:tab w:val="right" w:leader="dot" w:pos="9360"/>
        </w:tabs>
        <w:rPr>
          <w:rFonts w:cs="Times New Roman"/>
          <w:color w:val="000000" w:themeColor="text1"/>
        </w:rPr>
      </w:pPr>
      <w:r w:rsidRPr="00E819E3">
        <w:rPr>
          <w:rFonts w:cs="Times New Roman"/>
          <w:color w:val="000000" w:themeColor="text1"/>
        </w:rPr>
        <w:t xml:space="preserve">Table II-S6. </w:t>
      </w:r>
      <w:r w:rsidRPr="00262E00">
        <w:rPr>
          <w:rFonts w:cs="Times New Roman"/>
          <w:i/>
          <w:iCs/>
          <w:color w:val="000000" w:themeColor="text1"/>
        </w:rPr>
        <w:t>cis</w:t>
      </w:r>
      <w:r w:rsidRPr="00E819E3">
        <w:rPr>
          <w:rFonts w:cs="Times New Roman"/>
          <w:color w:val="000000" w:themeColor="text1"/>
        </w:rPr>
        <w:t>-</w:t>
      </w:r>
      <w:proofErr w:type="spellStart"/>
      <w:r w:rsidRPr="00E819E3">
        <w:rPr>
          <w:rFonts w:cs="Times New Roman"/>
          <w:color w:val="000000" w:themeColor="text1"/>
        </w:rPr>
        <w:t>eQTL</w:t>
      </w:r>
      <w:proofErr w:type="spellEnd"/>
      <w:r w:rsidRPr="00E819E3">
        <w:rPr>
          <w:rFonts w:cs="Times New Roman"/>
          <w:color w:val="000000" w:themeColor="text1"/>
        </w:rPr>
        <w:t xml:space="preserve"> results for orphan genes in xylem and leaf tissues</w:t>
      </w:r>
      <w:r w:rsidRPr="00E819E3">
        <w:rPr>
          <w:rFonts w:cs="Times New Roman"/>
          <w:color w:val="000000" w:themeColor="text1"/>
        </w:rPr>
        <w:tab/>
        <w:t>Table_II-S6.xlsx</w:t>
      </w:r>
    </w:p>
    <w:p w14:paraId="2C602135" w14:textId="77777777" w:rsidR="00757218" w:rsidRPr="00E819E3" w:rsidRDefault="00757218" w:rsidP="00757218">
      <w:pPr>
        <w:tabs>
          <w:tab w:val="right" w:leader="dot" w:pos="9360"/>
        </w:tabs>
        <w:rPr>
          <w:rFonts w:cs="Times New Roman"/>
          <w:color w:val="000000" w:themeColor="text1"/>
        </w:rPr>
      </w:pPr>
      <w:r w:rsidRPr="00E819E3">
        <w:rPr>
          <w:rFonts w:cs="Times New Roman"/>
          <w:color w:val="000000" w:themeColor="text1"/>
        </w:rPr>
        <w:t xml:space="preserve">Table II-S7. </w:t>
      </w:r>
      <w:r w:rsidRPr="00262E00">
        <w:rPr>
          <w:rFonts w:cs="Times New Roman"/>
          <w:i/>
          <w:iCs/>
          <w:color w:val="000000" w:themeColor="text1"/>
        </w:rPr>
        <w:t>trans</w:t>
      </w:r>
      <w:r w:rsidRPr="00E819E3">
        <w:rPr>
          <w:rFonts w:cs="Times New Roman"/>
          <w:color w:val="000000" w:themeColor="text1"/>
        </w:rPr>
        <w:t>-</w:t>
      </w:r>
      <w:proofErr w:type="spellStart"/>
      <w:r w:rsidRPr="00E819E3">
        <w:rPr>
          <w:rFonts w:cs="Times New Roman"/>
          <w:color w:val="000000" w:themeColor="text1"/>
        </w:rPr>
        <w:t>eQTL</w:t>
      </w:r>
      <w:proofErr w:type="spellEnd"/>
      <w:r w:rsidRPr="00E819E3">
        <w:rPr>
          <w:rFonts w:cs="Times New Roman"/>
          <w:color w:val="000000" w:themeColor="text1"/>
        </w:rPr>
        <w:t xml:space="preserve"> results for orphan genes in xylem and leaf tissues</w:t>
      </w:r>
      <w:r w:rsidRPr="00E819E3">
        <w:rPr>
          <w:rFonts w:cs="Times New Roman"/>
          <w:color w:val="000000" w:themeColor="text1"/>
        </w:rPr>
        <w:tab/>
        <w:t>Table_II-S7.xlsx</w:t>
      </w:r>
    </w:p>
    <w:p w14:paraId="7EE6B522" w14:textId="77777777" w:rsidR="00757218" w:rsidRPr="00E819E3" w:rsidRDefault="00757218" w:rsidP="00757218">
      <w:pPr>
        <w:tabs>
          <w:tab w:val="right" w:leader="dot" w:pos="9360"/>
        </w:tabs>
        <w:rPr>
          <w:rFonts w:cs="Times New Roman"/>
          <w:color w:val="000000" w:themeColor="text1"/>
        </w:rPr>
      </w:pPr>
      <w:r w:rsidRPr="00E819E3">
        <w:rPr>
          <w:rFonts w:cs="Times New Roman"/>
          <w:color w:val="000000" w:themeColor="text1"/>
        </w:rPr>
        <w:t xml:space="preserve">Table II-S8. Co-regulated gene sets based on </w:t>
      </w:r>
      <w:r w:rsidRPr="00262E00">
        <w:rPr>
          <w:rFonts w:cs="Times New Roman"/>
          <w:i/>
          <w:iCs/>
          <w:color w:val="000000" w:themeColor="text1"/>
        </w:rPr>
        <w:t>trans</w:t>
      </w:r>
      <w:r w:rsidRPr="00E819E3">
        <w:rPr>
          <w:rFonts w:cs="Times New Roman"/>
          <w:color w:val="000000" w:themeColor="text1"/>
        </w:rPr>
        <w:t>-</w:t>
      </w:r>
      <w:proofErr w:type="spellStart"/>
      <w:r w:rsidRPr="00E819E3">
        <w:rPr>
          <w:rFonts w:cs="Times New Roman"/>
          <w:color w:val="000000" w:themeColor="text1"/>
        </w:rPr>
        <w:t>eQTL</w:t>
      </w:r>
      <w:proofErr w:type="spellEnd"/>
      <w:r w:rsidRPr="00E819E3">
        <w:rPr>
          <w:rFonts w:cs="Times New Roman"/>
          <w:color w:val="000000" w:themeColor="text1"/>
        </w:rPr>
        <w:t xml:space="preserve"> mapping in leaf tissue</w:t>
      </w:r>
      <w:r w:rsidRPr="00E819E3">
        <w:rPr>
          <w:rFonts w:cs="Times New Roman"/>
          <w:color w:val="000000" w:themeColor="text1"/>
        </w:rPr>
        <w:tab/>
        <w:t>Table_II-S8.xlsx</w:t>
      </w:r>
    </w:p>
    <w:p w14:paraId="73BFD31B" w14:textId="77777777" w:rsidR="00757218" w:rsidRPr="00E819E3" w:rsidRDefault="00757218" w:rsidP="00757218">
      <w:pPr>
        <w:tabs>
          <w:tab w:val="right" w:leader="dot" w:pos="9360"/>
        </w:tabs>
        <w:rPr>
          <w:rFonts w:cs="Times New Roman"/>
          <w:color w:val="000000" w:themeColor="text1"/>
        </w:rPr>
      </w:pPr>
      <w:r w:rsidRPr="00E819E3">
        <w:rPr>
          <w:rFonts w:cs="Times New Roman"/>
          <w:color w:val="000000" w:themeColor="text1"/>
        </w:rPr>
        <w:t xml:space="preserve">Table II-S9. Co-regulated gene sets based on </w:t>
      </w:r>
      <w:r w:rsidRPr="00262E00">
        <w:rPr>
          <w:rFonts w:cs="Times New Roman"/>
          <w:i/>
          <w:iCs/>
          <w:color w:val="000000" w:themeColor="text1"/>
        </w:rPr>
        <w:t>trans</w:t>
      </w:r>
      <w:r w:rsidRPr="00E819E3">
        <w:rPr>
          <w:rFonts w:cs="Times New Roman"/>
          <w:color w:val="000000" w:themeColor="text1"/>
        </w:rPr>
        <w:t>-</w:t>
      </w:r>
      <w:proofErr w:type="spellStart"/>
      <w:r w:rsidRPr="00E819E3">
        <w:rPr>
          <w:rFonts w:cs="Times New Roman"/>
          <w:color w:val="000000" w:themeColor="text1"/>
        </w:rPr>
        <w:t>eQTL</w:t>
      </w:r>
      <w:proofErr w:type="spellEnd"/>
      <w:r w:rsidRPr="00E819E3">
        <w:rPr>
          <w:rFonts w:cs="Times New Roman"/>
          <w:color w:val="000000" w:themeColor="text1"/>
        </w:rPr>
        <w:t xml:space="preserve"> mapping in xylem tissue</w:t>
      </w:r>
      <w:r w:rsidRPr="00E819E3">
        <w:rPr>
          <w:rFonts w:cs="Times New Roman"/>
          <w:color w:val="000000" w:themeColor="text1"/>
        </w:rPr>
        <w:tab/>
        <w:t>Table_II-S9.xlsx</w:t>
      </w:r>
    </w:p>
    <w:p w14:paraId="2112B975" w14:textId="77777777" w:rsidR="00757218" w:rsidRPr="00E819E3" w:rsidRDefault="00757218" w:rsidP="00757218">
      <w:pPr>
        <w:tabs>
          <w:tab w:val="right" w:leader="dot" w:pos="9360"/>
        </w:tabs>
        <w:rPr>
          <w:rFonts w:cs="Times New Roman"/>
          <w:color w:val="000000" w:themeColor="text1"/>
        </w:rPr>
      </w:pPr>
      <w:r w:rsidRPr="00E819E3">
        <w:rPr>
          <w:rFonts w:cs="Times New Roman"/>
          <w:color w:val="000000" w:themeColor="text1"/>
        </w:rPr>
        <w:t xml:space="preserve">Table II-S10. Shared </w:t>
      </w:r>
      <w:r w:rsidRPr="00262E00">
        <w:rPr>
          <w:rFonts w:cs="Times New Roman"/>
          <w:i/>
          <w:iCs/>
          <w:color w:val="000000" w:themeColor="text1"/>
        </w:rPr>
        <w:t>trans</w:t>
      </w:r>
      <w:r w:rsidRPr="00E819E3">
        <w:rPr>
          <w:rFonts w:cs="Times New Roman"/>
          <w:color w:val="000000" w:themeColor="text1"/>
        </w:rPr>
        <w:t>-</w:t>
      </w:r>
      <w:proofErr w:type="spellStart"/>
      <w:r w:rsidRPr="00E819E3">
        <w:rPr>
          <w:rFonts w:cs="Times New Roman"/>
          <w:color w:val="000000" w:themeColor="text1"/>
        </w:rPr>
        <w:t>eQTL</w:t>
      </w:r>
      <w:proofErr w:type="spellEnd"/>
      <w:r w:rsidRPr="00E819E3">
        <w:rPr>
          <w:rFonts w:cs="Times New Roman"/>
          <w:color w:val="000000" w:themeColor="text1"/>
        </w:rPr>
        <w:t xml:space="preserve"> in leaf and xylem RNA-Seq</w:t>
      </w:r>
      <w:r w:rsidRPr="00E819E3">
        <w:rPr>
          <w:rFonts w:cs="Times New Roman"/>
          <w:color w:val="000000" w:themeColor="text1"/>
        </w:rPr>
        <w:tab/>
        <w:t>Table_II-S10.xlsx</w:t>
      </w:r>
    </w:p>
    <w:p w14:paraId="666180B6" w14:textId="77777777" w:rsidR="00757218" w:rsidRPr="00E819E3" w:rsidRDefault="00757218" w:rsidP="00757218">
      <w:pPr>
        <w:tabs>
          <w:tab w:val="right" w:leader="dot" w:pos="9360"/>
        </w:tabs>
        <w:rPr>
          <w:rFonts w:cs="Times New Roman"/>
          <w:color w:val="000000" w:themeColor="text1"/>
        </w:rPr>
      </w:pPr>
      <w:r w:rsidRPr="00E819E3">
        <w:rPr>
          <w:rFonts w:cs="Times New Roman"/>
          <w:color w:val="000000" w:themeColor="text1"/>
        </w:rPr>
        <w:t>Table II-S11. RNA-Seq data NCBI SRA accession numbers</w:t>
      </w:r>
      <w:r w:rsidRPr="00E819E3">
        <w:rPr>
          <w:rFonts w:cs="Times New Roman"/>
          <w:color w:val="000000" w:themeColor="text1"/>
        </w:rPr>
        <w:tab/>
        <w:t>Table_II-S11.xlsx</w:t>
      </w:r>
    </w:p>
    <w:p w14:paraId="4593C3B2" w14:textId="77777777" w:rsidR="00757218" w:rsidRPr="00E819E3" w:rsidRDefault="00757218" w:rsidP="00757218">
      <w:pPr>
        <w:tabs>
          <w:tab w:val="right" w:leader="dot" w:pos="9360"/>
        </w:tabs>
        <w:rPr>
          <w:rFonts w:cs="Times New Roman"/>
          <w:color w:val="000000" w:themeColor="text1"/>
        </w:rPr>
      </w:pPr>
      <w:r w:rsidRPr="00E819E3">
        <w:rPr>
          <w:rFonts w:cs="Times New Roman"/>
          <w:color w:val="000000" w:themeColor="text1"/>
        </w:rPr>
        <w:t>Table II-S12. De novo gene and non-coding syntenic coordinates</w:t>
      </w:r>
      <w:r w:rsidRPr="00E819E3">
        <w:rPr>
          <w:rFonts w:cs="Times New Roman"/>
          <w:color w:val="000000" w:themeColor="text1"/>
        </w:rPr>
        <w:tab/>
        <w:t>Table_II-S12.xlsx</w:t>
      </w:r>
    </w:p>
    <w:p w14:paraId="50C76DFD" w14:textId="77777777" w:rsidR="00757218" w:rsidRPr="00E819E3" w:rsidRDefault="00757218" w:rsidP="00757218">
      <w:pPr>
        <w:tabs>
          <w:tab w:val="right" w:leader="dot" w:pos="9360"/>
        </w:tabs>
        <w:rPr>
          <w:rFonts w:cs="Times New Roman"/>
          <w:color w:val="000000" w:themeColor="text1"/>
        </w:rPr>
      </w:pPr>
      <w:r w:rsidRPr="00E819E3">
        <w:rPr>
          <w:rFonts w:cs="Times New Roman"/>
          <w:color w:val="000000" w:themeColor="text1"/>
        </w:rPr>
        <w:t>Table III-S1. Organelle genomes used to construct phylogenomic trees</w:t>
      </w:r>
      <w:r w:rsidRPr="00E819E3">
        <w:rPr>
          <w:rFonts w:cs="Times New Roman"/>
          <w:color w:val="000000" w:themeColor="text1"/>
        </w:rPr>
        <w:tab/>
        <w:t>Table_III-S1.xlsx</w:t>
      </w:r>
    </w:p>
    <w:p w14:paraId="0DD35316" w14:textId="77777777" w:rsidR="00757218" w:rsidRPr="00E819E3" w:rsidRDefault="00757218" w:rsidP="00757218">
      <w:pPr>
        <w:tabs>
          <w:tab w:val="right" w:leader="dot" w:pos="9360"/>
        </w:tabs>
        <w:rPr>
          <w:rFonts w:cs="Times New Roman"/>
          <w:color w:val="000000" w:themeColor="text1"/>
        </w:rPr>
      </w:pPr>
      <w:r w:rsidRPr="00E819E3">
        <w:rPr>
          <w:rFonts w:cs="Times New Roman"/>
          <w:color w:val="000000" w:themeColor="text1"/>
        </w:rPr>
        <w:t xml:space="preserve">Table III-S2. Coordinates for NUPTs and NUMTs identified in </w:t>
      </w:r>
      <w:r w:rsidRPr="00262E00">
        <w:rPr>
          <w:rFonts w:cs="Times New Roman"/>
          <w:i/>
          <w:iCs/>
          <w:color w:val="000000" w:themeColor="text1"/>
        </w:rPr>
        <w:t xml:space="preserve">P. </w:t>
      </w:r>
      <w:proofErr w:type="spellStart"/>
      <w:r w:rsidRPr="00262E00">
        <w:rPr>
          <w:rFonts w:cs="Times New Roman"/>
          <w:i/>
          <w:iCs/>
          <w:color w:val="000000" w:themeColor="text1"/>
        </w:rPr>
        <w:t>trichocarpa</w:t>
      </w:r>
      <w:proofErr w:type="spellEnd"/>
      <w:r w:rsidRPr="00E819E3">
        <w:rPr>
          <w:rFonts w:cs="Times New Roman"/>
          <w:color w:val="000000" w:themeColor="text1"/>
        </w:rPr>
        <w:t xml:space="preserve"> and </w:t>
      </w:r>
      <w:r w:rsidRPr="00262E00">
        <w:rPr>
          <w:rFonts w:cs="Times New Roman"/>
          <w:i/>
          <w:iCs/>
          <w:color w:val="000000" w:themeColor="text1"/>
        </w:rPr>
        <w:t xml:space="preserve">P. </w:t>
      </w:r>
      <w:proofErr w:type="spellStart"/>
      <w:r w:rsidRPr="00262E00">
        <w:rPr>
          <w:rFonts w:cs="Times New Roman"/>
          <w:i/>
          <w:iCs/>
          <w:color w:val="000000" w:themeColor="text1"/>
        </w:rPr>
        <w:t>deltoides</w:t>
      </w:r>
      <w:proofErr w:type="spellEnd"/>
      <w:r w:rsidRPr="00E819E3">
        <w:rPr>
          <w:rFonts w:cs="Times New Roman"/>
          <w:color w:val="000000" w:themeColor="text1"/>
        </w:rPr>
        <w:tab/>
        <w:t>Table_III-S2.xlsx</w:t>
      </w:r>
    </w:p>
    <w:p w14:paraId="7F27341A" w14:textId="77777777" w:rsidR="00757218" w:rsidRPr="00E819E3" w:rsidRDefault="00757218" w:rsidP="00757218">
      <w:pPr>
        <w:tabs>
          <w:tab w:val="right" w:leader="dot" w:pos="9360"/>
        </w:tabs>
        <w:rPr>
          <w:rFonts w:cs="Times New Roman"/>
          <w:color w:val="000000" w:themeColor="text1"/>
        </w:rPr>
      </w:pPr>
      <w:r w:rsidRPr="00E819E3">
        <w:rPr>
          <w:rFonts w:cs="Times New Roman"/>
          <w:color w:val="000000" w:themeColor="text1"/>
        </w:rPr>
        <w:t xml:space="preserve">Table III-S3. Coordinates for removed NUPTs and NUMTs identified in </w:t>
      </w:r>
      <w:r w:rsidRPr="00262E00">
        <w:rPr>
          <w:rFonts w:cs="Times New Roman"/>
          <w:i/>
          <w:iCs/>
          <w:color w:val="000000" w:themeColor="text1"/>
        </w:rPr>
        <w:t xml:space="preserve">P. </w:t>
      </w:r>
      <w:proofErr w:type="spellStart"/>
      <w:r w:rsidRPr="00262E00">
        <w:rPr>
          <w:rFonts w:cs="Times New Roman"/>
          <w:i/>
          <w:iCs/>
          <w:color w:val="000000" w:themeColor="text1"/>
        </w:rPr>
        <w:t>trichocarpa</w:t>
      </w:r>
      <w:proofErr w:type="spellEnd"/>
      <w:r w:rsidRPr="00E819E3">
        <w:rPr>
          <w:rFonts w:cs="Times New Roman"/>
          <w:color w:val="000000" w:themeColor="text1"/>
        </w:rPr>
        <w:t xml:space="preserve"> and </w:t>
      </w:r>
      <w:r w:rsidRPr="00262E00">
        <w:rPr>
          <w:rFonts w:cs="Times New Roman"/>
          <w:i/>
          <w:iCs/>
          <w:color w:val="000000" w:themeColor="text1"/>
        </w:rPr>
        <w:t xml:space="preserve">P. </w:t>
      </w:r>
      <w:proofErr w:type="spellStart"/>
      <w:r w:rsidRPr="00262E00">
        <w:rPr>
          <w:rFonts w:cs="Times New Roman"/>
          <w:i/>
          <w:iCs/>
          <w:color w:val="000000" w:themeColor="text1"/>
        </w:rPr>
        <w:t>deltoides</w:t>
      </w:r>
      <w:proofErr w:type="spellEnd"/>
      <w:r w:rsidRPr="00E819E3">
        <w:rPr>
          <w:rFonts w:cs="Times New Roman"/>
          <w:color w:val="000000" w:themeColor="text1"/>
        </w:rPr>
        <w:tab/>
        <w:t>Table_III-S3.xlsx</w:t>
      </w:r>
    </w:p>
    <w:p w14:paraId="1E06C3BB" w14:textId="77777777" w:rsidR="00757218" w:rsidRPr="00E819E3" w:rsidRDefault="00757218" w:rsidP="00757218">
      <w:pPr>
        <w:tabs>
          <w:tab w:val="right" w:leader="dot" w:pos="9360"/>
        </w:tabs>
        <w:rPr>
          <w:rFonts w:cs="Times New Roman"/>
          <w:color w:val="000000" w:themeColor="text1"/>
        </w:rPr>
      </w:pPr>
      <w:r w:rsidRPr="00E819E3">
        <w:rPr>
          <w:rFonts w:cs="Times New Roman"/>
          <w:color w:val="000000" w:themeColor="text1"/>
        </w:rPr>
        <w:t xml:space="preserve">Table III-S4. Protein-coding NUPTs and NUMTs in </w:t>
      </w:r>
      <w:r w:rsidRPr="00262E00">
        <w:rPr>
          <w:rFonts w:cs="Times New Roman"/>
          <w:i/>
          <w:iCs/>
          <w:color w:val="000000" w:themeColor="text1"/>
        </w:rPr>
        <w:t xml:space="preserve">P. </w:t>
      </w:r>
      <w:proofErr w:type="spellStart"/>
      <w:r w:rsidRPr="00262E00">
        <w:rPr>
          <w:rFonts w:cs="Times New Roman"/>
          <w:i/>
          <w:iCs/>
          <w:color w:val="000000" w:themeColor="text1"/>
        </w:rPr>
        <w:t>trichocarpa</w:t>
      </w:r>
      <w:proofErr w:type="spellEnd"/>
      <w:r w:rsidRPr="00E819E3">
        <w:rPr>
          <w:rFonts w:cs="Times New Roman"/>
          <w:color w:val="000000" w:themeColor="text1"/>
        </w:rPr>
        <w:t xml:space="preserve"> and </w:t>
      </w:r>
      <w:r w:rsidRPr="00262E00">
        <w:rPr>
          <w:rFonts w:cs="Times New Roman"/>
          <w:i/>
          <w:iCs/>
          <w:color w:val="000000" w:themeColor="text1"/>
        </w:rPr>
        <w:t xml:space="preserve">P. </w:t>
      </w:r>
      <w:proofErr w:type="spellStart"/>
      <w:r w:rsidRPr="00262E00">
        <w:rPr>
          <w:rFonts w:cs="Times New Roman"/>
          <w:i/>
          <w:iCs/>
          <w:color w:val="000000" w:themeColor="text1"/>
        </w:rPr>
        <w:t>deltoides</w:t>
      </w:r>
      <w:proofErr w:type="spellEnd"/>
      <w:r w:rsidRPr="00E819E3">
        <w:rPr>
          <w:rFonts w:cs="Times New Roman"/>
          <w:color w:val="000000" w:themeColor="text1"/>
        </w:rPr>
        <w:tab/>
        <w:t>Table_III-S4.xlsx</w:t>
      </w:r>
    </w:p>
    <w:p w14:paraId="048FA132" w14:textId="77777777" w:rsidR="00757218" w:rsidRPr="00E819E3" w:rsidRDefault="00757218" w:rsidP="00757218">
      <w:pPr>
        <w:tabs>
          <w:tab w:val="right" w:leader="dot" w:pos="9360"/>
        </w:tabs>
        <w:rPr>
          <w:rFonts w:cs="Times New Roman"/>
          <w:color w:val="000000" w:themeColor="text1"/>
        </w:rPr>
      </w:pPr>
      <w:r w:rsidRPr="00E819E3">
        <w:rPr>
          <w:rFonts w:cs="Times New Roman"/>
          <w:color w:val="000000" w:themeColor="text1"/>
        </w:rPr>
        <w:t>Table III-S5. Expression datasets used in this study</w:t>
      </w:r>
      <w:r w:rsidRPr="00E819E3">
        <w:rPr>
          <w:rFonts w:cs="Times New Roman"/>
          <w:color w:val="000000" w:themeColor="text1"/>
        </w:rPr>
        <w:tab/>
        <w:t>Table_III-S5.xlsx</w:t>
      </w:r>
    </w:p>
    <w:p w14:paraId="1527C0DA" w14:textId="77777777" w:rsidR="00757218" w:rsidRPr="00E819E3" w:rsidRDefault="00757218" w:rsidP="00757218">
      <w:pPr>
        <w:tabs>
          <w:tab w:val="right" w:leader="dot" w:pos="9360"/>
        </w:tabs>
        <w:rPr>
          <w:rFonts w:cs="Times New Roman"/>
          <w:color w:val="000000" w:themeColor="text1"/>
        </w:rPr>
      </w:pPr>
      <w:r w:rsidRPr="00E819E3">
        <w:rPr>
          <w:rFonts w:cs="Times New Roman"/>
          <w:color w:val="000000" w:themeColor="text1"/>
        </w:rPr>
        <w:t xml:space="preserve">Table III-S6. Syntenic blocks and copy number of genes the </w:t>
      </w:r>
      <w:r w:rsidRPr="00262E00">
        <w:rPr>
          <w:rFonts w:cs="Times New Roman"/>
          <w:i/>
          <w:iCs/>
          <w:color w:val="000000" w:themeColor="text1"/>
        </w:rPr>
        <w:t xml:space="preserve">P. </w:t>
      </w:r>
      <w:proofErr w:type="spellStart"/>
      <w:r w:rsidRPr="00262E00">
        <w:rPr>
          <w:rFonts w:cs="Times New Roman"/>
          <w:i/>
          <w:iCs/>
          <w:color w:val="000000" w:themeColor="text1"/>
        </w:rPr>
        <w:t>deltoides</w:t>
      </w:r>
      <w:proofErr w:type="spellEnd"/>
      <w:r w:rsidRPr="00E819E3">
        <w:rPr>
          <w:rFonts w:cs="Times New Roman"/>
          <w:color w:val="000000" w:themeColor="text1"/>
        </w:rPr>
        <w:t xml:space="preserve"> whole chloroplast event</w:t>
      </w:r>
      <w:r w:rsidRPr="00E819E3">
        <w:rPr>
          <w:rFonts w:cs="Times New Roman"/>
          <w:color w:val="000000" w:themeColor="text1"/>
        </w:rPr>
        <w:tab/>
        <w:t>Table_III-S6.xlsx</w:t>
      </w:r>
    </w:p>
    <w:p w14:paraId="311E1BD3" w14:textId="77777777" w:rsidR="00757218" w:rsidRPr="00E819E3" w:rsidRDefault="00757218" w:rsidP="00757218">
      <w:pPr>
        <w:tabs>
          <w:tab w:val="right" w:leader="dot" w:pos="9360"/>
        </w:tabs>
        <w:rPr>
          <w:rFonts w:cs="Times New Roman"/>
          <w:color w:val="000000" w:themeColor="text1"/>
        </w:rPr>
      </w:pPr>
      <w:r w:rsidRPr="00E819E3">
        <w:rPr>
          <w:rFonts w:cs="Times New Roman"/>
          <w:color w:val="000000" w:themeColor="text1"/>
        </w:rPr>
        <w:t xml:space="preserve">Table III-S7. Excluded NUMTs of mitochondrion origin in </w:t>
      </w:r>
      <w:r w:rsidRPr="00262E00">
        <w:rPr>
          <w:rFonts w:cs="Times New Roman"/>
          <w:i/>
          <w:iCs/>
          <w:color w:val="000000" w:themeColor="text1"/>
        </w:rPr>
        <w:t xml:space="preserve">P. </w:t>
      </w:r>
      <w:proofErr w:type="spellStart"/>
      <w:r w:rsidRPr="00262E00">
        <w:rPr>
          <w:rFonts w:cs="Times New Roman"/>
          <w:i/>
          <w:iCs/>
          <w:color w:val="000000" w:themeColor="text1"/>
        </w:rPr>
        <w:t>deltoides</w:t>
      </w:r>
      <w:proofErr w:type="spellEnd"/>
      <w:r w:rsidRPr="00E819E3">
        <w:rPr>
          <w:rFonts w:cs="Times New Roman"/>
          <w:color w:val="000000" w:themeColor="text1"/>
        </w:rPr>
        <w:tab/>
        <w:t>Table_III-S7.xlsx</w:t>
      </w:r>
    </w:p>
    <w:p w14:paraId="6B1E4311" w14:textId="341C8A95" w:rsidR="00757218" w:rsidRPr="00E819E3" w:rsidRDefault="00757218" w:rsidP="00757218">
      <w:pPr>
        <w:tabs>
          <w:tab w:val="right" w:leader="dot" w:pos="9360"/>
        </w:tabs>
        <w:rPr>
          <w:rFonts w:cs="Times New Roman"/>
          <w:color w:val="000000" w:themeColor="text1"/>
        </w:rPr>
      </w:pPr>
      <w:r w:rsidRPr="00E819E3">
        <w:rPr>
          <w:rFonts w:cs="Times New Roman"/>
          <w:color w:val="000000" w:themeColor="text1"/>
        </w:rPr>
        <w:t xml:space="preserve">Table IV-S1. 11 </w:t>
      </w:r>
      <w:r w:rsidRPr="00936EE1">
        <w:rPr>
          <w:rFonts w:cs="Times New Roman"/>
          <w:i/>
          <w:iCs/>
          <w:color w:val="000000" w:themeColor="text1"/>
        </w:rPr>
        <w:t>Salix</w:t>
      </w:r>
      <w:r w:rsidRPr="00E819E3">
        <w:rPr>
          <w:rFonts w:cs="Times New Roman"/>
          <w:color w:val="000000" w:themeColor="text1"/>
        </w:rPr>
        <w:t xml:space="preserve"> organelle genome features</w:t>
      </w:r>
      <w:r w:rsidRPr="00E819E3">
        <w:rPr>
          <w:rFonts w:cs="Times New Roman"/>
          <w:color w:val="000000" w:themeColor="text1"/>
        </w:rPr>
        <w:tab/>
        <w:t>Table_IV-S1.xlsx</w:t>
      </w:r>
    </w:p>
    <w:p w14:paraId="02FFE614" w14:textId="37BAE3AB" w:rsidR="00757218" w:rsidRPr="00E819E3" w:rsidRDefault="00757218" w:rsidP="00757218">
      <w:pPr>
        <w:tabs>
          <w:tab w:val="right" w:leader="dot" w:pos="9360"/>
        </w:tabs>
        <w:rPr>
          <w:rFonts w:cs="Times New Roman"/>
          <w:color w:val="000000" w:themeColor="text1"/>
        </w:rPr>
      </w:pPr>
      <w:r w:rsidRPr="00E819E3">
        <w:rPr>
          <w:rFonts w:cs="Times New Roman"/>
          <w:color w:val="000000" w:themeColor="text1"/>
        </w:rPr>
        <w:t xml:space="preserve">Table IV-S2. Pairwise identity of 11 </w:t>
      </w:r>
      <w:r w:rsidRPr="00936EE1">
        <w:rPr>
          <w:rFonts w:cs="Times New Roman"/>
          <w:i/>
          <w:iCs/>
          <w:color w:val="000000" w:themeColor="text1"/>
        </w:rPr>
        <w:t>Salix</w:t>
      </w:r>
      <w:r w:rsidRPr="00E819E3">
        <w:rPr>
          <w:rFonts w:cs="Times New Roman"/>
          <w:color w:val="000000" w:themeColor="text1"/>
        </w:rPr>
        <w:t xml:space="preserve"> chloroplast genomes</w:t>
      </w:r>
      <w:r w:rsidRPr="00E819E3">
        <w:rPr>
          <w:rFonts w:cs="Times New Roman"/>
          <w:color w:val="000000" w:themeColor="text1"/>
        </w:rPr>
        <w:tab/>
        <w:t>Table_IV-S2.xlsx</w:t>
      </w:r>
    </w:p>
    <w:p w14:paraId="2E2A4D55" w14:textId="77777777" w:rsidR="00757218" w:rsidRPr="00E819E3" w:rsidRDefault="00757218" w:rsidP="00757218">
      <w:pPr>
        <w:tabs>
          <w:tab w:val="right" w:leader="dot" w:pos="9360"/>
        </w:tabs>
        <w:rPr>
          <w:rFonts w:cs="Times New Roman"/>
          <w:color w:val="000000" w:themeColor="text1"/>
        </w:rPr>
      </w:pPr>
      <w:r w:rsidRPr="00E819E3">
        <w:rPr>
          <w:rFonts w:cs="Times New Roman"/>
          <w:color w:val="000000" w:themeColor="text1"/>
        </w:rPr>
        <w:t>Table IV-S3. Publicly available chloroplast and mitogenomes used for presence absence variation analysis</w:t>
      </w:r>
      <w:r w:rsidRPr="00E819E3">
        <w:rPr>
          <w:rFonts w:cs="Times New Roman"/>
          <w:color w:val="000000" w:themeColor="text1"/>
        </w:rPr>
        <w:tab/>
        <w:t>Table_IV-S3.xlsx</w:t>
      </w:r>
    </w:p>
    <w:p w14:paraId="27E574F9" w14:textId="77777777" w:rsidR="00757218" w:rsidRPr="00E819E3" w:rsidRDefault="00757218" w:rsidP="00757218">
      <w:pPr>
        <w:tabs>
          <w:tab w:val="right" w:leader="dot" w:pos="9360"/>
        </w:tabs>
        <w:rPr>
          <w:rFonts w:cs="Times New Roman"/>
          <w:color w:val="000000" w:themeColor="text1"/>
        </w:rPr>
      </w:pPr>
      <w:r w:rsidRPr="00E819E3">
        <w:rPr>
          <w:rFonts w:cs="Times New Roman"/>
          <w:color w:val="000000" w:themeColor="text1"/>
        </w:rPr>
        <w:t xml:space="preserve">Table IV-S4. Possible missing annotations from publicly available </w:t>
      </w:r>
      <w:r w:rsidRPr="00936EE1">
        <w:rPr>
          <w:rFonts w:cs="Times New Roman"/>
          <w:i/>
          <w:iCs/>
          <w:color w:val="000000" w:themeColor="text1"/>
        </w:rPr>
        <w:t>Salix</w:t>
      </w:r>
      <w:r w:rsidRPr="00E819E3">
        <w:rPr>
          <w:rFonts w:cs="Times New Roman"/>
          <w:color w:val="000000" w:themeColor="text1"/>
        </w:rPr>
        <w:t xml:space="preserve"> organelle genomes </w:t>
      </w:r>
      <w:r w:rsidRPr="00E819E3">
        <w:rPr>
          <w:rFonts w:cs="Times New Roman"/>
          <w:color w:val="000000" w:themeColor="text1"/>
        </w:rPr>
        <w:tab/>
        <w:t>Table_IV-S4.xlsx</w:t>
      </w:r>
    </w:p>
    <w:p w14:paraId="28C53CB1" w14:textId="77777777" w:rsidR="00757218" w:rsidRPr="00E819E3" w:rsidRDefault="00757218" w:rsidP="00757218">
      <w:pPr>
        <w:tabs>
          <w:tab w:val="right" w:leader="dot" w:pos="9360"/>
        </w:tabs>
        <w:rPr>
          <w:rFonts w:cs="Times New Roman"/>
          <w:color w:val="000000" w:themeColor="text1"/>
        </w:rPr>
      </w:pPr>
      <w:r w:rsidRPr="00E819E3">
        <w:rPr>
          <w:rFonts w:cs="Times New Roman"/>
          <w:color w:val="000000" w:themeColor="text1"/>
        </w:rPr>
        <w:t xml:space="preserve">Table IV-S5. tRNA copy number in the </w:t>
      </w:r>
      <w:r w:rsidRPr="00936EE1">
        <w:rPr>
          <w:rFonts w:cs="Times New Roman"/>
          <w:i/>
          <w:iCs/>
          <w:color w:val="000000" w:themeColor="text1"/>
        </w:rPr>
        <w:t>Salix</w:t>
      </w:r>
      <w:r w:rsidRPr="00E819E3">
        <w:rPr>
          <w:rFonts w:cs="Times New Roman"/>
          <w:color w:val="000000" w:themeColor="text1"/>
        </w:rPr>
        <w:t xml:space="preserve"> mitogenomes</w:t>
      </w:r>
      <w:r w:rsidRPr="00E819E3">
        <w:rPr>
          <w:rFonts w:cs="Times New Roman"/>
          <w:color w:val="000000" w:themeColor="text1"/>
        </w:rPr>
        <w:tab/>
        <w:t>Table_IV-S5.xlsx</w:t>
      </w:r>
    </w:p>
    <w:p w14:paraId="31B609AD" w14:textId="5D78025C" w:rsidR="00757218" w:rsidRPr="00E819E3" w:rsidRDefault="00757218" w:rsidP="00757218">
      <w:pPr>
        <w:tabs>
          <w:tab w:val="right" w:leader="dot" w:pos="9360"/>
        </w:tabs>
        <w:rPr>
          <w:rFonts w:cs="Times New Roman"/>
          <w:color w:val="000000" w:themeColor="text1"/>
        </w:rPr>
      </w:pPr>
      <w:r w:rsidRPr="00E819E3">
        <w:rPr>
          <w:rFonts w:cs="Times New Roman"/>
          <w:color w:val="000000" w:themeColor="text1"/>
        </w:rPr>
        <w:t>Table IV-S6. Average SSR frequency by repeat length in the 11 chloroplast and mitogenomes</w:t>
      </w:r>
      <w:r w:rsidRPr="00E819E3">
        <w:rPr>
          <w:rFonts w:cs="Times New Roman"/>
          <w:color w:val="000000" w:themeColor="text1"/>
        </w:rPr>
        <w:tab/>
        <w:t>Table_IV-S6.xlsx</w:t>
      </w:r>
    </w:p>
    <w:p w14:paraId="2F9DEE3E" w14:textId="20EE0345" w:rsidR="00757218" w:rsidRPr="00E819E3" w:rsidRDefault="00757218" w:rsidP="00757218">
      <w:pPr>
        <w:tabs>
          <w:tab w:val="right" w:leader="dot" w:pos="9360"/>
        </w:tabs>
        <w:rPr>
          <w:rFonts w:cs="Times New Roman"/>
          <w:color w:val="000000" w:themeColor="text1"/>
        </w:rPr>
      </w:pPr>
      <w:r w:rsidRPr="00E819E3">
        <w:rPr>
          <w:rFonts w:cs="Times New Roman"/>
          <w:color w:val="000000" w:themeColor="text1"/>
        </w:rPr>
        <w:t>Table IV-S7. SSR coordinates (1-based) 11 chloroplast and mitogenomes</w:t>
      </w:r>
      <w:r w:rsidRPr="00E819E3">
        <w:rPr>
          <w:rFonts w:cs="Times New Roman"/>
          <w:color w:val="000000" w:themeColor="text1"/>
        </w:rPr>
        <w:tab/>
        <w:t>Table_IV-S7.xlsx</w:t>
      </w:r>
    </w:p>
    <w:p w14:paraId="58C9836F" w14:textId="6FBA79DE" w:rsidR="00757218" w:rsidRPr="00E819E3" w:rsidRDefault="00757218" w:rsidP="00757218">
      <w:pPr>
        <w:tabs>
          <w:tab w:val="right" w:leader="dot" w:pos="9360"/>
        </w:tabs>
        <w:rPr>
          <w:rFonts w:cs="Times New Roman"/>
          <w:color w:val="000000" w:themeColor="text1"/>
        </w:rPr>
      </w:pPr>
      <w:r w:rsidRPr="00E819E3">
        <w:rPr>
          <w:rFonts w:cs="Times New Roman"/>
          <w:color w:val="000000" w:themeColor="text1"/>
        </w:rPr>
        <w:t>Table IV-S8. Dispersed repeat coordinates (1-based) 11 chloroplast and mitogenomes</w:t>
      </w:r>
      <w:r w:rsidRPr="00E819E3">
        <w:rPr>
          <w:rFonts w:cs="Times New Roman"/>
          <w:color w:val="000000" w:themeColor="text1"/>
        </w:rPr>
        <w:tab/>
        <w:t>Table_IV-S8.xlsx</w:t>
      </w:r>
    </w:p>
    <w:p w14:paraId="45C41B08" w14:textId="77777777" w:rsidR="00757218" w:rsidRPr="00E819E3" w:rsidRDefault="00757218" w:rsidP="00757218">
      <w:pPr>
        <w:tabs>
          <w:tab w:val="right" w:leader="dot" w:pos="9360"/>
        </w:tabs>
        <w:rPr>
          <w:rFonts w:cs="Times New Roman"/>
          <w:color w:val="000000" w:themeColor="text1"/>
        </w:rPr>
      </w:pPr>
      <w:r w:rsidRPr="00E819E3">
        <w:rPr>
          <w:rFonts w:cs="Times New Roman"/>
          <w:color w:val="000000" w:themeColor="text1"/>
        </w:rPr>
        <w:t>Table IV-S9. Chloroplast and mitogenomes used in phylogenetic tree construction</w:t>
      </w:r>
      <w:r w:rsidRPr="00E819E3">
        <w:rPr>
          <w:rFonts w:cs="Times New Roman"/>
          <w:color w:val="000000" w:themeColor="text1"/>
        </w:rPr>
        <w:tab/>
        <w:t>Table_IV-S9.xlsx</w:t>
      </w:r>
    </w:p>
    <w:p w14:paraId="0F4DD65B" w14:textId="77777777" w:rsidR="00757218" w:rsidRPr="00E819E3" w:rsidRDefault="00757218" w:rsidP="00757218">
      <w:pPr>
        <w:tabs>
          <w:tab w:val="right" w:leader="dot" w:pos="9360"/>
        </w:tabs>
        <w:rPr>
          <w:rFonts w:cs="Times New Roman"/>
          <w:color w:val="000000" w:themeColor="text1"/>
        </w:rPr>
      </w:pPr>
      <w:r w:rsidRPr="00E819E3">
        <w:rPr>
          <w:rFonts w:cs="Times New Roman"/>
          <w:color w:val="000000" w:themeColor="text1"/>
        </w:rPr>
        <w:t>Table IV-S10. Protein-coding genes in the chloroplast and mitogenomes with evidence of positive selection</w:t>
      </w:r>
      <w:r w:rsidRPr="00E819E3">
        <w:rPr>
          <w:rFonts w:cs="Times New Roman"/>
          <w:color w:val="000000" w:themeColor="text1"/>
        </w:rPr>
        <w:tab/>
        <w:t>Table_IV-S10.xlsx</w:t>
      </w:r>
    </w:p>
    <w:p w14:paraId="00F3E99F" w14:textId="136DA29B" w:rsidR="003D1852" w:rsidRDefault="00757218" w:rsidP="00C87105">
      <w:pPr>
        <w:tabs>
          <w:tab w:val="right" w:leader="dot" w:pos="9360"/>
        </w:tabs>
        <w:rPr>
          <w:rFonts w:cs="Times New Roman"/>
          <w:color w:val="000000" w:themeColor="text1"/>
        </w:rPr>
      </w:pPr>
      <w:r w:rsidRPr="00E819E3">
        <w:rPr>
          <w:rFonts w:cs="Times New Roman"/>
          <w:color w:val="000000" w:themeColor="text1"/>
        </w:rPr>
        <w:t xml:space="preserve">Table IV-S11. </w:t>
      </w:r>
      <w:r w:rsidRPr="00936EE1">
        <w:rPr>
          <w:rFonts w:cs="Times New Roman"/>
          <w:i/>
          <w:iCs/>
          <w:color w:val="000000" w:themeColor="text1"/>
        </w:rPr>
        <w:t>Salix</w:t>
      </w:r>
      <w:r w:rsidRPr="00E819E3">
        <w:rPr>
          <w:rFonts w:cs="Times New Roman"/>
          <w:color w:val="000000" w:themeColor="text1"/>
        </w:rPr>
        <w:t xml:space="preserve"> chloroplast genomes used as reference sequences during annotation</w:t>
      </w:r>
      <w:r w:rsidRPr="00E819E3">
        <w:rPr>
          <w:rFonts w:cs="Times New Roman"/>
          <w:color w:val="000000" w:themeColor="text1"/>
        </w:rPr>
        <w:tab/>
        <w:t>Table_IV-S11.xlsx</w:t>
      </w:r>
    </w:p>
    <w:p w14:paraId="71BF2F46" w14:textId="3EBAE4E7" w:rsidR="00D02596" w:rsidRPr="00E819E3" w:rsidRDefault="00D02596" w:rsidP="00D02596">
      <w:pPr>
        <w:tabs>
          <w:tab w:val="right" w:leader="dot" w:pos="9360"/>
        </w:tabs>
        <w:rPr>
          <w:rFonts w:cs="Times New Roman"/>
          <w:color w:val="000000" w:themeColor="text1"/>
        </w:rPr>
      </w:pPr>
      <w:r w:rsidRPr="00E819E3">
        <w:rPr>
          <w:rFonts w:cs="Times New Roman"/>
          <w:color w:val="000000" w:themeColor="text1"/>
        </w:rPr>
        <w:t>Table IV-S</w:t>
      </w:r>
      <w:r>
        <w:rPr>
          <w:rFonts w:cs="Times New Roman"/>
          <w:color w:val="000000" w:themeColor="text1"/>
        </w:rPr>
        <w:t>12</w:t>
      </w:r>
      <w:r w:rsidRPr="00E819E3">
        <w:rPr>
          <w:rFonts w:cs="Times New Roman"/>
          <w:color w:val="000000" w:themeColor="text1"/>
        </w:rPr>
        <w:t>.</w:t>
      </w:r>
      <w:r>
        <w:rPr>
          <w:rFonts w:cs="Times New Roman"/>
          <w:color w:val="000000" w:themeColor="text1"/>
        </w:rPr>
        <w:t xml:space="preserve"> 11 </w:t>
      </w:r>
      <w:r w:rsidRPr="00D02596">
        <w:rPr>
          <w:rFonts w:cs="Times New Roman"/>
          <w:i/>
          <w:iCs/>
          <w:color w:val="000000" w:themeColor="text1"/>
        </w:rPr>
        <w:t>Salix</w:t>
      </w:r>
      <w:r>
        <w:rPr>
          <w:rFonts w:cs="Times New Roman"/>
          <w:color w:val="000000" w:themeColor="text1"/>
        </w:rPr>
        <w:t xml:space="preserve"> RNA-Seq data</w:t>
      </w:r>
      <w:r w:rsidRPr="00E819E3">
        <w:rPr>
          <w:rFonts w:cs="Times New Roman"/>
          <w:color w:val="000000" w:themeColor="text1"/>
        </w:rPr>
        <w:tab/>
        <w:t>Table_IV-S</w:t>
      </w:r>
      <w:r>
        <w:rPr>
          <w:rFonts w:cs="Times New Roman"/>
          <w:color w:val="000000" w:themeColor="text1"/>
        </w:rPr>
        <w:t>12</w:t>
      </w:r>
      <w:r w:rsidRPr="00E819E3">
        <w:rPr>
          <w:rFonts w:cs="Times New Roman"/>
          <w:color w:val="000000" w:themeColor="text1"/>
        </w:rPr>
        <w:t>.xlsx</w:t>
      </w:r>
    </w:p>
    <w:p w14:paraId="378232B9" w14:textId="1D60D563" w:rsidR="003D1852" w:rsidRPr="00C87105" w:rsidRDefault="003D1852" w:rsidP="00C87105">
      <w:pPr>
        <w:tabs>
          <w:tab w:val="right" w:leader="dot" w:pos="9360"/>
        </w:tabs>
        <w:rPr>
          <w:rFonts w:cs="Times New Roman"/>
          <w:color w:val="000000" w:themeColor="text1"/>
        </w:rPr>
        <w:sectPr w:rsidR="003D1852" w:rsidRPr="00C87105" w:rsidSect="00757218">
          <w:footerReference w:type="even" r:id="rId8"/>
          <w:footerReference w:type="default" r:id="rId9"/>
          <w:pgSz w:w="12240" w:h="15840"/>
          <w:pgMar w:top="1440" w:right="1440" w:bottom="1440" w:left="1440" w:header="720" w:footer="720" w:gutter="0"/>
          <w:pgNumType w:fmt="lowerRoman"/>
          <w:cols w:space="720"/>
          <w:titlePg/>
          <w:docGrid w:linePitch="360"/>
        </w:sectPr>
      </w:pPr>
    </w:p>
    <w:p w14:paraId="0EC7F0E5" w14:textId="77777777" w:rsidR="00636B5B" w:rsidRPr="00E23D79" w:rsidRDefault="00636B5B" w:rsidP="00E64425">
      <w:pPr>
        <w:jc w:val="center"/>
        <w:rPr>
          <w:b/>
          <w:bCs/>
          <w:sz w:val="32"/>
          <w:szCs w:val="28"/>
        </w:rPr>
      </w:pPr>
      <w:r w:rsidRPr="00E23D79">
        <w:rPr>
          <w:b/>
          <w:bCs/>
          <w:sz w:val="32"/>
          <w:szCs w:val="28"/>
        </w:rPr>
        <w:lastRenderedPageBreak/>
        <w:t>Chapter I</w:t>
      </w:r>
    </w:p>
    <w:p w14:paraId="27713711" w14:textId="77777777" w:rsidR="00636B5B" w:rsidRPr="00E23D79" w:rsidRDefault="00636B5B" w:rsidP="00E64425">
      <w:pPr>
        <w:jc w:val="center"/>
        <w:rPr>
          <w:b/>
          <w:bCs/>
          <w:sz w:val="32"/>
          <w:szCs w:val="28"/>
        </w:rPr>
      </w:pPr>
      <w:r w:rsidRPr="00E23D79">
        <w:rPr>
          <w:b/>
          <w:bCs/>
          <w:sz w:val="32"/>
          <w:szCs w:val="28"/>
        </w:rPr>
        <w:t>Introduction</w:t>
      </w:r>
    </w:p>
    <w:p w14:paraId="3D5A51A8" w14:textId="77777777" w:rsidR="00636B5B" w:rsidRDefault="00636B5B" w:rsidP="00E64425">
      <w:pPr>
        <w:jc w:val="center"/>
        <w:rPr>
          <w:b/>
          <w:bCs/>
          <w:sz w:val="28"/>
          <w:szCs w:val="26"/>
        </w:rPr>
      </w:pPr>
    </w:p>
    <w:p w14:paraId="4CFB62A3" w14:textId="77777777" w:rsidR="00636B5B" w:rsidRDefault="00636B5B" w:rsidP="00E64425">
      <w:pPr>
        <w:jc w:val="center"/>
        <w:rPr>
          <w:b/>
          <w:bCs/>
          <w:sz w:val="28"/>
          <w:szCs w:val="26"/>
        </w:rPr>
      </w:pPr>
    </w:p>
    <w:p w14:paraId="6303E16D" w14:textId="77777777" w:rsidR="00636B5B" w:rsidRDefault="00636B5B" w:rsidP="00E64425">
      <w:pPr>
        <w:jc w:val="center"/>
        <w:rPr>
          <w:b/>
          <w:bCs/>
          <w:sz w:val="28"/>
          <w:szCs w:val="26"/>
        </w:rPr>
      </w:pPr>
    </w:p>
    <w:p w14:paraId="26EC071D" w14:textId="77777777" w:rsidR="00636B5B" w:rsidRDefault="00636B5B" w:rsidP="00E64425">
      <w:pPr>
        <w:jc w:val="center"/>
        <w:rPr>
          <w:b/>
          <w:bCs/>
          <w:sz w:val="28"/>
          <w:szCs w:val="26"/>
        </w:rPr>
      </w:pPr>
    </w:p>
    <w:p w14:paraId="47D9A852" w14:textId="77777777" w:rsidR="00636B5B" w:rsidRDefault="00636B5B" w:rsidP="00E64425">
      <w:pPr>
        <w:jc w:val="center"/>
        <w:rPr>
          <w:b/>
          <w:bCs/>
          <w:sz w:val="28"/>
          <w:szCs w:val="26"/>
        </w:rPr>
      </w:pPr>
    </w:p>
    <w:p w14:paraId="041B21E4" w14:textId="77777777" w:rsidR="00636B5B" w:rsidRDefault="00636B5B" w:rsidP="00E64425">
      <w:pPr>
        <w:jc w:val="center"/>
        <w:rPr>
          <w:b/>
          <w:bCs/>
          <w:sz w:val="28"/>
          <w:szCs w:val="26"/>
        </w:rPr>
      </w:pPr>
    </w:p>
    <w:p w14:paraId="1FEFE1FA" w14:textId="77777777" w:rsidR="00636B5B" w:rsidRDefault="00636B5B" w:rsidP="00E64425">
      <w:pPr>
        <w:jc w:val="center"/>
        <w:rPr>
          <w:b/>
          <w:bCs/>
          <w:sz w:val="28"/>
          <w:szCs w:val="26"/>
        </w:rPr>
      </w:pPr>
    </w:p>
    <w:p w14:paraId="50BCE57F" w14:textId="77777777" w:rsidR="00636B5B" w:rsidRDefault="00636B5B" w:rsidP="00E64425">
      <w:pPr>
        <w:jc w:val="center"/>
        <w:rPr>
          <w:b/>
          <w:bCs/>
          <w:sz w:val="28"/>
          <w:szCs w:val="26"/>
        </w:rPr>
      </w:pPr>
    </w:p>
    <w:p w14:paraId="79BD2362" w14:textId="77777777" w:rsidR="00636B5B" w:rsidRDefault="00636B5B" w:rsidP="00E64425">
      <w:pPr>
        <w:jc w:val="center"/>
        <w:rPr>
          <w:b/>
          <w:bCs/>
          <w:sz w:val="28"/>
          <w:szCs w:val="26"/>
        </w:rPr>
      </w:pPr>
    </w:p>
    <w:p w14:paraId="6803562B" w14:textId="77777777" w:rsidR="00636B5B" w:rsidRDefault="00636B5B" w:rsidP="00E64425">
      <w:pPr>
        <w:jc w:val="center"/>
        <w:rPr>
          <w:b/>
          <w:bCs/>
          <w:sz w:val="28"/>
          <w:szCs w:val="26"/>
        </w:rPr>
      </w:pPr>
    </w:p>
    <w:p w14:paraId="630D9B4B" w14:textId="77777777" w:rsidR="00636B5B" w:rsidRDefault="00636B5B" w:rsidP="00E64425">
      <w:pPr>
        <w:jc w:val="center"/>
        <w:rPr>
          <w:b/>
          <w:bCs/>
          <w:sz w:val="28"/>
          <w:szCs w:val="26"/>
        </w:rPr>
      </w:pPr>
    </w:p>
    <w:p w14:paraId="1C0B66C3" w14:textId="77777777" w:rsidR="00636B5B" w:rsidRDefault="00636B5B" w:rsidP="00E64425">
      <w:pPr>
        <w:jc w:val="center"/>
        <w:rPr>
          <w:b/>
          <w:bCs/>
          <w:sz w:val="28"/>
          <w:szCs w:val="26"/>
        </w:rPr>
      </w:pPr>
    </w:p>
    <w:p w14:paraId="7C720A7F" w14:textId="77777777" w:rsidR="00636B5B" w:rsidRDefault="00636B5B" w:rsidP="00E64425">
      <w:pPr>
        <w:jc w:val="center"/>
        <w:rPr>
          <w:b/>
          <w:bCs/>
          <w:sz w:val="28"/>
          <w:szCs w:val="26"/>
        </w:rPr>
      </w:pPr>
    </w:p>
    <w:p w14:paraId="3E09AB2A" w14:textId="77777777" w:rsidR="00636B5B" w:rsidRDefault="00636B5B" w:rsidP="00E64425">
      <w:pPr>
        <w:jc w:val="center"/>
        <w:rPr>
          <w:b/>
          <w:bCs/>
          <w:sz w:val="28"/>
          <w:szCs w:val="26"/>
        </w:rPr>
      </w:pPr>
    </w:p>
    <w:p w14:paraId="13F83C02" w14:textId="77777777" w:rsidR="00636B5B" w:rsidRDefault="00636B5B" w:rsidP="00E64425">
      <w:pPr>
        <w:jc w:val="center"/>
        <w:rPr>
          <w:b/>
          <w:bCs/>
          <w:sz w:val="28"/>
          <w:szCs w:val="26"/>
        </w:rPr>
      </w:pPr>
    </w:p>
    <w:p w14:paraId="3522D2B9" w14:textId="77777777" w:rsidR="00636B5B" w:rsidRDefault="00636B5B" w:rsidP="00E64425">
      <w:pPr>
        <w:jc w:val="center"/>
        <w:rPr>
          <w:b/>
          <w:bCs/>
          <w:sz w:val="28"/>
          <w:szCs w:val="26"/>
        </w:rPr>
      </w:pPr>
    </w:p>
    <w:p w14:paraId="13FACD50" w14:textId="77777777" w:rsidR="00636B5B" w:rsidRDefault="00636B5B" w:rsidP="00E64425">
      <w:pPr>
        <w:jc w:val="center"/>
        <w:rPr>
          <w:b/>
          <w:bCs/>
          <w:sz w:val="28"/>
          <w:szCs w:val="26"/>
        </w:rPr>
      </w:pPr>
    </w:p>
    <w:p w14:paraId="17A34231" w14:textId="77777777" w:rsidR="00636B5B" w:rsidRDefault="00636B5B" w:rsidP="00E64425">
      <w:pPr>
        <w:jc w:val="center"/>
        <w:rPr>
          <w:b/>
          <w:bCs/>
          <w:sz w:val="28"/>
          <w:szCs w:val="26"/>
        </w:rPr>
      </w:pPr>
    </w:p>
    <w:p w14:paraId="6D2F1A41" w14:textId="77777777" w:rsidR="00636B5B" w:rsidRDefault="00636B5B" w:rsidP="00E64425">
      <w:pPr>
        <w:jc w:val="center"/>
        <w:rPr>
          <w:b/>
          <w:bCs/>
          <w:sz w:val="28"/>
          <w:szCs w:val="26"/>
        </w:rPr>
      </w:pPr>
    </w:p>
    <w:p w14:paraId="430F2241" w14:textId="77777777" w:rsidR="00636B5B" w:rsidRDefault="00636B5B" w:rsidP="00E64425">
      <w:pPr>
        <w:jc w:val="center"/>
        <w:rPr>
          <w:b/>
          <w:bCs/>
          <w:sz w:val="28"/>
          <w:szCs w:val="26"/>
        </w:rPr>
      </w:pPr>
    </w:p>
    <w:p w14:paraId="36A1EE28" w14:textId="77777777" w:rsidR="00636B5B" w:rsidRDefault="00636B5B" w:rsidP="00E64425">
      <w:pPr>
        <w:jc w:val="center"/>
        <w:rPr>
          <w:b/>
          <w:bCs/>
          <w:sz w:val="28"/>
          <w:szCs w:val="26"/>
        </w:rPr>
      </w:pPr>
    </w:p>
    <w:p w14:paraId="7D3A4680" w14:textId="77777777" w:rsidR="00636B5B" w:rsidRDefault="00636B5B" w:rsidP="00E64425">
      <w:pPr>
        <w:jc w:val="center"/>
        <w:rPr>
          <w:b/>
          <w:bCs/>
          <w:sz w:val="28"/>
          <w:szCs w:val="26"/>
        </w:rPr>
      </w:pPr>
    </w:p>
    <w:p w14:paraId="3FAF91C3" w14:textId="77777777" w:rsidR="00636B5B" w:rsidRDefault="00636B5B" w:rsidP="00E64425">
      <w:pPr>
        <w:jc w:val="center"/>
        <w:rPr>
          <w:b/>
          <w:bCs/>
          <w:sz w:val="28"/>
          <w:szCs w:val="26"/>
        </w:rPr>
      </w:pPr>
    </w:p>
    <w:p w14:paraId="4D77CA05" w14:textId="77777777" w:rsidR="00636B5B" w:rsidRDefault="00636B5B" w:rsidP="00E64425">
      <w:pPr>
        <w:jc w:val="center"/>
        <w:rPr>
          <w:b/>
          <w:bCs/>
          <w:sz w:val="28"/>
          <w:szCs w:val="26"/>
        </w:rPr>
      </w:pPr>
    </w:p>
    <w:p w14:paraId="078DF60A" w14:textId="77777777" w:rsidR="00636B5B" w:rsidRDefault="00636B5B" w:rsidP="00E64425">
      <w:pPr>
        <w:jc w:val="center"/>
        <w:rPr>
          <w:b/>
          <w:bCs/>
          <w:sz w:val="28"/>
          <w:szCs w:val="26"/>
        </w:rPr>
      </w:pPr>
    </w:p>
    <w:p w14:paraId="6C249766" w14:textId="77777777" w:rsidR="00636B5B" w:rsidRDefault="00636B5B" w:rsidP="00E64425">
      <w:pPr>
        <w:jc w:val="center"/>
        <w:rPr>
          <w:b/>
          <w:bCs/>
          <w:sz w:val="28"/>
          <w:szCs w:val="26"/>
        </w:rPr>
      </w:pPr>
    </w:p>
    <w:p w14:paraId="52D125FB" w14:textId="77777777" w:rsidR="00636B5B" w:rsidRDefault="00636B5B" w:rsidP="00E64425">
      <w:pPr>
        <w:jc w:val="center"/>
        <w:rPr>
          <w:b/>
          <w:bCs/>
          <w:sz w:val="28"/>
          <w:szCs w:val="26"/>
        </w:rPr>
      </w:pPr>
    </w:p>
    <w:p w14:paraId="3CAAE6D3" w14:textId="77777777" w:rsidR="00636B5B" w:rsidRDefault="00636B5B" w:rsidP="00E64425">
      <w:pPr>
        <w:jc w:val="center"/>
        <w:rPr>
          <w:b/>
          <w:bCs/>
          <w:sz w:val="28"/>
          <w:szCs w:val="26"/>
        </w:rPr>
      </w:pPr>
    </w:p>
    <w:p w14:paraId="036601ED" w14:textId="77777777" w:rsidR="00636B5B" w:rsidRDefault="00636B5B" w:rsidP="00E64425">
      <w:pPr>
        <w:jc w:val="center"/>
        <w:rPr>
          <w:b/>
          <w:bCs/>
          <w:sz w:val="28"/>
          <w:szCs w:val="26"/>
        </w:rPr>
      </w:pPr>
    </w:p>
    <w:p w14:paraId="7B648955" w14:textId="77777777" w:rsidR="00636B5B" w:rsidRDefault="00636B5B" w:rsidP="00E64425">
      <w:pPr>
        <w:jc w:val="center"/>
        <w:rPr>
          <w:b/>
          <w:bCs/>
          <w:sz w:val="28"/>
          <w:szCs w:val="26"/>
        </w:rPr>
      </w:pPr>
    </w:p>
    <w:p w14:paraId="5AF57079" w14:textId="77777777" w:rsidR="00636B5B" w:rsidRDefault="00636B5B" w:rsidP="00E64425">
      <w:pPr>
        <w:jc w:val="center"/>
        <w:rPr>
          <w:b/>
          <w:bCs/>
          <w:sz w:val="28"/>
          <w:szCs w:val="26"/>
        </w:rPr>
      </w:pPr>
    </w:p>
    <w:p w14:paraId="14E8AFB2" w14:textId="77777777" w:rsidR="00636B5B" w:rsidRDefault="00636B5B" w:rsidP="00E64425">
      <w:pPr>
        <w:jc w:val="center"/>
        <w:rPr>
          <w:b/>
          <w:bCs/>
          <w:sz w:val="28"/>
          <w:szCs w:val="26"/>
        </w:rPr>
      </w:pPr>
    </w:p>
    <w:p w14:paraId="3DA8FC0F" w14:textId="77777777" w:rsidR="00636B5B" w:rsidRDefault="00636B5B" w:rsidP="00E64425">
      <w:pPr>
        <w:jc w:val="center"/>
        <w:rPr>
          <w:b/>
          <w:bCs/>
          <w:sz w:val="28"/>
          <w:szCs w:val="26"/>
        </w:rPr>
      </w:pPr>
    </w:p>
    <w:p w14:paraId="16DA8E5D" w14:textId="77777777" w:rsidR="00636B5B" w:rsidRDefault="00636B5B" w:rsidP="00E64425">
      <w:pPr>
        <w:jc w:val="center"/>
        <w:rPr>
          <w:b/>
          <w:bCs/>
          <w:sz w:val="28"/>
          <w:szCs w:val="26"/>
        </w:rPr>
      </w:pPr>
    </w:p>
    <w:p w14:paraId="59944121" w14:textId="77777777" w:rsidR="00636B5B" w:rsidRDefault="00636B5B" w:rsidP="00E64425">
      <w:pPr>
        <w:jc w:val="center"/>
        <w:rPr>
          <w:b/>
          <w:bCs/>
          <w:sz w:val="28"/>
          <w:szCs w:val="26"/>
        </w:rPr>
      </w:pPr>
    </w:p>
    <w:p w14:paraId="2793636F" w14:textId="77777777" w:rsidR="00636B5B" w:rsidRDefault="00636B5B" w:rsidP="00E64425">
      <w:pPr>
        <w:jc w:val="center"/>
        <w:rPr>
          <w:b/>
          <w:bCs/>
          <w:sz w:val="28"/>
          <w:szCs w:val="26"/>
        </w:rPr>
      </w:pPr>
    </w:p>
    <w:p w14:paraId="5C5A67FF" w14:textId="77777777" w:rsidR="00636B5B" w:rsidRDefault="00636B5B" w:rsidP="00E64425">
      <w:pPr>
        <w:rPr>
          <w:b/>
          <w:bCs/>
          <w:sz w:val="28"/>
          <w:szCs w:val="26"/>
        </w:rPr>
      </w:pPr>
    </w:p>
    <w:p w14:paraId="13549734" w14:textId="77777777" w:rsidR="00636B5B" w:rsidRPr="000E7561" w:rsidRDefault="00636B5B" w:rsidP="00E64425">
      <w:pPr>
        <w:jc w:val="center"/>
        <w:rPr>
          <w:b/>
          <w:bCs/>
          <w:sz w:val="28"/>
          <w:szCs w:val="26"/>
        </w:rPr>
      </w:pPr>
      <w:r>
        <w:rPr>
          <w:b/>
          <w:bCs/>
          <w:sz w:val="28"/>
          <w:szCs w:val="26"/>
        </w:rPr>
        <w:lastRenderedPageBreak/>
        <w:t>INTRODUCTION</w:t>
      </w:r>
    </w:p>
    <w:p w14:paraId="2F395925" w14:textId="77777777" w:rsidR="00636B5B" w:rsidRDefault="00636B5B" w:rsidP="00E64425">
      <w:pPr>
        <w:rPr>
          <w:b/>
          <w:bCs/>
        </w:rPr>
      </w:pPr>
    </w:p>
    <w:p w14:paraId="461D9D35" w14:textId="7A361265" w:rsidR="00636B5B" w:rsidRDefault="00636B5B" w:rsidP="00E64425">
      <w:pPr>
        <w:rPr>
          <w:b/>
          <w:bCs/>
        </w:rPr>
      </w:pPr>
      <w:r>
        <w:rPr>
          <w:b/>
          <w:bCs/>
        </w:rPr>
        <w:t xml:space="preserve">Genetic Novelty and </w:t>
      </w:r>
      <w:r>
        <w:rPr>
          <w:b/>
          <w:bCs/>
          <w:i/>
          <w:iCs/>
        </w:rPr>
        <w:t xml:space="preserve">de novo </w:t>
      </w:r>
      <w:r>
        <w:rPr>
          <w:b/>
          <w:bCs/>
        </w:rPr>
        <w:t>gene evolution</w:t>
      </w:r>
    </w:p>
    <w:p w14:paraId="076CA960" w14:textId="77777777" w:rsidR="00D30413" w:rsidRDefault="00D30413" w:rsidP="00E64425">
      <w:pPr>
        <w:rPr>
          <w:b/>
          <w:bCs/>
        </w:rPr>
      </w:pPr>
    </w:p>
    <w:p w14:paraId="7924E001" w14:textId="77777777" w:rsidR="00636B5B" w:rsidRDefault="00636B5B" w:rsidP="00E64425">
      <w:pPr>
        <w:spacing w:line="360" w:lineRule="auto"/>
      </w:pPr>
      <w:r>
        <w:rPr>
          <w:b/>
          <w:bCs/>
        </w:rPr>
        <w:tab/>
      </w:r>
      <w:r>
        <w:rPr>
          <w:i/>
          <w:iCs/>
        </w:rPr>
        <w:t xml:space="preserve">De novo </w:t>
      </w:r>
      <w:r>
        <w:t xml:space="preserve">genes are genes whose origins lie in ancestrally non-coding sequence </w:t>
      </w:r>
      <w:r>
        <w:fldChar w:fldCharType="begin" w:fldLock="1"/>
      </w:r>
      <w:r>
        <w:instrText>ADDIN CSL_CITATION {"citationItems":[{"id":"ITEM-1","itemData":{"author":[{"dropping-particle":"","family":"Schmitz","given":"Jonathan","non-dropping-particle":"","parse-names":false,"suffix":""},{"dropping-particle":"","family":"Ullrich","given":"Kristian","non-dropping-particle":"","parse-names":false,"suffix":""},{"dropping-particle":"","family":"Bornberg-bauer","given":"Erich","non-dropping-particle":"","parse-names":false,"suffix":""}],"id":"ITEM-1","issue":"Saibil 2013","issued":{"date-parts":[["2017"]]},"title":"De Novo Genes are \" Frozen Accidents \" which Escaped Rapid Turnover of Pervasively Transcribed ORFs","type":"article-journal"},"uris":["http://www.mendeley.com/documents/?uuid=5d6ee493-6235-49b0-b169-d4cd94394712"]}],"mendeley":{"formattedCitation":"(J. Schmitz, Ullrich, &amp; Bornberg-bauer, 2017)","plainTextFormattedCitation":"(J. Schmitz, Ullrich, &amp; Bornberg-bauer, 2017)","previouslyFormattedCitation":"(Schmitz et al. 2017)"},"properties":{"noteIndex":0},"schema":"https://github.com/citation-style-language/schema/raw/master/csl-citation.json"}</w:instrText>
      </w:r>
      <w:r>
        <w:fldChar w:fldCharType="separate"/>
      </w:r>
      <w:r w:rsidRPr="00E64425">
        <w:rPr>
          <w:noProof/>
        </w:rPr>
        <w:t>(J. Schmitz, Ullrich, &amp; Bornberg-bauer, 2017)</w:t>
      </w:r>
      <w:r>
        <w:fldChar w:fldCharType="end"/>
      </w:r>
      <w:r>
        <w:t xml:space="preserve">. They may be either protein-coding or RNA genes </w:t>
      </w:r>
      <w:r>
        <w:fldChar w:fldCharType="begin" w:fldLock="1"/>
      </w:r>
      <w:r>
        <w:instrText>ADDIN CSL_CITATION {"citationItems":[{"id":"ITEM-1","itemData":{"DOI":"10.12688/f1000research.10079.1","ISBN":"9788599141038","ISSN":"2046-1402","PMID":"28163910","abstract":"Over the last few years, there has been an increasing amount of evidence for the de novo emergence of protein-coding genes, i.e. out of non-coding DNA. Here, we review the current literature and summarize the state of the field. We focus specifically on open questions and challenges in the study of de novo protein-coding genes such as the identification and verification of de novo-emerged genes. The greatest obstacle to date is the lack of high-quality genomic data with very short divergence times which could help precisely pin down the location of origin of a de novo gene. We conclude that, while there is plenty of evidence from a genetics perspective, there is a lack of functional studies of bona fide de novo genes and almost no knowledge about protein structures and how they come about during the emergence of de novo protein-coding genes. We suggest that future studies should concentrate on the functional and structural characterization of de novo protein-coding genes as well as the detailed study of the emergence of functional de novo protein-coding genes.","author":[{"dropping-particle":"","family":"Schmitz","given":"Jonathan F","non-dropping-particle":"","parse-names":false,"suffix":""},{"dropping-particle":"","family":"Bornberg-Bauer","given":"Erich","non-dropping-particle":"","parse-names":false,"suffix":""}],"container-title":"F1000Research","id":"ITEM-1","issue":"0","issued":{"date-parts":[["2017"]]},"page":"57","title":"Fact or fiction: updates on how protein-coding genes might emerge de novo from previously non-coding DNA","type":"article-journal","volume":"6"},"uris":["http://www.mendeley.com/documents/?uuid=27451bbf-df3e-44a9-97f4-8a4f636eb75f"]}],"mendeley":{"formattedCitation":"(J. F. Schmitz &amp; Bornberg-Bauer, 2017)","plainTextFormattedCitation":"(J. F. Schmitz &amp; Bornberg-Bauer, 2017)","previouslyFormattedCitation":"(Schmitz &amp; Bornberg-Bauer 2017)"},"properties":{"noteIndex":0},"schema":"https://github.com/citation-style-language/schema/raw/master/csl-citation.json"}</w:instrText>
      </w:r>
      <w:r>
        <w:fldChar w:fldCharType="separate"/>
      </w:r>
      <w:r w:rsidRPr="00E64425">
        <w:rPr>
          <w:noProof/>
        </w:rPr>
        <w:t>(J. F. Schmitz &amp; Bornberg-Bauer, 2017)</w:t>
      </w:r>
      <w:r>
        <w:fldChar w:fldCharType="end"/>
      </w:r>
      <w:r>
        <w:t>. They are part of class of genes known as orphan genes which can be defined as genes which do not have homology to other genes. In most studies, genetic novelty is explored along a lineage or within a species or taxa and are referred to as lineage specific genes and taxonomically restricted genes (TRGs), respectively.</w:t>
      </w:r>
    </w:p>
    <w:p w14:paraId="16B279D5" w14:textId="77777777" w:rsidR="00636B5B" w:rsidRDefault="00636B5B" w:rsidP="00E64425">
      <w:pPr>
        <w:spacing w:line="360" w:lineRule="auto"/>
      </w:pPr>
      <w:r>
        <w:tab/>
      </w:r>
      <w:r w:rsidRPr="00EB36F3">
        <w:t xml:space="preserve">Prior to widespread genome sequencing, gene duplication had long been thought to be the primary source of novel protein coding genes. At the time, there was no empirical evidence for new genes originating from </w:t>
      </w:r>
      <w:r>
        <w:t xml:space="preserve">ancestrally </w:t>
      </w:r>
      <w:r w:rsidRPr="00EB36F3">
        <w:t>non-</w:t>
      </w:r>
      <w:r>
        <w:t>coding</w:t>
      </w:r>
      <w:r w:rsidRPr="00EB36F3">
        <w:t xml:space="preserve"> sequence. Consequently, the duplication-divergence model was both supported by Susumu Ohno and François Jacob, who claimed de novo gene origination from non-coding sequence was highly unlikely if not impossible </w:t>
      </w:r>
      <w:r>
        <w:fldChar w:fldCharType="begin" w:fldLock="1"/>
      </w:r>
      <w:r>
        <w:instrText>ADDIN CSL_CITATION {"citationItems":[{"id":"ITEM-1","itemData":{"DOI":"10.1210/jcem-10-10-1361","ISSN":"19457197","abstract":"The 117th Meeting of the American Association for the Advancement of Science, the annual meeting for the year 1950, will be a full-scale meeting—with programs in every principal field of science. All 17 of the Association’s sections and subsections, and more than 40 participating societies and organizations, are completing plans for an aggregate of more than 200 sessions. © 1950 by The Endocrine Society.","author":[{"dropping-particle":"","family":"Jacob","given":"François","non-dropping-particle":"","parse-names":false,"suffix":""}],"container-title":"Science","id":"ITEM-1","issue":"4295","issued":{"date-parts":[["1977"]]},"page":"1161-1166","title":"Evolution and Tinkering","type":"article-journal","volume":"196"},"uris":["http://www.mendeley.com/documents/?uuid=f4dc6e27-aec8-4c76-8bdf-7e4701beed72"]},{"id":"ITEM-2","itemData":{"author":[{"dropping-particle":"","family":"Ohno","given":"Susumu","non-dropping-particle":"","parse-names":false,"suffix":""}],"id":"ITEM-2","issued":{"date-parts":[["1970"]]},"number-of-pages":"160","publisher":"Springer Science \\&amp; Business Media","title":"Evolution by gene duplication","type":"book"},"uris":["http://www.mendeley.com/documents/?uuid=4f9fbdf7-5489-49c1-9a0f-ab157e600fc7"]}],"mendeley":{"formattedCitation":"(Jacob, 1977; Ohno, 1970)","plainTextFormattedCitation":"(Jacob, 1977; Ohno, 1970)","previouslyFormattedCitation":"(Jacob 1977; Ohno 1970)"},"properties":{"noteIndex":0},"schema":"https://github.com/citation-style-language/schema/raw/master/csl-citation.json"}</w:instrText>
      </w:r>
      <w:r>
        <w:fldChar w:fldCharType="separate"/>
      </w:r>
      <w:r w:rsidRPr="00E64425">
        <w:rPr>
          <w:noProof/>
        </w:rPr>
        <w:t>(Jacob, 1977; Ohno, 1970)</w:t>
      </w:r>
      <w:r>
        <w:fldChar w:fldCharType="end"/>
      </w:r>
      <w:r w:rsidRPr="00EB36F3">
        <w:t xml:space="preserve">. The completion of the yeast genome in 1996 was the primary driver for the reexamination of the concept of de novo genes when it was determined that nearly 30-35% of the total open reading frames (ORFs) had no known homologs </w:t>
      </w:r>
      <w:r>
        <w:fldChar w:fldCharType="begin" w:fldLock="1"/>
      </w:r>
      <w:r>
        <w:instrText>ADDIN CSL_CITATION {"citationItems":[{"id":"ITEM-1","itemData":{"DOI":"10.1016/0168-9525(96)10027-5","ISBN":"0168-9525","ISSN":"0168-9525","PMID":"8763498","abstract":"The bakers' yeast, Saccharomyces cerevisiae, a microorganism of major importance for bioindustries, and one of the favored model organisms for basic biological research, is the first eukaryote whose genome is entirely sequenced. Beyond the wealth of novel biological information, it is the extent of what remains to be understood in the genome of a simple unicellular organism that is the most striking result: a significant proportion of yeast genes are orphans of unpredictable function. Offering the possibility of large-scale reverse genetics, yeast will be a powerful model for post-sequencing studies. But geneticists are now faced with the difficulty of asking novel questions.","author":[{"dropping-particle":"","family":"Dujon","given":"B","non-dropping-particle":"","parse-names":false,"suffix":""}],"container-title":"Trends in genetics : TIG","id":"ITEM-1","issue":"7","issued":{"date-parts":[["1996"]]},"page":"263-270","title":"The yeast genome project: what did we learn?","type":"article-journal","volume":"12"},"uris":["http://www.mendeley.com/documents/?uuid=a5c80404-154d-40e8-ab6b-05106580d2cc"]}],"mendeley":{"formattedCitation":"(Dujon, 1996)","plainTextFormattedCitation":"(Dujon, 1996)","previouslyFormattedCitation":"(Dujon 1996)"},"properties":{"noteIndex":0},"schema":"https://github.com/citation-style-language/schema/raw/master/csl-citation.json"}</w:instrText>
      </w:r>
      <w:r>
        <w:fldChar w:fldCharType="separate"/>
      </w:r>
      <w:r w:rsidRPr="00E64425">
        <w:rPr>
          <w:noProof/>
        </w:rPr>
        <w:t>(Dujon, 1996)</w:t>
      </w:r>
      <w:r>
        <w:fldChar w:fldCharType="end"/>
      </w:r>
      <w:r w:rsidRPr="00EB36F3">
        <w:t xml:space="preserve">. Although this percentage would diminish with the continued sequencing of genomes closely related to yeast, Bernard </w:t>
      </w:r>
      <w:proofErr w:type="spellStart"/>
      <w:r w:rsidRPr="00EB36F3">
        <w:t>Dujon</w:t>
      </w:r>
      <w:proofErr w:type="spellEnd"/>
      <w:r w:rsidRPr="00EB36F3">
        <w:t xml:space="preserve"> commented on this relatively large percentage and proposed the term “orphan genes” </w:t>
      </w:r>
      <w:r>
        <w:fldChar w:fldCharType="begin" w:fldLock="1"/>
      </w:r>
      <w:r>
        <w:instrText>ADDIN CSL_CITATION {"citationItems":[{"id":"ITEM-1","itemData":{"DOI":"10.1016/0168-9525(96)10027-5","ISBN":"0168-9525","ISSN":"0168-9525","PMID":"8763498","abstract":"The bakers' yeast, Saccharomyces cerevisiae, a microorganism of major importance for bioindustries, and one of the favored model organisms for basic biological research, is the first eukaryote whose genome is entirely sequenced. Beyond the wealth of novel biological information, it is the extent of what remains to be understood in the genome of a simple unicellular organism that is the most striking result: a significant proportion of yeast genes are orphans of unpredictable function. Offering the possibility of large-scale reverse genetics, yeast will be a powerful model for post-sequencing studies. But geneticists are now faced with the difficulty of asking novel questions.","author":[{"dropping-particle":"","family":"Dujon","given":"B","non-dropping-particle":"","parse-names":false,"suffix":""}],"container-title":"Trends in genetics : TIG","id":"ITEM-1","issue":"7","issued":{"date-parts":[["1996"]]},"page":"263-270","title":"The yeast genome project: what did we learn?","type":"article-journal","volume":"12"},"uris":["http://www.mendeley.com/documents/?uuid=a5c80404-154d-40e8-ab6b-05106580d2cc"]}],"mendeley":{"formattedCitation":"(Dujon, 1996)","plainTextFormattedCitation":"(Dujon, 1996)","previouslyFormattedCitation":"(Dujon 1996)"},"properties":{"noteIndex":0},"schema":"https://github.com/citation-style-language/schema/raw/master/csl-citation.json"}</w:instrText>
      </w:r>
      <w:r>
        <w:fldChar w:fldCharType="separate"/>
      </w:r>
      <w:r w:rsidRPr="00E64425">
        <w:rPr>
          <w:noProof/>
        </w:rPr>
        <w:t>(Dujon, 1996)</w:t>
      </w:r>
      <w:r>
        <w:fldChar w:fldCharType="end"/>
      </w:r>
      <w:r w:rsidRPr="00EB36F3">
        <w:t xml:space="preserve">. In the mid 1990s, orphan genes were defined as genes with unknown function and genes that were structurally dissimilar to any other genes in any database, the latter being the basis of the current operating definition </w:t>
      </w:r>
      <w:r>
        <w:fldChar w:fldCharType="begin" w:fldLock="1"/>
      </w:r>
      <w:r>
        <w:instrText>ADDIN CSL_CITATION {"citationItems":[{"id":"ITEM-1","itemData":{"DOI":"10.1016/j.tig.2009.07.006","ISBN":"0168-9525 (Print)\\r0168-9525 (Linking)","ISSN":"01689525","PMID":"19716618","abstract":"Comparative genome analyses indicate that every taxonomic group so far studied contains 10-20% of genes that lack recognizable homologs in other species. Do such 'orphan' or 'taxonomically-restricted' genes comprise spurious, non-functional ORFs, or does their presence reflect important evolutionary processes? Recent studies in basal metazoans such as Nematostella, Acropora and Hydra have shed light on the function of these genes, and now indicate that they are involved in important species-specific adaptive processes. Here we focus on evidence from Hydra suggesting that taxonomically-restricted genes play a role in the creation of phylum-specific novelties such as cnidocytes, in the generation of morphological diversity, and in the innate defence system. We propose that taxon-specific genes drive morphological specification, enabling organisms to adapt to changing conditions. ?? 2009 Elsevier Ltd. All rights reserved.","author":[{"dropping-particle":"","family":"Khalturin","given":"Konstantin","non-dropping-particle":"","parse-names":false,"suffix":""},{"dropping-particle":"","family":"Hemmrich","given":"Georg","non-dropping-particle":"","parse-names":false,"suffix":""},{"dropping-particle":"","family":"Fraune","given":"Sebastian","non-dropping-particle":"","parse-names":false,"suffix":""},{"dropping-particle":"","family":"Augustin","given":"René","non-dropping-particle":"","parse-names":false,"suffix":""},{"dropping-particle":"","family":"Bosch","given":"Thomas C G","non-dropping-particle":"","parse-names":false,"suffix":""}],"container-title":"Trends in Genetics","id":"ITEM-1","issue":"9","issued":{"date-parts":[["2009"]]},"page":"404-413","title":"More than just orphans: are taxonomically-restricted genes important in evolution?","type":"article-journal","volume":"25"},"uris":["http://www.mendeley.com/documents/?uuid=b95b1189-8de3-4fd5-9356-b4c922be479e"]}],"mendeley":{"formattedCitation":"(Khalturin, Hemmrich, Fraune, Augustin, &amp; Bosch, 2009)","plainTextFormattedCitation":"(Khalturin, Hemmrich, Fraune, Augustin, &amp; Bosch, 2009)","previouslyFormattedCitation":"(Khalturin et al. 2009)"},"properties":{"noteIndex":0},"schema":"https://github.com/citation-style-language/schema/raw/master/csl-citation.json"}</w:instrText>
      </w:r>
      <w:r>
        <w:fldChar w:fldCharType="separate"/>
      </w:r>
      <w:r w:rsidRPr="00E64425">
        <w:rPr>
          <w:noProof/>
        </w:rPr>
        <w:t>(Khalturin, Hemmrich, Fraune, Augustin, &amp; Bosch, 2009)</w:t>
      </w:r>
      <w:r>
        <w:fldChar w:fldCharType="end"/>
      </w:r>
      <w:r w:rsidRPr="00EB36F3">
        <w:t xml:space="preserve">. However, it was not until the early-2000s when empirical evidence for de novo evolved genes was available. The first example being five genes that evolved de novo from non-coding sequence in Drosophila </w:t>
      </w:r>
      <w:r>
        <w:fldChar w:fldCharType="begin" w:fldLock="1"/>
      </w:r>
      <w:r>
        <w:instrText>ADDIN CSL_CITATION {"citationItems":[{"id":"ITEM-1","itemData":{"DOI":"10.1073/pnas.0509809103","ISBN":"0509809103","ISSN":"0027-8424","PMID":"16777968","abstract":"Descriptions of recently evolved genes suggest several mechanisms of origin including exon shuffling, gene fission/fusion, retrotransposition, duplication-divergence, and lateral gene transfer, all of which involve recruitment of preexisting genes or genetic elements into new function. The importance of noncoding DNA in the origin of novel genes remains an open question. We used the well annotated genome of the genetic model system Drosophila melanogaster and genome sequences of related species to carry out a whole-genome search for new D. melanogaster genes that are derived from noncoding DNA. Here, we describe five such genes, four of which are X-linked. Our RT-PCR experiments show that all five putative novel genes are expressed predominantly in testes. These data support the idea that these novel genes are derived from ancestral noncoding sequence and that new, favored genes are likely to invade populations under selective pressures relating to male reproduction.","author":[{"dropping-particle":"","family":"Levine","given":"Mia T","non-dropping-particle":"","parse-names":false,"suffix":""},{"dropping-particle":"","family":"Jones","given":"Corbin D","non-dropping-particle":"","parse-names":false,"suffix":""},{"dropping-particle":"","family":"Kern","given":"Andrew D","non-dropping-particle":"","parse-names":false,"suffix":""},{"dropping-particle":"","family":"Lindfors","given":"Heather A","non-dropping-particle":"","parse-names":false,"suffix":""},{"dropping-particle":"","family":"Begun","given":"David J","non-dropping-particle":"","parse-names":false,"suffix":""}],"container-title":"Proceedings of the National Academy of Sciences of the United States of America","id":"ITEM-1","issue":"26","issued":{"date-parts":[["2006"]]},"page":"9935-9","title":"Novel genes derived from noncoding DNA in Drosophila melanogaster are frequently X-linked and exhibit testis-biased expression.","type":"article-journal","volume":"103"},"uris":["http://www.mendeley.com/documents/?uuid=4b7aab03-403b-49d1-98c4-72f0c593b24d"]}],"mendeley":{"formattedCitation":"(Levine, Jones, Kern, Lindfors, &amp; Begun, 2006)","plainTextFormattedCitation":"(Levine, Jones, Kern, Lindfors, &amp; Begun, 2006)","previouslyFormattedCitation":"(Levine et al. 2006)"},"properties":{"noteIndex":0},"schema":"https://github.com/citation-style-language/schema/raw/master/csl-citation.json"}</w:instrText>
      </w:r>
      <w:r>
        <w:fldChar w:fldCharType="separate"/>
      </w:r>
      <w:r w:rsidRPr="00E64425">
        <w:rPr>
          <w:noProof/>
        </w:rPr>
        <w:t>(Levine, Jones, Kern, Lindfors, &amp; Begun, 2006)</w:t>
      </w:r>
      <w:r>
        <w:fldChar w:fldCharType="end"/>
      </w:r>
      <w:r w:rsidRPr="00EB36F3">
        <w:t>. Following this study, there were also several additional examples of genes evolving from non-coding sequence in</w:t>
      </w:r>
      <w:r>
        <w:t xml:space="preserve"> primates</w:t>
      </w:r>
      <w:r w:rsidRPr="00EB36F3">
        <w:t xml:space="preserve">, humans, and plants </w:t>
      </w:r>
      <w:r>
        <w:fldChar w:fldCharType="begin" w:fldLock="1"/>
      </w:r>
      <w:r>
        <w:instrText>ADDIN CSL_CITATION {"citationItems":[{"id":"ITEM-1","itemData":{"DOI":"10.1371/journal.pone.0004603","ISBN":"1932-6203 (Electronic)","ISSN":"19326203","PMID":"19240804","abstract":"How defense genes originated with the evolution of their specific pathogen-responsive traits remains an important problem. It is generally known that a form of duplication can generate new genes, suggesting that a new gene usually evolves from an ancestral gene. However, we show that a new defense gene in plants may evolve by de novo origination, resulting in sophisticated disease-resistant functions in rice. Analyses of gene evolution showed that this new gene, OsDR10, had homologs only in the closest relative, Leersia genus, but not other subfamilies of the grass family; therefore, it is a rice tribe-specific gene that may have originated de novo in the tribe. We further show that this gene may evolve a highly conservative rice-specific function that contributes to the regulation difference between rice and other plant species in response to pathogen infections. Biologic analyses including gene silencing, pathologic analysis, and mutant characterization by transformation showed that the OsDR10-suppressed plants enhanced resistance to a broad spectrum of Xanthomonas oryzae pv. oryzae strains, which cause bacterial blight disease. This enhanced disease resistance was accompanied by increased accumulation of endogenous salicylic acid (SA) and suppressed accumulation of endogenous jasmonic acid (JA) as well as modified expression of a subset of defense-responsive genes functioning both upstream and downstream of SA and JA. These data and analyses provide fresh insights into the new biologic and evolutionary processes of a de novo gene recruited rapidly.","author":[{"dropping-particle":"","family":"Xiao","given":"Wenfei","non-dropping-particle":"","parse-names":false,"suffix":""},{"dropping-particle":"","family":"Liu","given":"Hongbo","non-dropping-particle":"","parse-names":false,"suffix":""},{"dropping-particle":"","family":"Li","given":"Yu","non-dropping-particle":"","parse-names":false,"suffix":""},{"dropping-particle":"","family":"Li","given":"Xianghua","non-dropping-particle":"","parse-names":false,"suffix":""},{"dropping-particle":"","family":"Xu","given":"Caiguo","non-dropping-particle":"","parse-names":false,"suffix":""},{"dropping-particle":"","family":"Long","given":"Manyuan","non-dropping-particle":"","parse-names":false,"suffix":""},{"dropping-particle":"","family":"Wang","given":"Shiping","non-dropping-particle":"","parse-names":false,"suffix":""}],"container-title":"PLoS ONE","id":"ITEM-1","issue":"2","issued":{"date-parts":[["2009"]]},"page":"1-12","title":"A rice gene of de novo origin negatively regulates pathogen-induced defense response","type":"article-journal","volume":"4"},"uris":["http://www.mendeley.com/documents/?uuid=f624d351-2b59-455a-8ebf-daf609a831c0"]},{"id":"ITEM-2","itemData":{"DOI":"10.1101/gr.095026.109","ISBN":"1549-5469 (Electronic)\\n1088-9051 (Linking)","ISSN":"10889051","PMID":"19726446","author":[{"dropping-particle":"","family":"Knowles","given":"David G","non-dropping-particle":"","parse-names":false,"suffix":""},{"dropping-particle":"","family":"Mclysaght","given":"Aoife","non-dropping-particle":"","parse-names":false,"suffix":""},{"dropping-particle":"","family":"Knowles","given":"David G","non-dropping-particle":"","parse-names":false,"suffix":""},{"dropping-particle":"","family":"Mclysaght","given":"Aoife","non-dropping-particle":"","parse-names":false,"suffix":""}],"container-title":"Genome Research","id":"ITEM-2","issued":{"date-parts":[["2009"]]},"page":"1-9","title":"Recent de novo origin of human protein-coding genes","type":"article-journal","volume":"19"},"uris":["http://www.mendeley.com/documents/?uuid=d71c79d2-3f0f-4157-b522-eed969fe190b"]},{"id":"ITEM-3","itemData":{"DOI":"10.1093/molbev/msn281","ISBN":"0737-4038","ISSN":"07374038","PMID":"19064677","abstract":"Genomes contain a large number of genes that do not have recognizable homologues in other species and that are likely to be involved in important species-specific adaptive processes. The origin of many such \"orphan\" genes remains unknown. Here we present the first systematic study of the characteristics and mechanisms of formation of primate-specific orphan genes. We determine that codon usage values for most orphan genes fall within the bulk of the codon usage distribution of bona fide human proteins, supporting their current protein-coding annotation. We also show that primate orphan genes display distinctive features in relation to genes of wider phylogenetic distribution: higher tissue specificity, more rapid evolution, and shorter peptide size. We estimate that around 24% are highly divergent members of mammalian protein families. Interestingly, around 53% of the orphan genes contain sequences derived from transposable elements (TEs) and are mostly located in primate-specific genomic regions. This indicates frequent recruitment of TEs as part of novel genes. Finally, we also obtain evidence that a small fraction of primate orphan genes, around 5.5%, might have originated de novo from mammalian noncoding genomic regions.","author":[{"dropping-particle":"","family":"Toll-Riera","given":"MacArena","non-dropping-particle":"","parse-names":false,"suffix":""},{"dropping-particle":"","family":"Bosch","given":"Nina","non-dropping-particle":"","parse-names":false,"suffix":""},{"dropping-particle":"","family":"Bellora","given":"Nicolás","non-dropping-particle":"","parse-names":false,"suffix":""},{"dropping-particle":"","family":"Castelo","given":"Robert","non-dropping-particle":"","parse-names":false,"suffix":""},{"dropping-particle":"","family":"Armengol","given":"Lluis","non-dropping-particle":"","parse-names":false,"suffix":""},{"dropping-particle":"","family":"Estivill","given":"Xavier","non-dropping-particle":"","parse-names":false,"suffix":""},{"dropping-particle":"","family":"Mar Albà","given":"M.","non-dropping-particle":"","parse-names":false,"suffix":""}],"container-title":"Molecular Biology and Evolution","id":"ITEM-3","issue":"3","issued":{"date-parts":[["2009"]]},"page":"603-612","title":"Origin of primate orphan genes: A comparative genomics approach","type":"article-journal","volume":"26"},"uris":["http://www.mendeley.com/documents/?uuid=db5dd314-c7fe-4f3a-835a-a3c90eaf9e97"]}],"mendeley":{"formattedCitation":"(Knowles, Mclysaght, Knowles, &amp; Mclysaght, 2009; Toll-Riera et al., 2009; Xiao et al., 2009)","plainTextFormattedCitation":"(Knowles, Mclysaght, Knowles, &amp; Mclysaght, 2009; Toll-Riera et al., 2009; Xiao et al., 2009)","previouslyFormattedCitation":"(Xiao et al. 2009; Knowles et al. 2009; Toll-Riera et al. 2009)"},"properties":{"noteIndex":0},"schema":"https://github.com/citation-style-language/schema/raw/master/csl-citation.json"}</w:instrText>
      </w:r>
      <w:r>
        <w:fldChar w:fldCharType="separate"/>
      </w:r>
      <w:r w:rsidRPr="00E64425">
        <w:rPr>
          <w:noProof/>
        </w:rPr>
        <w:t>(Knowles, Mclysaght, Knowles, &amp; Mclysaght, 2009; Toll-Riera et al., 2009; Xiao et al., 2009)</w:t>
      </w:r>
      <w:r>
        <w:fldChar w:fldCharType="end"/>
      </w:r>
      <w:r w:rsidRPr="00EB36F3">
        <w:t xml:space="preserve">. For some time, it was thought orphan genes were a product of poor annotation (and to an extent this is true, many orphans are poorly annotated), and lacking genomic data in other species </w:t>
      </w:r>
      <w:r>
        <w:fldChar w:fldCharType="begin" w:fldLock="1"/>
      </w:r>
      <w:r>
        <w:instrText>ADDIN CSL_CITATION {"citationItems":[{"id":"ITEM-1","itemData":{"DOI":"10.1016/0168-9525(96)30057-7","ISSN":"01689525","PMID":"8763493","author":[{"dropping-particle":"","family":"Casari","given":"G.","non-dropping-particle":"","parse-names":false,"suffix":""},{"dropping-particle":"","family":"Daruvar","given":"A.","non-dropping-particle":"De","parse-names":false,"suffix":""},{"dropping-particle":"","family":"Sander","given":"C.","non-dropping-particle":"","parse-names":false,"suffix":""},{"dropping-particle":"","family":"Schneider","given":"R.","non-dropping-particle":"","parse-names":false,"suffix":""}],"container-title":"Trends in Genetics","id":"ITEM-1","issue":"7","issued":{"date-parts":[["1996"]]},"page":"244-245","title":"Bioinformatics and the discovery of gene function","type":"article-journal","volume":"12"},"uris":["http://www.mendeley.com/documents/?uuid=b2bcc69b-2f5e-49d6-9047-dfd402fb894c"]}],"mendeley":{"formattedCitation":"(Casari, De Daruvar, Sander, &amp; Schneider, 1996)","plainTextFormattedCitation":"(Casari, De Daruvar, Sander, &amp; Schneider, 1996)","previouslyFormattedCitation":"(Casari et al. 1996)"},"properties":{"noteIndex":0},"schema":"https://github.com/citation-style-language/schema/raw/master/csl-citation.json"}</w:instrText>
      </w:r>
      <w:r>
        <w:fldChar w:fldCharType="separate"/>
      </w:r>
      <w:r w:rsidRPr="00E64425">
        <w:rPr>
          <w:noProof/>
        </w:rPr>
        <w:t>(Casari, De Daruvar, Sander, &amp; Schneider, 1996)</w:t>
      </w:r>
      <w:r>
        <w:fldChar w:fldCharType="end"/>
      </w:r>
      <w:r w:rsidRPr="00EB36F3">
        <w:t xml:space="preserve">. The general sentiment was that as sequence data became better the number of orphan genes would decrease </w:t>
      </w:r>
      <w:r>
        <w:lastRenderedPageBreak/>
        <w:fldChar w:fldCharType="begin" w:fldLock="1"/>
      </w:r>
      <w:r>
        <w:instrText>ADDIN CSL_CITATION {"citationItems":[{"id":"ITEM-1","itemData":{"DOI":"10.1016/0168-9525(96)30057-7","ISSN":"01689525","PMID":"8763493","author":[{"dropping-particle":"","family":"Casari","given":"G.","non-dropping-particle":"","parse-names":false,"suffix":""},{"dropping-particle":"","family":"Daruvar","given":"A.","non-dropping-particle":"De","parse-names":false,"suffix":""},{"dropping-particle":"","family":"Sander","given":"C.","non-dropping-particle":"","parse-names":false,"suffix":""},{"dropping-particle":"","family":"Schneider","given":"R.","non-dropping-particle":"","parse-names":false,"suffix":""}],"container-title":"Trends in Genetics","id":"ITEM-1","issue":"7","issued":{"date-parts":[["1996"]]},"page":"244-245","title":"Bioinformatics and the discovery of gene function","type":"article-journal","volume":"12"},"uris":["http://www.mendeley.com/documents/?uuid=b2bcc69b-2f5e-49d6-9047-dfd402fb894c"]}],"mendeley":{"formattedCitation":"(Casari et al., 1996)","plainTextFormattedCitation":"(Casari et al., 1996)","previouslyFormattedCitation":"(Casari et al. 1996)"},"properties":{"noteIndex":0},"schema":"https://github.com/citation-style-language/schema/raw/master/csl-citation.json"}</w:instrText>
      </w:r>
      <w:r>
        <w:fldChar w:fldCharType="separate"/>
      </w:r>
      <w:r w:rsidRPr="00E64425">
        <w:rPr>
          <w:noProof/>
        </w:rPr>
        <w:t>(Casari et al., 1996)</w:t>
      </w:r>
      <w:r>
        <w:fldChar w:fldCharType="end"/>
      </w:r>
      <w:r w:rsidRPr="00EB36F3">
        <w:t>. However, this was not the case, and because of next generation sequencing, orphan genes have been found in all domains of life. Every taxonomic group studied so far contains 5-15% of genes that are lineage specific</w:t>
      </w:r>
      <w:r>
        <w:t xml:space="preserve"> </w:t>
      </w:r>
      <w:r>
        <w:fldChar w:fldCharType="begin" w:fldLock="1"/>
      </w:r>
      <w:r>
        <w:instrText>ADDIN CSL_CITATION {"citationItems":[{"id":"ITEM-1","itemData":{"DOI":"10.1016/j.tig.2009.07.006","ISBN":"0168-9525 (Print)\\r0168-9525 (Linking)","ISSN":"01689525","PMID":"19716618","abstract":"Comparative genome analyses indicate that every taxonomic group so far studied contains 10-20% of genes that lack recognizable homologs in other species. Do such 'orphan' or 'taxonomically-restricted' genes comprise spurious, non-functional ORFs, or does their presence reflect important evolutionary processes? Recent studies in basal metazoans such as Nematostella, Acropora and Hydra have shed light on the function of these genes, and now indicate that they are involved in important species-specific adaptive processes. Here we focus on evidence from Hydra suggesting that taxonomically-restricted genes play a role in the creation of phylum-specific novelties such as cnidocytes, in the generation of morphological diversity, and in the innate defence system. We propose that taxon-specific genes drive morphological specification, enabling organisms to adapt to changing conditions. ?? 2009 Elsevier Ltd. All rights reserved.","author":[{"dropping-particle":"","family":"Khalturin","given":"Konstantin","non-dropping-particle":"","parse-names":false,"suffix":""},{"dropping-particle":"","family":"Hemmrich","given":"Georg","non-dropping-particle":"","parse-names":false,"suffix":""},{"dropping-particle":"","family":"Fraune","given":"Sebastian","non-dropping-particle":"","parse-names":false,"suffix":""},{"dropping-particle":"","family":"Augustin","given":"René","non-dropping-particle":"","parse-names":false,"suffix":""},{"dropping-particle":"","family":"Bosch","given":"Thomas C G","non-dropping-particle":"","parse-names":false,"suffix":""}],"container-title":"Trends in Genetics","id":"ITEM-1","issue":"9","issued":{"date-parts":[["2009"]]},"page":"404-413","title":"More than just orphans: are taxonomically-restricted genes important in evolution?","type":"article-journal","volume":"25"},"uris":["http://www.mendeley.com/documents/?uuid=b95b1189-8de3-4fd5-9356-b4c922be479e"]}],"mendeley":{"formattedCitation":"(Khalturin et al., 2009)","plainTextFormattedCitation":"(Khalturin et al., 2009)","previouslyFormattedCitation":"(Khalturin et al. 2009)"},"properties":{"noteIndex":0},"schema":"https://github.com/citation-style-language/schema/raw/master/csl-citation.json"}</w:instrText>
      </w:r>
      <w:r>
        <w:fldChar w:fldCharType="separate"/>
      </w:r>
      <w:r w:rsidRPr="00E64425">
        <w:rPr>
          <w:noProof/>
        </w:rPr>
        <w:t>(Khalturin et al., 2009)</w:t>
      </w:r>
      <w:r>
        <w:fldChar w:fldCharType="end"/>
      </w:r>
      <w:r w:rsidRPr="00EB36F3">
        <w:t>.</w:t>
      </w:r>
    </w:p>
    <w:p w14:paraId="57F89068" w14:textId="77777777" w:rsidR="00636B5B" w:rsidRPr="002E1B9B" w:rsidRDefault="00636B5B" w:rsidP="00E64425">
      <w:pPr>
        <w:spacing w:line="360" w:lineRule="auto"/>
      </w:pPr>
      <w:r>
        <w:tab/>
        <w:t xml:space="preserve">Many models have put forth possible mechanisms of </w:t>
      </w:r>
      <w:r>
        <w:rPr>
          <w:i/>
          <w:iCs/>
        </w:rPr>
        <w:t xml:space="preserve">de novo </w:t>
      </w:r>
      <w:r>
        <w:t xml:space="preserve">gene birth </w:t>
      </w:r>
      <w:r>
        <w:fldChar w:fldCharType="begin" w:fldLock="1"/>
      </w:r>
      <w:r>
        <w:instrText>ADDIN CSL_CITATION {"citationItems":[{"id":"ITEM-1","itemData":{"DOI":"10.1042/BST20150089","author":[{"dropping-particle":"","family":"Bornberg-bauer","given":"Erich","non-dropping-particle":"","parse-names":false,"suffix":""},{"dropping-particle":"","family":"Schmitz","given":"Jonathan","non-dropping-particle":"","parse-names":false,"suffix":""},{"dropping-particle":"","family":"Heberlein","given":"Magdalena","non-dropping-particle":"","parse-names":false,"suffix":""}],"id":"ITEM-1","issued":{"date-parts":[["2015"]]},"page":"867-873","title":"Emergence of de novo proteins from ‘ dark genomic matter ’ by ‘ grow slow and moult ’","type":"article-journal"},"uris":["http://www.mendeley.com/documents/?uuid=10cf9177-d6db-4fe9-a0e3-3ca8fdd366b9"]},{"id":"ITEM-2","itemData":{"DOI":"10.12688/f1000research.10079.1","ISBN":"9788599141038","ISSN":"2046-1402","PMID":"28163910","abstract":"Over the last few years, there has been an increasing amount of evidence for the de novo emergence of protein-coding genes, i.e. out of non-coding DNA. Here, we review the current literature and summarize the state of the field. We focus specifically on open questions and challenges in the study of de novo protein-coding genes such as the identification and verification of de novo-emerged genes. The greatest obstacle to date is the lack of high-quality genomic data with very short divergence times which could help precisely pin down the location of origin of a de novo gene. We conclude that, while there is plenty of evidence from a genetics perspective, there is a lack of functional studies of bona fide de novo genes and almost no knowledge about protein structures and how they come about during the emergence of de novo protein-coding genes. We suggest that future studies should concentrate on the functional and structural characterization of de novo protein-coding genes as well as the detailed study of the emergence of functional de novo protein-coding genes.","author":[{"dropping-particle":"","family":"Schmitz","given":"Jonathan F","non-dropping-particle":"","parse-names":false,"suffix":""},{"dropping-particle":"","family":"Bornberg-Bauer","given":"Erich","non-dropping-particle":"","parse-names":false,"suffix":""}],"container-title":"F1000Research","id":"ITEM-2","issue":"0","issued":{"date-parts":[["2017"]]},"page":"57","title":"Fact or fiction: updates on how protein-coding genes might emerge de novo from previously non-coding DNA","type":"article-journal","volume":"6"},"uris":["http://www.mendeley.com/documents/?uuid=27451bbf-df3e-44a9-97f4-8a4f636eb75f"]},{"id":"ITEM-3","itemData":{"DOI":"10.1038/nature11184","ISBN":"1476-4687 (Electronic)\\n0028-0836 (Linking)","ISSN":"0028-0836","PMID":"22722833","abstract":"Novel protein-coding genes can arise either through re-organization of pre-existing genes or de novo. Processes involving re-organization of pre-existing genes, notably after gene duplication, have been extensively described. In contrast, de novo gene birth remains poorly understood, mainly because translation of sequences devoid of genes, or 'non-genic' sequences, is expected to produce insignificant polypeptides rather than proteins with specific biological functions. Here we formalize an evolutionary model according to which functional genes evolve de novo through transitory proto-genes generated by widespread translational activity in non-genic sequences. Testing this model at the genome scale in Saccharomyces cerevisiae, we detect translation of hundreds of short species-specific open reading frames (ORFs) located in non-genic sequences. These translation events seem to provide adaptive potential, as suggested by their differential regulation upon stress and by signatures of retention by natural selection. In line with our model, we establish that S. cerevisiae ORFs can be placed within an evolutionary continuum ranging from non-genic sequences to genes. We identify ~1,900 candidate proto-genes among S. cerevisiae ORFs and find that de novo gene birth from such a reservoir may be more prevalent than sporadic gene duplication. Our work illustrates that evolution exploits seemingly dispensable sequences to generate adaptive functional innovation.","author":[{"dropping-particle":"","family":"Carvunis","given":"Anne-Ruxandra","non-dropping-particle":"","parse-names":false,"suffix":""},{"dropping-particle":"","family":"Rolland","given":"Thomas","non-dropping-particle":"","parse-names":false,"suffix":""},{"dropping-particle":"","family":"Wapinski","given":"Ilan","non-dropping-particle":"","parse-names":false,"suffix":""},{"dropping-particle":"","family":"Calderwood","given":"Michael A.","non-dropping-particle":"","parse-names":false,"suffix":""},{"dropping-particle":"","family":"Yildirim","given":"Muhammed A.","non-dropping-particle":"","parse-names":false,"suffix":""},{"dropping-particle":"","family":"Simonis","given":"Nicolas","non-dropping-particle":"","parse-names":false,"suffix":""},{"dropping-particle":"","family":"Charloteaux","given":"Benoit","non-dropping-particle":"","parse-names":false,"suffix":""},{"dropping-particle":"","family":"Hidalgo","given":"César A.","non-dropping-particle":"","parse-names":false,"suffix":""},{"dropping-particle":"","family":"Barbette","given":"Justin","non-dropping-particle":"","parse-names":false,"suffix":""},{"dropping-particle":"","family":"Santhanam","given":"Balaji","non-dropping-particle":"","parse-names":false,"suffix":""},{"dropping-particle":"","family":"Brar","given":"Gloria A.","non-dropping-particle":"","parse-names":false,"suffix":""},{"dropping-particle":"","family":"Weissman","given":"Jonathan S.","non-dropping-particle":"","parse-names":false,"suffix":""},{"dropping-particle":"","family":"Regev","given":"Aviv","non-dropping-particle":"","parse-names":false,"suffix":""},{"dropping-particle":"","family":"Thierry-Mieg","given":"Nicolas","non-dropping-particle":"","parse-names":false,"suffix":""},{"dropping-particle":"","family":"Cusick","given":"Michael E.","non-dropping-particle":"","parse-names":false,"suffix":""},{"dropping-particle":"","family":"Vidal","given":"Marc","non-dropping-particle":"","parse-names":false,"suffix":""}],"container-title":"Nature","id":"ITEM-3","issue":"7407","issued":{"date-parts":[["2012"]]},"page":"370-374","title":"Proto-genes and de novo gene birth","type":"article-journal","volume":"487"},"uris":["http://www.mendeley.com/documents/?uuid=3f04e38e-7ccd-444f-a7e6-cdc9dc70d23f"]},{"id":"ITEM-4","itemData":{"DOI":"10.1038/s41559-017-0146","ISSN":"2397-334X","PMID":"28642936","abstract":"The phenomenon of de novo gene birth from junk DNA is surprising, because random polypeptides are expected to be toxic. There are two conflicting views about how de novo gene birth is nevertheless possible: the continuum hypothesis invokes a gradual gene birth process, whereas the preadaptation hypothesis predicts that young genes will show extreme levels of gene- like traits. We show that intrinsic structural disorder conforms to the predictions of the preadaptation hypothesis and falsifies the continuum hypothesis, with all genes having higher levels than translated junk DNA, but young genes having the highest level of all. Results are robust to homology detection bias, to the non-independence of multiple members of the same gene fam- ily and to the false positive annotation of protein-coding genes.","author":[{"dropping-particle":"","family":"Wilson","given":"Benjamin A.","non-dropping-particle":"","parse-names":false,"suffix":""},{"dropping-particle":"","family":"Foy","given":"Scott G.","non-dropping-particle":"","parse-names":false,"suffix":""},{"dropping-particle":"","family":"Neme","given":"Rafik","non-dropping-particle":"","parse-names":false,"suffix":""},{"dropping-particle":"","family":"Masel","given":"Joanna","non-dropping-particle":"","parse-names":false,"suffix":""}],"container-title":"Nature Ecology &amp; Evolution","id":"ITEM-4","issue":"6","issued":{"date-parts":[["0"]]},"page":"0146","title":"Young genes are highly disordered as predicted by the preadaptation hypothesis of de novo gene birth","type":"article-journal","volume":"1"},"uris":["http://www.mendeley.com/documents/?uuid=370a540a-3708-49d7-a3f8-41639809050b"]}],"mendeley":{"formattedCitation":"(Bornberg-bauer, Schmitz, &amp; Heberlein, 2015; Carvunis et al., 2012; J. F. Schmitz &amp; Bornberg-Bauer, 2017; Wilson, Foy, Neme, &amp; Masel, n.d.)","manualFormatting":"(Bornberg-bauer et al. 2015; Schmitz &amp; Bornberg-Bauer 2017; Carvunis et al. 2012; Wilson et al. 2017)","plainTextFormattedCitation":"(Bornberg-bauer, Schmitz, &amp; Heberlein, 2015; Carvunis et al., 2012; J. F. Schmitz &amp; Bornberg-Bauer, 2017; Wilson, Foy, Neme, &amp; Masel, n.d.)","previouslyFormattedCitation":"(Bornberg-bauer et al. 2015; Schmitz &amp; Bornberg-Bauer 2017; Carvunis et al. 2012; Wilson et al.)"},"properties":{"noteIndex":0},"schema":"https://github.com/citation-style-language/schema/raw/master/csl-citation.json"}</w:instrText>
      </w:r>
      <w:r>
        <w:fldChar w:fldCharType="separate"/>
      </w:r>
      <w:r w:rsidRPr="000753E1">
        <w:rPr>
          <w:noProof/>
        </w:rPr>
        <w:t>(Bornberg-bauer et al. 2015; Schmitz &amp; Bornberg-Bauer 2017; Carvunis et al. 2012; Wilson et al.</w:t>
      </w:r>
      <w:r>
        <w:rPr>
          <w:noProof/>
        </w:rPr>
        <w:t xml:space="preserve"> 2017</w:t>
      </w:r>
      <w:r w:rsidRPr="000753E1">
        <w:rPr>
          <w:noProof/>
        </w:rPr>
        <w:t>)</w:t>
      </w:r>
      <w:r>
        <w:fldChar w:fldCharType="end"/>
      </w:r>
      <w:r>
        <w:t xml:space="preserve">. Here, I will describe the two of the best studied models: ‘ORF first vs. transcription first’ and the ‘Out of Testis’ hypothesis. The ‘ORF first’ vs. ‘transcription first’ model relies on the fact that as genes, </w:t>
      </w:r>
      <w:r>
        <w:rPr>
          <w:i/>
          <w:iCs/>
        </w:rPr>
        <w:t>de novo</w:t>
      </w:r>
      <w:r>
        <w:t xml:space="preserve"> genes must acquire an open reading frame (ORF) and be transcribed </w:t>
      </w:r>
      <w:r>
        <w:fldChar w:fldCharType="begin" w:fldLock="1"/>
      </w:r>
      <w:r>
        <w:instrText>ADDIN CSL_CITATION {"citationItems":[{"id":"ITEM-1","itemData":{"DOI":"10.1016/j.tig.2015.02.007","ISBN":"0168-9525 (Electronic) 0168-9525 (Linking)","ISSN":"13624555","PMID":"25773713","abstract":"Although considered an extremely unlikely event, many genes emerge from previously noncoding genomic regions. This review covers the entire life cycle of such de novo genes. Two competing hypotheses about the process of de novo gene birth are discussed as well as the high death rate of de novo genes. Despite the high death rate, some de novo genes are retained and remain functional, even in distantly related species, through their integration into gene networks. Further studies combining gene expression with ribosome profiling in multiple populations across different species will be instrumental for an improved understanding of the evolutionary processes operating on de novo genes.","author":[{"dropping-particle":"","family":"Schlotterer","given":"Christian","non-dropping-particle":"","parse-names":false,"suffix":""}],"container-title":"Trends in Genetics","id":"ITEM-1","issue":"4","issued":{"date-parts":[["2015"]]},"page":"215-219","title":"Genes from scratch - the evolutionary fate of de novo genes","type":"article-journal","volume":"31"},"uris":["http://www.mendeley.com/documents/?uuid=5b49ebce-a35d-4ea8-8189-1b1796f157eb"]}],"mendeley":{"formattedCitation":"(Schlotterer, 2015)","plainTextFormattedCitation":"(Schlotterer, 2015)","previouslyFormattedCitation":"(Schlotterer 2015)"},"properties":{"noteIndex":0},"schema":"https://github.com/citation-style-language/schema/raw/master/csl-citation.json"}</w:instrText>
      </w:r>
      <w:r>
        <w:fldChar w:fldCharType="separate"/>
      </w:r>
      <w:r w:rsidRPr="00E64425">
        <w:rPr>
          <w:noProof/>
        </w:rPr>
        <w:t>(Schlotterer, 2015)</w:t>
      </w:r>
      <w:r>
        <w:fldChar w:fldCharType="end"/>
      </w:r>
      <w:r>
        <w:t xml:space="preserve">. The order of these events is unimportant, as both need to occur for a functional RNA or protein product to be produced and subjected to selection. Additionally, there is evidence of </w:t>
      </w:r>
      <w:r>
        <w:rPr>
          <w:i/>
          <w:iCs/>
        </w:rPr>
        <w:t xml:space="preserve">de novo </w:t>
      </w:r>
      <w:r>
        <w:t xml:space="preserve">gene origination from both ‘ORF-first’ and ‘transcription first’ paths. </w:t>
      </w:r>
      <w:r>
        <w:fldChar w:fldCharType="begin" w:fldLock="1"/>
      </w:r>
      <w:r>
        <w:instrText>ADDIN CSL_CITATION {"citationItems":[{"id":"ITEM-1","itemData":{"DOI":"10.1093/gbe/evw074","ISSN":"17596653","PMID":"27056411","abstract":"De novoprotein-coding gene origination is increasingly recognised as an important evolutionary mechanism. However, there remains a large amount of uncertainty regarding the frequency of these events and the mechanisms and speed of gene establishment. Here we describe a rigorous search for cases ofde novogene origination in the great apes. We analysed annotated proteomes as well as full genomic DNA and transcriptional and translational evidence. It is notable that results vary between database updates due to the fluctuating annotation of these genes. Nonetheless we identified 35de novogenes: 16 human-specific; 5 human and chimpanzee specific; and 14 that originated prior to the divergence of human, chimpanzee and gorilla and are found in all three genomes. The taxonomically-restricted distribution of these genes cannot be explained by loss in other lineages. Each gene is supported by an ORF-creating mutation that occurred within the primate lineage, and which is not polymorphic in any species. Similarly to previous studies we find that thede novogenes identified are short and frequently located near pre-existing genes. Also, they may be associated with Alu elements and prior transcription and RNA-splicing at the locus. Additionally, we report the first case of apparent independent lineage sorting of ade novogene. The gene is present in human and gorilla, whereas chimpanzee has the ancestral non-coding sequence. This indicates a long period of polymorphism prior to fixation and thus supports a model wherede novogenes may, at least initially, have a neutral effect on fitness.","author":[{"dropping-particle":"","family":"Guerzoni","given":"Daniele","non-dropping-particle":"","parse-names":false,"suffix":""},{"dropping-particle":"","family":"McLysaght","given":"Aoife","non-dropping-particle":"","parse-names":false,"suffix":""}],"container-title":"Genome biology and evolution","id":"ITEM-1","issue":"4","issued":{"date-parts":[["2016"]]},"page":"1222-1232","title":"De Novo Genes Arise at a Slow but Steady Rate along the Primate Lineage and Have Been Subject to Incomplete Lineage Sorting","type":"article-journal","volume":"8"},"uris":["http://www.mendeley.com/documents/?uuid=b26c063c-6efe-4980-b457-2b5e9a2836df"]}],"mendeley":{"formattedCitation":"(Guerzoni &amp; McLysaght, 2016)","plainTextFormattedCitation":"(Guerzoni &amp; McLysaght, 2016)","previouslyFormattedCitation":"(Guerzoni &amp; McLysaght 2016)"},"properties":{"noteIndex":0},"schema":"https://github.com/citation-style-language/schema/raw/master/csl-citation.json"}</w:instrText>
      </w:r>
      <w:r>
        <w:fldChar w:fldCharType="separate"/>
      </w:r>
      <w:r w:rsidRPr="00E64425">
        <w:rPr>
          <w:noProof/>
        </w:rPr>
        <w:t>(Guerzoni &amp; McLysaght, 2016)</w:t>
      </w:r>
      <w:r>
        <w:fldChar w:fldCharType="end"/>
      </w:r>
      <w:r>
        <w:t xml:space="preserve">. The ‘transcription first’ model requires transcription of the locus and assumes no ORF is present. Next, a random DNA mutation or mutations occur which create an ORF. Two additional sources of evidence which support the ‘transcription first’ model include pervasive transcription of the genome and evidence of expression at the orthologous region in a closely related lineage </w:t>
      </w:r>
      <w:r>
        <w:fldChar w:fldCharType="begin" w:fldLock="1"/>
      </w:r>
      <w:r>
        <w:instrText>ADDIN CSL_CITATION {"citationItems":[{"id":"ITEM-1","itemData":{"DOI":"10.1371/journal.pgen.1003860","ISBN":"1553-7404 (Electronic)\\n1553-7390 (Linking)","ISSN":"15537390","PMID":"24146629","abstract":"How non-coding DNA gives rise to new protein-coding genes (de novo genes) is not well understood. Recent work has revealed the origins and functions of a few de novo genes, but common principles governing the evolution or biological roles of these genes are unknown. To better define these principles, we performed a parallel analysis of the evolution and function of six putatively protein-coding de novo genes described in Drosophila melanogaster. Reconstruction of the transcriptional history of de novo genes shows that two de novo genes emerged from novel long non-coding RNAs that arose at least 5 MY prior to evolution of an open reading frame. In contrast, four other de novo genes evolved a translated open reading frame and transcription within the same evolutionary interval suggesting that nascent open reading frames (proto-ORFs), while not required, can contribute to the emergence of a new de novo gene. However, none of the genes arose from proto-ORFs that existed long before expression evolved. Sequence and structural evolution of de novo genes was rapid compared to nearby genes and the structural complexity of de novo genes steadily increases over evolutionary time. Despite the fact that these genes are transcribed at a higher level in males than females, and are most strongly expressed in testes, RNAi experiments show that most of these genes are essential in both sexes during metamorphosis. This lethality suggests that protein coding de novo genes in Drosophila quickly become functionally important.","author":[{"dropping-particle":"","family":"Reinhardt","given":"Josephine A.","non-dropping-particle":"","parse-names":false,"suffix":""},{"dropping-particle":"","family":"Wanjiru","given":"Betty M.","non-dropping-particle":"","parse-names":false,"suffix":""},{"dropping-particle":"","family":"Brant","given":"Alicia T.","non-dropping-particle":"","parse-names":false,"suffix":""},{"dropping-particle":"","family":"Saelao","given":"Perot","non-dropping-particle":"","parse-names":false,"suffix":""},{"dropping-particle":"","family":"Begun","given":"David J.","non-dropping-particle":"","parse-names":false,"suffix":""},{"dropping-particle":"","family":"Jones","given":"Corbin D.","non-dropping-particle":"","parse-names":false,"suffix":""}],"container-title":"PLoS Genetics","id":"ITEM-1","issue":"10","issued":{"date-parts":[["2013"]]},"title":"De Novo ORFs in Drosophila Are Important to Organismal Fitness and Evolved Rapidly from Previously Non-coding Sequences","type":"article-journal","volume":"9"},"uris":["http://www.mendeley.com/documents/?uuid=f8f7a9f6-4982-470b-aec4-0afbd2ded3f4"]},{"id":"ITEM-2","itemData":{"DOI":"10.7554/eLife.09977","ISSN":"2050084X","PMID":"26836309","abstract":"Deep sequencing analyses have shown that a large fraction of genomes is transcribed, but the significance of this transcription is much debated. Here, we characterize the phylogenetic turnover of poly-adenylated transcripts in a comprehensive sampling of taxa of the mouse (genus Mus), spanning a phylogenetic distance of 10 Myr. Using deep RNA sequencing we find that at a given sequencing depth transcriptome coverage becomes saturated within a taxon, but keeps extending when compared between taxa, even at this very shallow phylogenetic level. Our data show a high turnover of transcriptional states between taxa and that no major transcript-free islands exist across evolutionary time. This suggests that the entire genome can be transcribed into poly-adenylated RNA when viewed at an evolutionary time scale. We conclude that any part of the non-coding genome can potentially become subject to evolutionary functionalization via de novo gene evolution within relatively short evolutionary time spans.","author":[{"dropping-particle":"","family":"Neme","given":"Rafik","non-dropping-particle":"","parse-names":false,"suffix":""},{"dropping-particle":"","family":"Tautz","given":"Diethard","non-dropping-particle":"","parse-names":false,"suffix":""}],"container-title":"eLife","id":"ITEM-2","issue":"FEBRUARY2016","issued":{"date-parts":[["2016"]]},"page":"1-20","title":"Fast turnover of genome transcription across evolutionary time exposes entire non-coding DNA to de novo gene emergence","type":"article-journal","volume":"5"},"uris":["http://www.mendeley.com/documents/?uuid=a96b0c37-e7a3-4d5f-ad69-6ae40d80ce3f"]}],"mendeley":{"formattedCitation":"(Neme &amp; Tautz, 2016; Reinhardt et al., 2013)","plainTextFormattedCitation":"(Neme &amp; Tautz, 2016; Reinhardt et al., 2013)","previouslyFormattedCitation":"(Reinhardt et al. 2013; Neme &amp; Tautz 2016)"},"properties":{"noteIndex":0},"schema":"https://github.com/citation-style-language/schema/raw/master/csl-citation.json"}</w:instrText>
      </w:r>
      <w:r>
        <w:fldChar w:fldCharType="separate"/>
      </w:r>
      <w:r w:rsidRPr="00E64425">
        <w:rPr>
          <w:noProof/>
        </w:rPr>
        <w:t>(Neme &amp; Tautz, 2016; Reinhardt et al., 2013)</w:t>
      </w:r>
      <w:r>
        <w:fldChar w:fldCharType="end"/>
      </w:r>
      <w:r>
        <w:t xml:space="preserve">. Alternatively, the ‘ORF-first’ model proposes that random mutations which occur in cis-regulatory may allow for a previously established ORF to be transcribed. The ‘Out of Testis’ hypothesis offers another model by which </w:t>
      </w:r>
      <w:r>
        <w:rPr>
          <w:i/>
          <w:iCs/>
        </w:rPr>
        <w:t xml:space="preserve">de novo </w:t>
      </w:r>
      <w:r>
        <w:t xml:space="preserve">genes may arise. Early papers in orphan gene research identified that new genes were preferentially expressed in </w:t>
      </w:r>
      <w:r>
        <w:rPr>
          <w:i/>
          <w:iCs/>
        </w:rPr>
        <w:t xml:space="preserve">Drosophila </w:t>
      </w:r>
      <w:r>
        <w:t xml:space="preserve">male reproductive organs </w:t>
      </w:r>
      <w:r>
        <w:fldChar w:fldCharType="begin" w:fldLock="1"/>
      </w:r>
      <w:r>
        <w:instrText>ADDIN CSL_CITATION {"citationItems":[{"id":"ITEM-1","itemData":{"DOI":"10.1534/genetics.106.069245","ISBN":"0016-6731 (Print)\\n0016-6731 (Linking)","ISSN":"00166731","PMID":"17435230","abstract":"The mutational origin and subsequent evolution of de novo genes, which are hypothesized to be genes of recent origin that are not obviously related to ancestral coding sequence, are poorly understood. However, accumulating evidence suggests that such genes may often function in male reproduction. Here we use testis-derived expressed sequence tags (ESTs) from Drosophila yakuba to identify genes that have likely arisen either in D. yakuba or in the D. yakuba/D. erecta ancestor. We found several such genes, which show testis-biased expression and are often X-linked. Comparative data indicate that three of these genes have very short open reading frames, which suggests the possibility that a significant number of testis-biased de novo genes in the D. yakuba/D. erecta clade may be noncoding RNA genes. These data, along with previously published data from D. melanogaster, support the idea that many de novo Drosophila genes function in male reproduction and that a small region of the X chromosome in the melanogaster subgroup may be a hotspot for the evolution of novel testis-biased genes.","author":[{"dropping-particle":"","family":"Begun","given":"David J.","non-dropping-particle":"","parse-names":false,"suffix":""},{"dropping-particle":"","family":"Lindfors","given":"Heather A.","non-dropping-particle":"","parse-names":false,"suffix":""},{"dropping-particle":"","family":"Kern","given":"Andrew D.","non-dropping-particle":"","parse-names":false,"suffix":""},{"dropping-particle":"","family":"Jones","given":"Corbin D.","non-dropping-particle":"","parse-names":false,"suffix":""}],"container-title":"Genetics","id":"ITEM-1","issue":"2","issued":{"date-parts":[["2007"]]},"page":"1131-1137","title":"Evidence for de novo evolution of testis-expressed genes in the Drosophila yakuba/Drosophila erecta clade","type":"article-journal","volume":"176"},"uris":["http://www.mendeley.com/documents/?uuid=4c2eb476-934b-41f2-ada0-e4a107a4a298"]},{"id":"ITEM-2","itemData":{"DOI":"10.1101/gr.6049","ISSN":"10889051","PMID":"12466289","abstract":"New genes that originated by various molecular mechanisms are an essential component in understanding the evolution of genetic systems. We investigated the pattern of origin of the genes created by retroposition in Drosophila. We surveyed the whole Drosophila melanogaster genome for such new retrogenes and experimentally analyzed their functionality and evolutionary process. These retrogenes, functional as revealed by the analysis of expression, substitution, and population genetics, show a surprisingly asymmetric pattern in their origin. There is a significant excess of retrogenes that originate from the X chromosome and retropose to autosomes; new genes retroposed from autosomes are scarce. Further, we found that most of these X-derived autosomal retrogenes had evolved a testis expression pattern. These observations may be explained by natural selection favoring those new retrogenes that moved to autosomes and avoided the spermatogenesis X inactivation, and suggest the important role of genome position for the origin of new genes.","author":[{"dropping-particle":"","family":"Betrán","given":"Esther","non-dropping-particle":"","parse-names":false,"suffix":""},{"dropping-particle":"","family":"Thornton","given":"Kevin","non-dropping-particle":"","parse-names":false,"suffix":""},{"dropping-particle":"","family":"Long","given":"Manyuan","non-dropping-particle":"","parse-names":false,"suffix":""}],"container-title":"Genome Research","id":"ITEM-2","issue":"12","issued":{"date-parts":[["2002"]]},"page":"1854-1859","title":"Retroposed new genes out of the X in Drosophila","type":"article-journal","volume":"12"},"uris":["http://www.mendeley.com/documents/?uuid=95c05772-3508-4248-a46f-24fe99634512"]}],"mendeley":{"formattedCitation":"(Begun, Lindfors, Kern, &amp; Jones, 2007; Betrán, Thornton, &amp; Long, 2002)","plainTextFormattedCitation":"(Begun, Lindfors, Kern, &amp; Jones, 2007; Betrán, Thornton, &amp; Long, 2002)","previouslyFormattedCitation":"(Begun et al. 2007; Betrán et al. 2002)"},"properties":{"noteIndex":0},"schema":"https://github.com/citation-style-language/schema/raw/master/csl-citation.json"}</w:instrText>
      </w:r>
      <w:r>
        <w:fldChar w:fldCharType="separate"/>
      </w:r>
      <w:r w:rsidRPr="00E64425">
        <w:rPr>
          <w:noProof/>
        </w:rPr>
        <w:t>(Begun, Lindfors, Kern, &amp; Jones, 2007; Betrán, Thornton, &amp; Long, 2002)</w:t>
      </w:r>
      <w:r>
        <w:fldChar w:fldCharType="end"/>
      </w:r>
      <w:r>
        <w:t xml:space="preserve">. From these observations, more formal hypotheses were formed which stated that young genes might initially be expressed in the testis and later may be gain expression in more tissues </w:t>
      </w:r>
      <w:r>
        <w:fldChar w:fldCharType="begin" w:fldLock="1"/>
      </w:r>
      <w:r>
        <w:instrText>ADDIN CSL_CITATION {"citationItems":[{"id":"ITEM-1","itemData":{"DOI":"10.1073/pnas.0511307103","ISSN":"00278424","PMID":"16492757","abstract":"Given that retroposed copies of genes are presumed to lack the regulatory elements required for their expression, retroposition has long been considered a mechanism without functional relevance. However, through an in silico assay for transcriptional activity, we identify here &gt; 1,000 transcribed retrocopies in the human genome, of which at least ≈120 have evolved into bona fide genes. Among these, ≈50 retrogenes have evolved functions in testes, more than half of which were recruited as functional autosomal counterparts of X-linked genes during spermatogenesis. Generally, retrogenes emerge \"out of the testis,\" because they are often initially transcribed in testis and later evolve stronger and sometimes more diverse spatial expression patterns. We find a significant excess of transcribed retrocopies close to other genes or within introns, suggesting that retrocopies can exploit the regulatory elements and/or open chromatin of neighboring genes to become transcribed. In direct support of this hypothesis, we identify 36 retrocopy-host gene fusions, including primate-specific chimeric genes. Strikingly, 27 intergenic retrogenes have acquired untranslated exons de novo during evolution to achieve high expression levels. Notably, our screen for highly transcribed retrocopies also uncovered a retrogene linked to a human recessive disorder, gelatinous drop-like corneal dystrophy, a form of blindness. These functional implications for retroposition notwithstanding, we find that the insertion of retrocopies into genes is generally deleterious, because it may interfere with the transcription of host genes. Our results demonstrate that natural selection has been fundamental in shaping the retrocopy repertoire of the human genome. © 2006 by The National Academy of Sciences of the USA.","author":[{"dropping-particle":"","family":"Vinckenbosch","given":"Nicolas","non-dropping-particle":"","parse-names":false,"suffix":""},{"dropping-particle":"","family":"Dupanloup","given":"Isabelle","non-dropping-particle":"","parse-names":false,"suffix":""},{"dropping-particle":"","family":"Kaessmann","given":"Henrik","non-dropping-particle":"","parse-names":false,"suffix":""}],"container-title":"Proceedings of the National Academy of Sciences of the United States of America","id":"ITEM-1","issue":"9","issued":{"date-parts":[["2006"]]},"page":"3220-3225","title":"Evolutionary fate of retroposed gene copies in the human genome","type":"article-journal","volume":"103"},"uris":["http://www.mendeley.com/documents/?uuid=933b1fd2-d5fe-4d96-bd03-7157adcd59b3"]}],"mendeley":{"formattedCitation":"(Vinckenbosch, Dupanloup, &amp; Kaessmann, 2006)","plainTextFormattedCitation":"(Vinckenbosch, Dupanloup, &amp; Kaessmann, 2006)","previouslyFormattedCitation":"(Vinckenbosch et al. 2006)"},"properties":{"noteIndex":0},"schema":"https://github.com/citation-style-language/schema/raw/master/csl-citation.json"}</w:instrText>
      </w:r>
      <w:r>
        <w:fldChar w:fldCharType="separate"/>
      </w:r>
      <w:r w:rsidRPr="00E64425">
        <w:rPr>
          <w:noProof/>
        </w:rPr>
        <w:t>(Vinckenbosch, Dupanloup, &amp; Kaessmann, 2006)</w:t>
      </w:r>
      <w:r>
        <w:fldChar w:fldCharType="end"/>
      </w:r>
      <w:r>
        <w:t xml:space="preserve">. In mammals, transcription in the testes is complex and thought to be promiscuous due to an open chromatin state </w:t>
      </w:r>
      <w:r>
        <w:fldChar w:fldCharType="begin" w:fldLock="1"/>
      </w:r>
      <w:r>
        <w:instrText>ADDIN CSL_CITATION {"citationItems":[{"id":"ITEM-1","itemData":{"DOI":"10.1016/j.celrep.2013.05.031","ISSN":"22111247","PMID":"23791531","abstract":"Understanding the extent of genomic transcription and its functional relevance is a central goal in genomics research. However, detailed genome-wide investigations of transcriptome complexity in major mammalian organs have been scarce. Here, using extensive RNA-seq data, we show that transcription of the genome is substantially more widespread in the testis than in other organs across representative mammals. Furthermore, we reveal that meiotic spermatocytes and especially postmeiotic round spermatids have remarkably diverse transcriptomes, which explains the high transcriptome complexity of the testis as a whole. The widespread transcriptional activity in spermatocytes and spermatids encompasses protein-coding and long noncoding RNA genes but also poorly conserves intergenic sequences, suggesting that it may not be of immediate functional relevance. Rather, our analyses of genome-wide epigenetic data suggest that this prevalent transcription, which most likely promoted the birth of new genes during evolution, is facilitated by an overall permissive chromatin in these germ cells that results from extensive chromatin remodeling. © 2013 The Authors.","author":[{"dropping-particle":"","family":"Soumillon","given":"Magali","non-dropping-particle":"","parse-names":false,"suffix":""},{"dropping-particle":"","family":"Necsulea","given":"Anamaria","non-dropping-particle":"","parse-names":false,"suffix":""},{"dropping-particle":"","family":"Weier","given":"Manuela","non-dropping-particle":"","parse-names":false,"suffix":""},{"dropping-particle":"","family":"Brawand","given":"David","non-dropping-particle":"","parse-names":false,"suffix":""},{"dropping-particle":"","family":"Zhang","given":"Xiaolan","non-dropping-particle":"","parse-names":false,"suffix":""},{"dropping-particle":"","family":"Gu","given":"Hongcang","non-dropping-particle":"","parse-names":false,"suffix":""},{"dropping-particle":"","family":"Barthès","given":"Pauline","non-dropping-particle":"","parse-names":false,"suffix":""},{"dropping-particle":"","family":"Kokkinaki","given":"Maria","non-dropping-particle":"","parse-names":false,"suffix":""},{"dropping-particle":"","family":"Nef","given":"Serge","non-dropping-particle":"","parse-names":false,"suffix":""},{"dropping-particle":"","family":"Gnirke","given":"Andreas","non-dropping-particle":"","parse-names":false,"suffix":""},{"dropping-particle":"","family":"Dym","given":"Martin","non-dropping-particle":"","parse-names":false,"suffix":""},{"dropping-particle":"","family":"deMassy","given":"Bernard","non-dropping-particle":"","parse-names":false,"suffix":""},{"dropping-particle":"","family":"Mikkelsen","given":"Tarjei S.","non-dropping-particle":"","parse-names":false,"suffix":""},{"dropping-particle":"","family":"Kaessmann","given":"Henrik","non-dropping-particle":"","parse-names":false,"suffix":""}],"container-title":"Cell Reports","id":"ITEM-1","issue":"6","issued":{"date-parts":[["2013"]]},"page":"2179-2190","title":"Cellular Source and Mechanisms of High Transcriptome Complexity in the Mammalian Testis","type":"article-journal","volume":"3"},"uris":["http://www.mendeley.com/documents/?uuid=dbe3f510-9236-49ab-9054-c8d20b31861a"]}],"mendeley":{"formattedCitation":"(Soumillon et al., 2013)","plainTextFormattedCitation":"(Soumillon et al., 2013)","previouslyFormattedCitation":"(Soumillon et al. 2013)"},"properties":{"noteIndex":0},"schema":"https://github.com/citation-style-language/schema/raw/master/csl-citation.json"}</w:instrText>
      </w:r>
      <w:r>
        <w:fldChar w:fldCharType="separate"/>
      </w:r>
      <w:r w:rsidRPr="00E64425">
        <w:rPr>
          <w:noProof/>
        </w:rPr>
        <w:t>(Soumillon et al., 2013)</w:t>
      </w:r>
      <w:r>
        <w:fldChar w:fldCharType="end"/>
      </w:r>
      <w:r>
        <w:t xml:space="preserve">. Similarly, in monocot and dicot plants pollen-biased expression of young genes is apparent and pollen shares a similar open chromatin environment </w:t>
      </w:r>
      <w:r>
        <w:fldChar w:fldCharType="begin" w:fldLock="1"/>
      </w:r>
      <w:r>
        <w:instrText>ADDIN CSL_CITATION {"citationItems":[{"id":"ITEM-1","itemData":{"DOI":"10.1016/j.molp.2014.12.008","ISBN":"1674-2052","ISSN":"17529867","PMID":"25670339","abstract":"The birth of new genes in genomes is an important evolutionary event. Several studies reveal that new genes in animals tend to be preferentially expressed in male reproductive tissues such as testis (Betrán et al., 2002; Begun et al., 2007; Dubruille et al., 2012), and thus an \"out of testis\" hypothesis for the emergence of new genes has been proposed (Vinckenbosch et al., 2006; Kaessmann, 2010). However, such phenomena have not been examined in plant species. Here, by employing a phylostratigraphic method, we dated the origin of protein-coding genes in rice and Arabidopsis thaliana and observed a number of young genes in both species. These young genes tend to encode short extracellular proteins, which may be involved in rapid evolving processes, such as reproductive barriers, species specification, and anti-microbial processes. Further analysis of transcriptome age indexes across different tissues revealed that male reproductive cells express a phylogenetically younger transcriptome than other plant tissues. Compared with sporophytic tissues, the young transcriptomes of the male gametophyte displayed greater complexity and diversity, which included a higher ratio of anti-sense and inter-genic transcripts, reflecting a pervasive transcription state that facilitated the emergence of new genes. Here, we propose that pollen may act as an \"innovation incubator\" for the birth of de novo genes. With cases of male-biased expression of young genes reported in animals, the \"new genes out of the male\" model revealed a common evolutionary force that drives reproductive barriers, species specification, and the upgrading of defensive mechanisms against pathogens.","author":[{"dropping-particle":"","family":"Cui","given":"Xiao","non-dropping-particle":"","parse-names":false,"suffix":""},{"dropping-particle":"","family":"Lv","given":"Yang","non-dropping-particle":"","parse-names":false,"suffix":""},{"dropping-particle":"","family":"Chen","given":"Miaolin","non-dropping-particle":"","parse-names":false,"suffix":""},{"dropping-particle":"","family":"Nikoloski","given":"Zoran","non-dropping-particle":"","parse-names":false,"suffix":""},{"dropping-particle":"","family":"Twell","given":"David","non-dropping-particle":"","parse-names":false,"suffix":""},{"dropping-particle":"","family":"Zhang","given":"Dabing","non-dropping-particle":"","parse-names":false,"suffix":""}],"container-title":"Molecular Plant","id":"ITEM-1","issue":"6","issued":{"date-parts":[["2015"]]},"page":"935-945","publisher":"Elsevier Ltd","title":"Young genes out of the male: An insight from evolutionary age analysis of the pollen transcriptome","type":"article-journal","volume":"8"},"uris":["http://www.mendeley.com/documents/?uuid=ba542431-aa95-4243-8bb2-e536bc7c7b6c"]}],"mendeley":{"formattedCitation":"(Cui et al., 2015)","plainTextFormattedCitation":"(Cui et al., 2015)","previouslyFormattedCitation":"(Cui et al. 2015)"},"properties":{"noteIndex":0},"schema":"https://github.com/citation-style-language/schema/raw/master/csl-citation.json"}</w:instrText>
      </w:r>
      <w:r>
        <w:fldChar w:fldCharType="separate"/>
      </w:r>
      <w:r w:rsidRPr="00E64425">
        <w:rPr>
          <w:noProof/>
        </w:rPr>
        <w:t>(Cui et al., 2015)</w:t>
      </w:r>
      <w:r>
        <w:fldChar w:fldCharType="end"/>
      </w:r>
      <w:r>
        <w:t>. Therefore, male reproductive tissues may serve as a testing ground for new genes which may become fixed if they offer some advantage.</w:t>
      </w:r>
    </w:p>
    <w:p w14:paraId="75C8D02D" w14:textId="77777777" w:rsidR="00636B5B" w:rsidRDefault="00636B5B" w:rsidP="00E64425">
      <w:pPr>
        <w:spacing w:line="360" w:lineRule="auto"/>
      </w:pPr>
      <w:r>
        <w:tab/>
        <w:t xml:space="preserve">Identification and curation of </w:t>
      </w:r>
      <w:r>
        <w:rPr>
          <w:i/>
          <w:iCs/>
        </w:rPr>
        <w:t xml:space="preserve">de novo </w:t>
      </w:r>
      <w:r>
        <w:t xml:space="preserve">and orphan genes are impacted by a range of factors. Two of the most salient are the genome annotation pipeline employed and the methodology used for identification. The lack of standardization in gene annotation pipelines is </w:t>
      </w:r>
      <w:r>
        <w:lastRenderedPageBreak/>
        <w:t xml:space="preserve">significant problem for the accurate identification of orphan and </w:t>
      </w:r>
      <w:r>
        <w:rPr>
          <w:i/>
          <w:iCs/>
        </w:rPr>
        <w:t>de novo</w:t>
      </w:r>
      <w:r>
        <w:t xml:space="preserve"> genes and in some cases may be biased against new genes </w:t>
      </w:r>
      <w:r>
        <w:fldChar w:fldCharType="begin" w:fldLock="1"/>
      </w:r>
      <w:r>
        <w:instrText>ADDIN CSL_CITATION {"citationItems":[{"id":"ITEM-1","itemData":{"DOI":"10.4137/BBI.S39950","ISSN":"11779322","PMID":"27493475","abstract":"While it has long been thought that all genomic novelties are derived from the existing material, many genes lacking homology to known genes were found in recent genome projects. Some of these novel genes were proposed to have evolved de novo, ie, out of noncoding sequences, whereas some have been shown to follow a duplication and divergence process. Their discovery called for an extension of the historical hypotheses about gene origination. Besides the theoretical breakthrough, increasing evidence accumulated that novel genes play important roles in evolutionary processes, including adaptation and speciation events. Different techniques are available to identify genes and classify them as novel. Their classification as novel is usually based on their similarity to known genes, or lack thereof, detected by comparative genomics or against databases. Computational approaches are further prime methods that can be based on existing models or leveraging biological evidences from experiments. Identification of novel genes remains however a challenging task. With the constant software and technologies updates, no gold standard, and no available benchmark, evaluation and characterization of genomic novelty is a vibrant field. In this review, the classical and state-of-the-art tools for gene prediction are introduced. The current methods for novel gene detection are presented; the methodological strategies and their limits are discussed along with perspective approaches for further studies.","author":[{"dropping-particle":"","family":"Klasberg","given":"Steffen","non-dropping-particle":"","parse-names":false,"suffix":""},{"dropping-particle":"","family":"Bitard-Feildel","given":"Tristan","non-dropping-particle":"","parse-names":false,"suffix":""},{"dropping-particle":"","family":"Mallet","given":"Ludovic","non-dropping-particle":"","parse-names":false,"suffix":""}],"container-title":"Bioinformatics and Biology Insights","id":"ITEM-1","issued":{"date-parts":[["2016"]]},"page":"121-131","title":"Computational identification of novel genes: Current and future perspectives","type":"article-journal","volume":"10"},"uris":["http://www.mendeley.com/documents/?uuid=c6bd61b0-42f3-4648-92ce-f62c34205ab1"]}],"mendeley":{"formattedCitation":"(Klasberg, Bitard-Feildel, &amp; Mallet, 2016)","plainTextFormattedCitation":"(Klasberg, Bitard-Feildel, &amp; Mallet, 2016)","previouslyFormattedCitation":"(Klasberg et al. 2016)"},"properties":{"noteIndex":0},"schema":"https://github.com/citation-style-language/schema/raw/master/csl-citation.json"}</w:instrText>
      </w:r>
      <w:r>
        <w:fldChar w:fldCharType="separate"/>
      </w:r>
      <w:r w:rsidRPr="00E64425">
        <w:rPr>
          <w:noProof/>
        </w:rPr>
        <w:t>(Klasberg, Bitard-Feildel, &amp; Mallet, 2016)</w:t>
      </w:r>
      <w:r>
        <w:fldChar w:fldCharType="end"/>
      </w:r>
      <w:r>
        <w:t xml:space="preserve">. Most common genome annotation methods employ a combination of homology-based and </w:t>
      </w:r>
      <w:r>
        <w:rPr>
          <w:i/>
          <w:iCs/>
        </w:rPr>
        <w:t xml:space="preserve">ab initio </w:t>
      </w:r>
      <w:r>
        <w:t xml:space="preserve">derived prediction to annotate the genome. Because orphan and </w:t>
      </w:r>
      <w:r>
        <w:rPr>
          <w:i/>
          <w:iCs/>
        </w:rPr>
        <w:t xml:space="preserve">de </w:t>
      </w:r>
      <w:r w:rsidRPr="00F30497">
        <w:t>novo</w:t>
      </w:r>
      <w:r>
        <w:t xml:space="preserve"> genes lack homology to any other genes these methods are unsuitable for their identification. Furthermore, </w:t>
      </w:r>
      <w:r>
        <w:rPr>
          <w:i/>
          <w:iCs/>
        </w:rPr>
        <w:t xml:space="preserve">ab initio </w:t>
      </w:r>
      <w:r>
        <w:t xml:space="preserve">techniques, which are models trained on known proteins or genes may be biased against young genes which have atypical structures such as short length and are often overlapping another gene on the antisense strand. </w:t>
      </w:r>
      <w:r>
        <w:fldChar w:fldCharType="begin" w:fldLock="1"/>
      </w:r>
      <w:r>
        <w:instrText>ADDIN CSL_CITATION {"citationItems":[{"id":"ITEM-1","itemData":{"DOI":"10.3389/fmolb.2020.00187","ISSN":"2296889X","abstract":"Many prokaryotic RNAs are transcribed from loci outside of annotated protein coding genes. Across bacterial species hundreds of short open reading frames antisense to annotated genes show evidence of both transcription and translation, for instance in ribosome profiling data. Determining the functional fraction of these protein products awaits further research, including insights from studies of molecular interactions and detailed evolutionary analysis. There are multiple lines of evidence, however, that many of these newly discovered proteins are of use to the organism. Condition-specific phenotypes have been characterized for a few. These proteins should be added to genome annotations, and the methods for predicting them standardized. Evolutionary analysis of these typically young sequences also may provide important insights into gene evolution. This research should be prioritized for its exciting potential to uncover large numbers of novel proteins with extremely diverse potential practical uses, including applications in synthetic biology and responding to pathogens.","author":[{"dropping-particle":"","family":"Ardern","given":"Zachary","non-dropping-particle":"","parse-names":false,"suffix":""},{"dropping-particle":"","family":"Neuhaus","given":"Klaus","non-dropping-particle":"","parse-names":false,"suffix":""},{"dropping-particle":"","family":"Scherer","given":"Siegfried","non-dropping-particle":"","parse-names":false,"suffix":""}],"container-title":"Frontiers in Molecular Biosciences","id":"ITEM-1","issue":"August","issued":{"date-parts":[["2020"]]},"page":"1-12","title":"Are Antisense Proteins in Prokaryotes Functional?","type":"article-journal","volume":"7"},"uris":["http://www.mendeley.com/documents/?uuid=996d5d85-0072-4392-bc4f-cf41ffa7bb9e"]},{"id":"ITEM-2","itemData":{"DOI":"10.1101/2019.12.17.880294","ISSN":"2692-8205","abstract":"The evolutionary rapid emergence of new genes gives rise to “orphan genes” that share no sequence homology to genes in closely related genomes. These genes provide organisms with a reservoir of genetic elements to quickly respond to changing selection pressures. Gene annotation pipelines that combine ab initio machine-learning with sequence homology-based searches are efficient in identifying basal genes with a long evolutionary history. However, their ability to identify orphan genes and other young genes has not been systematically evaluated. Here, we classify the phylostrata of curated Arabidopsis thaliana genes and use these to assess the ability of two of the most prevalent annotation pipelines, MAKER and BRAKER, to predict orphans and other young genes. MAKER predictions are highly dependent on the RNA-Seq evidence, predicting between 11% and 60% of the orphan-genes and 95% to 98% of basal-genes in the annotated genome of Arabidopsis. In contrast, BRAKER consistently predicts 33% of orphan-genes and 98% of basal-genes. A less used method to identify genes is by directly aligning RNA-Seq data to the genome sequence. We present a Findable, Accessible, Interoperable and Reusable (FAIR) approach, called BIND, that mitigates the under-prediction of orphan genes. BIND combines BRAKER predictions with direct evidence-based inference of transcripts based on RNA-Seq alignments to the genome. BIND increases the number and accuracy of orphan gene predictions, identifying 68% of Araport11-annotated orphan genes and 99% of the conserved genes.","author":[{"dropping-particle":"","family":"Seetharam","given":"Arun","non-dropping-particle":"","parse-names":false,"suffix":""},{"dropping-particle":"","family":"Singh","given":"Urminder","non-dropping-particle":"","parse-names":false,"suffix":""},{"dropping-particle":"","family":"Li","given":"Jing","non-dropping-particle":"","parse-names":false,"suffix":""},{"dropping-particle":"","family":"Bhandary","given":"Priyanka","non-dropping-particle":"","parse-names":false,"suffix":""},{"dropping-particle":"","family":"Arendsee","given":"Zeb","non-dropping-particle":"","parse-names":false,"suffix":""},{"dropping-particle":"","family":"Wurtele","given":"Eve Syrkin","non-dropping-particle":"","parse-names":false,"suffix":""}],"container-title":"bioRxiv","id":"ITEM-2","issued":{"date-parts":[["2019"]]},"page":"37-39","title":"Maximizing prediction of orphan genes in assembled genomes","type":"article-journal"},"uris":["http://www.mendeley.com/documents/?uuid=7962b94b-cb46-4611-94fa-6bcafbbde73f"]}],"mendeley":{"formattedCitation":"(Ardern, Neuhaus, &amp; Scherer, 2020; Seetharam et al., 2019)","plainTextFormattedCitation":"(Ardern, Neuhaus, &amp; Scherer, 2020; Seetharam et al., 2019)","previouslyFormattedCitation":"(Ardern et al. 2020; Seetharam et al. 2019)"},"properties":{"noteIndex":0},"schema":"https://github.com/citation-style-language/schema/raw/master/csl-citation.json"}</w:instrText>
      </w:r>
      <w:r>
        <w:fldChar w:fldCharType="separate"/>
      </w:r>
      <w:r w:rsidRPr="00E64425">
        <w:rPr>
          <w:noProof/>
        </w:rPr>
        <w:t>(Ardern, Neuhaus, &amp; Scherer, 2020; Seetharam et al., 2019)</w:t>
      </w:r>
      <w:r>
        <w:fldChar w:fldCharType="end"/>
      </w:r>
      <w:r>
        <w:t xml:space="preserve">. One solution to this is to include additional evidence such as RNA-Seq, </w:t>
      </w:r>
      <w:proofErr w:type="spellStart"/>
      <w:r>
        <w:t>Ribo</w:t>
      </w:r>
      <w:proofErr w:type="spellEnd"/>
      <w:r>
        <w:t xml:space="preserve">-Seq, or proteomic data to correct missing annotations. However, due to the high tissue specificity and low expression levels of young </w:t>
      </w:r>
      <w:r>
        <w:rPr>
          <w:i/>
          <w:iCs/>
        </w:rPr>
        <w:t xml:space="preserve">de novo </w:t>
      </w:r>
      <w:r>
        <w:t xml:space="preserve">and orphan genes multiple tissues and developmental stages should be sampled at high sequencing depth. </w:t>
      </w:r>
      <w:r w:rsidRPr="00F30497">
        <w:t>Additionally</w:t>
      </w:r>
      <w:r>
        <w:t xml:space="preserve">, some </w:t>
      </w:r>
      <w:r>
        <w:rPr>
          <w:i/>
          <w:iCs/>
        </w:rPr>
        <w:t xml:space="preserve">de novo </w:t>
      </w:r>
      <w:r>
        <w:t xml:space="preserve">gene studies do not limit their analyses to annotated genes which adds further to variation in curation methodology </w:t>
      </w:r>
      <w:r>
        <w:fldChar w:fldCharType="begin" w:fldLock="1"/>
      </w:r>
      <w:r>
        <w:instrText>ADDIN CSL_CITATION {"citationItems":[{"id":"ITEM-1","itemData":{"DOI":"10.1371/journal.pgen.1005721","ISSN":"15537404","abstract":"© 2015 Ruiz-Orera et al. The birth of new genes is an important motor of evolutionary innovation. Whereas many new genes arise by gene duplication, others originate at genomic regions that did not contain any genes or gene copies. Some of these newly expressed genes may acquire coding or non-coding functions and be preserved by natural selection. However, it is yet unclear which is the prevalence and underlying mechanisms of de novo gene emergence. In order to obtain a comprehensive view of this process, we have performed in-depth sequencing of the transcriptomes of four mammalian species—human, chimpanzee, macaque, and mouse—and subsequently compared the assembled transcripts and the corresponding syntenic genomic regions. This has resulted in the identification of over five thousand new multiexonic transcriptional events in human and/or chimpanzee that are not observed in the rest of species. Using comparative genomics, we show that the expression of these transcripts is associated with the gain of regulatory motifs upstream of the transcription start site (TSS) and of U1 snRNP sites downstream of the TSS. In general, these transcripts show little evidence of purifying selection, suggesting that many of them are not functional. However, we find signatures of selection in a subset of de novo genes which have evidence of protein translation. Taken together, the data support a model in which frequently-occurring new transcriptional events in the genome provide the raw material for the evolution of new proteins.","author":[{"dropping-particle":"","family":"Ruiz-Orera","given":"Jorge","non-dropping-particle":"","parse-names":false,"suffix":""},{"dropping-particle":"","family":"Hernandez-Rodriguez","given":"Jessica","non-dropping-particle":"","parse-names":false,"suffix":""},{"dropping-particle":"","family":"Chiva","given":"Cristina","non-dropping-particle":"","parse-names":false,"suffix":""},{"dropping-particle":"","family":"Sabidó","given":"Eduard","non-dropping-particle":"","parse-names":false,"suffix":""},{"dropping-particle":"","family":"Kondova","given":"Ivanela","non-dropping-particle":"","parse-names":false,"suffix":""},{"dropping-particle":"","family":"Bontrop","given":"Ronald","non-dropping-particle":"","parse-names":false,"suffix":""},{"dropping-particle":"","family":"Marqués-Bonet","given":"Tomàs","non-dropping-particle":"","parse-names":false,"suffix":""},{"dropping-particle":"","family":"Albà","given":"M. Mar","non-dropping-particle":"","parse-names":false,"suffix":""}],"container-title":"PLoS Genetics","id":"ITEM-1","issue":"12","issued":{"date-parts":[["2015"]]},"page":"1-24","title":"Origins of De Novo Genes in Human and Chimpanzee","type":"article-journal","volume":"11"},"uris":["http://www.mendeley.com/documents/?uuid=6a7fb8c7-9ce6-44cf-b125-d881a60e5cb6"]},{"id":"ITEM-2","itemData":{"DOI":"10.1038/s41467-021-20911-3","ISSN":"20411723","PMID":"33504782","abstract":"De novo gene origination has been recently established as an important mechanism for the formation of new genes. In organisms with a large genome, intergenic and intronic regions provide plenty of raw material for new transcriptional events to occur, but little is know about how de novo transcripts originate in more densely-packed genomes. Here, we identify 213 de novo originated transcripts in Saccharomyces cerevisiae using deep transcriptomics and genomic synteny information from multiple yeast species grown in two different conditions. We find that about half of the de novo transcripts are expressed from regions which already harbor other genes in the opposite orientation; these transcripts show similar expression changes in response to stress as their overlapping counterparts, and some appear to translate small proteins. Thus, a large fraction of de novo genes in yeast are likely to co-evolve with already existing genes.","author":[{"dropping-particle":"","family":"Blevins","given":"William R.","non-dropping-particle":"","parse-names":false,"suffix":""},{"dropping-particle":"","family":"Ruiz-Orera","given":"Jorge","non-dropping-particle":"","parse-names":false,"suffix":""},{"dropping-particle":"","family":"Messeguer","given":"Xavier","non-dropping-particle":"","parse-names":false,"suffix":""},{"dropping-particle":"","family":"Blasco-Moreno","given":"Bernat","non-dropping-particle":"","parse-names":false,"suffix":""},{"dropping-particle":"","family":"Villanueva-Cañas","given":"José Luis","non-dropping-particle":"","parse-names":false,"suffix":""},{"dropping-particle":"","family":"Espinar","given":"Lorena","non-dropping-particle":"","parse-names":false,"suffix":""},{"dropping-particle":"","family":"Díez","given":"Juana","non-dropping-particle":"","parse-names":false,"suffix":""},{"dropping-particle":"","family":"Carey","given":"Lucas B.","non-dropping-particle":"","parse-names":false,"suffix":""},{"dropping-particle":"","family":"Albà","given":"M. Mar","non-dropping-particle":"","parse-names":false,"suffix":""}],"container-title":"Nature Communications","id":"ITEM-2","issue":"1","issued":{"date-parts":[["2021"]]},"page":"1-13","publisher":"Springer US","title":"Uncovering de novo gene birth in yeast using deep transcriptomics","type":"article-journal","volume":"12"},"uris":["http://www.mendeley.com/documents/?uuid=51904499-8f7d-4a2f-8ebb-33137b4eb1b4"]}],"mendeley":{"formattedCitation":"(Blevins et al., 2021; Ruiz-Orera et al., 2015)","plainTextFormattedCitation":"(Blevins et al., 2021; Ruiz-Orera et al., 2015)","previouslyFormattedCitation":"(Ruiz-Orera et al. 2015; Blevins et al. 2021)"},"properties":{"noteIndex":0},"schema":"https://github.com/citation-style-language/schema/raw/master/csl-citation.json"}</w:instrText>
      </w:r>
      <w:r>
        <w:fldChar w:fldCharType="separate"/>
      </w:r>
      <w:r w:rsidRPr="00E64425">
        <w:rPr>
          <w:noProof/>
        </w:rPr>
        <w:t>(Blevins et al., 2021; Ruiz-Orera et al., 2015)</w:t>
      </w:r>
      <w:r>
        <w:fldChar w:fldCharType="end"/>
      </w:r>
      <w:r>
        <w:t xml:space="preserve">. The methodology employed to identify </w:t>
      </w:r>
      <w:r>
        <w:rPr>
          <w:i/>
          <w:iCs/>
        </w:rPr>
        <w:t xml:space="preserve">de novo </w:t>
      </w:r>
      <w:r>
        <w:t xml:space="preserve">genes also varies considerably across studies. Two of the most common methods are </w:t>
      </w:r>
      <w:proofErr w:type="spellStart"/>
      <w:r>
        <w:t>phylostratigraphy</w:t>
      </w:r>
      <w:proofErr w:type="spellEnd"/>
      <w:r>
        <w:t xml:space="preserve"> and synteny-based identification of </w:t>
      </w:r>
      <w:r>
        <w:rPr>
          <w:i/>
          <w:iCs/>
        </w:rPr>
        <w:t xml:space="preserve">de novo </w:t>
      </w:r>
      <w:r>
        <w:t xml:space="preserve">genes. </w:t>
      </w:r>
      <w:proofErr w:type="spellStart"/>
      <w:r>
        <w:t>Phylostratigraphy</w:t>
      </w:r>
      <w:proofErr w:type="spellEnd"/>
      <w:r>
        <w:t xml:space="preserve"> employs BLAST to stratify genes by their age and relies on sequence similarity </w:t>
      </w:r>
      <w:r>
        <w:fldChar w:fldCharType="begin" w:fldLock="1"/>
      </w:r>
      <w:r>
        <w:instrText>ADDIN CSL_CITATION {"citationItems":[{"id":"ITEM-1","itemData":{"DOI":"10.1186/s12859-019-3023-y","ISSN":"14712105","abstract":"Background: With every new genome that is sequenced, thousands of species-specific genes (orphans) are found, some originating from ultra-rapid mutations of existing genes, many others originating de novo from non-genic regions of the genome. If some of these genes survive across speciations, then extant organisms will contain a patchwork of genes whose ancestors first appeared at different times. Standard phylostratigraphy, the technique of partitioning genes by their age, is based solely on protein similarity algorithms. However, this approach relies on negative evidence â\"€a failure to detect a homolog of a query gene. An alternative approach is to limit the search for homologs to syntenic regions. Then, genes can be positively identified as de novo orphans by tracing them to non-coding sequences in related species. Results: We have developed a synteny-based pipeline in the R framework. Fagin determines the genomic context of each query gene in a focal species compared to homologous sequence in target species. We tested the fagin pipeline on two focal species, Arabidopsis thaliana (plus four target species in Brassicaseae) and Saccharomyces cerevisiae (plus six target species in Saccharomyces). Using microsynteny maps, fagin classified the homology relationship of each query gene against each target genome into three main classes, and further subclasses: AAic (has a coding syntenic homolog), NTic (has a non-coding syntenic homolog), and Unknown (has no detected syntenic homolog). fagin inferred over half the \"Unknown\" A. thaliana query genes, and about 20% for S. cerevisiae, as lacking a syntenic homolog because of local indels or scrambled synteny. Conclusions: fagin augments standard phylostratigraphy, and extends synteny-based phylostratigraphy with an automated, customizable, and detailed contextual analysis. By comparing synteny-based phylostrata to standard phylostrata, fagin systematically identifies those orphans and lineage-specific genes that are well-supported to have originated de novo. Analyzing within-species genomes should distinguish orphan genes that may have originated through rapid divergence from de novo orphans. Fagin also delineates whether a gene has no syntenic homolog because of technical or biological reasons. These analyses indicate that some orphans may be associated with regions of high genomic perturbation.","author":[{"dropping-particle":"","family":"Arendsee","given":"Zebulun","non-dropping-particle":"","parse-names":false,"suffix":""},{"dropping-particle":"","family":"Li","given":"Jing","non-dropping-particle":"","parse-names":false,"suffix":""},{"dropping-particle":"","family":"Singh","given":"Urminder","non-dropping-particle":"","parse-names":false,"suffix":""},{"dropping-particle":"","family":"Bhandary","given":"Priyanka","non-dropping-particle":"","parse-names":false,"suffix":""},{"dropping-particle":"","family":"Seetharam","given":"Arun","non-dropping-particle":"","parse-names":false,"suffix":""},{"dropping-particle":"","family":"Wurtele","given":"Eve Syrkin","non-dropping-particle":"","parse-names":false,"suffix":""}],"container-title":"BMC Bioinformatics","id":"ITEM-1","issue":"1","issued":{"date-parts":[["2019"]]},"page":"1-14","publisher":"BMC Bioinformatics","title":"Fagin: Synteny-based phylostratigraphy and finer classification of young genes","type":"article-journal","volume":"20"},"uris":["http://www.mendeley.com/documents/?uuid=ebffa848-8ddb-4da9-a53c-2b635e3aff87"]}],"mendeley":{"formattedCitation":"(Z. Arendsee, Li, Singh, Bhandary, et al., 2019)","manualFormatting":"(Arendsee et al. 2019)","plainTextFormattedCitation":"(Z. Arendsee, Li, Singh, Bhandary, et al., 2019)","previouslyFormattedCitation":"(Arendsee, Li, Singh, Bhandary, et al. 2019)"},"properties":{"noteIndex":0},"schema":"https://github.com/citation-style-language/schema/raw/master/csl-citation.json"}</w:instrText>
      </w:r>
      <w:r>
        <w:fldChar w:fldCharType="separate"/>
      </w:r>
      <w:r w:rsidRPr="001A7FF1">
        <w:rPr>
          <w:noProof/>
        </w:rPr>
        <w:t>(Arendsee et al. 2019)</w:t>
      </w:r>
      <w:r>
        <w:fldChar w:fldCharType="end"/>
      </w:r>
      <w:r>
        <w:t xml:space="preserve">. Consequently, </w:t>
      </w:r>
      <w:proofErr w:type="spellStart"/>
      <w:r>
        <w:t>phylostratigraphy</w:t>
      </w:r>
      <w:proofErr w:type="spellEnd"/>
      <w:r>
        <w:t xml:space="preserve"> identifies </w:t>
      </w:r>
      <w:r>
        <w:rPr>
          <w:i/>
          <w:iCs/>
        </w:rPr>
        <w:t xml:space="preserve">de novo </w:t>
      </w:r>
      <w:r>
        <w:t xml:space="preserve">genes that originate from non-coding sequence and short rapidly evolving genes which may be too diverged from their closest homolog </w:t>
      </w:r>
      <w:r>
        <w:fldChar w:fldCharType="begin" w:fldLock="1"/>
      </w:r>
      <w:r>
        <w:instrText>ADDIN CSL_CITATION {"citationItems":[{"id":"ITEM-1","itemData":{"DOI":"10.1093/molbev/msw284","ISBN":"0737-4038","ISSN":"0737-4038","PMID":"28087778","abstract":"Phylostratigraphy is a computational framework for dating the emergence of DNA and protein sequences in a phylogeny. It has been extensively applied to make inferences on patterns of genome evolution, including patterns of disease gene evolution, ontogeny and de novo gene origination. Phylostratigraphy typically relies on BLAST searches along a species tree, but new simulation studies have raised concerns about the ability of BLAST to detect remote homologues and its impact on phylostratigraphic inferences. Here, we re-assessed these simulations. We found that, even with a possible overall BLAST false negative rate between 11-15%, the large majority of sequences assigned to a recent evolutionary origin by phylostratigraphy is unaffected by technical concerns about BLAST. Where the results of the simulations did cast doubt on previously reported findings, we repeated the original analyses but now excluded all questionable sequences. The originally described patterns remained essentially unchanged. These new analyses strongly support phylostratigraphic inferences, including: genes that emerged after the origin of eukaryotes are more likely to be expressed in the ectoderm than in the endoderm or mesoderm in Drosophila, and the de novo emergence of protein-coding genes from non-genic sequences occurs through proto-gene intermediates in yeast. We conclude that BLAST is an appropriate and sufficiently sensitive tool in phylostratigraphic analysis that does not appear to introduce significant biases into evolutionary pattern inferences.","author":[{"dropping-particle":"","family":"Domazet-Lošo","given":"Tomislav","non-dropping-particle":"","parse-names":false,"suffix":""},{"dropping-particle":"","family":"Carvunis","given":"Anne-Ruxandra","non-dropping-particle":"","parse-names":false,"suffix":""},{"dropping-particle":"","family":"Mar Albà","given":"M.","non-dropping-particle":"","parse-names":false,"suffix":""},{"dropping-particle":"","family":"Sebastijan Šestak","given":"Martin","non-dropping-particle":"","parse-names":false,"suffix":""},{"dropping-particle":"","family":"Bakarić","given":"Robert","non-dropping-particle":"","parse-names":false,"suffix":""},{"dropping-particle":"","family":"Neme","given":"Rafik","non-dropping-particle":"","parse-names":false,"suffix":""},{"dropping-particle":"","family":"Tautz","given":"Diethard","non-dropping-particle":"","parse-names":false,"suffix":""}],"container-title":"Molecular Biology and Evolution","id":"ITEM-1","issue":"4","issued":{"date-parts":[["2017"]]},"page":"msw284","title":"No evidence for phylostratigraphic bias impacting inferences on patterns of gene emergence and evolution","type":"article-journal","volume":"34"},"uris":["http://www.mendeley.com/documents/?uuid=af38692e-ddab-455e-8fae-98a631214c12"]}],"mendeley":{"formattedCitation":"(Domazet-Lošo et al., 2017)","plainTextFormattedCitation":"(Domazet-Lošo et al., 2017)","previouslyFormattedCitation":"(Domazet-Lošo et al. 2017)"},"properties":{"noteIndex":0},"schema":"https://github.com/citation-style-language/schema/raw/master/csl-citation.json"}</w:instrText>
      </w:r>
      <w:r>
        <w:fldChar w:fldCharType="separate"/>
      </w:r>
      <w:r w:rsidRPr="00E64425">
        <w:rPr>
          <w:noProof/>
        </w:rPr>
        <w:t>(Domazet-Lošo et al., 2017)</w:t>
      </w:r>
      <w:r>
        <w:fldChar w:fldCharType="end"/>
      </w:r>
      <w:r>
        <w:t xml:space="preserve">. Additionally, </w:t>
      </w:r>
      <w:proofErr w:type="spellStart"/>
      <w:r>
        <w:t>phylostratigraphy</w:t>
      </w:r>
      <w:proofErr w:type="spellEnd"/>
      <w:r>
        <w:t xml:space="preserve"> relies on negative evidence (the lack of an identifiable homolog) to assign an age to a target feature is therefore heavily influenced by the genomes that are available, and the quality of the genome assemblies and gene annotations </w:t>
      </w:r>
      <w:r>
        <w:fldChar w:fldCharType="begin" w:fldLock="1"/>
      </w:r>
      <w:r>
        <w:instrText>ADDIN CSL_CITATION {"citationItems":[{"id":"ITEM-1","itemData":{"DOI":"10.1093/bioinformatics/btz171","ISSN":"1367-4803","abstract":"Motivation: The goal of phylostratigraphy is to infer the evolutionary origin of each gene in an organism. Currently, there are no general pipelines for this task. We present an R package, phylostratr, to fill this gap, making high-quality phylostratigraphic analysis accessible to non-specialists. Results: Phylostratigraphic analysis entails searching for homologs within increasingly broad clades. The highest clade that contains all homologs of a gene is that gene's phylostratum. We have created a general R-based framework, phylostratr, for estimating the phylostratum of every gene in a species. The program can fully automate an analysis: select species for a balanced representation of each strata, retrieve the sequences from UniProt, build BLAST databases, run BLAST, infer homologs for each gene against each subject species, determine phylostrata, and return summaries and diagnostics. phylostratr allows extensive customization. A user may: modify the automatically-generated clade tree or use their own tree; provide custom sequences in place of those automatically retrieved from UniProt; replace BLAST with an alternative algorithm; or tailor the method and sensitivity of the homology inference classifier. phylostratr also offers proteome quality assessments, false-positive diagnostics, and checks for missing organelle genomes. We show the utility of phylostratr through case studies in Arabidopsis thaliana and Saccharomyces cerevisiae.","author":[{"dropping-particle":"","family":"Arendsee","given":"Zebulun","non-dropping-particle":"","parse-names":false,"suffix":""},{"dropping-particle":"","family":"Li","given":"Jing","non-dropping-particle":"","parse-names":false,"suffix":""},{"dropping-particle":"","family":"Singh","given":"Urminder","non-dropping-particle":"","parse-names":false,"suffix":""},{"dropping-particle":"","family":"Seetharam","given":"Arun","non-dropping-particle":"","parse-names":false,"suffix":""},{"dropping-particle":"","family":"Dorman","given":"Karin","non-dropping-particle":"","parse-names":false,"suffix":""},{"dropping-particle":"","family":"Wurtele","given":"Eve Syrkin","non-dropping-particle":"","parse-names":false,"suffix":""}],"container-title":"Bioinformatics","id":"ITEM-1","issue":"March","issued":{"date-parts":[["2019"]]},"page":"1-11","title":" Phylostratr : a Framework for Phylostratigraphy ","type":"article-journal"},"uris":["http://www.mendeley.com/documents/?uuid=68f0a4a2-57ca-4a71-9872-ee7da6d72bde"]}],"mendeley":{"formattedCitation":"(Z. Arendsee, Li, Singh, Seetharam, et al., 2019)","manualFormatting":"(Arendsee et al. 2019)","plainTextFormattedCitation":"(Z. Arendsee, Li, Singh, Seetharam, et al., 2019)","previouslyFormattedCitation":"(Arendsee, Li, Singh, Seetharam, et al. 2019)"},"properties":{"noteIndex":0},"schema":"https://github.com/citation-style-language/schema/raw/master/csl-citation.json"}</w:instrText>
      </w:r>
      <w:r>
        <w:fldChar w:fldCharType="separate"/>
      </w:r>
      <w:r w:rsidRPr="001A7FF1">
        <w:rPr>
          <w:noProof/>
        </w:rPr>
        <w:t>(Arendsee et al. 2019)</w:t>
      </w:r>
      <w:r>
        <w:fldChar w:fldCharType="end"/>
      </w:r>
      <w:r>
        <w:t xml:space="preserve">. To improve </w:t>
      </w:r>
      <w:proofErr w:type="spellStart"/>
      <w:r>
        <w:t>phylostratigraphy</w:t>
      </w:r>
      <w:proofErr w:type="spellEnd"/>
      <w:r>
        <w:t xml:space="preserve">, more sensitive sequence similarity based methods like PSI-BLAST may be employed to detect ancestrally coding sequence and reduce the identification of false positive </w:t>
      </w:r>
      <w:r>
        <w:rPr>
          <w:i/>
          <w:iCs/>
        </w:rPr>
        <w:t xml:space="preserve">de novo </w:t>
      </w:r>
      <w:r>
        <w:t xml:space="preserve">genes </w:t>
      </w:r>
      <w:r>
        <w:fldChar w:fldCharType="begin" w:fldLock="1"/>
      </w:r>
      <w:r>
        <w:instrText>ADDIN CSL_CITATION {"citationItems":[{"id":"ITEM-1","itemData":{"DOI":"10.1371/journal.pgen.1008160","ISBN":"1111111111","ISSN":"15537404","abstract":"De novo gene birth is the process by which new genes evolve from DNA sequences that were ancestrally non-genic. De novo genes represent a subset ofnovel genes, and may be protein- coding or instead act as RNA genes [1]. The processes that govern de novo gene birth (Fig 1A) are not well understood, though several models exist that describe possible mechanisms by which de novo gene birth may occur. Although de novo gene birth may have occurred at any point in an organism’s evolutionary history, ancient de novo gene birth events are difficult to detect. Most studies ofde novo genes to date have thus focused on young genes, typically taxo- nomically-restricted genes (TRGs) that are present in a single species or lineage, including so- called orphan genes, defined as genes that lack any identifiable homolog. It is important to note, however, that not all orphan genes arise de novo, and instead may emerge through fairly well-characterized mechanisms such as gene duplication (including retroposition) or horizontal gene transfer followed by sequence divergence, or by gene fission/fusion [2, 3] (Fig 2) Though de novo gene birth was once viewed as a highly unlikely occurrence [4], there are now several unequivocal examples ofthe phenomenon that have been described. It further- more has been advanced that de novo gene birth plays a major role in the generation ofevolu- tionary innovation [5, 6].","author":[{"dropping-particle":"","family":"Oss","given":"Stephen Branden","non-dropping-particle":"Van","parse-names":false,"suffix":""},{"dropping-particle":"","family":"Carvunis","given":"Anne Ruxandra","non-dropping-particle":"","parse-names":false,"suffix":""}],"container-title":"PLoS Genetics","id":"ITEM-1","issue":"5","issued":{"date-parts":[["2019"]]},"page":"1-23","title":"De novo gene birth","type":"article-journal","volume":"15"},"uris":["http://www.mendeley.com/documents/?uuid=1139918a-6140-4bde-911e-bbe928ca7026"]}],"mendeley":{"formattedCitation":"(Van Oss &amp; Carvunis, 2019)","plainTextFormattedCitation":"(Van Oss &amp; Carvunis, 2019)","previouslyFormattedCitation":"(Van Oss &amp; Carvunis 2019)"},"properties":{"noteIndex":0},"schema":"https://github.com/citation-style-language/schema/raw/master/csl-citation.json"}</w:instrText>
      </w:r>
      <w:r>
        <w:fldChar w:fldCharType="separate"/>
      </w:r>
      <w:r w:rsidRPr="00E64425">
        <w:rPr>
          <w:noProof/>
        </w:rPr>
        <w:t>(Van Oss &amp; Carvunis, 2019)</w:t>
      </w:r>
      <w:r>
        <w:fldChar w:fldCharType="end"/>
      </w:r>
      <w:r>
        <w:t xml:space="preserve">. Synteny-based detection is the preferred method for the identification of young </w:t>
      </w:r>
      <w:r>
        <w:rPr>
          <w:i/>
          <w:iCs/>
        </w:rPr>
        <w:t xml:space="preserve">de novo </w:t>
      </w:r>
      <w:r>
        <w:t xml:space="preserve">genes. It relies on conserved sequence order between the target species and outgroups and can distinguish true </w:t>
      </w:r>
      <w:r>
        <w:rPr>
          <w:i/>
          <w:iCs/>
        </w:rPr>
        <w:t xml:space="preserve">de novo </w:t>
      </w:r>
      <w:r>
        <w:t xml:space="preserve">genes which have originated from non-coding sequence from those who have rapidly evolved from ancestrally coding sequence </w:t>
      </w:r>
      <w:r>
        <w:fldChar w:fldCharType="begin" w:fldLock="1"/>
      </w:r>
      <w:r>
        <w:instrText>ADDIN CSL_CITATION {"citationItems":[{"id":"ITEM-1","itemData":{"DOI":"10.1101/gr.095026.109","ISBN":"1549-5469 (Electronic)\\n1088-9051 (Linking)","ISSN":"10889051","PMID":"19726446","author":[{"dropping-particle":"","family":"Knowles","given":"David G","non-dropping-particle":"","parse-names":false,"suffix":""},{"dropping-particle":"","family":"Mclysaght","given":"Aoife","non-dropping-particle":"","parse-names":false,"suffix":""},{"dropping-particle":"","family":"Knowles","given":"David G","non-dropping-particle":"","parse-names":false,"suffix":""},{"dropping-particle":"","family":"Mclysaght","given":"Aoife","non-dropping-particle":"","parse-names":false,"suffix":""}],"container-title":"Genome Research","id":"ITEM-1","issued":{"date-parts":[["2009"]]},"page":"1-9","title":"Recent de novo origin of human protein-coding genes","type":"article-journal","volume":"19"},"uris":["http://www.mendeley.com/documents/?uuid=d71c79d2-3f0f-4157-b522-eed969fe190b"]}],"mendeley":{"formattedCitation":"(Knowles et al., 2009)","plainTextFormattedCitation":"(Knowles et al., 2009)","previouslyFormattedCitation":"(Knowles et al. 2009)"},"properties":{"noteIndex":0},"schema":"https://github.com/citation-style-language/schema/raw/master/csl-citation.json"}</w:instrText>
      </w:r>
      <w:r>
        <w:fldChar w:fldCharType="separate"/>
      </w:r>
      <w:r w:rsidRPr="00E64425">
        <w:rPr>
          <w:noProof/>
        </w:rPr>
        <w:t>(Knowles et al., 2009)</w:t>
      </w:r>
      <w:r>
        <w:fldChar w:fldCharType="end"/>
      </w:r>
      <w:r>
        <w:t xml:space="preserve">. Most commonly, genes are used as markers, which can then be assembled in syntenic blocks, which represent genomic segments where gene order is conserved </w:t>
      </w:r>
      <w:r>
        <w:fldChar w:fldCharType="begin" w:fldLock="1"/>
      </w:r>
      <w:r>
        <w:instrText>ADDIN CSL_CITATION {"citationItems":[{"id":"ITEM-1","itemData":{"DOI":"10.1093/nar/gkr1293","ISBN":"1362-4962 (Electronic)\\r0305-1048 (Linking)","ISSN":"03051048","PMID":"22217600","abstract":"MCScan is an algorithm able to scan multiple genomes or subgenomes in order to identify putative homologous chromosomal regions, and align these regions using genes as anchors. The MCScanX toolkit implements an adjusted MCScan algorithm for detection of synteny and collinearity that extends the original software by incorporating 14 utility programs for visualization of results and additional downstream analyses. Applications of MCScanX to several sequenced plant genomes and gene families are shown as examples. MCScanX can be used to effectively analyze chromosome structural changes, and reveal the history of gene family expansions that might contribute to the adaptation of lineages and taxa. An integrated view of various modes of gene duplication can supplement the traditional gene tree analysis in specific families. The source code and documentation of MCScanX are freely available at http://chibba.pgml.uga.edu/mcscan2/.","author":[{"dropping-particle":"","family":"Wang","given":"Yupeng","non-dropping-particle":"","parse-names":false,"suffix":""},{"dropping-particle":"","family":"Tang","given":"Haibao","non-dropping-particle":"","parse-names":false,"suffix":""},{"dropping-particle":"","family":"Debarry","given":"Jeremy D.","non-dropping-particle":"","parse-names":false,"suffix":""},{"dropping-particle":"","family":"Tan","given":"Xu","non-dropping-particle":"","parse-names":false,"suffix":""},{"dropping-particle":"","family":"Li","given":"Jingping","non-dropping-particle":"","parse-names":false,"suffix":""},{"dropping-particle":"","family":"Wang","given":"Xiyin","non-dropping-particle":"","parse-names":false,"suffix":""},{"dropping-particle":"","family":"Lee","given":"Tae Ho","non-dropping-particle":"","parse-names":false,"suffix":""},{"dropping-particle":"","family":"Jin","given":"Huizhe","non-dropping-particle":"","parse-names":false,"suffix":""},{"dropping-particle":"","family":"Marler","given":"Barry","non-dropping-particle":"","parse-names":false,"suffix":""},{"dropping-particle":"","family":"Guo","given":"Hui","non-dropping-particle":"","parse-names":false,"suffix":""},{"dropping-particle":"","family":"Kissinger","given":"Jessica C.","non-dropping-particle":"","parse-names":false,"suffix":""},{"dropping-particle":"","family":"Paterson","given":"Andrew H.","non-dropping-particle":"","parse-names":false,"suffix":""}],"container-title":"Nucleic Acids Research","id":"ITEM-1","issue":"7","issued":{"date-parts":[["2012"]]},"title":"MCScanX: A toolkit for detection and evolutionary analysis of gene synteny and collinearity","type":"article-journal","volume":"40"},"uris":["http://www.mendeley.com/documents/?uuid=95632da1-b98f-4ec1-91e5-413e8d370670"]},{"id":"ITEM-2","itemData":{"DOI":"10.1126/science.1153917","ISBN":"1095-9203 (Electronic)\\r0036-8075 (Linking)","ISSN":"0036-8075","PMID":"18436778","abstract":"Correlated gene arrangements among taxa provide a valuable framework for inference of shared ancestry of genes and for the utilization of findings from model organisms to study less-well-understood systems. In angiosperms, comparisons of gene arrangements are complicated by recurring polyploidy and extensive genome rearrangement. New genome sequences and improved analytical approaches are clarifying angiosperm evolution and revealing patterns of differential gene loss after genome duplication and differential gene retention associated with evolution of some morphological complexity. Because of variability in DNA substitution rates among taxa and genes, deviation from collinearity might be a more reliable phylogenetic character. E","author":[{"dropping-particle":"","family":"Tang","given":"H.","non-dropping-particle":"","parse-names":false,"suffix":""},{"dropping-particle":"","family":"Bowers","given":"J. E.","non-dropping-particle":"","parse-names":false,"suffix":""},{"dropping-particle":"","family":"Wang","given":"X.","non-dropping-particle":"","parse-names":false,"suffix":""},{"dropping-particle":"","family":"Ming","given":"R.","non-dropping-particle":"","parse-names":false,"suffix":""},{"dropping-particle":"","family":"Alam","given":"M.","non-dropping-particle":"","parse-names":false,"suffix":""},{"dropping-particle":"","family":"Paterson","given":"A. H.","non-dropping-particle":"","parse-names":false,"suffix":""}],"container-title":"Science","id":"ITEM-2","issue":"5875","issued":{"date-parts":[["2008"]]},"page":"486-488","title":"Synteny and Collinearity in Plant Genomes","type":"article-journal","volume":"320"},"uris":["http://www.mendeley.com/documents/?uuid=0dd261c4-a0fb-40a6-bcbf-ec8bfe9446b5"]},{"id":"ITEM-3","itemData":{"DOI":"10.1093/nar/gkr123","ISBN":"1362-4962 (Electronic)\\n0305-1048 (Linking)","ISSN":"03051048","PMID":"21398631","abstract":"SyMAP (Synteny Mapping and Analysis Program) was originally developed to compute synteny blocks between a sequenced genome and a FPC map, and has been extended to support pairs of sequenced genomes. SyMAP uses MUMmer to compute the raw hits between the two genomes, which are then clustered and filtered using the optional gene annotation. The filtered hits are input to the synteny algorithm, which was designed to discover duplicated regions and form larger-scale synteny blocks, where intervening micro-rearrangements are allowed. SyMAP provides extensive interactive Java displays at all levels of resolution along with simultaneous displays of multiple aligned pairs. The synteny blocks from multiple chromosomes may be displayed in a high-level dot plot or three-dimensional view, and the user may then drill down to see the details of a region, including the alignments of the hits to the gene annotation. These capabilities are illustrated by showing their application to the study of genome duplication, differential gene loss and transitive homology between sorghum, maize and rice. The software may be used from a website or standalone for the best performance. A project manager is provided to organize and automate the analysis of multi-genome groups. The software is freely distributed at http://www.agcol.arizona.edu/software/symap.","author":[{"dropping-particle":"","family":"Soderlund","given":"Carol","non-dropping-particle":"","parse-names":false,"suffix":""},{"dropping-particle":"","family":"Bomhoff","given":"Matthew","non-dropping-particle":"","parse-names":false,"suffix":""},{"dropping-particle":"","family":"Nelson","given":"William M.","non-dropping-particle":"","parse-names":false,"suffix":""}],"container-title":"Nucleic Acids Research","id":"ITEM-3","issue":"10","issued":{"date-parts":[["2011"]]},"title":"SyMAP v3.4: A turnkey synteny system with application to plant genomes","type":"article-journal","volume":"39"},"uris":["http://www.mendeley.com/documents/?uuid=0744bbb9-82dd-44ea-a6f0-d52ff9249818"]}],"mendeley":{"formattedCitation":"(Soderlund, Bomhoff, &amp; Nelson, 2011; Tang et al., 2008; Y. Wang et al., 2012)","plainTextFormattedCitation":"(Soderlund, Bomhoff, &amp; Nelson, 2011; Tang et al., 2008; Y. Wang et al., 2012)","previouslyFormattedCitation":"(Yupeng Wang et al. 2012; Tang et al. 2008; Soderlund et al. 2011)"},"properties":{"noteIndex":0},"schema":"https://github.com/citation-style-language/schema/raw/master/csl-citation.json"}</w:instrText>
      </w:r>
      <w:r>
        <w:fldChar w:fldCharType="separate"/>
      </w:r>
      <w:r w:rsidRPr="00E64425">
        <w:rPr>
          <w:noProof/>
        </w:rPr>
        <w:t xml:space="preserve">(Soderlund, Bomhoff, &amp; Nelson, 2011; Tang et al., </w:t>
      </w:r>
      <w:r w:rsidRPr="00E64425">
        <w:rPr>
          <w:noProof/>
        </w:rPr>
        <w:lastRenderedPageBreak/>
        <w:t>2008; Y. Wang et al., 2012)</w:t>
      </w:r>
      <w:r>
        <w:fldChar w:fldCharType="end"/>
      </w:r>
      <w:r>
        <w:t xml:space="preserve">. Recently, whole genome alignment of the query and target genomes is becoming more popular as a much more dense syntenic map is produced </w:t>
      </w:r>
      <w:r>
        <w:fldChar w:fldCharType="begin" w:fldLock="1"/>
      </w:r>
      <w:r>
        <w:instrText>ADDIN CSL_CITATION {"citationItems":[{"id":"ITEM-1","itemData":{"DOI":"10.1093/bioinformatics/btq102","ISSN":"13674803","PMID":"20208069","abstract":"Motivation: Comparative genomics heavily relies on alignments of large and often complex DNA sequences. From an engineering perspective, the problem here is to provide maximum sensitivity (to find all there is to find), specificity (to only find real homology) and speed (to accommodate the billions of base pairs of vertebrate genomes). Results: Satsuma addresses all three issues through novel strategies: (i) cross-correlation, implemented via fast Fourier transform; (ii) a match scoring scheme that eliminates almost all false hits; and (iii) an asynchronous 'battleship'-like search that allows for aligning two entire fish genomes (470 and 217Mb) in 120 CPU hours using 15 processors on a single machine. Availability: Satsuma is part of the Spines software package, implemented in C++ on Linux. The latest version of Spines can be freely downloaded under the LGPL license from http://www.broadinstitute.org/science/programs/genome-biology/spines/. Contact: grabherr@broadinstitute.org. © The Author 2010. Published by Oxford University Press. All rights reserved. For Permissions, please email: journals.permissions@oxfordjournals.org.","author":[{"dropping-particle":"","family":"Grabherr","given":"Manfred G.","non-dropping-particle":"","parse-names":false,"suffix":""},{"dropping-particle":"","family":"Russell","given":"Pamela","non-dropping-particle":"","parse-names":false,"suffix":""},{"dropping-particle":"","family":"Meyer","given":"Miriah","non-dropping-particle":"","parse-names":false,"suffix":""},{"dropping-particle":"","family":"Mauceli","given":"Evan","non-dropping-particle":"","parse-names":false,"suffix":""},{"dropping-particle":"","family":"Alföldi","given":"Jessica","non-dropping-particle":"","parse-names":false,"suffix":""},{"dropping-particle":"","family":"Palma","given":"Federica","non-dropping-particle":"di","parse-names":false,"suffix":""},{"dropping-particle":"","family":"Lindblad-Toh","given":"Kerstin","non-dropping-particle":"","parse-names":false,"suffix":""}],"container-title":"Bioinformatics","id":"ITEM-1","issue":"9","issued":{"date-parts":[["2010"]]},"page":"1145-1151","title":"Genome-wide synteny through highly sensitive sequence alignment: Satsuma","type":"article-journal","volume":"26"},"uris":["http://www.mendeley.com/documents/?uuid=c0f7de41-f261-49b7-9455-179289fb0c38"]},{"id":"ITEM-2","itemData":{"DOI":"10.1371/journal.pcbi.1005944","ISBN":"1111111111","ISSN":"15537358","abstract":"The MUMmer system and the genome sequence aligner nucmer included within it are among the most widely used alignment packages in genomics. Since the last major release of MUMmer version 3 in 2004, it has been applied to many types of problems including aligning whole genome sequences, aligning reads to a reference genome, and comparing different assemblies of the same genome. Despite its broad utility, MUMmer3 has limitations that can make it difficult to use for large genomes and for the very large sequence data sets that are common today. In this paper we describe MUMmer4, a substantially improved version of MUMmer that addresses genome size constraints by changing the 32-bit suffix tree data structure at the core of MUMmer to a 48-bit suffix array, and that offers improved speed through parallel processing of input query sequences. With a theoretical limit on the input size of 141Tbp, MUMmer4 can now work with input sequences of any biologically realistic length. We show that as a result of these enhancements, the nucmer program in MUMmer4 is easily able to handle alignments of large genomes; we illustrate this with an alignment of the human and chimpanzee genomes, which allows us to compute that the two species are 98% identical across 96% of their length. With the enhancements described here, MUMmer4 can also be used to efficiently align reads to reference genomes, although it is less sensitive and accurate than the dedicated read aligners. The nucmer aligner in MUMmer4 can now be called from scripting languages such as Perl, Python and Ruby. These improvements make MUMer4 one the most versatile genome alignment packages available.","author":[{"dropping-particle":"","family":"Marçais","given":"Guillaume","non-dropping-particle":"","parse-names":false,"suffix":""},{"dropping-particle":"","family":"Delcher","given":"Arthur L.","non-dropping-particle":"","parse-names":false,"suffix":""},{"dropping-particle":"","family":"Phillippy","given":"Adam M.","non-dropping-particle":"","parse-names":false,"suffix":""},{"dropping-particle":"","family":"Coston","given":"Rachel","non-dropping-particle":"","parse-names":false,"suffix":""},{"dropping-particle":"","family":"Salzberg","given":"Steven L.","non-dropping-particle":"","parse-names":false,"suffix":""},{"dropping-particle":"","family":"Zimin","given":"Aleksey","non-dropping-particle":"","parse-names":false,"suffix":""}],"container-title":"PLoS Computational Biology","id":"ITEM-2","issue":"1","issued":{"date-parts":[["2018"]]},"page":"1-14","title":"MUMmer4: A fast and versatile genome alignment system","type":"article-journal","volume":"14"},"uris":["http://www.mendeley.com/documents/?uuid=eeb7413f-eb4c-4ca5-b556-749098381fdf"]},{"id":"ITEM-3","itemData":{"DOI":"10.1101/554501","abstract":"Ortholog inference is a key step in understanding the evolution and function of a gene or other genomic feature. Yet often no similar sequence can be identified, or the true ortholog is hidden among false positives. A solution is to consider the sequence's genomic context. We present the generic program, synder, for tracing features of interest between genomes based on a synteny map. This approach narrows genomic search-space independently of the sequence of the feature of interest. We illustrate the utility of synder by finding orthologs for the Arabidopsis thaliana 13-member gene family of Nuclear Factor YC transcription factor across the Brassicaceae clade.","author":[{"dropping-particle":"","family":"Arendsee","given":"Zebulun","non-dropping-particle":"","parse-names":false,"suffix":""},{"dropping-particle":"","family":"Wilkey","given":"Andrew","non-dropping-particle":"","parse-names":false,"suffix":""},{"dropping-particle":"","family":"Singh","given":"Urminder","non-dropping-particle":"","parse-names":false,"suffix":""},{"dropping-particle":"","family":"Li","given":"Jing","non-dropping-particle":"","parse-names":false,"suffix":""},{"dropping-particle":"","family":"Hur","given":"Manhoi","non-dropping-particle":"","parse-names":false,"suffix":""},{"dropping-particle":"","family":"Wurtele","given":"Eve","non-dropping-particle":"","parse-names":false,"suffix":""}],"container-title":"bioRxiv","id":"ITEM-3","issued":{"date-parts":[["2019"]]},"page":"554501","title":"Synder: Inferring Genomic Orthologs From Synteny Maps","type":"article-journal"},"uris":["http://www.mendeley.com/documents/?uuid=aa1ef36a-10e4-4fe9-bb54-3a87da800c64"]}],"mendeley":{"formattedCitation":"(Z. Arendsee, Wilkey, et al., 2019; Grabherr et al., 2010; Marçais et al., 2018)","manualFormatting":"(Grabherr et al. 2010; Marçais et al. 2018; Arendsee et al. 2019)","plainTextFormattedCitation":"(Z. Arendsee, Wilkey, et al., 2019; Grabherr et al., 2010; Marçais et al., 2018)","previouslyFormattedCitation":"(Grabherr et al. 2010; Marçais et al. 2018; Arendsee, Wilkey, et al. 2019)"},"properties":{"noteIndex":0},"schema":"https://github.com/citation-style-language/schema/raw/master/csl-citation.json"}</w:instrText>
      </w:r>
      <w:r>
        <w:fldChar w:fldCharType="separate"/>
      </w:r>
      <w:r w:rsidRPr="004A52FD">
        <w:rPr>
          <w:noProof/>
        </w:rPr>
        <w:t>(Grabherr et al. 2010; Marçais et al. 2018; Arendsee et al. 2019)</w:t>
      </w:r>
      <w:r>
        <w:fldChar w:fldCharType="end"/>
      </w:r>
      <w:r>
        <w:t xml:space="preserve">. However, regardless of the methodology used to generate syntenic information between a target and query species, inspection of syntenic sequence of the target outgroup species for coding potential is of utmost importance </w:t>
      </w:r>
      <w:r>
        <w:fldChar w:fldCharType="begin" w:fldLock="1"/>
      </w:r>
      <w:r>
        <w:instrText>ADDIN CSL_CITATION {"citationItems":[{"id":"ITEM-1","itemData":{"DOI":"10.1038/nrg.2016.78","ISBN":"9788578110796","ISSN":"1471-0056","PMID":"27452112","abstract":"The study of de novo protein-coding genes is maturing from the ad hoc reporting of individual cases to the systematic analysis of extensive genomic data from several species. We identify three key challenges for this emerging field: understanding how best to identify de novo genes, how they arise and why they spread. We highlight the intellectual challenges of understanding how a de novo gene becomes integrated into pre-existing functions and becomes essential. We suggest that, as with protein sequence evolution, antagonistic co-evolution may be key to de novo gene evolution, particularly for new essential genes and new cancer-associated genes.","author":[{"dropping-particle":"","family":"McLysaght","given":"Aoife","non-dropping-particle":"","parse-names":false,"suffix":""},{"dropping-particle":"","family":"Hurst","given":"Laurence D.","non-dropping-particle":"","parse-names":false,"suffix":""}],"container-title":"Nature Reviews Genetics","id":"ITEM-1","issue":"9","issued":{"date-parts":[["2016"]]},"page":"567-578","publisher":"Nature Publishing Group","title":"Open questions in the study of de novo genes: what, how and why","type":"article-journal","volume":"17"},"uris":["http://www.mendeley.com/documents/?uuid=75645907-812b-4217-8182-73b361609574"]}],"mendeley":{"formattedCitation":"(McLysaght &amp; Hurst, 2016)","plainTextFormattedCitation":"(McLysaght &amp; Hurst, 2016)","previouslyFormattedCitation":"(McLysaght &amp; Hurst 2016)"},"properties":{"noteIndex":0},"schema":"https://github.com/citation-style-language/schema/raw/master/csl-citation.json"}</w:instrText>
      </w:r>
      <w:r>
        <w:fldChar w:fldCharType="separate"/>
      </w:r>
      <w:r w:rsidRPr="00E64425">
        <w:rPr>
          <w:noProof/>
        </w:rPr>
        <w:t>(McLysaght &amp; Hurst, 2016)</w:t>
      </w:r>
      <w:r>
        <w:fldChar w:fldCharType="end"/>
      </w:r>
      <w:r>
        <w:t xml:space="preserve">. The target sequence should clearly be non-coding and ideally shared disabling mutations should be conserved in the outgroup sequence </w:t>
      </w:r>
      <w:r>
        <w:fldChar w:fldCharType="begin" w:fldLock="1"/>
      </w:r>
      <w:r>
        <w:instrText>ADDIN CSL_CITATION {"citationItems":[{"id":"ITEM-1","itemData":{"author":[{"dropping-particle":"","family":"Vakirlis","given":"Nikolaos","non-dropping-particle":"","parse-names":false,"suffix":""},{"dropping-particle":"","family":"McLysaght","given":"Aoife","non-dropping-particle":"","parse-names":false,"suffix":""}],"container-title":"Computational Methods in Protein Evolution","id":"ITEM-1","issued":{"date-parts":[["2019"]]},"page":"63-81","publisher":"Springer","title":"Computational prediction of De novo emerged protein-coding genes","type":"chapter"},"uris":["http://www.mendeley.com/documents/?uuid=26ba22d4-1040-4395-be30-7a2eb10b923b"]}],"mendeley":{"formattedCitation":"(Vakirlis &amp; McLysaght, 2019)","plainTextFormattedCitation":"(Vakirlis &amp; McLysaght, 2019)","previouslyFormattedCitation":"(Vakirlis &amp; McLysaght 2019)"},"properties":{"noteIndex":0},"schema":"https://github.com/citation-style-language/schema/raw/master/csl-citation.json"}</w:instrText>
      </w:r>
      <w:r>
        <w:fldChar w:fldCharType="separate"/>
      </w:r>
      <w:r w:rsidRPr="00E64425">
        <w:rPr>
          <w:noProof/>
        </w:rPr>
        <w:t>(Vakirlis &amp; McLysaght, 2019)</w:t>
      </w:r>
      <w:r>
        <w:fldChar w:fldCharType="end"/>
      </w:r>
      <w:r>
        <w:t xml:space="preserve">. Synteny-based methods also have limitations. For synteny to be used there must be </w:t>
      </w:r>
      <w:proofErr w:type="gramStart"/>
      <w:r>
        <w:t>a sufficient number of</w:t>
      </w:r>
      <w:proofErr w:type="gramEnd"/>
      <w:r>
        <w:t xml:space="preserve"> closely related high-quality genome assemblies. Generally, synteny becomes less conserved as species relatedness to the focal genome decreases. Methodology to automate and integrate </w:t>
      </w:r>
      <w:proofErr w:type="spellStart"/>
      <w:r>
        <w:t>phylostratigraphy</w:t>
      </w:r>
      <w:proofErr w:type="spellEnd"/>
      <w:r>
        <w:t xml:space="preserve"> and  synteny-based identification of </w:t>
      </w:r>
      <w:r>
        <w:rPr>
          <w:i/>
          <w:iCs/>
        </w:rPr>
        <w:t xml:space="preserve">de novo </w:t>
      </w:r>
      <w:r>
        <w:t xml:space="preserve">genes is now available and represents a reproducible and simpler approach to what is generally a cumbersome and non-trivial task </w:t>
      </w:r>
      <w:r>
        <w:fldChar w:fldCharType="begin" w:fldLock="1"/>
      </w:r>
      <w:r>
        <w:instrText>ADDIN CSL_CITATION {"citationItems":[{"id":"ITEM-1","itemData":{"DOI":"10.1186/s12859-019-3023-y","ISSN":"14712105","abstract":"Background: With every new genome that is sequenced, thousands of species-specific genes (orphans) are found, some originating from ultra-rapid mutations of existing genes, many others originating de novo from non-genic regions of the genome. If some of these genes survive across speciations, then extant organisms will contain a patchwork of genes whose ancestors first appeared at different times. Standard phylostratigraphy, the technique of partitioning genes by their age, is based solely on protein similarity algorithms. However, this approach relies on negative evidence â\"€a failure to detect a homolog of a query gene. An alternative approach is to limit the search for homologs to syntenic regions. Then, genes can be positively identified as de novo orphans by tracing them to non-coding sequences in related species. Results: We have developed a synteny-based pipeline in the R framework. Fagin determines the genomic context of each query gene in a focal species compared to homologous sequence in target species. We tested the fagin pipeline on two focal species, Arabidopsis thaliana (plus four target species in Brassicaseae) and Saccharomyces cerevisiae (plus six target species in Saccharomyces). Using microsynteny maps, fagin classified the homology relationship of each query gene against each target genome into three main classes, and further subclasses: AAic (has a coding syntenic homolog), NTic (has a non-coding syntenic homolog), and Unknown (has no detected syntenic homolog). fagin inferred over half the \"Unknown\" A. thaliana query genes, and about 20% for S. cerevisiae, as lacking a syntenic homolog because of local indels or scrambled synteny. Conclusions: fagin augments standard phylostratigraphy, and extends synteny-based phylostratigraphy with an automated, customizable, and detailed contextual analysis. By comparing synteny-based phylostrata to standard phylostrata, fagin systematically identifies those orphans and lineage-specific genes that are well-supported to have originated de novo. Analyzing within-species genomes should distinguish orphan genes that may have originated through rapid divergence from de novo orphans. Fagin also delineates whether a gene has no syntenic homolog because of technical or biological reasons. These analyses indicate that some orphans may be associated with regions of high genomic perturbation.","author":[{"dropping-particle":"","family":"Arendsee","given":"Zebulun","non-dropping-particle":"","parse-names":false,"suffix":""},{"dropping-particle":"","family":"Li","given":"Jing","non-dropping-particle":"","parse-names":false,"suffix":""},{"dropping-particle":"","family":"Singh","given":"Urminder","non-dropping-particle":"","parse-names":false,"suffix":""},{"dropping-particle":"","family":"Bhandary","given":"Priyanka","non-dropping-particle":"","parse-names":false,"suffix":""},{"dropping-particle":"","family":"Seetharam","given":"Arun","non-dropping-particle":"","parse-names":false,"suffix":""},{"dropping-particle":"","family":"Wurtele","given":"Eve Syrkin","non-dropping-particle":"","parse-names":false,"suffix":""}],"container-title":"BMC Bioinformatics","id":"ITEM-1","issue":"1","issued":{"date-parts":[["2019"]]},"page":"1-14","publisher":"BMC Bioinformatics","title":"Fagin: Synteny-based phylostratigraphy and finer classification of young genes","type":"article-journal","volume":"20"},"uris":["http://www.mendeley.com/documents/?uuid=ebffa848-8ddb-4da9-a53c-2b635e3aff87"]}],"mendeley":{"formattedCitation":"(Z. Arendsee, Li, Singh, Bhandary, et al., 2019)","manualFormatting":"(Arendsee et al. 2019)","plainTextFormattedCitation":"(Z. Arendsee, Li, Singh, Bhandary, et al., 2019)","previouslyFormattedCitation":"(Arendsee, Li, Singh, Bhandary, et al. 2019)"},"properties":{"noteIndex":0},"schema":"https://github.com/citation-style-language/schema/raw/master/csl-citation.json"}</w:instrText>
      </w:r>
      <w:r>
        <w:fldChar w:fldCharType="separate"/>
      </w:r>
      <w:r w:rsidRPr="00AD26DE">
        <w:rPr>
          <w:noProof/>
        </w:rPr>
        <w:t>(Arendsee</w:t>
      </w:r>
      <w:r>
        <w:rPr>
          <w:noProof/>
        </w:rPr>
        <w:t xml:space="preserve"> et al. </w:t>
      </w:r>
      <w:r w:rsidRPr="00AD26DE">
        <w:rPr>
          <w:noProof/>
        </w:rPr>
        <w:t>2019)</w:t>
      </w:r>
      <w:r>
        <w:fldChar w:fldCharType="end"/>
      </w:r>
      <w:r>
        <w:t>.</w:t>
      </w:r>
    </w:p>
    <w:p w14:paraId="33E74BDB" w14:textId="77777777" w:rsidR="00636B5B" w:rsidRDefault="00636B5B" w:rsidP="00E64425">
      <w:pPr>
        <w:spacing w:line="360" w:lineRule="auto"/>
        <w:rPr>
          <w:rFonts w:ascii="Times" w:hAnsi="Times"/>
        </w:rPr>
      </w:pPr>
      <w:r>
        <w:tab/>
        <w:t xml:space="preserve">Orphan and </w:t>
      </w:r>
      <w:r>
        <w:rPr>
          <w:i/>
          <w:iCs/>
        </w:rPr>
        <w:t xml:space="preserve">de novo </w:t>
      </w:r>
      <w:r>
        <w:t xml:space="preserve">genes have many features which distinguish them from older genes. For example, some of the most common include shorter length, narrow expression breadth across tissues, lower expression levels, and low sequence complexity due to their non-coding origins </w:t>
      </w:r>
      <w:r>
        <w:fldChar w:fldCharType="begin" w:fldLock="1"/>
      </w:r>
      <w:r>
        <w:instrText>ADDIN CSL_CITATION {"citationItems":[{"id":"ITEM-1","itemData":{"DOI":"10.1016/j.tig.2009.07.006","ISBN":"0168-9525 (Print)\\r0168-9525 (Linking)","ISSN":"01689525","PMID":"19716618","abstract":"Comparative genome analyses indicate that every taxonomic group so far studied contains 10-20% of genes that lack recognizable homologs in other species. Do such 'orphan' or 'taxonomically-restricted' genes comprise spurious, non-functional ORFs, or does their presence reflect important evolutionary processes? Recent studies in basal metazoans such as Nematostella, Acropora and Hydra have shed light on the function of these genes, and now indicate that they are involved in important species-specific adaptive processes. Here we focus on evidence from Hydra suggesting that taxonomically-restricted genes play a role in the creation of phylum-specific novelties such as cnidocytes, in the generation of morphological diversity, and in the innate defence system. We propose that taxon-specific genes drive morphological specification, enabling organisms to adapt to changing conditions. ?? 2009 Elsevier Ltd. All rights reserved.","author":[{"dropping-particle":"","family":"Khalturin","given":"Konstantin","non-dropping-particle":"","parse-names":false,"suffix":""},{"dropping-particle":"","family":"Hemmrich","given":"Georg","non-dropping-particle":"","parse-names":false,"suffix":""},{"dropping-particle":"","family":"Fraune","given":"Sebastian","non-dropping-particle":"","parse-names":false,"suffix":""},{"dropping-particle":"","family":"Augustin","given":"René","non-dropping-particle":"","parse-names":false,"suffix":""},{"dropping-particle":"","family":"Bosch","given":"Thomas C G","non-dropping-particle":"","parse-names":false,"suffix":""}],"container-title":"Trends in Genetics","id":"ITEM-1","issue":"9","issued":{"date-parts":[["2009"]]},"page":"404-413","title":"More than just orphans: are taxonomically-restricted genes important in evolution?","type":"article-journal","volume":"25"},"uris":["http://www.mendeley.com/documents/?uuid=b95b1189-8de3-4fd5-9356-b4c922be479e"]}],"mendeley":{"formattedCitation":"(Khalturin et al., 2009)","plainTextFormattedCitation":"(Khalturin et al., 2009)","previouslyFormattedCitation":"(Khalturin et al. 2009)"},"properties":{"noteIndex":0},"schema":"https://github.com/citation-style-language/schema/raw/master/csl-citation.json"}</w:instrText>
      </w:r>
      <w:r>
        <w:fldChar w:fldCharType="separate"/>
      </w:r>
      <w:r w:rsidRPr="00E64425">
        <w:rPr>
          <w:noProof/>
        </w:rPr>
        <w:t>(Khalturin et al., 2009)</w:t>
      </w:r>
      <w:r>
        <w:fldChar w:fldCharType="end"/>
      </w:r>
      <w:r>
        <w:t xml:space="preserve">. Additionally, their codon bias and GC contents differ from older genes </w:t>
      </w:r>
      <w:r>
        <w:fldChar w:fldCharType="begin" w:fldLock="1"/>
      </w:r>
      <w:r>
        <w:instrText>ADDIN CSL_CITATION {"citationItems":[{"id":"ITEM-1","itemData":{"DOI":"10.1101/070003","ISBN":"1111111111","ISSN":"1553-7358","PMID":"28355220","abstract":"De novo creation of protein coding genes involves formation of short ORFs from noncoding regions; some of these ORFs might then become fixed in the population. De novo created proteins need to, at the bare minimum, not cause serious harm to the organism, meaning that they should for instance not cause aggregation. Therefore, although the creation of the short ORFs could be truly random, but the fixation should be of subject to some selective pressure. The selective forces acting on de novo created proteins have been elusive and contradictory results have been reported. In Drosophila they are more disordered, i.e. are enriched in polar residues, than ancient proteins, while the opposite trend is present in yeast. To the best of our knowledge no valid explanation for this difference has been proposed. To solve this riddle we studied structural properties and age of all proteins in 187 eukaryotic species. We find that, on average, there are small differences between proteins of different ages, with the exception that younger proteins are shorter. However, when we take the GC content into account we find that this can explain the opposite trends observed in yeast (low GC) and drosophila (high GC). GC content is correlated with codons coding for disorder-promoting amino acids, and inversely correlated with transmembrane, helix and sheet promoting residues. We find that for the youngest proteins, i.e. the ones that are most likely to be de novo created, there exists a strong correlation with GC and structural properties. In contrast, this strong relationship is not seen for ancient proteins. This leads us to propose that structural features are not a strong determining factor for fixation of de novo created genes. Instead these proteins resemble random proteins given a particular GC level. The dependency on GC content is then gradually weakened during evolution.","author":[{"dropping-particle":"","family":"Basile","given":"Walter","non-dropping-particle":"","parse-names":false,"suffix":""},{"dropping-particle":"","family":"Sachenkova","given":"Oxana","non-dropping-particle":"","parse-names":false,"suffix":""},{"dropping-particle":"","family":"Light","given":"Sara","non-dropping-particle":"","parse-names":false,"suffix":""},{"dropping-particle":"","family":"Elofsson","given":"Arne","non-dropping-particle":"","parse-names":false,"suffix":""}],"container-title":"bioRxiv","id":"ITEM-1","issued":{"date-parts":[["2016"]]},"page":"070003","title":"High GC Content Causes De Novo Created Proteins to be Intrinsically Disordered","type":"article-journal"},"uris":["http://www.mendeley.com/documents/?uuid=5e3f4cda-fb43-46df-8a64-ba1760a14421"]}],"mendeley":{"formattedCitation":"(Basile, Sachenkova, Light, &amp; Elofsson, 2016)","plainTextFormattedCitation":"(Basile, Sachenkova, Light, &amp; Elofsson, 2016)","previouslyFormattedCitation":"(Basile et al. 2016)"},"properties":{"noteIndex":0},"schema":"https://github.com/citation-style-language/schema/raw/master/csl-citation.json"}</w:instrText>
      </w:r>
      <w:r>
        <w:fldChar w:fldCharType="separate"/>
      </w:r>
      <w:r w:rsidRPr="00E64425">
        <w:rPr>
          <w:noProof/>
        </w:rPr>
        <w:t>(Basile, Sachenkova, Light, &amp; Elofsson, 2016)</w:t>
      </w:r>
      <w:r>
        <w:fldChar w:fldCharType="end"/>
      </w:r>
      <w:r>
        <w:t xml:space="preserve">. From a protein structural perspective they tend to have high intrinsic disorder, </w:t>
      </w:r>
      <w:r>
        <w:rPr>
          <w:rFonts w:ascii="Times" w:hAnsi="Times"/>
        </w:rPr>
        <w:t xml:space="preserve">high </w:t>
      </w:r>
      <w:r w:rsidRPr="00AE5BDC">
        <w:rPr>
          <w:rFonts w:ascii="Times" w:hAnsi="Times"/>
          <w:i/>
        </w:rPr>
        <w:sym w:font="Symbol" w:char="F062"/>
      </w:r>
      <w:r>
        <w:rPr>
          <w:rFonts w:ascii="Times" w:hAnsi="Times"/>
        </w:rPr>
        <w:t xml:space="preserve">-sheet preference, and overall low complexity </w:t>
      </w:r>
      <w:r>
        <w:rPr>
          <w:rFonts w:ascii="Times" w:hAnsi="Times"/>
        </w:rPr>
        <w:fldChar w:fldCharType="begin" w:fldLock="1"/>
      </w:r>
      <w:r>
        <w:rPr>
          <w:rFonts w:ascii="Times" w:hAnsi="Times"/>
        </w:rPr>
        <w:instrText>ADDIN CSL_CITATION {"citationItems":[{"id":"ITEM-1","itemData":{"DOI":"10.1093/molbev/mst157","ISBN":"1537-1719 (Electronic)\\r0737-4038 (Linking)","ISSN":"07374038","PMID":"24037790","abstract":"Proteins evolve not only through point mutations but also by insertion and deletion events, which affect the length of the protein. It is well known that such indel events most frequently occur in surface-exposed loops. However, detailed analysis of indel events in distantly related and fast-evolving proteins is hampered by the difficulty involved in correctly aligning such sequences. Here, we circumvent this problem by first only analyzing homologous proteins based on length variation rather than pairwise alignments. Using this approach, we find a surprisingly strong relationship between difference in length and difference in the number of intrinsically disordered residues, where up to three quarters of the length variation can be explained by changes in the number of intrinsically disordered residues. Further, we find that disorder is common in both insertions and deletions. A more detailed analysis reveals that indel events do not induce disorder but rather that already disordered regions accrue indels, suggesting that there is a lowered selective pressure for indels to occur within intrinsically disordered regions.","author":[{"dropping-particle":"","family":"Light","given":"Sara","non-dropping-particle":"","parse-names":false,"suffix":""},{"dropping-particle":"","family":"Sagit","given":"Rauan","non-dropping-particle":"","parse-names":false,"suffix":""},{"dropping-particle":"","family":"Sachenkova","given":"Oxana","non-dropping-particle":"","parse-names":false,"suffix":""},{"dropping-particle":"","family":"Ekman","given":"Diana","non-dropping-particle":"","parse-names":false,"suffix":""},{"dropping-particle":"","family":"Elofsson","given":"Arne","non-dropping-particle":"","parse-names":false,"suffix":""}],"container-title":"Molecular Biology and Evolution","id":"ITEM-1","issue":"12","issued":{"date-parts":[["2013"]]},"page":"2645-2653","title":"Protein expansion is primarily due to indels in intrinsically disordered regions","type":"article-journal","volume":"30"},"uris":["http://www.mendeley.com/documents/?uuid=f83e8993-b9cf-43f6-8b7b-57ad99986b96"]},{"id":"ITEM-2","itemData":{"DOI":"10.1093/molbev/msw092","ISSN":"15371719","PMID":"27189555","abstract":"Protein evolution often occurs at unequal rates in different sites along an amino acid chain. Site-specific evolutionary rates have been linked to several structural and functional properties of proteins. Previous analyses of this phenomenon have involved relatively small datasets and, in some cases, the interaction among multiple structural factors is not evaluated. Here, we present the results of a large-scale phylogenetic and statistical analysis, testing the effects and interactions of three structural properties on amino acid replacement rates. We used sequence-based computational methods to predict 1) intrinsic disorder propensity, 2) secondary structure and 3) functional domain involvement across millions of amino acid sites in thousands of sequence alignments of metazoan proteins. Our results somewhat corroborate earlier findings that intrinsically disordered sites tend to be more variable than ordered sites, but there is considerable overlap among their rate distributions, and a significant confounding interaction exists between intrinsic disorder and secondary structure. Notably, protein sites that are consistently predicted to be both intrinsically disordered and involved in secondary structures tend to be the most conserved at the amino acid level, suggesting they are highly constrained and functionally important. In addition, a significant interaction exists between functional domain involvement and secondary structure. These findings suggest that multiple structural drivers of protein evolution should be evaluated simultaneously in order to get a clear picture of their individual effects as well as any confounding interactions among them.","author":[{"dropping-particle":"","family":"Ahrens","given":"Joseph","non-dropping-particle":"","parse-names":false,"suffix":""},{"dropping-particle":"","family":"Santos","given":"Helena G.","non-dropping-particle":"Dos","parse-names":false,"suffix":""},{"dropping-particle":"","family":"Siltberg-Liberles","given":"Jessica","non-dropping-particle":"","parse-names":false,"suffix":""}],"container-title":"Molecular Biology and Evolution","id":"ITEM-2","issue":"9","issued":{"date-parts":[["2016"]]},"page":"2248-2256","title":"The Nuanced Interplay of Intrinsic Disorder and Other Structural Properties Driving Protein Evolution","type":"article-journal","volume":"33"},"uris":["http://www.mendeley.com/documents/?uuid=94ccff06-650b-464f-9e75-872d5b69cd2d"]}],"mendeley":{"formattedCitation":"(Ahrens, Dos Santos, &amp; Siltberg-Liberles, 2016; Light, Sagit, Sachenkova, Ekman, &amp; Elofsson, 2013)","plainTextFormattedCitation":"(Ahrens, Dos Santos, &amp; Siltberg-Liberles, 2016; Light, Sagit, Sachenkova, Ekman, &amp; Elofsson, 2013)","previouslyFormattedCitation":"(Light et al. 2013; Ahrens et al. 2016)"},"properties":{"noteIndex":0},"schema":"https://github.com/citation-style-language/schema/raw/master/csl-citation.json"}</w:instrText>
      </w:r>
      <w:r>
        <w:rPr>
          <w:rFonts w:ascii="Times" w:hAnsi="Times"/>
        </w:rPr>
        <w:fldChar w:fldCharType="separate"/>
      </w:r>
      <w:r w:rsidRPr="00E64425">
        <w:rPr>
          <w:rFonts w:ascii="Times" w:hAnsi="Times"/>
          <w:noProof/>
        </w:rPr>
        <w:t>(Ahrens, Dos Santos, &amp; Siltberg-Liberles, 2016; Light, Sagit, Sachenkova, Ekman, &amp; Elofsson, 2013)</w:t>
      </w:r>
      <w:r>
        <w:rPr>
          <w:rFonts w:ascii="Times" w:hAnsi="Times"/>
        </w:rPr>
        <w:fldChar w:fldCharType="end"/>
      </w:r>
      <w:r>
        <w:rPr>
          <w:rFonts w:ascii="Times" w:hAnsi="Times"/>
        </w:rPr>
        <w:t>. They also appear to be associated with common biological themes. In humans, they are shown to be expressed in the brain and testes and have been linked to cancer (</w:t>
      </w:r>
      <w:r w:rsidRPr="002F7206">
        <w:rPr>
          <w:rFonts w:ascii="Times" w:hAnsi="Times"/>
          <w:i/>
          <w:iCs/>
        </w:rPr>
        <w:t>CLLU1</w:t>
      </w:r>
      <w:r>
        <w:rPr>
          <w:rFonts w:ascii="Times" w:hAnsi="Times"/>
        </w:rPr>
        <w:t xml:space="preserve">) and other diseases </w:t>
      </w:r>
      <w:r>
        <w:rPr>
          <w:rFonts w:ascii="Times" w:hAnsi="Times"/>
        </w:rPr>
        <w:fldChar w:fldCharType="begin" w:fldLock="1"/>
      </w:r>
      <w:r>
        <w:rPr>
          <w:rFonts w:ascii="Times" w:hAnsi="Times"/>
        </w:rPr>
        <w:instrText>ADDIN CSL_CITATION {"citationItems":[{"id":"ITEM-1","itemData":{"DOI":"10.1101/gr.095026.109","ISBN":"1549-5469 (Electronic)\\n1088-9051 (Linking)","ISSN":"10889051","PMID":"19726446","author":[{"dropping-particle":"","family":"Knowles","given":"David G","non-dropping-particle":"","parse-names":false,"suffix":""},{"dropping-particle":"","family":"Mclysaght","given":"Aoife","non-dropping-particle":"","parse-names":false,"suffix":""},{"dropping-particle":"","family":"Knowles","given":"David G","non-dropping-particle":"","parse-names":false,"suffix":""},{"dropping-particle":"","family":"Mclysaght","given":"Aoife","non-dropping-particle":"","parse-names":false,"suffix":""}],"container-title":"Genome Research","id":"ITEM-1","issued":{"date-parts":[["2009"]]},"page":"1-9","title":"Recent de novo origin of human protein-coding genes","type":"article-journal","volume":"19"},"uris":["http://www.mendeley.com/documents/?uuid=d71c79d2-3f0f-4157-b522-eed969fe190b"]},{"id":"ITEM-2","itemData":{"DOI":"10.1038/nrg.2016.78","ISBN":"9788578110796","ISSN":"1471-0056","PMID":"27452112","abstract":"The study of de novo protein-coding genes is maturing from the ad hoc reporting of individual cases to the systematic analysis of extensive genomic data from several species. We identify three key challenges for this emerging field: understanding how best to identify de novo genes, how they arise and why they spread. We highlight the intellectual challenges of understanding how a de novo gene becomes integrated into pre-existing functions and becomes essential. We suggest that, as with protein sequence evolution, antagonistic co-evolution may be key to de novo gene evolution, particularly for new essential genes and new cancer-associated genes.","author":[{"dropping-particle":"","family":"McLysaght","given":"Aoife","non-dropping-particle":"","parse-names":false,"suffix":""},{"dropping-particle":"","family":"Hurst","given":"Laurence D.","non-dropping-particle":"","parse-names":false,"suffix":""}],"container-title":"Nature Reviews Genetics","id":"ITEM-2","issue":"9","issued":{"date-parts":[["2016"]]},"page":"567-578","publisher":"Nature Publishing Group","title":"Open questions in the study of de novo genes: what, how and why","type":"article-journal","volume":"17"},"uris":["http://www.mendeley.com/documents/?uuid=75645907-812b-4217-8182-73b361609574"]}],"mendeley":{"formattedCitation":"(Knowles et al., 2009; McLysaght &amp; Hurst, 2016)","plainTextFormattedCitation":"(Knowles et al., 2009; McLysaght &amp; Hurst, 2016)","previouslyFormattedCitation":"(Knowles et al. 2009; McLysaght &amp; Hurst 2016)"},"properties":{"noteIndex":0},"schema":"https://github.com/citation-style-language/schema/raw/master/csl-citation.json"}</w:instrText>
      </w:r>
      <w:r>
        <w:rPr>
          <w:rFonts w:ascii="Times" w:hAnsi="Times"/>
        </w:rPr>
        <w:fldChar w:fldCharType="separate"/>
      </w:r>
      <w:r w:rsidRPr="00E64425">
        <w:rPr>
          <w:rFonts w:ascii="Times" w:hAnsi="Times"/>
          <w:noProof/>
        </w:rPr>
        <w:t>(Knowles et al., 2009; McLysaght &amp; Hurst, 2016)</w:t>
      </w:r>
      <w:r>
        <w:rPr>
          <w:rFonts w:ascii="Times" w:hAnsi="Times"/>
        </w:rPr>
        <w:fldChar w:fldCharType="end"/>
      </w:r>
      <w:r>
        <w:rPr>
          <w:rFonts w:ascii="Times" w:hAnsi="Times"/>
        </w:rPr>
        <w:t xml:space="preserve">. In plants, they have been linked to stress response and plant pathogen interaction. One of the best studied examples in plants is </w:t>
      </w:r>
      <w:r>
        <w:rPr>
          <w:rFonts w:ascii="Times" w:hAnsi="Times"/>
          <w:i/>
          <w:iCs/>
        </w:rPr>
        <w:t xml:space="preserve">QQS, </w:t>
      </w:r>
      <w:r>
        <w:rPr>
          <w:rFonts w:ascii="Times" w:hAnsi="Times"/>
        </w:rPr>
        <w:t xml:space="preserve">an </w:t>
      </w:r>
      <w:r>
        <w:rPr>
          <w:rFonts w:ascii="Times" w:hAnsi="Times"/>
          <w:i/>
        </w:rPr>
        <w:t xml:space="preserve">Arabidopsis </w:t>
      </w:r>
      <w:r>
        <w:rPr>
          <w:rFonts w:ascii="Times" w:hAnsi="Times"/>
        </w:rPr>
        <w:t xml:space="preserve">orphan gene, and starch biosynthesis regulator, is likely a product of </w:t>
      </w:r>
      <w:proofErr w:type="spellStart"/>
      <w:r>
        <w:rPr>
          <w:rFonts w:ascii="Times" w:hAnsi="Times"/>
        </w:rPr>
        <w:t>retroposition</w:t>
      </w:r>
      <w:proofErr w:type="spellEnd"/>
      <w:r>
        <w:rPr>
          <w:rFonts w:ascii="Times" w:hAnsi="Times"/>
        </w:rPr>
        <w:t xml:space="preserve"> which was determined by its unique gene and its regulatory control sequences </w:t>
      </w:r>
      <w:r>
        <w:rPr>
          <w:rFonts w:ascii="Times" w:hAnsi="Times"/>
        </w:rPr>
        <w:fldChar w:fldCharType="begin" w:fldLock="1"/>
      </w:r>
      <w:r>
        <w:rPr>
          <w:rFonts w:ascii="Times" w:hAnsi="Times"/>
        </w:rPr>
        <w:instrText>ADDIN CSL_CITATION {"citationItems":[{"id":"ITEM-1","itemData":{"DOI":"10.1111/j.1365-313X.2009.03793.x","ISBN":"1365-313X (Electronic)\\n0960-7412 (Linking)","ISSN":"09607412","PMID":"19154206","abstract":"Little is known about the role of proteins that lack primary sequence homology with any known motifs (proteins with unknown functions, PUFs); these comprise more than 10% of all proteins. This paper offers a generalized experimental strategy for identifying the functions of such proteins, particularly in relation to metabolism. Using this strategy, we have identified a novel regulatory function for Arabidopsis locus At3g30720 (which we term QQS for qua-quine starch). QQS expression, revealed through global mRNA profiling, is up-regulated in an Arabidopsis Atss3 mutant that lacks starch synthase III and has increased leaf starch content. Analysis of public microarray data using MetaOmGraph (metnetdb.org), in combination with transgenic Arabidopsis lines containing QQS promoter-GUS transgenes, indicated that QQS expression responds to a variety of developmental/genetic/environmental perturbations. In addition to the increase in the Atss3 mutant, QQS is up-regulated in the carbohydrate mutants mex1 and sis8. A 586 nt sequence for the QQS mRNA was identified by 5' and 3' RACE experiments. The QQS transcript is predicted to encode a protein of 59 amino acids, whose expression was confirmed by immunological Western blot analysis. The QQS gene is recognizable in sequenced Arabidopsis ecotypes, but is not identifiable in any other sequenced species, including the closely related Brassica napus. Transgenic RNA interference lines in which QQS expression is reduced show excess leaf starch content at the end of the illumination phase of a diurnal cycle. Taken together, the data identify QQS as a potential novel regulator of starch biosynthesis.","author":[{"dropping-particle":"","family":"Li","given":"Ling","non-dropping-particle":"","parse-names":false,"suffix":""},{"dropping-particle":"","family":"Foster","given":"Carol M.","non-dropping-particle":"","parse-names":false,"suffix":""},{"dropping-particle":"","family":"Gan","given":"Qinglei","non-dropping-particle":"","parse-names":false,"suffix":""},{"dropping-particle":"","family":"Nettleton","given":"Dan","non-dropping-particle":"","parse-names":false,"suffix":""},{"dropping-particle":"","family":"James","given":"Martha G.","non-dropping-particle":"","parse-names":false,"suffix":""},{"dropping-particle":"","family":"Myers","given":"Alan M.","non-dropping-particle":"","parse-names":false,"suffix":""},{"dropping-particle":"","family":"Wurtele","given":"Eve Syrkin","non-dropping-particle":"","parse-names":false,"suffix":""}],"container-title":"Plant Journal","id":"ITEM-1","issue":"3","issued":{"date-parts":[["2009"]]},"page":"485-498","title":"Identification of the novel protein QQS as a component of the starch metabolic network in Arabidopsis leaves","type":"article-journal","volume":"58"},"uris":["http://www.mendeley.com/documents/?uuid=7b44ca32-927e-494e-9179-e0934bd36da7"]}],"mendeley":{"formattedCitation":"(L. Li et al., 2009)","plainTextFormattedCitation":"(L. Li et al., 2009)","previouslyFormattedCitation":"(Li et al. 2009)"},"properties":{"noteIndex":0},"schema":"https://github.com/citation-style-language/schema/raw/master/csl-citation.json"}</w:instrText>
      </w:r>
      <w:r>
        <w:rPr>
          <w:rFonts w:ascii="Times" w:hAnsi="Times"/>
        </w:rPr>
        <w:fldChar w:fldCharType="separate"/>
      </w:r>
      <w:r w:rsidRPr="00E64425">
        <w:rPr>
          <w:rFonts w:ascii="Times" w:hAnsi="Times"/>
          <w:noProof/>
        </w:rPr>
        <w:t>(L. Li et al., 2009)</w:t>
      </w:r>
      <w:r>
        <w:rPr>
          <w:rFonts w:ascii="Times" w:hAnsi="Times"/>
        </w:rPr>
        <w:fldChar w:fldCharType="end"/>
      </w:r>
      <w:r>
        <w:rPr>
          <w:rFonts w:ascii="Times" w:hAnsi="Times"/>
        </w:rPr>
        <w:t xml:space="preserve">. This same gene has also been shown to reduce susceptibility to cyst nematodes when </w:t>
      </w:r>
      <w:proofErr w:type="spellStart"/>
      <w:r>
        <w:rPr>
          <w:rFonts w:ascii="Times" w:hAnsi="Times"/>
        </w:rPr>
        <w:t>heterologously</w:t>
      </w:r>
      <w:proofErr w:type="spellEnd"/>
      <w:r>
        <w:rPr>
          <w:rFonts w:ascii="Times" w:hAnsi="Times"/>
        </w:rPr>
        <w:t xml:space="preserve"> expressed in soybean </w:t>
      </w:r>
      <w:r>
        <w:rPr>
          <w:rFonts w:ascii="Times" w:hAnsi="Times"/>
        </w:rPr>
        <w:fldChar w:fldCharType="begin" w:fldLock="1"/>
      </w:r>
      <w:r>
        <w:rPr>
          <w:rFonts w:ascii="Times" w:hAnsi="Times"/>
        </w:rPr>
        <w:instrText>ADDIN CSL_CITATION {"citationItems":[{"id":"ITEM-1","itemData":{"DOI":"10.1111/pbi.12961","ISSN":"14677652","abstract":"Enhancing the nutritional quality and disease resistance of crops without sacrificing productivity is a key issue for developing varieties that are valuable to farmers and for simultaneously improving food security and sustainability. Expression of the Arabidopsis thaliana species-specific AtQQS (Qua-Quine Starch) orphan gene or its interactor, NF-YC4 (Nuclear Factor Y, subunit C4), has been shown to increase levels of leaf/seed protein without affecting the growth and yield of agronomic species. Here, we demonstrate that overexpression of AtQQS and NF-YC4 in Arabidopsis and soybean enhances resistance/reduces susceptibility to viruses, bacteria, fungi, aphids and soybean cyst nematodes. A series of Arabidopsis mutants in starch metabolism were used to explore the relationships between QQS expression, carbon and nitrogen partitioning, and defense. The enhanced basal defenses mediated by QQS were independent of changes in protein/carbohydrate composition of the plants. We demonstrate that either AtQQS or NF-YC4 overexpression in Arabidopsis and in soybean reduces susceptibility of these plants to pathogens/pests. Transgenic soybean lines overexpressing NF-YC4 produce seeds with increased protein while maintaining healthy growth. Pull-down studies reveal that QQS interacts with human NF-YC, as well as with Arabidopsis NF-YC4, and indicate two QQS binding sites near the NF-YC-histone-binding domain. A new model for QQS interaction with NF-YC is speculated. Our findings illustrate the potential of QQS and NF-YC4 to increase protein and improve defensive traits in crops, overcoming the normal growth-defense trade-offs.","author":[{"dropping-particle":"","family":"Qi","given":"Mingsheng","non-dropping-particle":"","parse-names":false,"suffix":""},{"dropping-particle":"","family":"Zheng","given":"Wenguang","non-dropping-particle":"","parse-names":false,"suffix":""},{"dropping-particle":"","family":"Zhao","given":"Xuefeng","non-dropping-particle":"","parse-names":false,"suffix":""},{"dropping-particle":"","family":"Hohenstein","given":"Jessica D.","non-dropping-particle":"","parse-names":false,"suffix":""},{"dropping-particle":"","family":"Kandel","given":"Yuba","non-dropping-particle":"","parse-names":false,"suffix":""},{"dropping-particle":"","family":"O'Conner","given":"Seth","non-dropping-particle":"","parse-names":false,"suffix":""},{"dropping-particle":"","family":"Wang","given":"Yifan","non-dropping-particle":"","parse-names":false,"suffix":""},{"dropping-particle":"","family":"Du","given":"Chuanlong","non-dropping-particle":"","parse-names":false,"suffix":""},{"dropping-particle":"","family":"Nettleton","given":"Dan","non-dropping-particle":"","parse-names":false,"suffix":""},{"dropping-particle":"","family":"MacIntosh","given":"Gustavo C.","non-dropping-particle":"","parse-names":false,"suffix":""},{"dropping-particle":"","family":"Tylka","given":"Gregory L.","non-dropping-particle":"","parse-names":false,"suffix":""},{"dropping-particle":"","family":"Wurtele","given":"Eve S.","non-dropping-particle":"","parse-names":false,"suffix":""},{"dropping-particle":"","family":"Whitham","given":"Steven A.","non-dropping-particle":"","parse-names":false,"suffix":""},{"dropping-particle":"","family":"Li","given":"Ling","non-dropping-particle":"","parse-names":false,"suffix":""}],"container-title":"Plant Biotechnology Journal","id":"ITEM-1","issue":"1","issued":{"date-parts":[["2019"]]},"page":"252-263","title":"QQS orphan gene and its interactor NF-YC4 reduce susceptibility to pathogens and pests","type":"article-journal","volume":"17"},"uris":["http://www.mendeley.com/documents/?uuid=59d63c55-6a5d-4c05-bd8d-3ee5b6f129da"]}],"mendeley":{"formattedCitation":"(Qi et al., 2019)","plainTextFormattedCitation":"(Qi et al., 2019)","previouslyFormattedCitation":"(Qi et al. 2019)"},"properties":{"noteIndex":0},"schema":"https://github.com/citation-style-language/schema/raw/master/csl-citation.json"}</w:instrText>
      </w:r>
      <w:r>
        <w:rPr>
          <w:rFonts w:ascii="Times" w:hAnsi="Times"/>
        </w:rPr>
        <w:fldChar w:fldCharType="separate"/>
      </w:r>
      <w:r w:rsidRPr="00E64425">
        <w:rPr>
          <w:rFonts w:ascii="Times" w:hAnsi="Times"/>
          <w:noProof/>
        </w:rPr>
        <w:t>(Qi et al., 2019)</w:t>
      </w:r>
      <w:r>
        <w:rPr>
          <w:rFonts w:ascii="Times" w:hAnsi="Times"/>
        </w:rPr>
        <w:fldChar w:fldCharType="end"/>
      </w:r>
      <w:r>
        <w:rPr>
          <w:rFonts w:ascii="Times" w:hAnsi="Times"/>
        </w:rPr>
        <w:t xml:space="preserve">. Another orphan gene which confers resistance to a pathogen is the </w:t>
      </w:r>
      <w:proofErr w:type="spellStart"/>
      <w:r>
        <w:rPr>
          <w:rFonts w:ascii="Times" w:hAnsi="Times"/>
        </w:rPr>
        <w:t>Bassicaceae</w:t>
      </w:r>
      <w:proofErr w:type="spellEnd"/>
      <w:r>
        <w:rPr>
          <w:rFonts w:ascii="Times" w:hAnsi="Times"/>
        </w:rPr>
        <w:t xml:space="preserve">-specific </w:t>
      </w:r>
      <w:r>
        <w:rPr>
          <w:rFonts w:ascii="Times" w:hAnsi="Times"/>
          <w:i/>
          <w:iCs/>
        </w:rPr>
        <w:t>EWR1</w:t>
      </w:r>
      <w:r>
        <w:rPr>
          <w:rFonts w:ascii="Times" w:hAnsi="Times"/>
        </w:rPr>
        <w:t xml:space="preserve"> gene which when </w:t>
      </w:r>
      <w:proofErr w:type="spellStart"/>
      <w:r>
        <w:rPr>
          <w:rFonts w:ascii="Times" w:hAnsi="Times"/>
        </w:rPr>
        <w:t>heterologously</w:t>
      </w:r>
      <w:proofErr w:type="spellEnd"/>
      <w:r>
        <w:rPr>
          <w:rFonts w:ascii="Times" w:hAnsi="Times"/>
        </w:rPr>
        <w:t xml:space="preserve"> expressed in </w:t>
      </w:r>
      <w:r>
        <w:rPr>
          <w:rFonts w:ascii="Times" w:hAnsi="Times"/>
          <w:i/>
          <w:iCs/>
        </w:rPr>
        <w:t xml:space="preserve">N. </w:t>
      </w:r>
      <w:proofErr w:type="spellStart"/>
      <w:r>
        <w:rPr>
          <w:rFonts w:ascii="Times" w:hAnsi="Times"/>
          <w:i/>
          <w:iCs/>
        </w:rPr>
        <w:t>benthamiana</w:t>
      </w:r>
      <w:proofErr w:type="spellEnd"/>
      <w:r>
        <w:rPr>
          <w:rFonts w:ascii="Times" w:hAnsi="Times"/>
          <w:i/>
          <w:iCs/>
        </w:rPr>
        <w:t xml:space="preserve"> </w:t>
      </w:r>
      <w:r>
        <w:rPr>
          <w:rFonts w:ascii="Times" w:hAnsi="Times"/>
        </w:rPr>
        <w:t xml:space="preserve">results in reduced susceptibility to </w:t>
      </w:r>
      <w:r>
        <w:rPr>
          <w:rFonts w:ascii="Times" w:hAnsi="Times"/>
          <w:i/>
          <w:iCs/>
        </w:rPr>
        <w:t xml:space="preserve">V. </w:t>
      </w:r>
      <w:proofErr w:type="spellStart"/>
      <w:r>
        <w:rPr>
          <w:rFonts w:ascii="Times" w:hAnsi="Times"/>
          <w:i/>
          <w:iCs/>
        </w:rPr>
        <w:t>dahlia</w:t>
      </w:r>
      <w:r>
        <w:rPr>
          <w:rFonts w:ascii="Times" w:hAnsi="Times"/>
        </w:rPr>
        <w:t>e</w:t>
      </w:r>
      <w:proofErr w:type="spellEnd"/>
      <w:r>
        <w:rPr>
          <w:rFonts w:ascii="Times" w:hAnsi="Times"/>
        </w:rPr>
        <w:t xml:space="preserve"> </w:t>
      </w:r>
      <w:r>
        <w:rPr>
          <w:rFonts w:ascii="Times" w:hAnsi="Times"/>
        </w:rPr>
        <w:fldChar w:fldCharType="begin" w:fldLock="1"/>
      </w:r>
      <w:r>
        <w:rPr>
          <w:rFonts w:ascii="Times" w:hAnsi="Times"/>
        </w:rPr>
        <w:instrText>ADDIN CSL_CITATION {"citationItems":[{"id":"ITEM-1","itemData":{"DOI":"10.1371/journal.pone.0088230","ISSN":"19326203","PMID":"24505441","abstract":"Soil-borne vascular wilt diseases caused by Verticillium spp. are among the most destructive diseases worldwide in a wide range of plant species. The most effective means of controlling Verticillium wilt diseases is the use of genetic resistance. We have previously reported the identification of four activation-tagged Arabidopsis mutants which showed enhanced resistance to Verticillium wilt. Among these, one mutant also showed enhanced resistance to Ralstonia solanacearum, a bacterial vascular wilt pathogen. Cloning of the activation tag revealed an insertion upstream of gene At3g13437 , which we designated as EWR1 (for Enhancer of vascular Wilt Resistance 1) that encodes a putatively secreted protein of unknown function. The search for homologs of Arabidopsis EWR1 (AtEWR1) in public databases only identified homologs within the Brassicaceae family. We subsequently cloned the EWR1 homolog from Brassica oleracea (BoEWR1) and show that over-expression in Arabidopsis results in V. dahliae resistance. Moreover, over-expression of AtEWR1 and BoEWR1 in N. benthamiana, a member of the Solanaceae family, results in V. dahliae resistance, suggesting that EWR1 homologs can be used to engineer Verticillium wilt resistance in non-Brassicaceae crops as well. © 2014 Yadeta et al.","author":[{"dropping-particle":"","family":"Yadeta","given":"Koste A.","non-dropping-particle":"","parse-names":false,"suffix":""},{"dropping-particle":"","family":"Valkenburg","given":"Dirk Jan","non-dropping-particle":"","parse-names":false,"suffix":""},{"dropping-particle":"","family":"Hanemian","given":"Mathieu","non-dropping-particle":"","parse-names":false,"suffix":""},{"dropping-particle":"","family":"Marco","given":"Yves","non-dropping-particle":"","parse-names":false,"suffix":""},{"dropping-particle":"","family":"Thomma","given":"Bart P.H.J.","non-dropping-particle":"","parse-names":false,"suffix":""}],"container-title":"PLoS ONE","id":"ITEM-1","issue":"2","issued":{"date-parts":[["2014"]]},"title":"The Brassicaceae-specific EWR1 gene provides resistance to vascular wilt pathogens","type":"article-journal","volume":"9"},"uris":["http://www.mendeley.com/documents/?uuid=db3a574c-10de-4243-96f5-34746694acc5"]}],"mendeley":{"formattedCitation":"(Yadeta, Valkenburg, Hanemian, Marco, &amp; Thomma, 2014)","plainTextFormattedCitation":"(Yadeta, Valkenburg, Hanemian, Marco, &amp; Thomma, 2014)","previouslyFormattedCitation":"(Yadeta et al. 2014)"},"properties":{"noteIndex":0},"schema":"https://github.com/citation-style-language/schema/raw/master/csl-citation.json"}</w:instrText>
      </w:r>
      <w:r>
        <w:rPr>
          <w:rFonts w:ascii="Times" w:hAnsi="Times"/>
        </w:rPr>
        <w:fldChar w:fldCharType="separate"/>
      </w:r>
      <w:r w:rsidRPr="00E64425">
        <w:rPr>
          <w:rFonts w:ascii="Times" w:hAnsi="Times"/>
          <w:noProof/>
        </w:rPr>
        <w:t>(Yadeta, Valkenburg, Hanemian, Marco, &amp; Thomma, 2014)</w:t>
      </w:r>
      <w:r>
        <w:rPr>
          <w:rFonts w:ascii="Times" w:hAnsi="Times"/>
        </w:rPr>
        <w:fldChar w:fldCharType="end"/>
      </w:r>
      <w:r>
        <w:rPr>
          <w:rFonts w:ascii="Times" w:hAnsi="Times"/>
        </w:rPr>
        <w:t xml:space="preserve">. Beyond known examples, it has also been shown that </w:t>
      </w:r>
      <w:r>
        <w:rPr>
          <w:rFonts w:ascii="Times" w:hAnsi="Times"/>
        </w:rPr>
        <w:lastRenderedPageBreak/>
        <w:t xml:space="preserve">functional proteins can be generated from random protein libraries. In </w:t>
      </w:r>
      <w:r>
        <w:rPr>
          <w:rFonts w:ascii="Times" w:hAnsi="Times"/>
          <w:i/>
          <w:iCs/>
        </w:rPr>
        <w:t xml:space="preserve">Arabidopsis, </w:t>
      </w:r>
      <w:r>
        <w:rPr>
          <w:rFonts w:ascii="Times" w:hAnsi="Times"/>
        </w:rPr>
        <w:t xml:space="preserve">after screening over 2,000 transgenic plants that were transformed with small random peptides a subset showed phenotypes that affected photosynthesis, flowering, and the red light response </w:t>
      </w:r>
      <w:r>
        <w:rPr>
          <w:rFonts w:ascii="Times" w:hAnsi="Times"/>
        </w:rPr>
        <w:fldChar w:fldCharType="begin" w:fldLock="1"/>
      </w:r>
      <w:r>
        <w:rPr>
          <w:rFonts w:ascii="Times" w:hAnsi="Times"/>
        </w:rPr>
        <w:instrText>ADDIN CSL_CITATION {"citationItems":[{"id":"ITEM-1","itemData":{"DOI":"10.1104/pp.17.00577","ISSN":"15322548","PMID":"28807931","abstract":"The use of chemical genomics approaches allows the identification of small molecules that integrate into biological systems, thereby changing discrete processes that influence growth, development, or metabolism. Libraries of chemicals are applied to living systems, and changes in phenotype are observed, potentially leading to the identification of new growth regulators. This work describes an approach that is the nexus of chemical genomics and synthetic biology. Here, each plant in an extensive population synthesizes a unique small peptide arising from a transgene composed of a randomized nucleic acid sequence core flanked by translational start, stop, and cysteine-encoding (for disulfide cyclization) sequences. Ten and 16 amino acid sequences, bearing a core of six and 12 random amino acids, have been synthesized in Arabidopsis (Arabidopsis thaliana) plants. Populations were screened for phenotypes from the seedling stage through senescence. Dozens of phenotypes were observed in over 2,000 plants analyzed. Ten conspicuous phenotypes were verified through separate transformation and analysis of multiple independent lines. The results indicate that these populations contain sequences that often influence discrete aspects of plant biology. Novel peptides that affect photosynthesis, flowering, and red light response are described. The challenge now is to identify the mechanistic integrations of these peptides into biochemical processes. These populations serve as a new tool to identify small molecules that modulate discrete plant functions that could be produced later in transgenic plants or potentially applied exogenously to impart their effects. These findings could usher in a new generation of agricultural growth regulators, herbicides, or defense compounds.","author":[{"dropping-particle":"","family":"Bao","given":"Zhilong","non-dropping-particle":"","parse-names":false,"suffix":""},{"dropping-particle":"","family":"Clancy","given":"Maureen A.","non-dropping-particle":"","parse-names":false,"suffix":""},{"dropping-particle":"","family":"Carvalho","given":"Raquel F.","non-dropping-particle":"","parse-names":false,"suffix":""},{"dropping-particle":"","family":"Elliott","given":"Kiona","non-dropping-particle":"","parse-names":false,"suffix":""},{"dropping-particle":"","family":"Folta","given":"Kevin M.","non-dropping-particle":"","parse-names":false,"suffix":""}],"container-title":"Plant Physiology","id":"ITEM-1","issue":"2","issued":{"date-parts":[["2017"]]},"page":"619-627","title":"Identification of novel growth regulators in plant populations expressing random peptides","type":"article-journal","volume":"175"},"uris":["http://www.mendeley.com/documents/?uuid=956265f1-c6d4-43ed-9c5e-c72f58a4eed1"]}],"mendeley":{"formattedCitation":"(Bao, Clancy, Carvalho, Elliott, &amp; Folta, 2017)","plainTextFormattedCitation":"(Bao, Clancy, Carvalho, Elliott, &amp; Folta, 2017)","previouslyFormattedCitation":"(Bao et al. 2017)"},"properties":{"noteIndex":0},"schema":"https://github.com/citation-style-language/schema/raw/master/csl-citation.json"}</w:instrText>
      </w:r>
      <w:r>
        <w:rPr>
          <w:rFonts w:ascii="Times" w:hAnsi="Times"/>
        </w:rPr>
        <w:fldChar w:fldCharType="separate"/>
      </w:r>
      <w:r w:rsidRPr="00E64425">
        <w:rPr>
          <w:rFonts w:ascii="Times" w:hAnsi="Times"/>
          <w:noProof/>
        </w:rPr>
        <w:t>(Bao, Clancy, Carvalho, Elliott, &amp; Folta, 2017)</w:t>
      </w:r>
      <w:r>
        <w:rPr>
          <w:rFonts w:ascii="Times" w:hAnsi="Times"/>
        </w:rPr>
        <w:fldChar w:fldCharType="end"/>
      </w:r>
      <w:r>
        <w:rPr>
          <w:rFonts w:ascii="Times" w:hAnsi="Times"/>
        </w:rPr>
        <w:t>. It is evident that orphan genes largely have roles in response to stress but also are involved in various functions.</w:t>
      </w:r>
    </w:p>
    <w:p w14:paraId="4B55CDA0" w14:textId="77777777" w:rsidR="00636B5B" w:rsidRPr="003C05BD" w:rsidRDefault="00636B5B" w:rsidP="00E64425">
      <w:pPr>
        <w:spacing w:line="360" w:lineRule="auto"/>
        <w:rPr>
          <w:u w:val="single"/>
        </w:rPr>
      </w:pPr>
      <w:r>
        <w:rPr>
          <w:rFonts w:ascii="Times" w:hAnsi="Times"/>
        </w:rPr>
        <w:tab/>
      </w:r>
      <w:r>
        <w:t xml:space="preserve">A largely unexplored area in </w:t>
      </w:r>
      <w:r>
        <w:rPr>
          <w:i/>
          <w:iCs/>
        </w:rPr>
        <w:t xml:space="preserve">de novo </w:t>
      </w:r>
      <w:r>
        <w:t xml:space="preserve">gene evolution is regarding how their regulation and integration into existing regulatory networks </w:t>
      </w:r>
      <w:r>
        <w:fldChar w:fldCharType="begin" w:fldLock="1"/>
      </w:r>
      <w:r>
        <w:instrText>ADDIN CSL_CITATION {"citationItems":[{"id":"ITEM-1","itemData":{"DOI":"10.1016/j.tplants.2014.07.003","ISBN":"1360-1385","ISSN":"13601385","PMID":"25151064","abstract":"Sizable minorities of protein-coding genes from every sequenced eukaryotic and prokaryotic genome are unique to the species. These so-called 'orphan genes' may evolve de novo from non-coding sequence or be derived from older coding material. They are often associated with environmental stress responses and species-specific traits or regulatory patterns. However, difficulties in studying genes where comparative analysis is impossible, and a bias towards broadly conserved genes, have resulted in underappreciation of their importance. We review here the identification, possible origins, evolutionary trends, and functions of orphans with an emphasis on their role in plant biology. We exemplify several evolutionary trends with an analysis of Arabidopsis thaliana and present QQS as a model orphan gene.","author":[{"dropping-particle":"","family":"Arendsee","given":"Zebulun W.","non-dropping-particle":"","parse-names":false,"suffix":""},{"dropping-particle":"","family":"Li","given":"Ling","non-dropping-particle":"","parse-names":false,"suffix":""},{"dropping-particle":"","family":"Wurtele","given":"Eve Syrkin","non-dropping-particle":"","parse-names":false,"suffix":""}],"container-title":"Trends in Plant Science","id":"ITEM-1","issue":"11","issued":{"date-parts":[["2014"]]},"page":"698-708","publisher":"Elsevier Ltd","title":"Coming of age: Orphan genes in plants","type":"article-journal","volume":"19"},"uris":["http://www.mendeley.com/documents/?uuid=f4b04975-d61a-4c1d-91ad-0fa62e25ecdd"]}],"mendeley":{"formattedCitation":"(Z. W. Arendsee, Li, &amp; Wurtele, 2014)","plainTextFormattedCitation":"(Z. W. Arendsee, Li, &amp; Wurtele, 2014)","previouslyFormattedCitation":"(Arendsee et al. 2014)"},"properties":{"noteIndex":0},"schema":"https://github.com/citation-style-language/schema/raw/master/csl-citation.json"}</w:instrText>
      </w:r>
      <w:r>
        <w:fldChar w:fldCharType="separate"/>
      </w:r>
      <w:r w:rsidRPr="00E64425">
        <w:rPr>
          <w:noProof/>
        </w:rPr>
        <w:t>(Z. W. Arendsee, Li, &amp; Wurtele, 2014)</w:t>
      </w:r>
      <w:r>
        <w:fldChar w:fldCharType="end"/>
      </w:r>
      <w:r>
        <w:t xml:space="preserve">. In order to be integrated into existing networks </w:t>
      </w:r>
      <w:r>
        <w:rPr>
          <w:i/>
          <w:iCs/>
        </w:rPr>
        <w:t xml:space="preserve">de novo </w:t>
      </w:r>
      <w:r>
        <w:t xml:space="preserve">genes must acquire functional </w:t>
      </w:r>
      <w:r>
        <w:rPr>
          <w:i/>
          <w:iCs/>
        </w:rPr>
        <w:t>cis</w:t>
      </w:r>
      <w:r>
        <w:rPr>
          <w:i/>
          <w:iCs/>
        </w:rPr>
        <w:softHyphen/>
      </w:r>
      <w:r>
        <w:t xml:space="preserve">-elements or enhancers </w:t>
      </w:r>
      <w:r>
        <w:fldChar w:fldCharType="begin" w:fldLock="1"/>
      </w:r>
      <w:r>
        <w:instrText>ADDIN CSL_CITATION {"citationItems":[{"id":"ITEM-1","itemData":{"DOI":"10.1016/j.cell.2013.10.048","ISBN":"1097-4172 (Electronic)\\r0092-8674 (Linking)","ISSN":"00928674","PMID":"24267885","abstract":"The mammalian genome is extensively transcribed, a large fraction of which is divergent transcription from promoters and enhancers that is tightly coupled with active gene transcription. Here, we propose that divergent transcription may shape the evolution of the genome by new gene origination. ?? 2013 Elsevier Inc.","author":[{"dropping-particle":"","family":"Wu","given":"Xuebing","non-dropping-particle":"","parse-names":false,"suffix":""},{"dropping-particle":"","family":"Sharp","given":"Phillip A.","non-dropping-particle":"","parse-names":false,"suffix":""}],"container-title":"Cell","id":"ITEM-1","issue":"5","issued":{"date-parts":[["2013"]]},"page":"990-996","publisher":"Elsevier Inc.","title":"Divergent transcription: A driving force for new gene origination?","type":"article-journal","volume":"155"},"uris":["http://www.mendeley.com/documents/?uuid=230c2378-aed4-47dd-87aa-1e6d0b650976"]}],"mendeley":{"formattedCitation":"(X. Wu &amp; Sharp, 2013)","plainTextFormattedCitation":"(X. Wu &amp; Sharp, 2013)","previouslyFormattedCitation":"(Wu &amp; Sharp 2013)"},"properties":{"noteIndex":0},"schema":"https://github.com/citation-style-language/schema/raw/master/csl-citation.json"}</w:instrText>
      </w:r>
      <w:r>
        <w:fldChar w:fldCharType="separate"/>
      </w:r>
      <w:r w:rsidRPr="00E64425">
        <w:rPr>
          <w:noProof/>
        </w:rPr>
        <w:t>(X. Wu &amp; Sharp, 2013)</w:t>
      </w:r>
      <w:r>
        <w:fldChar w:fldCharType="end"/>
      </w:r>
      <w:r>
        <w:t xml:space="preserve">. Additionally, orphan genes have been shown to not be constitutively expressed. One indicator of functionality is change in expression in response to functional needs and several studies have described these patterns </w:t>
      </w:r>
      <w:r>
        <w:fldChar w:fldCharType="begin" w:fldLock="1"/>
      </w:r>
      <w:r>
        <w:instrText>ADDIN CSL_CITATION {"citationItems":[{"id":"ITEM-1","itemData":{"DOI":"10.1126/science.1197761","ISSN":"00368075","PMID":"21292972","abstract":"We describe the draft genome of the microcrustacean Daphnia pulex, which is only 200 megabases and contains at least 30,907 genes. The high gene count is a consequence of an elevated rate of gene duplication resulting in tandem gene clusters. More than a third of Daphnia's genes have no detectable homologs in any other available proteome, and the most amplified gene families are specific to the Daphnia lineage. The coexpansion of gene families interacting within metabolic pathways suggests that the maintenance of duplicated genes is not random, and the analysis of gene expression under different environmental conditions reveals that numerous paralogs acquire divergent expression patterns soon after duplication. Daphnia-specific genes, including many additional loci within sequenced regions that are otherwise devoid of annotations, are the most responsive genes to ecological challenges.","author":[{"dropping-particle":"","family":"Colbourne","given":"John K.","non-dropping-particle":"","parse-names":false,"suffix":""},{"dropping-particle":"","family":"Pfrender","given":"Michael E.","non-dropping-particle":"","parse-names":false,"suffix":""},{"dropping-particle":"","family":"Gilbert","given":"Donald","non-dropping-particle":"","parse-names":false,"suffix":""},{"dropping-particle":"","family":"Thomas","given":"W. Kelley","non-dropping-particle":"","parse-names":false,"suffix":""},{"dropping-particle":"","family":"Tucker","given":"Abraham","non-dropping-particle":"","parse-names":false,"suffix":""},{"dropping-particle":"","family":"Oakley","given":"Todd H.","non-dropping-particle":"","parse-names":false,"suffix":""},{"dropping-particle":"","family":"Tokishita","given":"Shinichi","non-dropping-particle":"","parse-names":false,"suffix":""},{"dropping-particle":"","family":"Aerts","given":"Andrea","non-dropping-particle":"","parse-names":false,"suffix":""},{"dropping-particle":"","family":"Arnold","given":"Georg J.","non-dropping-particle":"","parse-names":false,"suffix":""},{"dropping-particle":"","family":"Basu","given":"Malay Kumar","non-dropping-particle":"","parse-names":false,"suffix":""},{"dropping-particle":"","family":"Bauer","given":"Darren J.","non-dropping-particle":"","parse-names":false,"suffix":""},{"dropping-particle":"","family":"Cáceres","given":"Carla E.","non-dropping-particle":"","parse-names":false,"suffix":""},{"dropping-particle":"","family":"Carmel","given":"Liran","non-dropping-particle":"","parse-names":false,"suffix":""},{"dropping-particle":"","family":"Casola","given":"Claudio","non-dropping-particle":"","parse-names":false,"suffix":""},{"dropping-particle":"","family":"Choi","given":"Jeong Hyeon","non-dropping-particle":"","parse-names":false,"suffix":""},{"dropping-particle":"","family":"Detter","given":"John C.","non-dropping-particle":"","parse-names":false,"suffix":""},{"dropping-particle":"","family":"Dong","given":"Qunfeng","non-dropping-particle":"","parse-names":false,"suffix":""},{"dropping-particle":"","family":"Dusheyko","given":"Serge","non-dropping-particle":"","parse-names":false,"suffix":""},{"dropping-particle":"","family":"Eads","given":"Brian D.","non-dropping-particle":"","parse-names":false,"suffix":""},{"dropping-particle":"","family":"Fröhlich","given":"Thomas","non-dropping-particle":"","parse-names":false,"suffix":""},{"dropping-particle":"","family":"Geiler-Samerotte","given":"Kerry A.","non-dropping-particle":"","parse-names":false,"suffix":""},{"dropping-particle":"","family":"Gerlach","given":"Daniel","non-dropping-particle":"","parse-names":false,"suffix":""},{"dropping-particle":"","family":"Hatcher","given":"Phil","non-dropping-particle":"","parse-names":false,"suffix":""},{"dropping-particle":"","family":"Jogdeo","given":"Sanjuro","non-dropping-particle":"","parse-names":false,"suffix":""},{"dropping-particle":"","family":"Krijgsveld","given":"Jeroen","non-dropping-particle":"","parse-names":false,"suffix":""},{"dropping-particle":"V.","family":"Kriventseva","given":"Evgenia","non-dropping-particle":"","parse-names":false,"suffix":""},{"dropping-particle":"","family":"Kültz","given":"Dietmar","non-dropping-particle":"","parse-names":false,"suffix":""},{"dropping-particle":"","family":"Laforsch","given":"Christian","non-dropping-particle":"","parse-names":false,"suffix":""},{"dropping-particle":"","family":"Lindquist","given":"Erika","non-dropping-particle":"","parse-names":false,"suffix":""},{"dropping-particle":"","family":"Lopez","given":"Jacqueline","non-dropping-particle":"","parse-names":false,"suffix":""},{"dropping-particle":"","family":"Manak","given":"J. Robert","non-dropping-particle":"","parse-names":false,"suffix":""},{"dropping-particle":"","family":"Muller","given":"Jean","non-dropping-particle":"","parse-names":false,"suffix":""},{"dropping-particle":"","family":"Pangilinan","given":"Jasmyn","non-dropping-particle":"","parse-names":false,"suffix":""},{"dropping-particle":"","family":"Patwardhan","given":"Rupali P.","non-dropping-particle":"","parse-names":false,"suffix":""},{"dropping-particle":"","family":"Pitluck","given":"Samuel","non-dropping-particle":"","parse-names":false,"suffix":""},{"dropping-particle":"","family":"Pritham","given":"Ellen J.","non-dropping-particle":"","parse-names":false,"suffix":""},{"dropping-particle":"","family":"Rechtsteiner","given":"Andreas","non-dropping-particle":"","parse-names":false,"suffix":""},{"dropping-particle":"","family":"Rho","given":"Mina","non-dropping-particle":"","parse-names":false,"suffix":""},{"dropping-particle":"","family":"Rogozin","given":"Igor B.","non-dropping-particle":"","parse-names":false,"suffix":""},{"dropping-particle":"","family":"Sakarya","given":"Onur","non-dropping-particle":"","parse-names":false,"suffix":""},{"dropping-particle":"","family":"Salamov","given":"Asaf","non-dropping-particle":"","parse-names":false,"suffix":""},{"dropping-particle":"","family":"Schaack","given":"Sarah","non-dropping-particle":"","parse-names":false,"suffix":""},{"dropping-particle":"","family":"Shapiro","given":"Harris","non-dropping-particle":"","parse-names":false,"suffix":""},{"dropping-particle":"","family":"Shiga","given":"Yasuhiro","non-dropping-particle":"","parse-names":false,"suffix":""},{"dropping-particle":"","family":"Skalitzky","given":"Courtney","non-dropping-particle":"","parse-names":false,"suffix":""},{"dropping-particle":"","family":"Smith","given":"Zachary","non-dropping-particle":"","parse-names":false,"suffix":""},{"dropping-particle":"","family":"Souvorov","given":"Alexander","non-dropping-particle":"","parse-names":false,"suffix":""},{"dropping-particle":"","family":"Sung","given":"Way","non-dropping-particle":"","parse-names":false,"suffix":""},{"dropping-particle":"","family":"Tang","given":"Zuojian","non-dropping-particle":"","parse-names":false,"suffix":""},{"dropping-particle":"","family":"Tsuchiya","given":"Dai","non-dropping-particle":"","parse-names":false,"suffix":""},{"dropping-particle":"","family":"Tu","given":"Hank","non-dropping-particle":"","parse-names":false,"suffix":""},{"dropping-particle":"","family":"Vos","given":"Harmjan","non-dropping-particle":"","parse-names":false,"suffix":""},{"dropping-particle":"","family":"Wang","given":"Mei","non-dropping-particle":"","parse-names":false,"suffix":""},{"dropping-particle":"","family":"Wolf","given":"Yuri I.","non-dropping-particle":"","parse-names":false,"suffix":""},{"dropping-particle":"","family":"Yamagata","given":"Hideo","non-dropping-particle":"","parse-names":false,"suffix":""},{"dropping-particle":"","family":"Yamada","given":"Takuji","non-dropping-particle":"","parse-names":false,"suffix":""},{"dropping-particle":"","family":"Ye","given":"Yuzhen","non-dropping-particle":"","parse-names":false,"suffix":""},{"dropping-particle":"","family":"Shaw","given":"Joseph R.","non-dropping-particle":"","parse-names":false,"suffix":""},{"dropping-particle":"","family":"Andrews","given":"Justen","non-dropping-particle":"","parse-names":false,"suffix":""},{"dropping-particle":"","family":"Crease","given":"Teresa J.","non-dropping-particle":"","parse-names":false,"suffix":""},{"dropping-particle":"","family":"Tang","given":"Haixu","non-dropping-particle":"","parse-names":false,"suffix":""},{"dropping-particle":"","family":"Lucas","given":"Susan M.","non-dropping-particle":"","parse-names":false,"suffix":""},{"dropping-particle":"","family":"Robertson","given":"Hugh M.","non-dropping-particle":"","parse-names":false,"suffix":""},{"dropping-particle":"","family":"Bork","given":"Peer","non-dropping-particle":"","parse-names":false,"suffix":""},{"dropping-particle":"V.","family":"Koonin","given":"Eugene","non-dropping-particle":"","parse-names":false,"suffix":""},{"dropping-particle":"","family":"Zdobnov","given":"Evgeny M.","non-dropping-particle":"","parse-names":false,"suffix":""},{"dropping-particle":"V.","family":"Grigoriev","given":"Igor","non-dropping-particle":"","parse-names":false,"suffix":""},{"dropping-particle":"","family":"Lynch","given":"Michael","non-dropping-particle":"","parse-names":false,"suffix":""},{"dropping-particle":"","family":"Boore","given":"Jeffrey L.","non-dropping-particle":"","parse-names":false,"suffix":""}],"container-title":"Science","id":"ITEM-1","issue":"6017","issued":{"date-parts":[["2011"]]},"page":"555-561","title":"The ecoresponsive genome of Daphnia pulex","type":"article-journal","volume":"331"},"uris":["http://www.mendeley.com/documents/?uuid=311b817b-7d8c-40fa-be8e-f7eddb34911c"]},{"id":"ITEM-2","itemData":{"DOI":"10.1016/j.cub.2009.07.049","ISBN":"0960-9822","ISSN":"09609822","PMID":"19733073","abstract":"It is generally assumed that new genes would arise by gene duplication mechanisms, because the signals for regulation and transcript processing would be unlikely to evolve in parallel with a new gene function [1, 2]. We have identified here a transcript in the house mouse (Mus musculus) that has arisen within the past 2.5-3.5 million years in a large intergenic region. The region is present in many mammals, including humans, allowing us to exclude the involvement of gene duplication, transposable elements, or other genome rearrangements, which are typically found for other cases of newly evolved genes [3-8]. The gene has three exons, shows alternative splicing, and is specifically expressed in postmeiotic cells of the testis. The transcript is restricted to species within the genus Mus and its emergence correlates with indel mutations in the 5′ regulatory region of the transcript. A recent selective sweep is associated with the transcript region in M. m. musculus populations. A knockout in the laboratory strain BL6 results in reduced sperm motility and reduced testis weight. Our results show that cryptic signals for transcript regulation and processing exist in intergenic regions and can become the basis for the evolution of a new functional gene. © 2009 Elsevier Ltd. All rights reserved.","author":[{"dropping-particle":"","family":"Heinen","given":"Tobias J A J","non-dropping-particle":"","parse-names":false,"suffix":""},{"dropping-particle":"","family":"Staubach","given":"Fabian","non-dropping-particle":"","parse-names":false,"suffix":""},{"dropping-particle":"","family":"Häming","given":"Daniela","non-dropping-particle":"","parse-names":false,"suffix":""},{"dropping-particle":"","family":"Tautz","given":"Diethard","non-dropping-particle":"","parse-names":false,"suffix":""}],"container-title":"Current Biology","id":"ITEM-2","issue":"18","issued":{"date-parts":[["2009"]]},"page":"1527-1531","title":"Emergence of a New Gene from an Intergenic Region","type":"article-journal","volume":"19"},"uris":["http://www.mendeley.com/documents/?uuid=80457ad3-063d-4a31-a4ce-288c1d2b704e"]}],"mendeley":{"formattedCitation":"(Colbourne et al., 2011; Heinen, Staubach, Häming, &amp; Tautz, 2009)","plainTextFormattedCitation":"(Colbourne et al., 2011; Heinen, Staubach, Häming, &amp; Tautz, 2009)","previouslyFormattedCitation":"(Colbourne et al. 2011; Heinen et al. 2009)"},"properties":{"noteIndex":0},"schema":"https://github.com/citation-style-language/schema/raw/master/csl-citation.json"}</w:instrText>
      </w:r>
      <w:r>
        <w:fldChar w:fldCharType="separate"/>
      </w:r>
      <w:r w:rsidRPr="00E64425">
        <w:rPr>
          <w:noProof/>
        </w:rPr>
        <w:t>(Colbourne et al., 2011; Heinen, Staubach, Häming, &amp; Tautz, 2009)</w:t>
      </w:r>
      <w:r>
        <w:fldChar w:fldCharType="end"/>
      </w:r>
      <w:r>
        <w:t xml:space="preserve">. One paper showed differential translation of young genes in stress conditions and an enrichment of young genes adjacent to transcription factor binding sites that are known to regulate response to stress </w:t>
      </w:r>
      <w:r>
        <w:fldChar w:fldCharType="begin" w:fldLock="1"/>
      </w:r>
      <w:r>
        <w:instrText>ADDIN CSL_CITATION {"citationItems":[{"id":"ITEM-1","itemData":{"DOI":"10.1038/nature11184","ISBN":"1476-4687 (Electronic)\\n0028-0836 (Linking)","ISSN":"0028-0836","PMID":"22722833","abstract":"Novel protein-coding genes can arise either through re-organization of pre-existing genes or de novo. Processes involving re-organization of pre-existing genes, notably after gene duplication, have been extensively described. In contrast, de novo gene birth remains poorly understood, mainly because translation of sequences devoid of genes, or 'non-genic' sequences, is expected to produce insignificant polypeptides rather than proteins with specific biological functions. Here we formalize an evolutionary model according to which functional genes evolve de novo through transitory proto-genes generated by widespread translational activity in non-genic sequences. Testing this model at the genome scale in Saccharomyces cerevisiae, we detect translation of hundreds of short species-specific open reading frames (ORFs) located in non-genic sequences. These translation events seem to provide adaptive potential, as suggested by their differential regulation upon stress and by signatures of retention by natural selection. In line with our model, we establish that S. cerevisiae ORFs can be placed within an evolutionary continuum ranging from non-genic sequences to genes. We identify ~1,900 candidate proto-genes among S. cerevisiae ORFs and find that de novo gene birth from such a reservoir may be more prevalent than sporadic gene duplication. Our work illustrates that evolution exploits seemingly dispensable sequences to generate adaptive functional innovation.","author":[{"dropping-particle":"","family":"Carvunis","given":"Anne-Ruxandra","non-dropping-particle":"","parse-names":false,"suffix":""},{"dropping-particle":"","family":"Rolland","given":"Thomas","non-dropping-particle":"","parse-names":false,"suffix":""},{"dropping-particle":"","family":"Wapinski","given":"Ilan","non-dropping-particle":"","parse-names":false,"suffix":""},{"dropping-particle":"","family":"Calderwood","given":"Michael A.","non-dropping-particle":"","parse-names":false,"suffix":""},{"dropping-particle":"","family":"Yildirim","given":"Muhammed A.","non-dropping-particle":"","parse-names":false,"suffix":""},{"dropping-particle":"","family":"Simonis","given":"Nicolas","non-dropping-particle":"","parse-names":false,"suffix":""},{"dropping-particle":"","family":"Charloteaux","given":"Benoit","non-dropping-particle":"","parse-names":false,"suffix":""},{"dropping-particle":"","family":"Hidalgo","given":"César A.","non-dropping-particle":"","parse-names":false,"suffix":""},{"dropping-particle":"","family":"Barbette","given":"Justin","non-dropping-particle":"","parse-names":false,"suffix":""},{"dropping-particle":"","family":"Santhanam","given":"Balaji","non-dropping-particle":"","parse-names":false,"suffix":""},{"dropping-particle":"","family":"Brar","given":"Gloria A.","non-dropping-particle":"","parse-names":false,"suffix":""},{"dropping-particle":"","family":"Weissman","given":"Jonathan S.","non-dropping-particle":"","parse-names":false,"suffix":""},{"dropping-particle":"","family":"Regev","given":"Aviv","non-dropping-particle":"","parse-names":false,"suffix":""},{"dropping-particle":"","family":"Thierry-Mieg","given":"Nicolas","non-dropping-particle":"","parse-names":false,"suffix":""},{"dropping-particle":"","family":"Cusick","given":"Michael E.","non-dropping-particle":"","parse-names":false,"suffix":""},{"dropping-particle":"","family":"Vidal","given":"Marc","non-dropping-particle":"","parse-names":false,"suffix":""}],"container-title":"Nature","id":"ITEM-1","issue":"7407","issued":{"date-parts":[["2012"]]},"page":"370-374","title":"Proto-genes and de novo gene birth","type":"article-journal","volume":"487"},"uris":["http://www.mendeley.com/documents/?uuid=3f04e38e-7ccd-444f-a7e6-cdc9dc70d23f"]}],"mendeley":{"formattedCitation":"(Carvunis et al., 2012)","plainTextFormattedCitation":"(Carvunis et al., 2012)","previouslyFormattedCitation":"(Carvunis et al. 2012)"},"properties":{"noteIndex":0},"schema":"https://github.com/citation-style-language/schema/raw/master/csl-citation.json"}</w:instrText>
      </w:r>
      <w:r>
        <w:fldChar w:fldCharType="separate"/>
      </w:r>
      <w:r w:rsidRPr="00E64425">
        <w:rPr>
          <w:noProof/>
        </w:rPr>
        <w:t>(Carvunis et al., 2012)</w:t>
      </w:r>
      <w:r>
        <w:fldChar w:fldCharType="end"/>
      </w:r>
      <w:r>
        <w:t xml:space="preserve">. Furthermore, several studies have explored the </w:t>
      </w:r>
      <w:r>
        <w:rPr>
          <w:i/>
          <w:iCs/>
        </w:rPr>
        <w:t>cis-</w:t>
      </w:r>
      <w:r>
        <w:t xml:space="preserve">elements of </w:t>
      </w:r>
      <w:r>
        <w:rPr>
          <w:i/>
          <w:iCs/>
        </w:rPr>
        <w:t xml:space="preserve">de novo </w:t>
      </w:r>
      <w:r>
        <w:t xml:space="preserve">genes but primarily through homology-based detection of known transcription factor binding sites (TFBS) </w:t>
      </w:r>
      <w:r>
        <w:fldChar w:fldCharType="begin" w:fldLock="1"/>
      </w:r>
      <w:r>
        <w:instrText>ADDIN CSL_CITATION {"citationItems":[{"id":"ITEM-1","itemData":{"DOI":"10.1093/gbe/evw164","ISSN":"1759-6653","PMID":"27401176","author":[{"dropping-particle":"","family":"Li","given":"Zi-Wen","non-dropping-particle":"","parse-names":false,"suffix":""},{"dropping-particle":"","family":"Chen","given":"Xi","non-dropping-particle":"","parse-names":false,"suffix":""},{"dropping-particle":"","family":"Wu","given":"Qiong","non-dropping-particle":"","parse-names":false,"suffix":""},{"dropping-particle":"","family":"Hagmann","given":"Jörg","non-dropping-particle":"","parse-names":false,"suffix":""},{"dropping-particle":"","family":"Han","given":"Ting-Shen","non-dropping-particle":"","parse-names":false,"suffix":""},{"dropping-particle":"","family":"Zou","given":"Yu-Pan","non-dropping-particle":"","parse-names":false,"suffix":""},{"dropping-particle":"","family":"Ge","given":"Song","non-dropping-particle":"","parse-names":false,"suffix":""},{"dropping-particle":"","family":"Guo","given":"Ya-Long","non-dropping-particle":"","parse-names":false,"suffix":""}],"container-title":"Genome Biology and Evolution","id":"ITEM-1","issue":"7","issued":{"date-parts":[["2016"]]},"page":"2190-2202","title":"On the Origin of De Novo Genes in Arabidopsis thaliana Populations","type":"article-journal","volume":"8"},"uris":["http://www.mendeley.com/documents/?uuid=2852a026-8a33-4fb8-bf70-bb8e5021daba"]},{"id":"ITEM-2","itemData":{"DOI":"10.1038/nature11184","ISBN":"1476-4687 (Electronic)\\n0028-0836 (Linking)","ISSN":"0028-0836","PMID":"22722833","abstract":"Novel protein-coding genes can arise either through re-organization of pre-existing genes or de novo. Processes involving re-organization of pre-existing genes, notably after gene duplication, have been extensively described. In contrast, de novo gene birth remains poorly understood, mainly because translation of sequences devoid of genes, or 'non-genic' sequences, is expected to produce insignificant polypeptides rather than proteins with specific biological functions. Here we formalize an evolutionary model according to which functional genes evolve de novo through transitory proto-genes generated by widespread translational activity in non-genic sequences. Testing this model at the genome scale in Saccharomyces cerevisiae, we detect translation of hundreds of short species-specific open reading frames (ORFs) located in non-genic sequences. These translation events seem to provide adaptive potential, as suggested by their differential regulation upon stress and by signatures of retention by natural selection. In line with our model, we establish that S. cerevisiae ORFs can be placed within an evolutionary continuum ranging from non-genic sequences to genes. We identify ~1,900 candidate proto-genes among S. cerevisiae ORFs and find that de novo gene birth from such a reservoir may be more prevalent than sporadic gene duplication. Our work illustrates that evolution exploits seemingly dispensable sequences to generate adaptive functional innovation.","author":[{"dropping-particle":"","family":"Carvunis","given":"Anne-Ruxandra","non-dropping-particle":"","parse-names":false,"suffix":""},{"dropping-particle":"","family":"Rolland","given":"Thomas","non-dropping-particle":"","parse-names":false,"suffix":""},{"dropping-particle":"","family":"Wapinski","given":"Ilan","non-dropping-particle":"","parse-names":false,"suffix":""},{"dropping-particle":"","family":"Calderwood","given":"Michael A.","non-dropping-particle":"","parse-names":false,"suffix":""},{"dropping-particle":"","family":"Yildirim","given":"Muhammed A.","non-dropping-particle":"","parse-names":false,"suffix":""},{"dropping-particle":"","family":"Simonis","given":"Nicolas","non-dropping-particle":"","parse-names":false,"suffix":""},{"dropping-particle":"","family":"Charloteaux","given":"Benoit","non-dropping-particle":"","parse-names":false,"suffix":""},{"dropping-particle":"","family":"Hidalgo","given":"César A.","non-dropping-particle":"","parse-names":false,"suffix":""},{"dropping-particle":"","family":"Barbette","given":"Justin","non-dropping-particle":"","parse-names":false,"suffix":""},{"dropping-particle":"","family":"Santhanam","given":"Balaji","non-dropping-particle":"","parse-names":false,"suffix":""},{"dropping-particle":"","family":"Brar","given":"Gloria A.","non-dropping-particle":"","parse-names":false,"suffix":""},{"dropping-particle":"","family":"Weissman","given":"Jonathan S.","non-dropping-particle":"","parse-names":false,"suffix":""},{"dropping-particle":"","family":"Regev","given":"Aviv","non-dropping-particle":"","parse-names":false,"suffix":""},{"dropping-particle":"","family":"Thierry-Mieg","given":"Nicolas","non-dropping-particle":"","parse-names":false,"suffix":""},{"dropping-particle":"","family":"Cusick","given":"Michael E.","non-dropping-particle":"","parse-names":false,"suffix":""},{"dropping-particle":"","family":"Vidal","given":"Marc","non-dropping-particle":"","parse-names":false,"suffix":""}],"container-title":"Nature","id":"ITEM-2","issue":"7407","issued":{"date-parts":[["2012"]]},"page":"370-374","title":"Proto-genes and de novo gene birth","type":"article-journal","volume":"487"},"uris":["http://www.mendeley.com/documents/?uuid=3f04e38e-7ccd-444f-a7e6-cdc9dc70d23f"]},{"id":"ITEM-3","itemData":{"DOI":"10.1186/1471-2148-11-47","ISBN":"1471-2148","ISSN":"1471-2148","PMID":"21332978","abstract":"All sequenced genomes contain a proportion of lineage-specific genes, which exhibit no sequence similarity to any genes outside the lineage. Despite their prevalence, the origins and functions of most lineage-specific genes remain largely unknown. As more genomes are sequenced opportunities for understanding evolutionary origins and functions of lineage-specific genes are increasing.","author":[{"dropping-particle":"","family":"Donoghue","given":"Mark TA","non-dropping-particle":"","parse-names":false,"suffix":""},{"dropping-particle":"","family":"Keshavaiah","given":"Channa","non-dropping-particle":"","parse-names":false,"suffix":""},{"dropping-particle":"","family":"Swamidatta","given":"Sandesh H","non-dropping-particle":"","parse-names":false,"suffix":""},{"dropping-particle":"","family":"Spillane","given":"Charles","non-dropping-particle":"","parse-names":false,"suffix":""}],"container-title":"BMC Evolutionary Biology","id":"ITEM-3","issue":"1","issued":{"date-parts":[["2011"]]},"page":"47","title":"Evolutionary origins of Brassicaceae specific genes in Arabidopsis thaliana","type":"article-journal","volume":"11"},"uris":["http://www.mendeley.com/documents/?uuid=03103307-ce1e-42b4-8713-6064c4d7c232"]}],"mendeley":{"formattedCitation":"(Carvunis et al., 2012; Donoghue, Keshavaiah, Swamidatta, &amp; Spillane, 2011; Z.-W. Li et al., 2016)","manualFormatting":"(Li et al. 2016; Carvunis et al. 2012)","plainTextFormattedCitation":"(Carvunis et al., 2012; Donoghue, Keshavaiah, Swamidatta, &amp; Spillane, 2011; Z.-W. Li et al., 2016)","previouslyFormattedCitation":"(Li et al. 2016; Carvunis et al. 2012; Donoghue et al. 2011)"},"properties":{"noteIndex":0},"schema":"https://github.com/citation-style-language/schema/raw/master/csl-citation.json"}</w:instrText>
      </w:r>
      <w:r>
        <w:fldChar w:fldCharType="separate"/>
      </w:r>
      <w:r w:rsidRPr="00BC3F8A">
        <w:rPr>
          <w:noProof/>
        </w:rPr>
        <w:t>(Li et al. 2016; Carvunis et al. 2012)</w:t>
      </w:r>
      <w:r>
        <w:fldChar w:fldCharType="end"/>
      </w:r>
      <w:r>
        <w:t xml:space="preserve">. More recently, orphan gene regulation was explored in </w:t>
      </w:r>
      <w:r>
        <w:rPr>
          <w:i/>
          <w:iCs/>
        </w:rPr>
        <w:t xml:space="preserve">P. </w:t>
      </w:r>
      <w:proofErr w:type="spellStart"/>
      <w:r>
        <w:rPr>
          <w:i/>
          <w:iCs/>
        </w:rPr>
        <w:t>pacificus</w:t>
      </w:r>
      <w:proofErr w:type="spellEnd"/>
      <w:r>
        <w:t xml:space="preserve"> and it was found orphan genes are located in open chromatin and have different enhancers compared to conserved genes </w:t>
      </w:r>
      <w:r>
        <w:fldChar w:fldCharType="begin" w:fldLock="1"/>
      </w:r>
      <w:r>
        <w:instrText>ADDIN CSL_CITATION {"citationItems":[{"id":"ITEM-1","itemData":{"DOI":"10.1101/gr.234872.118","ISSN":"15495469","abstract":"Species-specific, new, or “orphan” genes account for 10%-30% of eukaryotic genomes. Although initially considered to have limited function, an increasing number of orphan genes have been shown to provide important phenotypic innovation. How new genes acquire regulatory sequences for proper temporal and spatial expression is unknown. Orphan gene regulation may rely in part on origination in open chromatin adjacent to preexisting promoters, although this has not yet been assessed by genome-wide analysis of chromatin states. Here, we combine taxon-rich nematode phylogenies with Iso-Seq, RNA-seq, ChIP-seq, and ATAC-seq to identify the gene structure and epigenetic signature of orphan genes in the satellite model nematode Pristionchus pacificus. Consistent with previous findings, we find young genes are shorter, contain fewer exons, and are on average less strongly expressed than older genes. However, the subset of orphan genes that are expressed exhibit distinct chromatin states from similarly expressed conserved genes. Orphan gene transcription is determined by a lack of repressive histone modifications, confirming long-held hypotheses that open chromatin is important for new gene formation. Yet orphan gene start sites more closely resemble enhancers defined by H3K4me1, H3K27ac, and ATAC-seq peaks, in contrast to conserved genes that exhibit traditional promoters defined by H3K4me3 and H3K27ac. Although the majority of orphan genes are located on chromosome arms that contain high recombination rates and repressive histone marks, strongly expressed orphan genes are more randomly distributed. Our results support a model of new gene origination by rare integration into open chromatin near enhancers.","author":[{"dropping-particle":"","family":"Werner","given":"Michael S.","non-dropping-particle":"","parse-names":false,"suffix":""},{"dropping-particle":"","family":"Sieriebriennikov","given":"Bogdan","non-dropping-particle":"","parse-names":false,"suffix":""},{"dropping-particle":"","family":"Prabh","given":"Neel","non-dropping-particle":"","parse-names":false,"suffix":""},{"dropping-particle":"","family":"Loschko","given":"Tobias","non-dropping-particle":"","parse-names":false,"suffix":""},{"dropping-particle":"","family":"Lanz","given":"Christa","non-dropping-particle":"","parse-names":false,"suffix":""},{"dropping-particle":"","family":"Sommer","given":"Ralf J.","non-dropping-particle":"","parse-names":false,"suffix":""}],"container-title":"Genome Research","id":"ITEM-1","issue":"11","issued":{"date-parts":[["2018"]]},"page":"1675-1687","title":"Young genes have distinct gene structure, epigenetic profiles, and transcriptional regulation","type":"article-journal","volume":"28"},"uris":["http://www.mendeley.com/documents/?uuid=d3071dd4-d1b8-4be0-91d0-41f436227ca1"]}],"mendeley":{"formattedCitation":"(Werner et al., 2018)","plainTextFormattedCitation":"(Werner et al., 2018)","previouslyFormattedCitation":"(Werner et al. 2018)"},"properties":{"noteIndex":0},"schema":"https://github.com/citation-style-language/schema/raw/master/csl-citation.json"}</w:instrText>
      </w:r>
      <w:r>
        <w:fldChar w:fldCharType="separate"/>
      </w:r>
      <w:r w:rsidRPr="00E64425">
        <w:rPr>
          <w:noProof/>
        </w:rPr>
        <w:t>(Werner et al., 2018)</w:t>
      </w:r>
      <w:r>
        <w:fldChar w:fldCharType="end"/>
      </w:r>
      <w:r>
        <w:t xml:space="preserve">. These findings were explored further with single-cell RNA-seq and ATAC-seq data and showed that open regions of chromatin facilitated </w:t>
      </w:r>
      <w:r>
        <w:rPr>
          <w:i/>
          <w:iCs/>
        </w:rPr>
        <w:t xml:space="preserve">de novo </w:t>
      </w:r>
      <w:r>
        <w:t xml:space="preserve">evolution and enhancers are important for edge creation and rewiring of regulatory networks </w:t>
      </w:r>
      <w:r>
        <w:fldChar w:fldCharType="begin" w:fldLock="1"/>
      </w:r>
      <w:r>
        <w:instrText>ADDIN CSL_CITATION {"citationItems":[{"id":"ITEM-1","itemData":{"DOI":"10.1101/616581","abstract":"Regulatory networks control the spatiotemporal gene expression patterns that give rise to and define the individual cell types of multicellular organisms. In eumetazoa, distal regulatory elements called enhancers play a key role in determining the structure of such networks, particularly the wiring diagram of “who regulates whom.” Mutations that affect enhancer activity can therefore rewire regulatory networks, potentially causing changes in gene expression that are adaptive. Here, we use whole-tissue and single-cell transcriptomic and chromatin accessibility data from mouse to show that enhancers play an additional role in the evolution of regulatory networks: They facilitate network growth by creating transcriptionally active regions of open chromatin that are conducive to de novo gene evolution. Specifically, our comparative transcriptomic analysis with three other mammalian species shows that young, mouse-specific intergenic open reading frames are preferentially located near enhancers, whereas older open reading frames are not. Mouse-specific intergenic open reading frames that are proximal to enhancers are more highly and stably transcribed than those that are not proximal to enhancers or promoters, and they are transcribed in a limited diversity of cellular contexts. Furthermore, we report several instances of mouse-specific intergenic open reading frames that are proximal to promoters that show evidence of being repurposed enhancers. We also show that open reading frames gradually acquire specific interactions with enhancers over macro-evolutionary timescales, helping integrate new genes into existing regulatory networks. Taken together, our results highlight a dual role of enhancers in expanding and rewiring gene regulatory networks.","author":[{"dropping-particle":"","family":"Majic","given":"Paco","non-dropping-particle":"","parse-names":false,"suffix":""},{"dropping-particle":"","family":"Payne","given":"Joshua L.","non-dropping-particle":"","parse-names":false,"suffix":""}],"container-title":"bioRxiv","id":"ITEM-1","issued":{"date-parts":[["2019"]]},"page":"616581","title":"Enhancers facilitate the birth of de novo genes and their integration into regulatory networks","type":"article-journal"},"uris":["http://www.mendeley.com/documents/?uuid=ad1cc024-e931-4a28-bf93-a343215514a8"]}],"mendeley":{"formattedCitation":"(Majic &amp; Payne, 2019)","plainTextFormattedCitation":"(Majic &amp; Payne, 2019)","previouslyFormattedCitation":"(Majic &amp; Payne 2019)"},"properties":{"noteIndex":0},"schema":"https://github.com/citation-style-language/schema/raw/master/csl-citation.json"}</w:instrText>
      </w:r>
      <w:r>
        <w:fldChar w:fldCharType="separate"/>
      </w:r>
      <w:r w:rsidRPr="00E64425">
        <w:rPr>
          <w:noProof/>
        </w:rPr>
        <w:t>(Majic &amp; Payne, 2019)</w:t>
      </w:r>
      <w:r>
        <w:fldChar w:fldCharType="end"/>
      </w:r>
      <w:r>
        <w:t>. Studies which explore regulatory networks and incorporate functional studies in additional systems will allow further understanding of how orphan genes are integrated in networks and the functional niches they are present in.</w:t>
      </w:r>
    </w:p>
    <w:p w14:paraId="35BE4E63" w14:textId="77777777" w:rsidR="00636B5B" w:rsidRPr="009E6819" w:rsidRDefault="00636B5B" w:rsidP="00E64425">
      <w:pPr>
        <w:ind w:left="360"/>
        <w:rPr>
          <w:b/>
          <w:bCs/>
        </w:rPr>
      </w:pPr>
    </w:p>
    <w:p w14:paraId="60D20EF2" w14:textId="6EAA84F0" w:rsidR="00636B5B" w:rsidRDefault="00636B5B" w:rsidP="00E64425">
      <w:pPr>
        <w:rPr>
          <w:b/>
          <w:bCs/>
        </w:rPr>
      </w:pPr>
      <w:r w:rsidRPr="00931432">
        <w:rPr>
          <w:b/>
          <w:bCs/>
        </w:rPr>
        <w:t>Organelle derived transfer to the nuclear genome</w:t>
      </w:r>
    </w:p>
    <w:p w14:paraId="1EBAECD1" w14:textId="77777777" w:rsidR="00D30413" w:rsidRPr="00927059" w:rsidRDefault="00D30413" w:rsidP="00E64425">
      <w:pPr>
        <w:rPr>
          <w:b/>
          <w:bCs/>
        </w:rPr>
      </w:pPr>
    </w:p>
    <w:p w14:paraId="759431BA" w14:textId="77777777" w:rsidR="00636B5B" w:rsidRDefault="00636B5B" w:rsidP="00E64425">
      <w:pPr>
        <w:spacing w:line="360" w:lineRule="auto"/>
        <w:ind w:firstLine="720"/>
        <w:rPr>
          <w:rFonts w:cs="Times New Roman"/>
        </w:rPr>
      </w:pPr>
      <w:r>
        <w:t xml:space="preserve">DNA transfer from organelle genomes to the nuclear genome is a ubiquitous process and is present in most eukaryotic nuclear genomes </w:t>
      </w:r>
      <w:r>
        <w:fldChar w:fldCharType="begin" w:fldLock="1"/>
      </w:r>
      <w:r>
        <w:instrText>ADDIN CSL_CITATION {"citationItems":[{"id":"ITEM-1","itemData":{"DOI":"10.3390/ijms21030707","ISSN":"14220067","abstract":"The transfer of genetic material from the mitochondria and plastid to the nucleus gives rise to nuclear integrants of mitochondrial DNA (NUMTs) and nuclear integrants of plastid DNA (NUPTs). This frequently occurring DNA transfer is ongoing and has important evolutionary implications. In this review, based on previous studies and the analysis of NUMT/NUPT insertions of more than 200 sequenced plant genomes, we analyzed and summarized the general features of NUMTs/NUPTs and highlighted the genetic consequence of organellar DNA insertions. The statistics of organellar DNA integrants among various plant genomes revealed that organellar DNA-derived sequence content is positively correlated with the nuclear genome size. After integration, the nuclear organellar DNA could undergo different fates, including elimination, mutation, rearrangement, fragmentation, and proliferation. The integrated organellar DNAs play important roles in increasing genetic diversity, promoting gene and genome evolution, and are involved in sex chromosome evolution in dioecious plants. The integrating mechanisms, involving non-homologous end joining at double-strand breaks were also discussed.","author":[{"dropping-particle":"","family":"Zhang","given":"Guo Jun","non-dropping-particle":"","parse-names":false,"suffix":""},{"dropping-particle":"","family":"Dong","given":"Ran","non-dropping-particle":"","parse-names":false,"suffix":""},{"dropping-particle":"","family":"Lan","given":"Li Na","non-dropping-particle":"","parse-names":false,"suffix":""},{"dropping-particle":"","family":"Li","given":"Shu Fen","non-dropping-particle":"","parse-names":false,"suffix":""},{"dropping-particle":"","family":"Gao","given":"Wu Jun","non-dropping-particle":"","parse-names":false,"suffix":""},{"dropping-particle":"","family":"Niu","given":"Hong Xing","non-dropping-particle":"","parse-names":false,"suffix":""}],"container-title":"International Journal of Molecular Sciences","id":"ITEM-1","issue":"3","issued":{"date-parts":[["2020"]]},"title":"Nuclear integrants of organellar DNA contribute to genome structure and evolution in plants","type":"article-journal","volume":"21"},"uris":["http://www.mendeley.com/documents/?uuid=5c99f14f-9436-4637-957a-6bdee3da621c"]}],"mendeley":{"formattedCitation":"(Zhang et al., 2020)","plainTextFormattedCitation":"(Zhang et al., 2020)","previouslyFormattedCitation":"(Zhang et al. 2020)"},"properties":{"noteIndex":0},"schema":"https://github.com/citation-style-language/schema/raw/master/csl-citation.json"}</w:instrText>
      </w:r>
      <w:r>
        <w:fldChar w:fldCharType="separate"/>
      </w:r>
      <w:r w:rsidRPr="00E64425">
        <w:rPr>
          <w:noProof/>
        </w:rPr>
        <w:t>(Zhang et al., 2020)</w:t>
      </w:r>
      <w:r>
        <w:fldChar w:fldCharType="end"/>
      </w:r>
      <w:r>
        <w:t xml:space="preserve">. Beyond organelle DNA transfer to the nuclear genome, transfers also occur from plastid to mitochondrion, mitochondrion to plastid, and nucleus to mitochondrion </w:t>
      </w:r>
      <w:r>
        <w:fldChar w:fldCharType="begin" w:fldLock="1"/>
      </w:r>
      <w:r>
        <w:instrText>ADDIN CSL_CITATION {"citationItems":[{"id":"ITEM-1","itemData":{"DOI":"10.1146/annurev.arplant.043008.092119","ISSN":"1543-5008","abstract":"In eukaryotes, DNA is exchanged between endosymbiosis-derived compartments (mitochondria and chloroplasts) and the nucleus. Organelle-to-nucleus DNA transfer involves repair of double-stranded breaks by nonhomologous end-joining, and resulted during early organelle evolution in massive relocation of organelle genes to the nucleus. A large fraction of the products of the nuclear genes so acquired are retargeted to their ancestral compartment; many others now function in new subcellular locations. Almost all present-day nuclear transfers of mitochondrial or plastid DNA give rise to noncoding sequences, dubbed nuclear mitochondrial DNAs (NUMTs) and nuclear plastid DNAs (NUPTs). Some of these sequences were recruited as exons, thus introducing new coding sequences into preexisting nuclear genes by a novel mechanism. In organisms derived from secondary or tertiary endosymbiosis, serial gene transfers involving nucleus-to-nucleus migration of DNA have also occurred. Intercompartmental DNA transfer therefore represents a significant driving force for gene and genome evolution, relocating and refashioning genes and contributing to genetic diversity.","author":[{"dropping-particle":"","family":"Kleine","given":"Tatjana","non-dropping-particle":"","parse-names":false,"suffix":""},{"dropping-particle":"","family":"Maier","given":"Uwe G.","non-dropping-particle":"","parse-names":false,"suffix":""},{"dropping-particle":"","family":"Leister","given":"Dario","non-dropping-particle":"","parse-names":false,"suffix":""}],"container-title":"Annual Review of Plant Biology","id":"ITEM-1","issue":"1","issued":{"date-parts":[["2009"]]},"page":"115-138","title":"DNA Transfer from Organelles to the Nucleus: The Idiosyncratic Genetics of Endosymbiosis","type":"article-journal","volume":"60"},"uris":["http://www.mendeley.com/documents/?uuid=1afa5c1e-4e06-4d55-9226-3b5d9f03ce87"]}],"mendeley":{"formattedCitation":"(Kleine, Maier, &amp; Leister, 2009)","plainTextFormattedCitation":"(Kleine, Maier, &amp; Leister, 2009)","previouslyFormattedCitation":"(Kleine et al. 2009)"},"properties":{"noteIndex":0},"schema":"https://github.com/citation-style-language/schema/raw/master/csl-citation.json"}</w:instrText>
      </w:r>
      <w:r>
        <w:fldChar w:fldCharType="separate"/>
      </w:r>
      <w:r w:rsidRPr="00E64425">
        <w:rPr>
          <w:noProof/>
        </w:rPr>
        <w:t>(Kleine, Maier, &amp; Leister, 2009)</w:t>
      </w:r>
      <w:r>
        <w:fldChar w:fldCharType="end"/>
      </w:r>
      <w:r>
        <w:t xml:space="preserve">. </w:t>
      </w:r>
      <w:r>
        <w:lastRenderedPageBreak/>
        <w:t xml:space="preserve">Organelle derived transfer to the nuclear genome is referred to as </w:t>
      </w:r>
      <w:r w:rsidRPr="005C757B">
        <w:rPr>
          <w:rFonts w:cs="Times New Roman"/>
        </w:rPr>
        <w:t>nuclear mitochondrial DNAs (NUMTs) and nuclear plastid DNAs (NUPTs)</w:t>
      </w:r>
      <w:r>
        <w:rPr>
          <w:rFonts w:cs="Times New Roman"/>
        </w:rPr>
        <w:t>.</w:t>
      </w:r>
    </w:p>
    <w:p w14:paraId="5144A847" w14:textId="77777777" w:rsidR="00636B5B" w:rsidRPr="00FF0D43" w:rsidRDefault="00636B5B" w:rsidP="00E64425">
      <w:pPr>
        <w:spacing w:line="360" w:lineRule="auto"/>
        <w:ind w:firstLine="720"/>
      </w:pPr>
      <w:r>
        <w:t xml:space="preserve">Mitochondria and chloroplasts were once free-living prokaryotes, their closest relatives being </w:t>
      </w:r>
      <w:r w:rsidRPr="001B5C23">
        <w:rPr>
          <w:rFonts w:ascii="Cambria Math" w:hAnsi="Cambria Math" w:cs="Cambria Math"/>
        </w:rPr>
        <w:t>𝛼</w:t>
      </w:r>
      <w:r w:rsidRPr="001B5C23">
        <w:t>-proteobacteria and cyanobacteria, respectively.</w:t>
      </w:r>
      <w:r>
        <w:t xml:space="preserve"> Chloroplast genomes contain between 20 to 200 protein-coding genes and mitogenomes encode a comparatively smaller number ranging from 3 to 67 protein-coding genes </w:t>
      </w:r>
      <w:r>
        <w:fldChar w:fldCharType="begin" w:fldLock="1"/>
      </w:r>
      <w:r>
        <w:instrText>ADDIN CSL_CITATION {"citationItems":[{"id":"ITEM-1","itemData":{"DOI":"10.1093/molbev/msh110","ISSN":"07374038","PMID":"15014143","abstract":"Mitochondrial DNA sequences are frequently transferred to the nucleus giving rise to the so-called nuclear mitochondrial DNA (NUMT). Analysis of 13 eukaryotic species with sequenced mitochondrial and nuclear genomes reveals a large interspecific variation of NUMT number and size. Copy number ranges from none or few copies in Anopheles, Caenorhabditis, Plasmodium, Drosophila, and Fugu to more than 500 in human, rice, and Arabidopsis. The average size is between 62 (baker's yeast) and 647 bps (Neurospora), respectively. A correlation between the abundance of NUMTs and the size of the nuclear or the mitochondrial genomes, or of the nuclear gene density, is not evident. Other factors, such as the number and/or stability of mitochondria in the germline, or species-specific mechanisms controlling accumulation/loss of nuclear DNA, might be responsible for the interspecific diversity in NUMT accumulation.","author":[{"dropping-particle":"","family":"Richly","given":"Erik","non-dropping-particle":"","parse-names":false,"suffix":""},{"dropping-particle":"","family":"Leister","given":"Dario","non-dropping-particle":"","parse-names":false,"suffix":""}],"container-title":"Molecular Biology and Evolution","id":"ITEM-1","issue":"6","issued":{"date-parts":[["2004"]]},"page":"1081-1084","title":"NUMTs in sequenced eukaryotic genomes","type":"article-journal","volume":"21"},"uris":["http://www.mendeley.com/documents/?uuid=d49bc159-5c0b-45a4-9950-bf58b6af5b31"]},{"id":"ITEM-2","itemData":{"DOI":"10.1093/molbev/msh210","ISSN":"07374038","PMID":"15254258","abstract":"NUPTs (nuclear plastid DNA) derive from plastid-to-nucleus DNA transfer and exist in various plant species. Experimental data imply that the DNA transfer is an ongoing, highly frequent process, but for the interspecific diversity of NUPTs, no clear explanation exists. Here, an inventory of NUPTs in the four sequenced plastid-bearing species and their genomic organization is presented. Large genomes with a predicted low gene density contain more NUPTs. In Chlamydomonas and Plasmodium, DNA transfer occurred but was limited, probably because of the presence of only one plastid per cell. In Arabidopsis and rice, NUPTs are frequently organized as clusters. Tight clusters can contain both NUPTs and NUMTs (nuclear mitochondrial DNA), indicating that preNUPTs and preNUMTs might have concatamerized before integration. The composition of such a hypothetical preNUPT-preNUMT pool seems to be variable, as implied by substantially different NUPTs:NUMTs ratios in different species. Loose clusters can span several dozens of kbps of nuclear DNA, and they contain markedly more NUPTs or NUMTs than expected from a random genomic distribution of nuclear organellar DNA. The level of sequence similarity between NUPTs/NUMTs and plastid/mitochondrial DNA correlates with the size of the integrant. This implies that original insertions are large and decay over evolutionary time into smaller fragments with diverging sequences. We suggest that tight and loose clusters represent intermediates of this decay process.","author":[{"dropping-particle":"","family":"Richly","given":"Erik","non-dropping-particle":"","parse-names":false,"suffix":""},{"dropping-particle":"","family":"Leister","given":"Dario","non-dropping-particle":"","parse-names":false,"suffix":""}],"container-title":"Molecular Biology and Evolution","id":"ITEM-2","issue":"10","issued":{"date-parts":[["2004"]]},"page":"1972-1980","title":"NUPTs in sequenced eukaryotes and their genomic organization in relation to NUMTs","type":"article-journal","volume":"21"},"uris":["http://www.mendeley.com/documents/?uuid=56f5684a-83c8-49df-a991-0a5cb4531e34"]}],"mendeley":{"formattedCitation":"(Richly &amp; Leister, 2004a, 2004b)","plainTextFormattedCitation":"(Richly &amp; Leister, 2004a, 2004b)","previouslyFormattedCitation":"(Richly &amp; Leister 2004a, 2004b)"},"properties":{"noteIndex":0},"schema":"https://github.com/citation-style-language/schema/raw/master/csl-citation.json"}</w:instrText>
      </w:r>
      <w:r>
        <w:fldChar w:fldCharType="separate"/>
      </w:r>
      <w:r w:rsidRPr="00E64425">
        <w:rPr>
          <w:noProof/>
        </w:rPr>
        <w:t>(Richly &amp; Leister, 2004a, 2004b)</w:t>
      </w:r>
      <w:r>
        <w:fldChar w:fldCharType="end"/>
      </w:r>
      <w:r>
        <w:t xml:space="preserve">. Extant </w:t>
      </w:r>
      <w:r w:rsidRPr="001B5C23">
        <w:rPr>
          <w:rFonts w:ascii="Cambria Math" w:hAnsi="Cambria Math" w:cs="Cambria Math"/>
        </w:rPr>
        <w:t>𝛼</w:t>
      </w:r>
      <w:r w:rsidRPr="001B5C23">
        <w:t>-proteobacteria and cyanobacteria</w:t>
      </w:r>
      <w:r>
        <w:t xml:space="preserve"> have </w:t>
      </w:r>
      <w:proofErr w:type="gramStart"/>
      <w:r>
        <w:t>comparatively larger</w:t>
      </w:r>
      <w:proofErr w:type="gramEnd"/>
      <w:r>
        <w:t xml:space="preserve"> genomes and numbers of protein-coding genes, highlighting the extensive loss in size of chloroplast and mitogenomes. For example, the </w:t>
      </w:r>
      <w:r w:rsidRPr="001B5C23">
        <w:rPr>
          <w:rFonts w:ascii="Cambria Math" w:hAnsi="Cambria Math" w:cs="Cambria Math"/>
        </w:rPr>
        <w:t>𝛼</w:t>
      </w:r>
      <w:r w:rsidRPr="001B5C23">
        <w:t>-proteobacteria</w:t>
      </w:r>
      <w:r>
        <w:t xml:space="preserve"> </w:t>
      </w:r>
      <w:r>
        <w:rPr>
          <w:i/>
          <w:iCs/>
        </w:rPr>
        <w:t>M. loti</w:t>
      </w:r>
      <w:r>
        <w:t xml:space="preserve"> has a 7 Mb genome size and 6,700 protein-coding genes </w:t>
      </w:r>
      <w:r>
        <w:fldChar w:fldCharType="begin" w:fldLock="1"/>
      </w:r>
      <w:r>
        <w:instrText>ADDIN CSL_CITATION {"citationItems":[{"id":"ITEM-1","itemData":{"DOI":"10.1038/nrg1271","ISSN":"14710056","abstract":"Genome sequences reveal that a deluge of DNA from organelles has constantly been bombarding the nucleus since the origin of organelles. Recent experiments have shown that DNA is transferred from organelles to the nucleus at frequencies that were previously unimaginable. Endosymbiotic gene transfer is a ubiquitous, continuing and natural process that pervades nuclear DNA dynamics. This relentless influx of organelle DNA has abolished organelle autonomy and increased nuclear complexity.","author":[{"dropping-particle":"","family":"Timmis","given":"Jeremy N.","non-dropping-particle":"","parse-names":false,"suffix":""},{"dropping-particle":"","family":"Ayliff","given":"Michael A.","non-dropping-particle":"","parse-names":false,"suffix":""},{"dropping-particle":"","family":"Huang","given":"Chun Y.","non-dropping-particle":"","parse-names":false,"suffix":""},{"dropping-particle":"","family":"Martin","given":"William","non-dropping-particle":"","parse-names":false,"suffix":""}],"container-title":"Nature Reviews Genetics","id":"ITEM-1","issue":"2","issued":{"date-parts":[["2004"]]},"page":"123-135","title":"Endosymbiotic gene transfer: Organelle genomes forge eukaryotic chromosomes","type":"article-journal","volume":"5"},"uris":["http://www.mendeley.com/documents/?uuid=cb5dd404-027c-486e-8599-73e23177c9ce"]}],"mendeley":{"formattedCitation":"(Timmis, Ayliff, Huang, &amp; Martin, 2004)","plainTextFormattedCitation":"(Timmis, Ayliff, Huang, &amp; Martin, 2004)","previouslyFormattedCitation":"(Timmis et al. 2004)"},"properties":{"noteIndex":0},"schema":"https://github.com/citation-style-language/schema/raw/master/csl-citation.json"}</w:instrText>
      </w:r>
      <w:r>
        <w:fldChar w:fldCharType="separate"/>
      </w:r>
      <w:r w:rsidRPr="00E64425">
        <w:rPr>
          <w:noProof/>
        </w:rPr>
        <w:t>(Timmis, Ayliff, Huang, &amp; Martin, 2004)</w:t>
      </w:r>
      <w:r>
        <w:fldChar w:fldCharType="end"/>
      </w:r>
      <w:r>
        <w:t xml:space="preserve">. Similarly, the cyanobacteria </w:t>
      </w:r>
      <w:r w:rsidRPr="00C73AFF">
        <w:rPr>
          <w:rFonts w:ascii="Calibri" w:hAnsi="Calibri" w:cs="Calibri"/>
        </w:rPr>
        <w:t>﻿</w:t>
      </w:r>
      <w:r w:rsidRPr="00026315">
        <w:rPr>
          <w:i/>
          <w:iCs/>
        </w:rPr>
        <w:t xml:space="preserve">Nostoc </w:t>
      </w:r>
      <w:proofErr w:type="spellStart"/>
      <w:r w:rsidRPr="00026315">
        <w:rPr>
          <w:i/>
          <w:iCs/>
        </w:rPr>
        <w:t>punctiforme</w:t>
      </w:r>
      <w:proofErr w:type="spellEnd"/>
      <w:r>
        <w:t xml:space="preserve">, has an 8.2 Mb genome size and close to 7,000 genes. This drastic reduction in organelle size can be explained by endosymbiotic theory where over time large numbers of genes were transferred from organelle genomes to the nuclear genome. This process is commonly referred to as endosymbiotic gene transfer (EGT) </w:t>
      </w:r>
      <w:r>
        <w:fldChar w:fldCharType="begin" w:fldLock="1"/>
      </w:r>
      <w:r>
        <w:instrText>ADDIN CSL_CITATION {"citationItems":[{"id":"ITEM-1","itemData":{"DOI":"10.1038/nrg1271","ISSN":"14710056","abstract":"Genome sequences reveal that a deluge of DNA from organelles has constantly been bombarding the nucleus since the origin of organelles. Recent experiments have shown that DNA is transferred from organelles to the nucleus at frequencies that were previously unimaginable. Endosymbiotic gene transfer is a ubiquitous, continuing and natural process that pervades nuclear DNA dynamics. This relentless influx of organelle DNA has abolished organelle autonomy and increased nuclear complexity.","author":[{"dropping-particle":"","family":"Timmis","given":"Jeremy N.","non-dropping-particle":"","parse-names":false,"suffix":""},{"dropping-particle":"","family":"Ayliff","given":"Michael A.","non-dropping-particle":"","parse-names":false,"suffix":""},{"dropping-particle":"","family":"Huang","given":"Chun Y.","non-dropping-particle":"","parse-names":false,"suffix":""},{"dropping-particle":"","family":"Martin","given":"William","non-dropping-particle":"","parse-names":false,"suffix":""}],"container-title":"Nature Reviews Genetics","id":"ITEM-1","issue":"2","issued":{"date-parts":[["2004"]]},"page":"123-135","title":"Endosymbiotic gene transfer: Organelle genomes forge eukaryotic chromosomes","type":"article-journal","volume":"5"},"uris":["http://www.mendeley.com/documents/?uuid=cb5dd404-027c-486e-8599-73e23177c9ce"]}],"mendeley":{"formattedCitation":"(Timmis et al., 2004)","plainTextFormattedCitation":"(Timmis et al., 2004)","previouslyFormattedCitation":"(Timmis et al. 2004)"},"properties":{"noteIndex":0},"schema":"https://github.com/citation-style-language/schema/raw/master/csl-citation.json"}</w:instrText>
      </w:r>
      <w:r>
        <w:fldChar w:fldCharType="separate"/>
      </w:r>
      <w:r w:rsidRPr="00E64425">
        <w:rPr>
          <w:noProof/>
        </w:rPr>
        <w:t>(Timmis et al., 2004)</w:t>
      </w:r>
      <w:r>
        <w:fldChar w:fldCharType="end"/>
      </w:r>
      <w:r>
        <w:t xml:space="preserve">. After integration into the nuclear genome, the nuclear copy has several possible fates. It can retain its original function and be retargeted to the organelle, be retargeted to a different compartment in the cell, or may evolve different or additional functions </w:t>
      </w:r>
      <w:r>
        <w:fldChar w:fldCharType="begin" w:fldLock="1"/>
      </w:r>
      <w:r>
        <w:instrText>ADDIN CSL_CITATION {"citationItems":[{"id":"ITEM-1","itemData":{"DOI":"10.1093/gbe/evx078","ISSN":"17596653","PMID":"28444372","abstract":"Fragments of organelle genomes are often found as insertions in nuclear DNA. These fragments ofmitochondrial DNA (numts) and plastid DNA (nupts) are ubiquitous components of eukaryotic genomes. They are, however, often edited out during the genome assembly process, leading to systematic underestimation of their frequency. Numts and nupts, once inserted, can become further fragmented through subsequent insertion of mobile elements or other recombinational events that disrupt the continuity of the inserted sequence relative to the genuine organelle DNA copy. Because numts and nupts are typically identified through sequence comparison tools such as BLAST, disruption of insertions into smaller fragments can lead to systematic overestimation of numt and nupt frequencies. Accurate identification of numts and nupts is important, however, both for better understanding of their role during evolution, and for monitoring their increasingly evident role in human disease. Human populations are polymorphic for 141 numt loci, five numts are causal to genetic disease, and cancer genomic studies are revealing an abundanceofnumts associatedwith tumor progression. Here, we report investigation of salient parameters involved in obtaining accurate estimates of numt and nupt numbers in genome sequence data.Numts and nupts from 44 sequenced eukaryotic genomes reveal lineage-specific differences in the number, relative age and frequency of insertional events as well as lineage-specific dynamics of their postinsertional fragmentation. Our findings outline themain technical parameters influencing accurate identification and frequency estimation of numts in genomic studies pertinent to both evolution and human health.","author":[{"dropping-particle":"","family":"Hazkani-Covo","given":"Einat","non-dropping-particle":"","parse-names":false,"suffix":""},{"dropping-particle":"","family":"Martin","given":"William F.","non-dropping-particle":"","parse-names":false,"suffix":""}],"container-title":"Genome Biology and Evolution","id":"ITEM-1","issue":"5","issued":{"date-parts":[["2017"]]},"page":"1190-1203","title":"Quantifying the number of independent organelle DNA insertions in genome evolution and human health","type":"article-journal","volume":"9"},"uris":["http://www.mendeley.com/documents/?uuid=03b07223-1cc4-4597-aece-53042594f104"]}],"mendeley":{"formattedCitation":"(Hazkani-Covo &amp; Martin, 2017)","plainTextFormattedCitation":"(Hazkani-Covo &amp; Martin, 2017)","previouslyFormattedCitation":"(Hazkani-Covo &amp; Martin 2017)"},"properties":{"noteIndex":0},"schema":"https://github.com/citation-style-language/schema/raw/master/csl-citation.json"}</w:instrText>
      </w:r>
      <w:r>
        <w:fldChar w:fldCharType="separate"/>
      </w:r>
      <w:r w:rsidRPr="00E64425">
        <w:rPr>
          <w:noProof/>
        </w:rPr>
        <w:t>(Hazkani-Covo &amp; Martin, 2017)</w:t>
      </w:r>
      <w:r>
        <w:fldChar w:fldCharType="end"/>
      </w:r>
      <w:r>
        <w:t xml:space="preserve">. For example in </w:t>
      </w:r>
      <w:r>
        <w:rPr>
          <w:i/>
          <w:iCs/>
        </w:rPr>
        <w:t xml:space="preserve">Arabidopsis, </w:t>
      </w:r>
      <w:r>
        <w:t xml:space="preserve">4500 (18%) nuclear genes are estimated to be derived from cyanobacteria and about 50% of these diverge in function from their original plastid roles </w:t>
      </w:r>
      <w:r>
        <w:fldChar w:fldCharType="begin" w:fldLock="1"/>
      </w:r>
      <w:r>
        <w:instrText>ADDIN CSL_CITATION {"citationItems":[{"id":"ITEM-1","itemData":{"DOI":"10.1073/pnas.182432999","ISSN":"00278424","PMID":"12218172","abstract":"Chloroplasts were once free-living cyanobacteria that became endosymbionts, but the genomes of contemporary plastids encode only ≈5-10% as many genes as those of their free-living cousins, indicating that many genes were either lost from plastids or transferred to the nucleus during the course of plant evolution. Previous estimates have suggested that between 800 and perhaps as many as 2,000 genes in the Arabidopsis genome might come from cyanobacteria, but genome-wide phylogenetic surveys that could provide direct estimates of this number are lacking. We compared 24,990 proteins encoded in the Arabidopsis genome to the proteins from three cyanobacterial genomes, 16 other prokaryotic reference genomes, and yeast. Of 9,368 Arabidopsis proteins sufficiently conserved for primary sequence comparison, 866 detected homologues only among cyanobacteria and 834 other branched with cyanobacterial homologues in phylogenetic trees. Extrapolating from these conserved proteins to the whole genome, the data suggest that ≈4,500 of Arabidopsis protein-coding genes (≈18% of the total) were acquired from the cyanobacterial ancestor of plastids. These proteins encompass all functional classes, and the majority of them are targeted to cell compartments other than the chloroplast. Analysis of 15 sequenced chloroplast genomes revealed 117 nuclear-encoded proteins that are also still present in at least one chloroplast genome. A phylogeny of chloroplast genomes inferred from 41 proteins and 8,303 amino acids sites indicates that at least two independent secondary endosymbiotic events have occurred involving red algae and that amino acid composition bias in chloroplast proteins strongly affects plastid genome phylogeny.","author":[{"dropping-particle":"","family":"Martin","given":"William","non-dropping-particle":"","parse-names":false,"suffix":""},{"dropping-particle":"","family":"Rujan","given":"Tamas","non-dropping-particle":"","parse-names":false,"suffix":""},{"dropping-particle":"","family":"Richly","given":"Erik","non-dropping-particle":"","parse-names":false,"suffix":""},{"dropping-particle":"","family":"Hansen","given":"Andrea","non-dropping-particle":"","parse-names":false,"suffix":""},{"dropping-particle":"","family":"Cornelsen","given":"Sabine","non-dropping-particle":"","parse-names":false,"suffix":""},{"dropping-particle":"","family":"Lins","given":"Thomas","non-dropping-particle":"","parse-names":false,"suffix":""},{"dropping-particle":"","family":"Leister","given":"Dario","non-dropping-particle":"","parse-names":false,"suffix":""},{"dropping-particle":"","family":"Stoebe","given":"Bettina","non-dropping-particle":"","parse-names":false,"suffix":""},{"dropping-particle":"","family":"Hasegawa","given":"Masami","non-dropping-particle":"","parse-names":false,"suffix":""},{"dropping-particle":"","family":"Penny","given":"David","non-dropping-particle":"","parse-names":false,"suffix":""}],"container-title":"Proceedings of the National Academy of Sciences of the United States of America","id":"ITEM-1","issue":"19","issued":{"date-parts":[["2002"]]},"page":"12246-12251","title":"Evolutionary analysis of Arabidopsis, cyanobacterial, and chloroplast genomes reveals plastid phylogeny and thousands of cyanobacterial genes in the nucleus","type":"article-journal","volume":"99"},"uris":["http://www.mendeley.com/documents/?uuid=906e01c1-b2d9-41b1-b197-bf473e2f1f15"]}],"mendeley":{"formattedCitation":"(Martin et al., 2002)","plainTextFormattedCitation":"(Martin et al., 2002)","previouslyFormattedCitation":"(Martin et al. 2002)"},"properties":{"noteIndex":0},"schema":"https://github.com/citation-style-language/schema/raw/master/csl-citation.json"}</w:instrText>
      </w:r>
      <w:r>
        <w:fldChar w:fldCharType="separate"/>
      </w:r>
      <w:r w:rsidRPr="00E64425">
        <w:rPr>
          <w:noProof/>
        </w:rPr>
        <w:t>(Martin et al., 2002)</w:t>
      </w:r>
      <w:r>
        <w:fldChar w:fldCharType="end"/>
      </w:r>
      <w:r>
        <w:t>.</w:t>
      </w:r>
    </w:p>
    <w:p w14:paraId="51F8816F" w14:textId="77777777" w:rsidR="00636B5B" w:rsidRDefault="00636B5B" w:rsidP="00E64425">
      <w:pPr>
        <w:spacing w:line="360" w:lineRule="auto"/>
        <w:ind w:firstLine="720"/>
      </w:pPr>
      <w:r>
        <w:t xml:space="preserve">This extensive transfer to the nuclear genome also raises questions about why organelle genomes are necessary and are still present in the cell. To address this, two prominent theories have been put forth. First, the ‘hydrophobicity hypothesis’ states that due to the hydrophobic nature of proteins encoded in organelle genomes, their transport from the nucleus back to the organelle through the cytosol would not be possible </w:t>
      </w:r>
      <w:r>
        <w:fldChar w:fldCharType="begin" w:fldLock="1"/>
      </w:r>
      <w:r>
        <w:instrText>ADDIN CSL_CITATION {"citationItems":[{"id":"ITEM-1","itemData":{"DOI":"10.1186/gb-2005-6-5-110","ISSN":"14656906","PMID":"15892877","abstract":"Mitochondria and plastids (including chloroplasts) have a small but vital genetic coding capacity, but what are the properties of some genes that dictate that they must remain encoded in organelles? © 2005 BioMed Central Ltd.","author":[{"dropping-particle":"","family":"Daley","given":"Daniel O.","non-dropping-particle":"","parse-names":false,"suffix":""},{"dropping-particle":"","family":"Whelan","given":"James","non-dropping-particle":"","parse-names":false,"suffix":""}],"container-title":"Genome Biology","id":"ITEM-1","issue":"5","issued":{"date-parts":[["2005"]]},"title":"Why genes persist in organelle genomes","type":"article-journal","volume":"6"},"uris":["http://www.mendeley.com/documents/?uuid=014a5dfe-1442-4cd8-aadf-8b74ba77e717"]}],"mendeley":{"formattedCitation":"(Daley &amp; Whelan, 2005)","plainTextFormattedCitation":"(Daley &amp; Whelan, 2005)","previouslyFormattedCitation":"(Daley &amp; Whelan 2005)"},"properties":{"noteIndex":0},"schema":"https://github.com/citation-style-language/schema/raw/master/csl-citation.json"}</w:instrText>
      </w:r>
      <w:r>
        <w:fldChar w:fldCharType="separate"/>
      </w:r>
      <w:r w:rsidRPr="00E64425">
        <w:rPr>
          <w:noProof/>
        </w:rPr>
        <w:t>(Daley &amp; Whelan, 2005)</w:t>
      </w:r>
      <w:r>
        <w:fldChar w:fldCharType="end"/>
      </w:r>
      <w:r>
        <w:t xml:space="preserve">.  Second, large numbers of proteins in organelles play roles in redox reactions and are responsive to the redox state in organelle. It has been proposed by the </w:t>
      </w:r>
      <w:r w:rsidRPr="00FE5945">
        <w:t>"co-location for redox regulation"</w:t>
      </w:r>
      <w:r>
        <w:t xml:space="preserve"> (</w:t>
      </w:r>
      <w:proofErr w:type="spellStart"/>
      <w:r>
        <w:t>CoRR</w:t>
      </w:r>
      <w:proofErr w:type="spellEnd"/>
      <w:r>
        <w:t xml:space="preserve">) hypothesis that organelle genes that remain in the organelle were essential for controlling redox state in </w:t>
      </w:r>
      <w:r w:rsidRPr="001B5C23">
        <w:rPr>
          <w:rFonts w:ascii="Cambria Math" w:hAnsi="Cambria Math" w:cs="Cambria Math"/>
        </w:rPr>
        <w:t>𝛼</w:t>
      </w:r>
      <w:r w:rsidRPr="001B5C23">
        <w:t>-proteobacteria and cyanobacteria</w:t>
      </w:r>
      <w:r>
        <w:t xml:space="preserve"> and the co-location of these proteins are essential for maintaining that balance </w:t>
      </w:r>
      <w:r>
        <w:fldChar w:fldCharType="begin" w:fldLock="1"/>
      </w:r>
      <w:r>
        <w:instrText>ADDIN CSL_CITATION {"citationItems":[{"id":"ITEM-1","itemData":{"DOI":"10.1016/j.jtbi.2017.04.008","ISSN":"10958541","PMID":"28408315","abstract":"Chloroplasts and mitochondria perform energy transduction in photosynthesis and respiration. These processes can be described in physico-chemical terms with no obvious requirement for co-located genetic systems, separat from those of the rest of the cell. Accordingly, biochemists once tended to regard endosymbiosis as untestable evolutionary speculation. Lynn Sagan's seminal 1967 paper “On the Origin of Mitosing Cells” outlined the evolution of eukaryotic cells by endosymbiosis of prokaryotes. The endosymbiont hypothesis is consistent with presence of DNA in chloroplasts and mitochondria, but does not assign it a function. Biochemistry and molecular biology now show that Sagan's proposal has an explanatory reach far beyond that originally envisaged. Prokaryotic origins of photosynthetic and respiratory mechanisms are apparent in protein structural insights into energy coupling. Genome sequencing confirms the underlying, prokaryotic architecture of chloroplasts and mitochondria and illustrates the profound influence of the original mergers of their ancestors’ genes and proteins with those of their host cells. Peter Mitchell's 1961 chemiosmotic hypothesis applied the concept of vectorial catalysis that underlies biological energy transduction and cell structure, function, and origins. Continuity of electrical charge separation and membrane sidedness requires compartments within compartments, together with intricate mechanisms for transport within and between them. I suggest that the reason for the persistence of distinct genetic systems within bioenergetic organelles is the selective advantage of subcellular co-location of specific genes with their gene products. Co-location for Redox Regulation – CoRR – provides for a dialogue between chemical reduction-oxidation and the action of genes encoding its protein catalysts. These genes and their protein products are in intimate contact, and cannot be isolated from each other without loss of an essential mechanism of adaptation of electron transport to change in the external environment.","author":[{"dropping-particle":"","family":"Allen","given":"John F.","non-dropping-particle":"","parse-names":false,"suffix":""}],"container-title":"Journal of Theoretical Biology","id":"ITEM-1","issued":{"date-parts":[["2017"]]},"page":"50-57","publisher":"Elsevier Ltd","title":"The CoRR hypothesis for genes in organelles","type":"article-journal","volume":"434"},"uris":["http://www.mendeley.com/documents/?uuid=0ebde31c-ae11-4464-b3aa-2c89b81a8391"]}],"mendeley":{"formattedCitation":"(Allen, 2017)","plainTextFormattedCitation":"(Allen, 2017)","previouslyFormattedCitation":"(Allen 2017)"},"properties":{"noteIndex":0},"schema":"https://github.com/citation-style-language/schema/raw/master/csl-citation.json"}</w:instrText>
      </w:r>
      <w:r>
        <w:fldChar w:fldCharType="separate"/>
      </w:r>
      <w:r w:rsidRPr="00E64425">
        <w:rPr>
          <w:noProof/>
        </w:rPr>
        <w:t>(Allen, 2017)</w:t>
      </w:r>
      <w:r>
        <w:fldChar w:fldCharType="end"/>
      </w:r>
      <w:r>
        <w:t>.</w:t>
      </w:r>
    </w:p>
    <w:p w14:paraId="458A70C4" w14:textId="77777777" w:rsidR="00636B5B" w:rsidRDefault="00636B5B" w:rsidP="00E64425">
      <w:pPr>
        <w:spacing w:line="360" w:lineRule="auto"/>
      </w:pPr>
      <w:r>
        <w:tab/>
        <w:t xml:space="preserve">EGT in the form of NUPT and NUMT transfer is an active process for most genomes which have organelles. The rate of transfer to the nucleus is high. The rate of transfer to the </w:t>
      </w:r>
      <w:r>
        <w:lastRenderedPageBreak/>
        <w:t xml:space="preserve">nucleus was determined by </w:t>
      </w:r>
      <w:proofErr w:type="spellStart"/>
      <w:r>
        <w:t>transplastomic</w:t>
      </w:r>
      <w:proofErr w:type="spellEnd"/>
      <w:r>
        <w:t xml:space="preserve"> </w:t>
      </w:r>
      <w:r>
        <w:rPr>
          <w:i/>
          <w:iCs/>
        </w:rPr>
        <w:t xml:space="preserve">N. </w:t>
      </w:r>
      <w:proofErr w:type="spellStart"/>
      <w:r>
        <w:rPr>
          <w:i/>
          <w:iCs/>
        </w:rPr>
        <w:t>benthamiana</w:t>
      </w:r>
      <w:proofErr w:type="spellEnd"/>
      <w:r>
        <w:rPr>
          <w:i/>
          <w:iCs/>
        </w:rPr>
        <w:t xml:space="preserve"> </w:t>
      </w:r>
      <w:r>
        <w:t xml:space="preserve">lines which had a nucleus specific neomycin gene integrated into the </w:t>
      </w:r>
      <w:proofErr w:type="spellStart"/>
      <w:r>
        <w:t>chrloroplast</w:t>
      </w:r>
      <w:proofErr w:type="spellEnd"/>
      <w:r>
        <w:t xml:space="preserve"> genome</w:t>
      </w:r>
      <w:r>
        <w:rPr>
          <w:i/>
          <w:iCs/>
        </w:rPr>
        <w:t xml:space="preserve"> </w:t>
      </w:r>
      <w:r>
        <w:fldChar w:fldCharType="begin" w:fldLock="1"/>
      </w:r>
      <w:r>
        <w:instrText>ADDIN CSL_CITATION {"citationItems":[{"id":"ITEM-1","itemData":{"DOI":"10.1038/nature01435","ISSN":"00280836","PMID":"12594458","abstract":"Gene transfer from the chloroplast to the nucleus has occurred over evolutionary time. Functional gene establishment in the nucleus is rare, but DNA transfer without functionality is presumably more frequent. Here, we measured directly the transfer rate of chloroplast DNA (cpDNA) into the nucleus of tobacco plants (Nicotiana tabacum). To visualize this process, a nucleus-specific neomycin phosphotransferase gene (neoSTLS2) was integrated into the chloroplast genome, and the transfer of cpDNA to the nucleus was detected by screening for kanamycin-resistant seedlings in progeny. A screen for kanamycin-resistant seedlings was conducted with about 250,000 progeny produced by fertilization of wild-type females with pollen from plants containing cp-neoSTLS2. Sixteen plants of independent origin were identified and their progenies showed stable inheritance of neoSTLS2, characteristic of nuclear genes. Thus, we provide a quantitative estimate of one transposition event in about 16,000 pollen grains for the frequency of transfer of cpDNA to the nucleus. In addition to its evident role in organellar evolution, transposition of cpDNA to the nucleus in tobacco occurs at a rate that must have significant consequences for existing nuclear genes.","author":[{"dropping-particle":"","family":"Huang","given":"Chun Y.","non-dropping-particle":"","parse-names":false,"suffix":""},{"dropping-particle":"","family":"Ayliffe","given":"Michael A.","non-dropping-particle":"","parse-names":false,"suffix":""},{"dropping-particle":"","family":"Timmis","given":"Jeremy N.","non-dropping-particle":"","parse-names":false,"suffix":""}],"container-title":"Nature","id":"ITEM-1","issue":"6927","issued":{"date-parts":[["2003"]]},"page":"72-76","title":"Direct measurement of the transfer rate of chloroplast DNA into the nucleus","type":"article-journal","volume":"422"},"uris":["http://www.mendeley.com/documents/?uuid=19f2b8a4-1d6f-4a51-b983-dae9a88ad619"]}],"mendeley":{"formattedCitation":"(Huang, Ayliffe, &amp; Timmis, 2003)","plainTextFormattedCitation":"(Huang, Ayliffe, &amp; Timmis, 2003)","previouslyFormattedCitation":"(Huang et al. 2003)"},"properties":{"noteIndex":0},"schema":"https://github.com/citation-style-language/schema/raw/master/csl-citation.json"}</w:instrText>
      </w:r>
      <w:r>
        <w:fldChar w:fldCharType="separate"/>
      </w:r>
      <w:r w:rsidRPr="00E64425">
        <w:rPr>
          <w:noProof/>
        </w:rPr>
        <w:t>(Huang, Ayliffe, &amp; Timmis, 2003)</w:t>
      </w:r>
      <w:r>
        <w:fldChar w:fldCharType="end"/>
      </w:r>
      <w:r>
        <w:t xml:space="preserve">. Seedlings were then screened for kanamycin resistance, and one transposition event to the nucleus was observed per 16,000 pollen grains. Additionally, abiotic stress such as heat stress may increase the frequency of transfer to the nuclear genome </w:t>
      </w:r>
      <w:r>
        <w:fldChar w:fldCharType="begin" w:fldLock="1"/>
      </w:r>
      <w:r>
        <w:instrText>ADDIN CSL_CITATION {"citationItems":[{"id":"ITEM-1","itemData":{"DOI":"10.1073/pnas.1117890109","ISSN":"00278424","PMID":"22308419","abstract":"Mitochondria and chloroplasts (photosynthetic members of the plastid family of cytoplasmic organelles) in eukaryotic cells originated more than a billion years ago when an ancestor of the nucleated cell engulfed two different prokaryotes in separate sequential events. Extant cytoplasmic organellar genomes contain very few genes compared with their candidate free-living ancestors, as most have functionally relocated to the nucleus. The first step in functional relocation involves the integration of inactive DNA fragments into nuclear chromosomes, and this process continues at high frequency with attendant genetic, genomic, and evolutionary consequences. Using two different transplastomic tobacco lines, we show that DNA migration from chloroplasts to the nucleus is markedly increased by mild heat stress. In addition, we show that insertion of mitochondrial DNA fragments during the repair of induced double-strand breaks is increased by heat stress. The experiments demonstrate that the nuclear influx of organellar DNA is a potentially a source of mutation for nuclear genomes that is highly susceptible to temperature fluctuations that are well within the range experienced naturally.","author":[{"dropping-particle":"","family":"Wang","given":"Dong","non-dropping-particle":"","parse-names":false,"suffix":""},{"dropping-particle":"","family":"Lloyd","given":"Andrew H.","non-dropping-particle":"","parse-names":false,"suffix":""},{"dropping-particle":"","family":"Timmis","given":"Jeremy N.","non-dropping-particle":"","parse-names":false,"suffix":""}],"container-title":"Proceedings of the National Academy of Sciences of the United States of America","id":"ITEM-1","issue":"7","issued":{"date-parts":[["2012"]]},"page":"2444-2448","title":"Environmental stress increases the entry of cytoplasmic organellar DNA into the nucleus in plants","type":"article-journal","volume":"109"},"uris":["http://www.mendeley.com/documents/?uuid=3211a252-3aed-4fda-8ea6-52db8c73bd8a"]}],"mendeley":{"formattedCitation":"(D. Wang, Lloyd, &amp; Timmis, 2012)","plainTextFormattedCitation":"(D. Wang, Lloyd, &amp; Timmis, 2012)","previouslyFormattedCitation":"(Dong Wang et al. 2012)"},"properties":{"noteIndex":0},"schema":"https://github.com/citation-style-language/schema/raw/master/csl-citation.json"}</w:instrText>
      </w:r>
      <w:r>
        <w:fldChar w:fldCharType="separate"/>
      </w:r>
      <w:r w:rsidRPr="00E64425">
        <w:rPr>
          <w:noProof/>
        </w:rPr>
        <w:t>(D. Wang, Lloyd, &amp; Timmis, 2012)</w:t>
      </w:r>
      <w:r>
        <w:fldChar w:fldCharType="end"/>
      </w:r>
      <w:r>
        <w:t xml:space="preserve">  Mechanisms of insertion into the nuclear genome were initially thought to be RNA-mediated </w:t>
      </w:r>
      <w:r>
        <w:fldChar w:fldCharType="begin" w:fldLock="1"/>
      </w:r>
      <w:r>
        <w:instrText>ADDIN CSL_CITATION {"citationItems":[{"id":"ITEM-1","itemData":{"DOI":"10.1016/0092-8674(81)90011-8","ISSN":"00928674","PMID":"1714355","abstract":"The gene coxII, normally present in the mitochondrion, was functionally transferred to the nucleus during flowering plant evolution. coxII transfer is estimated to have occurred between 60 and 200 million years ago, whereas loss of coxII from the mitochondrion occurred much more recently, being restricted to a single genus of legumes. Most legumes have coxII in both the nucleus and the mitochondrion; however, no evidence is found for simultaneous coxII expression in both compartments. The nuclear coxII sequence more closely resembles edited mitochondrial coxII transcripts than the genes encoding these RNAs. Hence, gene transfer appears to have involved reverse transcription of an edited RNA intermediate. The nuclear gene contains an intron at the junction of the transit peptide sequence and the mature protein-coding sequence; exon shuffling may have played a role in assembling a functional coxII gene in the nucleus. © 1991.","author":[{"dropping-particle":"","family":"Nugent","given":"Jacqueline M.","non-dropping-particle":"","parse-names":false,"suffix":""},{"dropping-particle":"","family":"Palmer","given":"Jeffrey D.","non-dropping-particle":"","parse-names":false,"suffix":""}],"container-title":"Cell","id":"ITEM-1","issue":"3","issued":{"date-parts":[["1991"]]},"page":"473-481","title":"RNA-mediated transfer of the gene coxII from the mitochondrion to the nucleus during flowering plant evolution","type":"article-journal","volume":"66"},"uris":["http://www.mendeley.com/documents/?uuid=3500515a-a62a-43b6-82a7-cf69f5467cc6"]}],"mendeley":{"formattedCitation":"(Nugent &amp; Palmer, 1991)","plainTextFormattedCitation":"(Nugent &amp; Palmer, 1991)","previouslyFormattedCitation":"(Nugent &amp; Palmer 1991)"},"properties":{"noteIndex":0},"schema":"https://github.com/citation-style-language/schema/raw/master/csl-citation.json"}</w:instrText>
      </w:r>
      <w:r>
        <w:fldChar w:fldCharType="separate"/>
      </w:r>
      <w:r w:rsidRPr="00E64425">
        <w:rPr>
          <w:noProof/>
        </w:rPr>
        <w:t>(Nugent &amp; Palmer, 1991)</w:t>
      </w:r>
      <w:r>
        <w:fldChar w:fldCharType="end"/>
      </w:r>
      <w:r>
        <w:t xml:space="preserve">. However, as additional genomes became available, this has been shown to be false and any DNA segment of organelle origin can be transferred. Additionally, studies have also shown there is no evidence of post-transcriptional modification like polyadenylation or RNA splicing prior to insertion </w:t>
      </w:r>
      <w:r>
        <w:fldChar w:fldCharType="begin" w:fldLock="1"/>
      </w:r>
      <w:r>
        <w:instrText>ADDIN CSL_CITATION {"citationItems":[{"id":"ITEM-1","itemData":{"DOI":"10.1101/gr.227202","ISSN":"1088-9051","PMID":"12045142","abstract":"Mitochondrial pseudogenes in the human nuclear genome have been previously described, mostly as a source of artifacts during the analysis of the mitochondrial genome. With the availability of the complete human genome sequence, we performed a comprehensive analysis of mtDNA insertions into the nucleus. We found 612 independent integrations that are evenly distributed among all chromosomes as well as within each individual chromosome. The identified pseudogenes account for a content of at least 0.016% of the human nuclear DNA. Up to 30% of a chromosome's mtDNA pseudogene content is composed of fragments that encompass two or more adjacent mitochondrial genes, and we found no correlation between the abundance of mitochondrial transcripts and the multiplicity of integrations. These observations indicate that the migrations of mitochondrial DNA sequences to the nucleus were predominantly DNA mediated. Phylogenetic analysis of the mtDNA pseudogenes and mtDNA sequences of primates indicate a continuous transfer into the nucleus. Because of the limited window of opportunity for mtDNA transfer to the germline, sperm mtDNA, which is released from degenerating mitochondria after fertilization, could be an important source of nuclear mtDNA pseudogenes.","author":[{"dropping-particle":"","family":"Woischnik","given":"M.","non-dropping-particle":"","parse-names":false,"suffix":""},{"dropping-particle":"","family":"Moraes","given":"C. T.","non-dropping-particle":"","parse-names":false,"suffix":""}],"container-title":"Genome Research","id":"ITEM-1","issue":"6","issued":{"date-parts":[["2002"]]},"page":"885-893","title":"Pattern of Organization of Human Mitochondrial Pseudogenes in the Nuclear Genome","type":"article-journal","volume":"12"},"uris":["http://www.mendeley.com/documents/?uuid=777d6600-bbc8-4641-a533-45b6a3c52273"]}],"mendeley":{"formattedCitation":"(Woischnik &amp; Moraes, 2002)","plainTextFormattedCitation":"(Woischnik &amp; Moraes, 2002)","previouslyFormattedCitation":"(Woischnik &amp; Moraes 2002)"},"properties":{"noteIndex":0},"schema":"https://github.com/citation-style-language/schema/raw/master/csl-citation.json"}</w:instrText>
      </w:r>
      <w:r>
        <w:fldChar w:fldCharType="separate"/>
      </w:r>
      <w:r w:rsidRPr="00E64425">
        <w:rPr>
          <w:noProof/>
        </w:rPr>
        <w:t>(Woischnik &amp; Moraes, 2002)</w:t>
      </w:r>
      <w:r>
        <w:fldChar w:fldCharType="end"/>
      </w:r>
      <w:r>
        <w:t xml:space="preserve">. The primary mechanism is thought to be double-strand break repair followed by non-homologous end joining (NHEJ) </w:t>
      </w:r>
      <w:r>
        <w:fldChar w:fldCharType="begin" w:fldLock="1"/>
      </w:r>
      <w:r>
        <w:instrText>ADDIN CSL_CITATION {"citationItems":[{"id":"ITEM-1","itemData":{"DOI":"10.1371/journal.pgen.1000237","ISSN":"15537390","PMID":"18949041","abstract":"Non-homologous end joining (NHEJ) is the major mechanism of double-strand break repair (DSBR) in mammalian cells. NHEJ has traditionally been inferred from experimental systems involving induced double strand breaks (DSBs). Whether or not the spectrum of repair events observed in experimental NHEJ reflects the repair of natural breaks by NHEJ during chromosomal evolution is an unresolved issue. In primate phylogeny, nuclear DNA sequences of mitochondrial origin, numts, are inserted into naturally occurring chromosomal breaks via NHEJ. Thus, numt integration sites harbor evidence for the mechanisms that act on the genome over evolutionary timescales. We have identified 35 and 55 lineage-specific numts in the human and chimpanzee genomes, respectively, using the rhesus monkey genome as an outgroup. One hundred and fifty two numt-chromosome fusion points were classified based on their repair patterns. Repair involving microhomology and repair leading to nucleotide additions were detected. These repair patterns are within the experimentally determined spectrum of classical NHEJ, suggesting that information from experimental systems is representative of broader genetic loci and end configurations. However, in incompatible DSBR events, small deletions always occur, whereas in 54% of numt integration events examined, no deletions were detected. Numts show a statistically significant reduction in deletion frequency, even in comparison to DSBR involving filler DNA. Therefore, numts show a unique mechanism of integration via NHEJ. Since the deletion frequency during numt insertion is low, native overhangs of chromosome breaks are preserved, allowing us to determine that 24% of the analyzed breaks are cohesive with overhangs of up to 11 bases. These data represent, to the best of our knowledge, the most comprehensive description of the structure of naturally occurring DSBs. We suggest a model in which the sealing of DSBs by numts, and probably by other filler DNA, prevents nuclear processing of DSBs that could result in deleterious repair.","author":[{"dropping-particle":"","family":"Hazkani-Covo","given":"Einat","non-dropping-particle":"","parse-names":false,"suffix":""},{"dropping-particle":"","family":"Covo","given":"Shay","non-dropping-particle":"","parse-names":false,"suffix":""}],"container-title":"PLoS Genetics","id":"ITEM-1","issue":"10","issued":{"date-parts":[["2008"]]},"title":"Numt-mediated double-strand break repair mitigates deletions during primate genome evolution","type":"article-journal","volume":"4"},"uris":["http://www.mendeley.com/documents/?uuid=31d94f82-dad2-4575-a225-4c38ec4a8b8f"]}],"mendeley":{"formattedCitation":"(Hazkani-Covo &amp; Covo, 2008)","plainTextFormattedCitation":"(Hazkani-Covo &amp; Covo, 2008)","previouslyFormattedCitation":"(Hazkani-Covo &amp; Covo 2008)"},"properties":{"noteIndex":0},"schema":"https://github.com/citation-style-language/schema/raw/master/csl-citation.json"}</w:instrText>
      </w:r>
      <w:r>
        <w:fldChar w:fldCharType="separate"/>
      </w:r>
      <w:r w:rsidRPr="00E64425">
        <w:rPr>
          <w:noProof/>
        </w:rPr>
        <w:t>(Hazkani-Covo &amp; Covo, 2008)</w:t>
      </w:r>
      <w:r>
        <w:fldChar w:fldCharType="end"/>
      </w:r>
      <w:r>
        <w:t xml:space="preserve">. There are many possible processes by which DNA could escape from the organelle as a result of damage to the organelle membrane, some of which include autophagy, cell division, and cell stress </w:t>
      </w:r>
      <w:r>
        <w:fldChar w:fldCharType="begin" w:fldLock="1"/>
      </w:r>
      <w:r>
        <w:instrText>ADDIN CSL_CITATION {"citationItems":[{"id":"ITEM-1","itemData":{"DOI":"10.1146/annurev.arplant.043008.092119","ISSN":"1543-5008","abstract":"In eukaryotes, DNA is exchanged between endosymbiosis-derived compartments (mitochondria and chloroplasts) and the nucleus. Organelle-to-nucleus DNA transfer involves repair of double-stranded breaks by nonhomologous end-joining, and resulted during early organelle evolution in massive relocation of organelle genes to the nucleus. A large fraction of the products of the nuclear genes so acquired are retargeted to their ancestral compartment; many others now function in new subcellular locations. Almost all present-day nuclear transfers of mitochondrial or plastid DNA give rise to noncoding sequences, dubbed nuclear mitochondrial DNAs (NUMTs) and nuclear plastid DNAs (NUPTs). Some of these sequences were recruited as exons, thus introducing new coding sequences into preexisting nuclear genes by a novel mechanism. In organisms derived from secondary or tertiary endosymbiosis, serial gene transfers involving nucleus-to-nucleus migration of DNA have also occurred. Intercompartmental DNA transfer therefore represents a significant driving force for gene and genome evolution, relocating and refashioning genes and contributing to genetic diversity.","author":[{"dropping-particle":"","family":"Kleine","given":"Tatjana","non-dropping-particle":"","parse-names":false,"suffix":""},{"dropping-particle":"","family":"Maier","given":"Uwe G.","non-dropping-particle":"","parse-names":false,"suffix":""},{"dropping-particle":"","family":"Leister","given":"Dario","non-dropping-particle":"","parse-names":false,"suffix":""}],"container-title":"Annual Review of Plant Biology","id":"ITEM-1","issue":"1","issued":{"date-parts":[["2009"]]},"page":"115-138","title":"DNA Transfer from Organelles to the Nucleus: The Idiosyncratic Genetics of Endosymbiosis","type":"article-journal","volume":"60"},"uris":["http://www.mendeley.com/documents/?uuid=1afa5c1e-4e06-4d55-9226-3b5d9f03ce87"]}],"mendeley":{"formattedCitation":"(Kleine et al., 2009)","plainTextFormattedCitation":"(Kleine et al., 2009)","previouslyFormattedCitation":"(Kleine et al. 2009)"},"properties":{"noteIndex":0},"schema":"https://github.com/citation-style-language/schema/raw/master/csl-citation.json"}</w:instrText>
      </w:r>
      <w:r>
        <w:fldChar w:fldCharType="separate"/>
      </w:r>
      <w:r w:rsidRPr="00E64425">
        <w:rPr>
          <w:noProof/>
        </w:rPr>
        <w:t>(Kleine et al., 2009)</w:t>
      </w:r>
      <w:r>
        <w:fldChar w:fldCharType="end"/>
      </w:r>
      <w:r>
        <w:t xml:space="preserve">. The escaped organelle DNA can then be accessed by nuclear import machinery and be inserted into nuclear DNA </w:t>
      </w:r>
      <w:r>
        <w:fldChar w:fldCharType="begin" w:fldLock="1"/>
      </w:r>
      <w:r>
        <w:instrText>ADDIN CSL_CITATION {"citationItems":[{"id":"ITEM-1","itemData":{"DOI":"10.1134/s032097251904002x","ISSN":"03209725","author":[{"dropping-particle":"","family":"Thorsness","given":"Peter","non-dropping-particle":"","parse-names":false,"suffix":""},{"dropping-particle":"","family":"Fox","given":"Thomas","non-dropping-particle":"","parse-names":false,"suffix":""}],"container-title":"Nature","id":"ITEM-1","issue":"4","issued":{"date-parts":[["1990"]]},"page":"376-379","title":"Escape of DNA from mitochondria to the nucleus in Saccharomyces cerevisiae","type":"article-journal","volume":"346"},"uris":["http://www.mendeley.com/documents/?uuid=250f1adc-6a6e-45b9-9693-047ad01993d7"]}],"mendeley":{"formattedCitation":"(Thorsness &amp; Fox, 1990)","plainTextFormattedCitation":"(Thorsness &amp; Fox, 1990)","previouslyFormattedCitation":"(Thorsness &amp; Fox 1990)"},"properties":{"noteIndex":0},"schema":"https://github.com/citation-style-language/schema/raw/master/csl-citation.json"}</w:instrText>
      </w:r>
      <w:r>
        <w:fldChar w:fldCharType="separate"/>
      </w:r>
      <w:r w:rsidRPr="00E64425">
        <w:rPr>
          <w:noProof/>
        </w:rPr>
        <w:t>(Thorsness &amp; Fox, 1990)</w:t>
      </w:r>
      <w:r>
        <w:fldChar w:fldCharType="end"/>
      </w:r>
      <w:r>
        <w:t>.</w:t>
      </w:r>
    </w:p>
    <w:p w14:paraId="6B14E931" w14:textId="77777777" w:rsidR="00636B5B" w:rsidRDefault="00636B5B" w:rsidP="00E64425">
      <w:pPr>
        <w:spacing w:line="360" w:lineRule="auto"/>
      </w:pPr>
      <w:r>
        <w:tab/>
        <w:t xml:space="preserve">Based on the identification and analysis of NUMTs and NUMTs in 6 plant genomes patterns of integration and variation in size and numbers were apparent </w:t>
      </w:r>
      <w:r>
        <w:fldChar w:fldCharType="begin" w:fldLock="1"/>
      </w:r>
      <w:r>
        <w:instrText>ADDIN CSL_CITATION {"citationItems":[{"id":"ITEM-1","itemData":{"DOI":"10.1038/hdy.2013.51","ISSN":"0018067X","abstract":"We analysed the size, relative age and chromosomal localization of nuclear sequences of plastid and mitochondrial origin (NUPTs-nuclear plastid DNA and NUMTs-nuclear mitochondrial DNA) in six completely sequenced plant species. We found that the largest insertions showed lower divergence from organelle DNA than shorter insertions in all species, indicating their recent origin. The largest NUPT and NUMT insertions were localized in the vicinity of the centromeres in the small genomes of Arabidopsis and rice. They were also present in other chromosomal regions in the large genomes of soybean and maize. Localization of NUPTs and NUMTs correlated positively with distribution of transposable elements (TEs) in Arabidopsis and sorghum, negatively in grapevine and soybean, and did not correlate in rice or maize. We propose a model where new plastid and mitochondrial DNA sequences are inserted close to centromeres and are later fragmented by TE insertions and reshuffled away from the centromere or removed by ectopic recombination. The mode and tempo of TE dynamism determines the turnover of NUPTs and NUMTs resulting in their species-specific chromosomal distributions. © 2013 Macmillan Publishers Limited All rights reserved.","author":[{"dropping-particle":"","family":"Michalovova","given":"M.","non-dropping-particle":"","parse-names":false,"suffix":""},{"dropping-particle":"","family":"Vyskot","given":"B.","non-dropping-particle":"","parse-names":false,"suffix":""},{"dropping-particle":"","family":"Kejnovsky","given":"E.","non-dropping-particle":"","parse-names":false,"suffix":""}],"container-title":"Heredity","id":"ITEM-1","issue":"4","issued":{"date-parts":[["2013"]]},"page":"314-320","publisher":"Nature Publishing Group","title":"Analysis of plastid and mitochondrial DNA insertions in the nucleus (NUPTs and NUMTs) of six plant species: Size, relative age and chromosomal localization","type":"article-journal","volume":"111"},"uris":["http://www.mendeley.com/documents/?uuid=b9e54626-2ddc-4334-8c0e-0dd6a8db90a2"]}],"mendeley":{"formattedCitation":"(Michalovova, Vyskot, &amp; Kejnovsky, 2013)","plainTextFormattedCitation":"(Michalovova, Vyskot, &amp; Kejnovsky, 2013)","previouslyFormattedCitation":"(Michalovova et al. 2013)"},"properties":{"noteIndex":0},"schema":"https://github.com/citation-style-language/schema/raw/master/csl-citation.json"}</w:instrText>
      </w:r>
      <w:r>
        <w:fldChar w:fldCharType="separate"/>
      </w:r>
      <w:r w:rsidRPr="00E64425">
        <w:rPr>
          <w:noProof/>
        </w:rPr>
        <w:t>(Michalovova, Vyskot, &amp; Kejnovsky, 2013)</w:t>
      </w:r>
      <w:r>
        <w:fldChar w:fldCharType="end"/>
      </w:r>
      <w:r>
        <w:t xml:space="preserve">. Additionally, a larger analysis of NUPTs in 199 plant nuclear genomes identified considerable differences in size as the smallest and largest cumulative lengths were 1,038 bp and 9.83 Mb in </w:t>
      </w:r>
      <w:r w:rsidRPr="00074D17">
        <w:rPr>
          <w:i/>
          <w:iCs/>
        </w:rPr>
        <w:t xml:space="preserve">P. </w:t>
      </w:r>
      <w:proofErr w:type="spellStart"/>
      <w:r w:rsidRPr="00074D17">
        <w:rPr>
          <w:i/>
          <w:iCs/>
        </w:rPr>
        <w:t>tricomutum</w:t>
      </w:r>
      <w:proofErr w:type="spellEnd"/>
      <w:r>
        <w:t xml:space="preserve"> and </w:t>
      </w:r>
      <w:r>
        <w:rPr>
          <w:i/>
          <w:iCs/>
        </w:rPr>
        <w:t xml:space="preserve">T. </w:t>
      </w:r>
      <w:proofErr w:type="spellStart"/>
      <w:r>
        <w:rPr>
          <w:i/>
          <w:iCs/>
        </w:rPr>
        <w:t>urartu</w:t>
      </w:r>
      <w:proofErr w:type="spellEnd"/>
      <w:r>
        <w:rPr>
          <w:i/>
          <w:iCs/>
        </w:rPr>
        <w:t>,</w:t>
      </w:r>
      <w:r>
        <w:t xml:space="preserve"> respectively </w:t>
      </w:r>
      <w:r>
        <w:fldChar w:fldCharType="begin" w:fldLock="1"/>
      </w:r>
      <w:r>
        <w:instrText>ADDIN CSL_CITATION {"citationItems":[{"id":"ITEM-1","itemData":{"DOI":"10.3390/ijms21030707","ISSN":"14220067","abstract":"The transfer of genetic material from the mitochondria and plastid to the nucleus gives rise to nuclear integrants of mitochondrial DNA (NUMTs) and nuclear integrants of plastid DNA (NUPTs). This frequently occurring DNA transfer is ongoing and has important evolutionary implications. In this review, based on previous studies and the analysis of NUMT/NUPT insertions of more than 200 sequenced plant genomes, we analyzed and summarized the general features of NUMTs/NUPTs and highlighted the genetic consequence of organellar DNA insertions. The statistics of organellar DNA integrants among various plant genomes revealed that organellar DNA-derived sequence content is positively correlated with the nuclear genome size. After integration, the nuclear organellar DNA could undergo different fates, including elimination, mutation, rearrangement, fragmentation, and proliferation. The integrated organellar DNAs play important roles in increasing genetic diversity, promoting gene and genome evolution, and are involved in sex chromosome evolution in dioecious plants. The integrating mechanisms, involving non-homologous end joining at double-strand breaks were also discussed.","author":[{"dropping-particle":"","family":"Zhang","given":"Guo Jun","non-dropping-particle":"","parse-names":false,"suffix":""},{"dropping-particle":"","family":"Dong","given":"Ran","non-dropping-particle":"","parse-names":false,"suffix":""},{"dropping-particle":"","family":"Lan","given":"Li Na","non-dropping-particle":"","parse-names":false,"suffix":""},{"dropping-particle":"","family":"Li","given":"Shu Fen","non-dropping-particle":"","parse-names":false,"suffix":""},{"dropping-particle":"","family":"Gao","given":"Wu Jun","non-dropping-particle":"","parse-names":false,"suffix":""},{"dropping-particle":"","family":"Niu","given":"Hong Xing","non-dropping-particle":"","parse-names":false,"suffix":""}],"container-title":"International Journal of Molecular Sciences","id":"ITEM-1","issue":"3","issued":{"date-parts":[["2020"]]},"title":"Nuclear integrants of organellar DNA contribute to genome structure and evolution in plants","type":"article-journal","volume":"21"},"uris":["http://www.mendeley.com/documents/?uuid=5c99f14f-9436-4637-957a-6bdee3da621c"]}],"mendeley":{"formattedCitation":"(Zhang et al., 2020)","plainTextFormattedCitation":"(Zhang et al., 2020)","previouslyFormattedCitation":"(Zhang et al. 2020)"},"properties":{"noteIndex":0},"schema":"https://github.com/citation-style-language/schema/raw/master/csl-citation.json"}</w:instrText>
      </w:r>
      <w:r>
        <w:fldChar w:fldCharType="separate"/>
      </w:r>
      <w:r w:rsidRPr="00E64425">
        <w:rPr>
          <w:noProof/>
        </w:rPr>
        <w:t>(Zhang et al., 2020)</w:t>
      </w:r>
      <w:r>
        <w:fldChar w:fldCharType="end"/>
      </w:r>
      <w:r>
        <w:t xml:space="preserve">. The largest integrations of NUPT and NUMT content were the longest and had high identity to their organelle sequence from which they were derived. This suggests that longer stretches of NUPTs and NUMTs are younger. These large NUPTs and NUMTs were also preferentially located in centromeres and peri-centromeric regions. NUPTs and NUMTs have also been shown to be organized as clusters </w:t>
      </w:r>
      <w:r>
        <w:fldChar w:fldCharType="begin" w:fldLock="1"/>
      </w:r>
      <w:r>
        <w:instrText>ADDIN CSL_CITATION {"citationItems":[{"id":"ITEM-1","itemData":{"DOI":"10.1186/s12870-019-1975-8","ISSN":"14712229","PMID":"31419941","abstract":"Background: The transfer of chloroplast DNA into nuclear genome is a common process in plants. These transfers form nuclear integrants of plastid DNAs (NUPTs), which are thought to be driving forces in genome evolution, including sex chromosome evolution. In this study, NUPTs in the genome of a dioecious plant Asparagus officinalis L. were systematically analyzed, in order to investigate the characteristics of NUPTs in the nuclear genome and the relationship between NUPTs and sex chromosome evolution in this species. Results: A total of 3155 NUPT insertions were detected, and they represented approximated 0.06% of the nuclear genome. About 45% of the NUPTs were organized in clusters. These clusters were derived from various evolutionary events. The Y chromosome contained the highest number and largest proportion of NUPTs, suggesting more accumulation of NUPTs on sex chromosomes. NUPTs were distributed widely in all of the chromosomes, and some regions preferred these insertions. The highest density of NUPTs was found in a 47 kb region in the Y chromosome; more than 75% of this region was occupied by NUPTs. Further cytogenetic and sequence alignment analysis revealed that this region was likely the centromeric region of the sex chromosomes. On the other hand, the male-specific region of the Y chromosome (MSY) and the adjacent regions did not have NUPT insertions. Conclusions: These results indicated that NUPTs were involved in shaping the genome of A. officinalis through complicated process. NUPTs may play important roles in the centromere shaping of the sex chromosomes of A. officinalis, but were not implicated in MSY formation.","author":[{"dropping-particle":"","family":"Li","given":"Shu Fen","non-dropping-particle":"","parse-names":false,"suffix":""},{"dropping-particle":"","family":"Li","given":"Jia Rong","non-dropping-particle":"","parse-names":false,"suffix":""},{"dropping-particle":"","family":"Wang","given":"Jin","non-dropping-particle":"","parse-names":false,"suffix":""},{"dropping-particle":"","family":"Dong","given":"Ran","non-dropping-particle":"","parse-names":false,"suffix":""},{"dropping-particle":"","family":"Jia","given":"Ke Li","non-dropping-particle":"","parse-names":false,"suffix":""},{"dropping-particle":"","family":"Zhu","given":"Hong Wei","non-dropping-particle":"","parse-names":false,"suffix":""},{"dropping-particle":"","family":"Li","given":"Ning","non-dropping-particle":"","parse-names":false,"suffix":""},{"dropping-particle":"","family":"Yuan","given":"Jin Hong","non-dropping-particle":"","parse-names":false,"suffix":""},{"dropping-particle":"","family":"Deng","given":"Chuan Liang","non-dropping-particle":"","parse-names":false,"suffix":""},{"dropping-particle":"","family":"Gao","given":"Wu Jun","non-dropping-particle":"","parse-names":false,"suffix":""}],"container-title":"BMC Plant Biology","id":"ITEM-1","issue":"1","issued":{"date-parts":[["2019"]]},"page":"1-13","publisher":"BMC Plant Biology","title":"Cytogenetic and genomic organization analyses of chloroplast DNA invasions in the nuclear genome of Asparagus officinalis L. provides signatures of evolutionary complexity and informativity in sex chromosome evolution","type":"article-journal","volume":"19"},"uris":["http://www.mendeley.com/documents/?uuid=0742eb5d-d3cf-4900-b447-f325c7ed1529"]}],"mendeley":{"formattedCitation":"(S. F. Li et al., 2019)","plainTextFormattedCitation":"(S. F. Li et al., 2019)","previouslyFormattedCitation":"(Li et al. 2019)"},"properties":{"noteIndex":0},"schema":"https://github.com/citation-style-language/schema/raw/master/csl-citation.json"}</w:instrText>
      </w:r>
      <w:r>
        <w:fldChar w:fldCharType="separate"/>
      </w:r>
      <w:r w:rsidRPr="00E64425">
        <w:rPr>
          <w:noProof/>
        </w:rPr>
        <w:t>(S. F. Li et al., 2019)</w:t>
      </w:r>
      <w:r>
        <w:fldChar w:fldCharType="end"/>
      </w:r>
      <w:r>
        <w:t xml:space="preserve">. In general, NUPTs and NUMTs are organized in several different ways in the nuclear genome </w:t>
      </w:r>
      <w:r>
        <w:fldChar w:fldCharType="begin" w:fldLock="1"/>
      </w:r>
      <w:r>
        <w:instrText>ADDIN CSL_CITATION {"citationItems":[{"id":"ITEM-1","itemData":{"DOI":"10.1016/j.tig.2005.09.004","ISSN":"01689525","PMID":"16216380","abstract":"In eukaryotes, nuclear genomes are subject to an influx of DNA from mitochondria and plastids. The nuclear insertion of organellar sequences can occur during the illegitimate repair of double-stranded breaks. After integration, nuclear organelle DNA is modified by point mutations, and by deletions. Insertion of organelle DNA into nuclear genes is not rare and can potentially have harmful effects. In humans, some insertions of nuclear mitochondrial DNA are associated with heritable diseases. It remains to be determined whether nuclear organelle DNA can contribute beneficially to gene evolution. © 2005 Elsevier Ltd. All rights reserved.","author":[{"dropping-particle":"","family":"Leister","given":"Dario","non-dropping-particle":"","parse-names":false,"suffix":""}],"container-title":"Trends in Genetics","id":"ITEM-1","issue":"12","issued":{"date-parts":[["2005"]]},"page":"655-663","title":"Origin, evolution and genetic effects of nuclear insertions of organelle DNA","type":"article-journal","volume":"21"},"uris":["http://www.mendeley.com/documents/?uuid=7ff8eb04-9de5-42a8-9e97-b264969788aa"]}],"mendeley":{"formattedCitation":"(Leister, 2005)","plainTextFormattedCitation":"(Leister, 2005)","previouslyFormattedCitation":"(Leister 2005)"},"properties":{"noteIndex":0},"schema":"https://github.com/citation-style-language/schema/raw/master/csl-citation.json"}</w:instrText>
      </w:r>
      <w:r>
        <w:fldChar w:fldCharType="separate"/>
      </w:r>
      <w:r w:rsidRPr="00E64425">
        <w:rPr>
          <w:noProof/>
        </w:rPr>
        <w:t>(Leister, 2005)</w:t>
      </w:r>
      <w:r>
        <w:fldChar w:fldCharType="end"/>
      </w:r>
      <w:r>
        <w:t xml:space="preserve">. These arrangements include continuous insertions which are collinear with organelle DNA, rearranged stretches which diverge from the original orientation in the nuclear genome, and concatemers or mosaic fragments consisting of both NUPTs and NUMTs. Number and total length of NUPTs and NUMTs present within the nuclear genome were also shown to be correlated with nuclear </w:t>
      </w:r>
      <w:r>
        <w:lastRenderedPageBreak/>
        <w:t xml:space="preserve">genome size and the number of organelles in the cell </w:t>
      </w:r>
      <w:r>
        <w:fldChar w:fldCharType="begin" w:fldLock="1"/>
      </w:r>
      <w:r>
        <w:instrText>ADDIN CSL_CITATION {"citationItems":[{"id":"ITEM-1","itemData":{"DOI":"10.1371/journal.pgen.1000834","ISSN":"15537390","PMID":"20168995","abstract":"The natural transfer of DNA from mitochondria to the nucleus generates nuclear copies of mitochondrial DNA (numts) and is an ongoing evolutionary process, as genome sequences attest. In humans, five different numts cause genetic disease and a dozen human loci are polymorphic for the presence of numts, underscoring the rapid rate at which mitochondrial sequences reach the nucleus over evolutionary time. In the laboratory and in nature, numts enter the nuclear DNA via non-homolgous end joining (NHEJ) at double-strand breaks (DSBs). The frequency of numt insertions among 85 sequenced eukaryotic genomes reveal that numt content is strongly correlated with genome size, suggesting that the numt insertion rate might be limited by DSB frequency. Polymorphic numts in humans link maternally inherited mitochondrial genotypes to nuclear DNA haplotypes during the past, offering new opportunities to associate nuclear markers with mitochondrial markers back in time. © 2010 Hazkani-Covo et al.","author":[{"dropping-particle":"","family":"Hazkani-Covo","given":"Einat","non-dropping-particle":"","parse-names":false,"suffix":""},{"dropping-particle":"","family":"Zeller","given":"Raymond M.","non-dropping-particle":"","parse-names":false,"suffix":""},{"dropping-particle":"","family":"Martin","given":"William","non-dropping-particle":"","parse-names":false,"suffix":""}],"container-title":"PLoS Genetics","id":"ITEM-1","issue":"2","issued":{"date-parts":[["2010"]]},"title":"Molecular poltergeists: Mitochondrial DNA copies (numts) in sequenced nuclear genomes","type":"article-journal","volume":"6"},"uris":["http://www.mendeley.com/documents/?uuid=ed57b9b3-46af-40cb-b1d5-17de8d3b9228"]},{"id":"ITEM-2","itemData":{"DOI":"10.1093/gbe/evr001","ISSN":"17596653","PMID":"21292629","abstract":"The abundance of nuclear plastid DNA-like sequences (NUPTs) in nuclear genomes can vary immensely; however, the forces responsible for this variation are poorly understood. \"The limited transfer window hypothesis\" predicts that species with only one plastid per cell will have fewer NUPTs than those with many plastids per cell, but a lack of genome sequence data from monoplastidic species has made this hypothesis difficult to test. Here, by analyzing newly available genome sequences from diverse mono- and polyplastidic taxa, we show that the hypothesis holds. On average, the polyplastidic species we studied had 80 times more NUPTs than those that were monoplastidic. Moreover, NUPT content was positively related to nuclear genome size, indicating that in addition to plastid number, NUPTs are influenced by the forces controlling the expansion and contraction of noncoding nuclear DNA. These findings are consistent with data on nuclear DNAs of mitochondrial origin (NUMTs), suggesting that similar processes govern the abundance of both NUPTs and NUMTs. © 2011 The Author(s).","author":[{"dropping-particle":"","family":"Smith","given":"David Roy","non-dropping-particle":"","parse-names":false,"suffix":""},{"dropping-particle":"","family":"Crosby","given":"Kate","non-dropping-particle":"","parse-names":false,"suffix":""},{"dropping-particle":"","family":"Lee","given":"Robert W.","non-dropping-particle":"","parse-names":false,"suffix":""}],"container-title":"Genome Biology and Evolution","id":"ITEM-2","issue":"1","issued":{"date-parts":[["2011"]]},"page":"365-371","title":"Correlation between nuclear plastid DNA abundance and plastid number supports the limited transfer window hypothesis","type":"article-journal","volume":"3"},"uris":["http://www.mendeley.com/documents/?uuid=f48a28c5-25d6-4bc8-8e65-38c41d1a647f"]}],"mendeley":{"formattedCitation":"(Hazkani-Covo, Zeller, &amp; Martin, 2010; Smith, Crosby, &amp; Lee, 2011)","plainTextFormattedCitation":"(Hazkani-Covo, Zeller, &amp; Martin, 2010; Smith, Crosby, &amp; Lee, 2011)","previouslyFormattedCitation":"(Hazkani-Covo et al. 2010; Smith et al. 2011)"},"properties":{"noteIndex":0},"schema":"https://github.com/citation-style-language/schema/raw/master/csl-citation.json"}</w:instrText>
      </w:r>
      <w:r>
        <w:fldChar w:fldCharType="separate"/>
      </w:r>
      <w:r w:rsidRPr="00E64425">
        <w:rPr>
          <w:noProof/>
        </w:rPr>
        <w:t>(Hazkani-Covo, Zeller, &amp; Martin, 2010; Smith, Crosby, &amp; Lee, 2011)</w:t>
      </w:r>
      <w:r>
        <w:fldChar w:fldCharType="end"/>
      </w:r>
      <w:r>
        <w:t xml:space="preserve">. </w:t>
      </w:r>
    </w:p>
    <w:p w14:paraId="1C42DC69" w14:textId="77777777" w:rsidR="00636B5B" w:rsidRDefault="00636B5B" w:rsidP="00E64425">
      <w:pPr>
        <w:spacing w:line="360" w:lineRule="auto"/>
        <w:ind w:firstLine="720"/>
      </w:pPr>
      <w:r>
        <w:t xml:space="preserve">Besides differences at taxonomic levels, genome assembly and methodology used for curation can have considerable impacts on the numbers and total size of NUPTs and NUMTs are identified </w:t>
      </w:r>
      <w:r>
        <w:fldChar w:fldCharType="begin" w:fldLock="1"/>
      </w:r>
      <w:r>
        <w:instrText>ADDIN CSL_CITATION {"citationItems":[{"id":"ITEM-1","itemData":{"DOI":"10.1093/gbe/evx078","ISSN":"17596653","PMID":"28444372","abstract":"Fragments of organelle genomes are often found as insertions in nuclear DNA. These fragments ofmitochondrial DNA (numts) and plastid DNA (nupts) are ubiquitous components of eukaryotic genomes. They are, however, often edited out during the genome assembly process, leading to systematic underestimation of their frequency. Numts and nupts, once inserted, can become further fragmented through subsequent insertion of mobile elements or other recombinational events that disrupt the continuity of the inserted sequence relative to the genuine organelle DNA copy. Because numts and nupts are typically identified through sequence comparison tools such as BLAST, disruption of insertions into smaller fragments can lead to systematic overestimation of numt and nupt frequencies. Accurate identification of numts and nupts is important, however, both for better understanding of their role during evolution, and for monitoring their increasingly evident role in human disease. Human populations are polymorphic for 141 numt loci, five numts are causal to genetic disease, and cancer genomic studies are revealing an abundanceofnumts associatedwith tumor progression. Here, we report investigation of salient parameters involved in obtaining accurate estimates of numt and nupt numbers in genome sequence data.Numts and nupts from 44 sequenced eukaryotic genomes reveal lineage-specific differences in the number, relative age and frequency of insertional events as well as lineage-specific dynamics of their postinsertional fragmentation. Our findings outline themain technical parameters influencing accurate identification and frequency estimation of numts in genomic studies pertinent to both evolution and human health.","author":[{"dropping-particle":"","family":"Hazkani-Covo","given":"Einat","non-dropping-particle":"","parse-names":false,"suffix":""},{"dropping-particle":"","family":"Martin","given":"William F.","non-dropping-particle":"","parse-names":false,"suffix":""}],"container-title":"Genome Biology and Evolution","id":"ITEM-1","issue":"5","issued":{"date-parts":[["2017"]]},"page":"1190-1203","title":"Quantifying the number of independent organelle DNA insertions in genome evolution and human health","type":"article-journal","volume":"9"},"uris":["http://www.mendeley.com/documents/?uuid=03b07223-1cc4-4597-aece-53042594f104"]}],"mendeley":{"formattedCitation":"(Hazkani-Covo &amp; Martin, 2017)","plainTextFormattedCitation":"(Hazkani-Covo &amp; Martin, 2017)","previouslyFormattedCitation":"(Hazkani-Covo &amp; Martin 2017)"},"properties":{"noteIndex":0},"schema":"https://github.com/citation-style-language/schema/raw/master/csl-citation.json"}</w:instrText>
      </w:r>
      <w:r>
        <w:fldChar w:fldCharType="separate"/>
      </w:r>
      <w:r w:rsidRPr="00E64425">
        <w:rPr>
          <w:noProof/>
        </w:rPr>
        <w:t>(Hazkani-Covo &amp; Martin, 2017)</w:t>
      </w:r>
      <w:r>
        <w:fldChar w:fldCharType="end"/>
      </w:r>
      <w:r>
        <w:t xml:space="preserve">. Some of these features are also edited out incorrectly during the genome assembly process </w:t>
      </w:r>
      <w:r>
        <w:fldChar w:fldCharType="begin" w:fldLock="1"/>
      </w:r>
      <w:r>
        <w:instrText>ADDIN CSL_CITATION {"citationItems":[{"id":"ITEM-1","itemData":{"DOI":"10.1093/nar/gku1038","ISSN":"13624962","PMID":"25348406","abstract":"The transfer of mitochondrial genetic material into the nuclear genomes of eukaryotes is a well-established phenomenon that has been previously limited to the study of static reference genomes. The recent advancement of high throughput sequencing has enabled an expanded exploration into the diversity of polymorphic nuclear mitochondrial insertions (NumtS) within human populations. We have developed an approach to discover and genotype novel Numt insertions using whole genome, paired-end sequencing data. We have applied this method to a thousand individuals in 20 populations from the 1000 Genomes Project and other datasets and identified 141 new sites of Numt insertions, extending our current knowledge of existing NumtS by almost 20%. We find that recent Numt insertions are derived from throughout the mitochondrial genome, including the D-loop, and have integration biases that differ in some respects from previous studies on older, fixed NumtS in the reference genome. We determined the complete inserted sequence for a subset of these events and have identified a number of nearly full-length mitochondrial genome insertions into nuclear chromosomes. We further define their age and origin of insertion and present an analysis of their potential impact to ongoing studies of mitochondrial heteroplasmy and disease.","author":[{"dropping-particle":"","family":"Dayama","given":"Gargi","non-dropping-particle":"","parse-names":false,"suffix":""},{"dropping-particle":"","family":"Emery","given":"Sarah B.","non-dropping-particle":"","parse-names":false,"suffix":""},{"dropping-particle":"","family":"Kidd","given":"Jeffrey M.","non-dropping-particle":"","parse-names":false,"suffix":""},{"dropping-particle":"","family":"Mills","given":"Ryan E.","non-dropping-particle":"","parse-names":false,"suffix":""}],"container-title":"Nucleic acids research","id":"ITEM-1","issue":"20","issued":{"date-parts":[["2014"]]},"page":"12640-12649","title":"The genomic landscape of polymorphic human nuclear mitochondrial insertions","type":"article-journal","volume":"42"},"uris":["http://www.mendeley.com/documents/?uuid=5ce31508-4353-4d05-bd8d-532ee2e620c2"]}],"mendeley":{"formattedCitation":"(Dayama, Emery, Kidd, &amp; Mills, 2014)","plainTextFormattedCitation":"(Dayama, Emery, Kidd, &amp; Mills, 2014)","previouslyFormattedCitation":"(Dayama et al. 2014)"},"properties":{"noteIndex":0},"schema":"https://github.com/citation-style-language/schema/raw/master/csl-citation.json"}</w:instrText>
      </w:r>
      <w:r>
        <w:fldChar w:fldCharType="separate"/>
      </w:r>
      <w:r w:rsidRPr="00E64425">
        <w:rPr>
          <w:noProof/>
        </w:rPr>
        <w:t>(Dayama, Emery, Kidd, &amp; Mills, 2014)</w:t>
      </w:r>
      <w:r>
        <w:fldChar w:fldCharType="end"/>
      </w:r>
      <w:r>
        <w:t xml:space="preserve">. The most common alignment tool to identify NUPTs and NUMTs in nuclear genomes is BLAST </w:t>
      </w:r>
      <w:r>
        <w:fldChar w:fldCharType="begin" w:fldLock="1"/>
      </w:r>
      <w:r>
        <w:instrText>ADDIN CSL_CITATION {"citationItems":[{"id":"ITEM-1","itemData":{"ISSN":"0305-1048","author":[{"dropping-particle":"","family":"Altschul","given":"S","non-dropping-particle":"","parse-names":false,"suffix":""}],"container-title":"Nucleic acids research.","id":"ITEM-1","issue":"17","issued":{"date-parts":[["1977"]]},"page":"3389-3402","publisher":"Oxford University Press","publisher-place":"Oxford :","title":"Gapped BLAST and PSI-BLAST: a new generation of protein database search programs","type":"article-journal","volume":"25"},"uris":["http://www.mendeley.com/documents/?uuid=fb874f9c-cc6a-4d70-bea3-575a4ec9fcc2"]}],"mendeley":{"formattedCitation":"(Altschul, 1977)","plainTextFormattedCitation":"(Altschul, 1977)","previouslyFormattedCitation":"(Altschul 1977)"},"properties":{"noteIndex":0},"schema":"https://github.com/citation-style-language/schema/raw/master/csl-citation.json"}</w:instrText>
      </w:r>
      <w:r>
        <w:fldChar w:fldCharType="separate"/>
      </w:r>
      <w:r w:rsidRPr="00E64425">
        <w:rPr>
          <w:noProof/>
        </w:rPr>
        <w:t>(Altschul, 1977)</w:t>
      </w:r>
      <w:r>
        <w:fldChar w:fldCharType="end"/>
      </w:r>
      <w:r>
        <w:t xml:space="preserve">.  There is a large amount of heterogeneity in how BLAST output is filtered between studies. The most significant variations are present in differences in alignment length thresholds, e-value thresholds, identity thresholds, merging thresholds, and how organelle repeats are handled </w:t>
      </w:r>
      <w:r>
        <w:fldChar w:fldCharType="begin" w:fldLock="1"/>
      </w:r>
      <w:r>
        <w:instrText>ADDIN CSL_CITATION {"citationItems":[{"id":"ITEM-1","itemData":{"DOI":"10.1038/hdy.2013.51","ISSN":"0018067X","abstract":"We analysed the size, relative age and chromosomal localization of nuclear sequences of plastid and mitochondrial origin (NUPTs-nuclear plastid DNA and NUMTs-nuclear mitochondrial DNA) in six completely sequenced plant species. We found that the largest insertions showed lower divergence from organelle DNA than shorter insertions in all species, indicating their recent origin. The largest NUPT and NUMT insertions were localized in the vicinity of the centromeres in the small genomes of Arabidopsis and rice. They were also present in other chromosomal regions in the large genomes of soybean and maize. Localization of NUPTs and NUMTs correlated positively with distribution of transposable elements (TEs) in Arabidopsis and sorghum, negatively in grapevine and soybean, and did not correlate in rice or maize. We propose a model where new plastid and mitochondrial DNA sequences are inserted close to centromeres and are later fragmented by TE insertions and reshuffled away from the centromere or removed by ectopic recombination. The mode and tempo of TE dynamism determines the turnover of NUPTs and NUMTs resulting in their species-specific chromosomal distributions. © 2013 Macmillan Publishers Limited All rights reserved.","author":[{"dropping-particle":"","family":"Michalovova","given":"M.","non-dropping-particle":"","parse-names":false,"suffix":""},{"dropping-particle":"","family":"Vyskot","given":"B.","non-dropping-particle":"","parse-names":false,"suffix":""},{"dropping-particle":"","family":"Kejnovsky","given":"E.","non-dropping-particle":"","parse-names":false,"suffix":""}],"container-title":"Heredity","id":"ITEM-1","issue":"4","issued":{"date-parts":[["2013"]]},"page":"314-320","publisher":"Nature Publishing Group","title":"Analysis of plastid and mitochondrial DNA insertions in the nucleus (NUPTs and NUMTs) of six plant species: Size, relative age and chromosomal localization","type":"article-journal","volume":"111"},"uris":["http://www.mendeley.com/documents/?uuid=b9e54626-2ddc-4334-8c0e-0dd6a8db90a2"]},{"id":"ITEM-2","itemData":{"DOI":"10.1111/tpj.14946","ISSN":"1365313X","PMID":"32748498","abstract":"Asian cultivated rice (Oryza sativa) and African cultivated rice (Oryza glaberrima) originated from the wild rice species Oryza rufipogon and Oryza barthii, respectively. The genomes of both cultivated species have undergone profound changes during domestication. Whole-genome de novo assemblies of O. barthii, O. glaberrima, O. rufipogon and Oryza nivara, produced using PacBio single-molecule real-time (SMRT) and next-generation sequencing (NGS) technologies, showed that Gypsy-like retrotransposons are the major contributors to genome size variation in African and Asian rice. Through the detection of genome-wide structural variations (SVs), we observed that besides 28 shared SV hot spots, another 67 hot spots existed in either the Asian or African rice genomes. Based on gene annotation information of the SVs, we established that organelle-to-nucleus DNA transfers resulted in numerous SVs that participated in the nuclear genome divergence of rice species and subspecies. We detected 52 giant nuclear integrants of organelle DNA (NORGs, defined as &gt;10 kb) in six Oryza AA genomes. In addition, we developed an effective method to genotype giant NORGs, based on genome assembly, and first showed the dynamic change in the distribution of giant NORGs in rice natural population. Interestingly, 16 highly differentiated giant NORGs tended to accumulate in natural populations of Asian rice from higher latitude regions, grown at lower temperatures and light intensities. Our study provides new insight into the genome divergence of African and Asian rice, and establishes that organelle-to-nucleus DNA transfers, as potentially powerful contributors to environmental adaptation during rice evolution, play a major role in producing SVs in rice genomes.","author":[{"dropping-particle":"","family":"Ma","given":"Xin","non-dropping-particle":"","parse-names":false,"suffix":""},{"dropping-particle":"","family":"Fan","given":"Jinjian","non-dropping-particle":"","parse-names":false,"suffix":""},{"dropping-particle":"","family":"Wu","given":"Yongzhen","non-dropping-particle":"","parse-names":false,"suffix":""},{"dropping-particle":"","family":"Zhao","given":"Shuangshuang","non-dropping-particle":"","parse-names":false,"suffix":""},{"dropping-particle":"","family":"Zheng","given":"Xu","non-dropping-particle":"","parse-names":false,"suffix":""},{"dropping-particle":"","family":"Sun","given":"Chuanqing","non-dropping-particle":"","parse-names":false,"suffix":""},{"dropping-particle":"","family":"Tan","given":"Lubin","non-dropping-particle":"","parse-names":false,"suffix":""}],"container-title":"Plant Journal","id":"ITEM-2","issue":"3","issued":{"date-parts":[["2020"]]},"page":"596-612","title":"Whole-genome de novo assemblies reveal extensive structural variations and dynamic organelle-to-nucleus DNA transfers in African and Asian rice","type":"article-journal","volume":"104"},"uris":["http://www.mendeley.com/documents/?uuid=2c866635-5244-4920-b828-685ab7be1c0b"]},{"id":"ITEM-3","itemData":{"DOI":"10.1186/s12864-019-5444-4","ISSN":"14712164","PMID":"30760198","abstract":"Background: Land plant organellar genomes have significant impact on metabolism and adaptation, and as such, accurate assembly and annotation of plant organellar genomes is an important tool in understanding the evolutionary history and interactions between these genomes. Intracellular DNA transfer is ongoing between the nuclear and organellar genomes, and can lead to significant genomic variation between, and within, species that impacts downstream analysis of genomes and transcriptomes. Results: In order to facilitate further studies of cytonuclear interactions in Eucalyptus, we report an updated annotation of the E. grandis plastid genome, and the second sequenced and annotated mitochondrial genome of the Myrtales, that of E. grandis. The 478,813 bp mitochondrial genome shows the conserved protein coding regions and gene order rearrangements typical of land plants. There have been widespread insertions of organellar DNA into the E. grandis nuclear genome, which span 141 annotated nuclear genes. Further, we identify predicted editing sites to allow for the discrimination of RNA-sequencing reads between nuclear and organellar gene copies, finding that nuclear copies of organellar genes are not expressed in E. grandis. Conclusions: The implications of organellar DNA transfer to the nucleus are often ignored, despite the insight they can give into the ongoing evolution of plant genomes, and the problems they can cause in many applications of genomics. Future comparisons of the transcription and regulation of organellar genes between Eucalyptus genotypes may provide insight to the cytonuclear interactions that impact economically important traits in this widely grown lignocellulosic crop species.","author":[{"dropping-particle":"","family":"Pinard","given":"Desre","non-dropping-particle":"","parse-names":false,"suffix":""},{"dropping-particle":"","family":"Myburg","given":"Alexander A.","non-dropping-particle":"","parse-names":false,"suffix":""},{"dropping-particle":"","family":"Mizrachi","given":"Eshchar","non-dropping-particle":"","parse-names":false,"suffix":""}],"container-title":"BMC Genomics","id":"ITEM-3","issue":"1","issued":{"date-parts":[["2019"]]},"page":"1-14","publisher":"BMC Genomics","title":"The plastid and mitochondrial genomes of Eucalyptus grandis","type":"article-journal","volume":"20"},"uris":["http://www.mendeley.com/documents/?uuid=83c187c1-a058-4c8b-abc7-bec3543728ef"]}],"mendeley":{"formattedCitation":"(Ma et al., 2020; Michalovova et al., 2013; Pinard, Myburg, &amp; Mizrachi, 2019)","plainTextFormattedCitation":"(Ma et al., 2020; Michalovova et al., 2013; Pinard, Myburg, &amp; Mizrachi, 2019)","previouslyFormattedCitation":"(Michalovova et al. 2013; Ma et al. 2020; Pinard et al. 2019)"},"properties":{"noteIndex":0},"schema":"https://github.com/citation-style-language/schema/raw/master/csl-citation.json"}</w:instrText>
      </w:r>
      <w:r>
        <w:fldChar w:fldCharType="separate"/>
      </w:r>
      <w:r w:rsidRPr="00E64425">
        <w:rPr>
          <w:noProof/>
        </w:rPr>
        <w:t>(Ma et al., 2020; Michalovova et al., 2013; Pinard, Myburg, &amp; Mizrachi, 2019)</w:t>
      </w:r>
      <w:r>
        <w:fldChar w:fldCharType="end"/>
      </w:r>
      <w:r>
        <w:t>. A more unified framework on the best practices for NUPT and NUMT identification and downstream filtering would be beneficial not only for those studying these features but also for studies which assemble genomes and would like to accurately assess NUPT and NUMT content.</w:t>
      </w:r>
    </w:p>
    <w:p w14:paraId="4C0E794B" w14:textId="77777777" w:rsidR="00636B5B" w:rsidRDefault="00636B5B" w:rsidP="00E64425">
      <w:pPr>
        <w:spacing w:line="360" w:lineRule="auto"/>
        <w:ind w:firstLine="720"/>
      </w:pPr>
      <w:r>
        <w:t xml:space="preserve">Once NUPT and NUMT features are integrated into the nuclear genome they undergo various outcomes as evolutionary time progresses. As described by Zhang et al. 2020, there are five possible fates for organelle DNA present in the nuclear genome: elimination, mutation, fragmentation, rearrangement, and proliferation. For elimination, it was determined in rice that 80% percent of NUPTs were eliminated within 1 million years after they were inserted </w:t>
      </w:r>
      <w:r>
        <w:fldChar w:fldCharType="begin" w:fldLock="1"/>
      </w:r>
      <w:r>
        <w:instrText>ADDIN CSL_CITATION {"citationItems":[{"id":"ITEM-1","itemData":{"DOI":"10.1105/tpc.104.027706","ISSN":"10404651","abstract":"Plastid DNA fragments are often found in the plant nuclear genome, and DNA transfer from plastids to the nucleus is ongoing. However, successful gene transfer is rare. What happens to compensate for this? To address this question, we analyzed nuclear-localized plastid DNA (nupDNA) fragments throughout the rice (Oryza sativa ssp japonica) genome, with respect to their age, size, structure, and integration sites on chromosomes. The divergence of nupDNA sequences from the sequence of the present plastid genome strongly suggests that plastid DNA has been transferred repeatedly to the nucleus in rice. Age distribution profiles of the nupDNA population, together with the size and structural characteristics of each fragment, revealed that once plastid DNAs are integrated into the nuclear genome, they are rapidly fragmented and vigorously shuffled, and surprisingly, 80% of them are eliminated from the nuclear genome within a million years. Large nupDNA fragments preferentially localize to the pericentromeric region of the chromosomes, where integration and elimination frequencies are markedly higher. These data indicate that the plant nuclear genome is in equilibrium between frequent integration and rapid elimination of the chloroplast genome and that the pericentromeric regions play a significant role in facilitating the chloroplast-nuclear DNA flux. © 2005 American Society of Plant Biologists.","author":[{"dropping-particle":"","family":"Matsuo","given":"Mitsuhiro","non-dropping-particle":"","parse-names":false,"suffix":""},{"dropping-particle":"","family":"Ito","given":"Yuki","non-dropping-particle":"","parse-names":false,"suffix":""},{"dropping-particle":"","family":"Yamauchi","given":"Ryo","non-dropping-particle":"","parse-names":false,"suffix":""},{"dropping-particle":"","family":"Obokata","given":"Junichi","non-dropping-particle":"","parse-names":false,"suffix":""}],"container-title":"Plant Cell","id":"ITEM-1","issue":"3","issued":{"date-parts":[["2005"]]},"page":"665-675","title":"The rice nuclear genome continuously integrates, shuffles, and eliminates the chloroplast genome to cause chloroplast-nuclear DNA flux","type":"article-journal","volume":"17"},"uris":["http://www.mendeley.com/documents/?uuid=e60c84dc-fde5-49c1-b769-fad1154c1538"]}],"mendeley":{"formattedCitation":"(Matsuo, Ito, Yamauchi, &amp; Obokata, 2005)","plainTextFormattedCitation":"(Matsuo, Ito, Yamauchi, &amp; Obokata, 2005)","previouslyFormattedCitation":"(Matsuo et al. 2005)"},"properties":{"noteIndex":0},"schema":"https://github.com/citation-style-language/schema/raw/master/csl-citation.json"}</w:instrText>
      </w:r>
      <w:r>
        <w:fldChar w:fldCharType="separate"/>
      </w:r>
      <w:r w:rsidRPr="00E64425">
        <w:rPr>
          <w:noProof/>
        </w:rPr>
        <w:t>(Matsuo, Ito, Yamauchi, &amp; Obokata, 2005)</w:t>
      </w:r>
      <w:r>
        <w:fldChar w:fldCharType="end"/>
      </w:r>
      <w:r>
        <w:t xml:space="preserve">. This study suggested that the integration and elimination of organelle DNA are in equilibrium, and this is essential for the maintenance of genome size. For mutation, the majority of NUPTs and NUMTs will not be under selective pressure and will therefore decay </w:t>
      </w:r>
      <w:r>
        <w:fldChar w:fldCharType="begin" w:fldLock="1"/>
      </w:r>
      <w:r>
        <w:instrText>ADDIN CSL_CITATION {"citationItems":[{"id":"ITEM-1","itemData":{"DOI":"10.1104/pp.105.060327","ISSN":"00320889","PMID":"15951485","abstract":"Transfers of organelle DNA to the nucleus established several thousand functional genes in eukaryotic chromosomes over evolutionary time. Recent transfers have also contributed nonfunctional plastid (pt)- and mitochondrion (mt)-derived DNA (termed nupts and numts, respectively) to plant nuclear genomes. The two largest transferred organelle genome copies are 131-kb nuptDNA in rice (Oryza sativa) and 262-kb numtDNA in Arabidopsis (Arabidopsis thaliana). These transferred copies were compared in detail with their bona fide organelle counterparts, to which they are 99.77% and 99.91% identical, respectively. No evidence for purifying selection was found in either nuclear integrant, indicating that they are nonfunctional. Mutations attributable to 5-methylcytosine hypermutation have occurred at a 6- to 10-fold higher rate than other point mutations in Arabidopsis numtDNA and rice nuptDNA, respectively, revealing this as a major mechanism of mutational decay for these transferred organelle sequences. Short indels occurred preferentially within homopolymeric stretches but were less frequent than point mutations. The 131-kb nuptDNA is absent in the O. sativa subsp. indica or Oryza rufipogon nuclear genome, suggesting that it was transferred within the O. sativa subsp. japonica lineage and, as revealed by sequence comparisons, after its divergence from the indica chloroplast lineage. The time of the transfer for the rice nupt was estimated as 148,000 (74,000-296,000) years ago and that for the Arabidopsis numtDNA as 88,000 (44,000-176,000) years ago. The results reveal transfer and integration of entire organelle genomes into the nucleus as an ongoing evolutionary process and uncover mutational mechanisms affecting organelle genomes recently transferred into a new mutational environment. © 2005 American Society of Plant Biologists.","author":[{"dropping-particle":"","family":"Huang","given":"Chun Y.","non-dropping-particle":"","parse-names":false,"suffix":""},{"dropping-particle":"","family":"Grünheit","given":"Nicole","non-dropping-particle":"","parse-names":false,"suffix":""},{"dropping-particle":"","family":"Ahmadinejad","given":"Nahal","non-dropping-particle":"","parse-names":false,"suffix":""},{"dropping-particle":"","family":"Timmis","given":"Jeremy N.","non-dropping-particle":"","parse-names":false,"suffix":""},{"dropping-particle":"","family":"Martin","given":"William","non-dropping-particle":"","parse-names":false,"suffix":""}],"container-title":"Plant Physiology","id":"ITEM-1","issue":"3","issued":{"date-parts":[["2005"]]},"page":"1723-1733","title":"Mutational decay and age of chloroplast and mitochondrial genomes transferred recently to angiosperm nuclear chromosomes","type":"article-journal","volume":"138"},"uris":["http://www.mendeley.com/documents/?uuid=335aace0-c907-40b2-8992-6813240ac5bf"]}],"mendeley":{"formattedCitation":"(Huang, Grünheit, Ahmadinejad, Timmis, &amp; Martin, 2005)","plainTextFormattedCitation":"(Huang, Grünheit, Ahmadinejad, Timmis, &amp; Martin, 2005)","previouslyFormattedCitation":"(Huang et al. 2005)"},"properties":{"noteIndex":0},"schema":"https://github.com/citation-style-language/schema/raw/master/csl-citation.json"}</w:instrText>
      </w:r>
      <w:r>
        <w:fldChar w:fldCharType="separate"/>
      </w:r>
      <w:r w:rsidRPr="00E64425">
        <w:rPr>
          <w:noProof/>
        </w:rPr>
        <w:t>(Huang, Grünheit, Ahmadinejad, Timmis, &amp; Martin, 2005)</w:t>
      </w:r>
      <w:r>
        <w:fldChar w:fldCharType="end"/>
      </w:r>
      <w:r>
        <w:t xml:space="preserve">. Specifically, new NUPTs and NUMTs are thought to be neutral or deleterious when integrated as they may cause genome instability </w:t>
      </w:r>
      <w:r>
        <w:fldChar w:fldCharType="begin" w:fldLock="1"/>
      </w:r>
      <w:r>
        <w:instrText>ADDIN CSL_CITATION {"citationItems":[{"id":"ITEM-1","itemData":{"DOI":"10.1038/s41598-019-38607-6","ISSN":"20452322","PMID":"30765781","abstract":"Nuclear genomes are always faced with the modification of themselves by insertions and integrations of foreign DNAs and intrinsic parasites such as transposable elements. There is also substantial number of integrations from symbiotic organellar genomes to their host nuclear genomes. Such integration might have acted as a beneficial mutation during the evolution of symbiosis, while most of them have more or less deleterious effects on the stability of current genomes. Here we report the pattern of DNA substitution and methylation on organellar DNA fragments integrated from plastid into plant nuclear genomes. The genome analyses of 17 plants show homology–dependent DNA substitution bias. A certain number of these sequences are DNA methylated in the nuclear genome. The intensity of DNA methylation also decays according to the increase of relative evolutionary times after being integrated into nuclear genomes. The methylome data of epigenetic mutants shows that the DNA methylation of organellar DNA fragments in nuclear genomes are mainly dependent on the methylation maintenance machinery, while other mechanisms may also affect on the DNA methylation level. The DNA methylation on organellar DNA fragments may contribute to maintaining the genome stability and evolutionary dynamics of symbiotic organellar and their host’s genomes.","author":[{"dropping-particle":"","family":"Yoshida","given":"Takanori","non-dropping-particle":"","parse-names":false,"suffix":""},{"dropping-particle":"","family":"Furihata","given":"Hazuka Y.","non-dropping-particle":"","parse-names":false,"suffix":""},{"dropping-particle":"","family":"To","given":"Taiko Kim","non-dropping-particle":"","parse-names":false,"suffix":""},{"dropping-particle":"","family":"Kakutani","given":"Tetsuji","non-dropping-particle":"","parse-names":false,"suffix":""},{"dropping-particle":"","family":"Kawabe","given":"Akira","non-dropping-particle":"","parse-names":false,"suffix":""}],"container-title":"Scientific Reports","id":"ITEM-1","issue":"1","issued":{"date-parts":[["2019"]]},"page":"1-11","publisher":"Springer US","title":"Genome defense against integrated organellar DNA fragments from plastids into plant nuclear genomes through DNA methylation","type":"article-journal","volume":"9"},"uris":["http://www.mendeley.com/documents/?uuid=7267e038-4d08-4e37-9873-85a0c4a48ade"]}],"mendeley":{"formattedCitation":"(Yoshida, Furihata, To, Kakutani, &amp; Kawabe, 2019)","plainTextFormattedCitation":"(Yoshida, Furihata, To, Kakutani, &amp; Kawabe, 2019)","previouslyFormattedCitation":"(Yoshida et al. 2019)"},"properties":{"noteIndex":0},"schema":"https://github.com/citation-style-language/schema/raw/master/csl-citation.json"}</w:instrText>
      </w:r>
      <w:r>
        <w:fldChar w:fldCharType="separate"/>
      </w:r>
      <w:r w:rsidRPr="00E64425">
        <w:rPr>
          <w:noProof/>
        </w:rPr>
        <w:t>(Yoshida, Furihata, To, Kakutani, &amp; Kawabe, 2019)</w:t>
      </w:r>
      <w:r>
        <w:fldChar w:fldCharType="end"/>
      </w:r>
      <w:r>
        <w:t xml:space="preserve">. Similarly, transposable elements are also known to cause instability in the genome and are in part regulated by epigenetic modification in the forms of DNA and histone methylation </w:t>
      </w:r>
      <w:r>
        <w:fldChar w:fldCharType="begin" w:fldLock="1"/>
      </w:r>
      <w:r>
        <w:instrText>ADDIN CSL_CITATION {"citationItems":[{"id":"ITEM-1","itemData":{"DOI":"10.1038/nrm4043","ISSN":"14710080","PMID":"26296162","abstract":"Methylation of DNA and of histone 3 at Lys 9 (H3K9) are highly correlated with gene silencing in eukaryotes from fungi to humans. Both of these epigenetic marks need to be established at specific regions of the genome and then maintained at these sites through cell division. Protein structural domains that specifically recognize methylated DNA and methylated histones are key for targeting enzymes that catalyse these marks to appropriate genome sites. Genetic, genomic, structural and biochemical data reveal connections between these two epigenetic marks, and these domains mediate much of the crosstalk.","author":[{"dropping-particle":"","family":"Du","given":"Jiamu","non-dropping-particle":"","parse-names":false,"suffix":""},{"dropping-particle":"","family":"Johnson","given":"Lianna M.","non-dropping-particle":"","parse-names":false,"suffix":""},{"dropping-particle":"","family":"Jacobsen","given":"Steven E.","non-dropping-particle":"","parse-names":false,"suffix":""},{"dropping-particle":"","family":"Patel","given":"Dinshaw J.","non-dropping-particle":"","parse-names":false,"suffix":""}],"container-title":"Nature Reviews Molecular Cell Biology","id":"ITEM-1","issue":"9","issued":{"date-parts":[["2015"]]},"page":"519-532","publisher":"Nature Publishing Group","title":"DNA methylation pathways and their crosstalk with histone methylation","type":"article-journal","volume":"16"},"uris":["http://www.mendeley.com/documents/?uuid=99d40091-da16-4d3b-bb54-85f02d5b4376"]}],"mendeley":{"formattedCitation":"(Du, Johnson, Jacobsen, &amp; Patel, 2015)","plainTextFormattedCitation":"(Du, Johnson, Jacobsen, &amp; Patel, 2015)","previouslyFormattedCitation":"(Du et al. 2015)"},"properties":{"noteIndex":0},"schema":"https://github.com/citation-style-language/schema/raw/master/csl-citation.json"}</w:instrText>
      </w:r>
      <w:r>
        <w:fldChar w:fldCharType="separate"/>
      </w:r>
      <w:r w:rsidRPr="00E64425">
        <w:rPr>
          <w:noProof/>
        </w:rPr>
        <w:t>(Du, Johnson, Jacobsen, &amp; Patel, 2015)</w:t>
      </w:r>
      <w:r>
        <w:fldChar w:fldCharType="end"/>
      </w:r>
      <w:r>
        <w:t xml:space="preserve">. A corollary of NUPT and NUMT methylation as a source of repression is mutation as methylation can cause the deamination of cytosine. This results in biased cytosine to thymine (C to T) and guanine to adenine (G to A) transition mutations. This is also a useful characteristic for assessing the relative age of NUPTs and NUMTs as new integration events should be highly </w:t>
      </w:r>
      <w:r>
        <w:lastRenderedPageBreak/>
        <w:t xml:space="preserve">methylated and over time become less methylated. This epigenetic modification is likely essential for the suppression of spurious transcription of NUPTs and NUMTs and therefore maintenance of regulatory networks that exist between nuclear and organelle genomes </w:t>
      </w:r>
      <w:r>
        <w:fldChar w:fldCharType="begin" w:fldLock="1"/>
      </w:r>
      <w:r>
        <w:instrText>ADDIN CSL_CITATION {"citationItems":[{"id":"ITEM-1","itemData":{"DOI":"10.1038/s41598-019-38607-6","ISSN":"20452322","PMID":"30765781","abstract":"Nuclear genomes are always faced with the modification of themselves by insertions and integrations of foreign DNAs and intrinsic parasites such as transposable elements. There is also substantial number of integrations from symbiotic organellar genomes to their host nuclear genomes. Such integration might have acted as a beneficial mutation during the evolution of symbiosis, while most of them have more or less deleterious effects on the stability of current genomes. Here we report the pattern of DNA substitution and methylation on organellar DNA fragments integrated from plastid into plant nuclear genomes. The genome analyses of 17 plants show homology–dependent DNA substitution bias. A certain number of these sequences are DNA methylated in the nuclear genome. The intensity of DNA methylation also decays according to the increase of relative evolutionary times after being integrated into nuclear genomes. The methylome data of epigenetic mutants shows that the DNA methylation of organellar DNA fragments in nuclear genomes are mainly dependent on the methylation maintenance machinery, while other mechanisms may also affect on the DNA methylation level. The DNA methylation on organellar DNA fragments may contribute to maintaining the genome stability and evolutionary dynamics of symbiotic organellar and their host’s genomes.","author":[{"dropping-particle":"","family":"Yoshida","given":"Takanori","non-dropping-particle":"","parse-names":false,"suffix":""},{"dropping-particle":"","family":"Furihata","given":"Hazuka Y.","non-dropping-particle":"","parse-names":false,"suffix":""},{"dropping-particle":"","family":"To","given":"Taiko Kim","non-dropping-particle":"","parse-names":false,"suffix":""},{"dropping-particle":"","family":"Kakutani","given":"Tetsuji","non-dropping-particle":"","parse-names":false,"suffix":""},{"dropping-particle":"","family":"Kawabe","given":"Akira","non-dropping-particle":"","parse-names":false,"suffix":""}],"container-title":"Scientific Reports","id":"ITEM-1","issue":"1","issued":{"date-parts":[["2019"]]},"page":"1-11","publisher":"Springer US","title":"Genome defense against integrated organellar DNA fragments from plastids into plant nuclear genomes through DNA methylation","type":"article-journal","volume":"9"},"uris":["http://www.mendeley.com/documents/?uuid=7267e038-4d08-4e37-9873-85a0c4a48ade"]}],"mendeley":{"formattedCitation":"(Yoshida et al., 2019)","plainTextFormattedCitation":"(Yoshida et al., 2019)","previouslyFormattedCitation":"(Yoshida et al. 2019)"},"properties":{"noteIndex":0},"schema":"https://github.com/citation-style-language/schema/raw/master/csl-citation.json"}</w:instrText>
      </w:r>
      <w:r>
        <w:fldChar w:fldCharType="separate"/>
      </w:r>
      <w:r w:rsidRPr="00E64425">
        <w:rPr>
          <w:noProof/>
        </w:rPr>
        <w:t>(Yoshida et al., 2019)</w:t>
      </w:r>
      <w:r>
        <w:fldChar w:fldCharType="end"/>
      </w:r>
      <w:r>
        <w:t xml:space="preserve">. In terms of fragmentation and rearrangement, new organelle derived features tend to be longer, have higher identity, and are in general collinear to their sister organelle sequences. The insertion of TEs or other NUMTs/NUMTs into existing NUPT features can have an important impact on the arrangement of these features in the nuclear genome as was observed in rice and higher rates of rearrangement should be present in older features </w:t>
      </w:r>
      <w:r>
        <w:fldChar w:fldCharType="begin" w:fldLock="1"/>
      </w:r>
      <w:r>
        <w:instrText>ADDIN CSL_CITATION {"citationItems":[{"id":"ITEM-1","itemData":{"DOI":"10.1105/tpc.104.027706","ISSN":"10404651","abstract":"Plastid DNA fragments are often found in the plant nuclear genome, and DNA transfer from plastids to the nucleus is ongoing. However, successful gene transfer is rare. What happens to compensate for this? To address this question, we analyzed nuclear-localized plastid DNA (nupDNA) fragments throughout the rice (Oryza sativa ssp japonica) genome, with respect to their age, size, structure, and integration sites on chromosomes. The divergence of nupDNA sequences from the sequence of the present plastid genome strongly suggests that plastid DNA has been transferred repeatedly to the nucleus in rice. Age distribution profiles of the nupDNA population, together with the size and structural characteristics of each fragment, revealed that once plastid DNAs are integrated into the nuclear genome, they are rapidly fragmented and vigorously shuffled, and surprisingly, 80% of them are eliminated from the nuclear genome within a million years. Large nupDNA fragments preferentially localize to the pericentromeric region of the chromosomes, where integration and elimination frequencies are markedly higher. These data indicate that the plant nuclear genome is in equilibrium between frequent integration and rapid elimination of the chloroplast genome and that the pericentromeric regions play a significant role in facilitating the chloroplast-nuclear DNA flux. © 2005 American Society of Plant Biologists.","author":[{"dropping-particle":"","family":"Matsuo","given":"Mitsuhiro","non-dropping-particle":"","parse-names":false,"suffix":""},{"dropping-particle":"","family":"Ito","given":"Yuki","non-dropping-particle":"","parse-names":false,"suffix":""},{"dropping-particle":"","family":"Yamauchi","given":"Ryo","non-dropping-particle":"","parse-names":false,"suffix":""},{"dropping-particle":"","family":"Obokata","given":"Junichi","non-dropping-particle":"","parse-names":false,"suffix":""}],"container-title":"Plant Cell","id":"ITEM-1","issue":"3","issued":{"date-parts":[["2005"]]},"page":"665-675","title":"The rice nuclear genome continuously integrates, shuffles, and eliminates the chloroplast genome to cause chloroplast-nuclear DNA flux","type":"article-journal","volume":"17"},"uris":["http://www.mendeley.com/documents/?uuid=e60c84dc-fde5-49c1-b769-fad1154c1538"]}],"mendeley":{"formattedCitation":"(Matsuo et al., 2005)","plainTextFormattedCitation":"(Matsuo et al., 2005)","previouslyFormattedCitation":"(Matsuo et al. 2005)"},"properties":{"noteIndex":0},"schema":"https://github.com/citation-style-language/schema/raw/master/csl-citation.json"}</w:instrText>
      </w:r>
      <w:r>
        <w:fldChar w:fldCharType="separate"/>
      </w:r>
      <w:r w:rsidRPr="00E64425">
        <w:rPr>
          <w:noProof/>
        </w:rPr>
        <w:t>(Matsuo et al., 2005)</w:t>
      </w:r>
      <w:r>
        <w:fldChar w:fldCharType="end"/>
      </w:r>
      <w:r>
        <w:t xml:space="preserve">. Lastly, proliferation of NUPTs and NUMTs can occur and is likely mediated through retrotransposon activity </w:t>
      </w:r>
      <w:r>
        <w:fldChar w:fldCharType="begin" w:fldLock="1"/>
      </w:r>
      <w:r>
        <w:instrText>ADDIN CSL_CITATION {"citationItems":[{"id":"ITEM-1","itemData":{"DOI":"10.1007/s00438-013-0747-7","ISBN":"0043801307","ISSN":"16174615","PMID":"23636354","abstract":"Sex chromosomes are a pair of specialized chromosomes containing a sex determination region that is suppressed for recombination. Without recombination, Y chromosomes are thought to accumulate repetitive DNA sequences which contribute to their degeneration. A pair of primitive sex chromosomes controls sex type in papaya with male and hermaphrodite determined by the slightly different male-specific region of the Y (MSY) and hermaphrodite- specific region of Yh (HSY) chromosomes, respectively. Here, we show that the papaya HSY and MSY in the absence of recombination have accumulated nearly 12 times the amount of chloroplast-derived DNA than the corresponding region of the X chromosome and 4 times the papaya genome-wide average. Furthermore, a chloroplast genome fragment containing the rsp15 gene has been amplified 23 times in the HSY, evidence of retrotransposon-mediated duplication. Surprisingly, mitochondria-derived sequences are less abundant in the X and HSY compared to the whole genome. Shared organelle integrations are sparse between X and HSY, with only 11 % of chloroplast and 12 % of mitochondria fragments conserved, respectively, suggesting that the accelerated accumulation of organelle DNA occurred after the HSY was suppressed for recombination. Most of the organelle-derived sequences have divergence times of &lt;7 MYA, reinforcing this notion. The accumulated chloroplast DNA is evidence of the slow degeneration of the HSY. © 2013 Springer-Verlag Berlin Heidelberg.","author":[{"dropping-particle":"","family":"Vanburen","given":"Robert","non-dropping-particle":"","parse-names":false,"suffix":""},{"dropping-particle":"","family":"Ming","given":"Ray","non-dropping-particle":"","parse-names":false,"suffix":""}],"container-title":"Molecular Genetics and Genomics","id":"ITEM-1","issue":"5-6","issued":{"date-parts":[["2013"]]},"page":"277-284","title":"Organelle DNA accumulation in the recently evolved papaya sex chromosomes","type":"article-journal","volume":"288"},"uris":["http://www.mendeley.com/documents/?uuid=ca34a1ac-7ee5-47c9-b9fc-ed7e01b2474f"]}],"mendeley":{"formattedCitation":"(Vanburen &amp; Ming, 2013)","plainTextFormattedCitation":"(Vanburen &amp; Ming, 2013)","previouslyFormattedCitation":"(Vanburen &amp; Ming 2013)"},"properties":{"noteIndex":0},"schema":"https://github.com/citation-style-language/schema/raw/master/csl-citation.json"}</w:instrText>
      </w:r>
      <w:r>
        <w:fldChar w:fldCharType="separate"/>
      </w:r>
      <w:r w:rsidRPr="00E64425">
        <w:rPr>
          <w:noProof/>
        </w:rPr>
        <w:t>(Vanburen &amp; Ming, 2013)</w:t>
      </w:r>
      <w:r>
        <w:fldChar w:fldCharType="end"/>
      </w:r>
      <w:r>
        <w:t>.</w:t>
      </w:r>
    </w:p>
    <w:p w14:paraId="62500138" w14:textId="77777777" w:rsidR="00636B5B" w:rsidRPr="008F15AE" w:rsidRDefault="00636B5B" w:rsidP="00E64425">
      <w:pPr>
        <w:spacing w:line="360" w:lineRule="auto"/>
        <w:ind w:firstLine="720"/>
      </w:pPr>
      <w:r>
        <w:t xml:space="preserve">Most NUMT and NUPT transfer is non-coding in nature. </w:t>
      </w:r>
      <w:proofErr w:type="gramStart"/>
      <w:r>
        <w:t>In order to</w:t>
      </w:r>
      <w:proofErr w:type="gramEnd"/>
      <w:r>
        <w:t xml:space="preserve"> be functional, the putative NUPT or NUMT must have accompanying regulatory sequences such as promoter, terminator, and transit peptide sequences. Some examples in the context of mitochondrial gene transfer have shown that most events insert into pre-existing nuclear promoter sequences and transit-peptide sequences </w:t>
      </w:r>
      <w:r>
        <w:fldChar w:fldCharType="begin" w:fldLock="1"/>
      </w:r>
      <w:r>
        <w:instrText>ADDIN CSL_CITATION {"citationItems":[{"id":"ITEM-1","itemData":{"DOI":"10.1038/nrg1271","ISSN":"14710056","abstract":"Genome sequences reveal that a deluge of DNA from organelles has constantly been bombarding the nucleus since the origin of organelles. Recent experiments have shown that DNA is transferred from organelles to the nucleus at frequencies that were previously unimaginable. Endosymbiotic gene transfer is a ubiquitous, continuing and natural process that pervades nuclear DNA dynamics. This relentless influx of organelle DNA has abolished organelle autonomy and increased nuclear complexity.","author":[{"dropping-particle":"","family":"Timmis","given":"Jeremy N.","non-dropping-particle":"","parse-names":false,"suffix":""},{"dropping-particle":"","family":"Ayliff","given":"Michael A.","non-dropping-particle":"","parse-names":false,"suffix":""},{"dropping-particle":"","family":"Huang","given":"Chun Y.","non-dropping-particle":"","parse-names":false,"suffix":""},{"dropping-particle":"","family":"Martin","given":"William","non-dropping-particle":"","parse-names":false,"suffix":""}],"container-title":"Nature Reviews Genetics","id":"ITEM-1","issue":"2","issued":{"date-parts":[["2004"]]},"page":"123-135","title":"Endosymbiotic gene transfer: Organelle genomes forge eukaryotic chromosomes","type":"article-journal","volume":"5"},"uris":["http://www.mendeley.com/documents/?uuid=cb5dd404-027c-486e-8599-73e23177c9ce"]}],"mendeley":{"formattedCitation":"(Timmis et al., 2004)","plainTextFormattedCitation":"(Timmis et al., 2004)","previouslyFormattedCitation":"(Timmis et al. 2004)"},"properties":{"noteIndex":0},"schema":"https://github.com/citation-style-language/schema/raw/master/csl-citation.json"}</w:instrText>
      </w:r>
      <w:r>
        <w:fldChar w:fldCharType="separate"/>
      </w:r>
      <w:r w:rsidRPr="00E64425">
        <w:rPr>
          <w:noProof/>
        </w:rPr>
        <w:t>(Timmis et al., 2004)</w:t>
      </w:r>
      <w:r>
        <w:fldChar w:fldCharType="end"/>
      </w:r>
      <w:r>
        <w:t xml:space="preserve">. Furthermore, it has been shown that organelle DNA preferentially inserts into open chromatin </w:t>
      </w:r>
      <w:r>
        <w:fldChar w:fldCharType="begin" w:fldLock="1"/>
      </w:r>
      <w:r>
        <w:instrText>ADDIN CSL_CITATION {"citationItems":[{"id":"ITEM-1","itemData":{"DOI":"10.1093/gbe/evt070","ISSN":"17596653","PMID":"23661564","abstract":"DNA transfer from chloroplasts and mitochondria to the nucleus is ongoing in eukaryotes but the mechanisms involved are poorly understood. Mitochondrial DNA was observed to integrate into the nuclear genome through DNA double-strand break repair in Nicotiana tabacum. Here, 14 nuclear insertions of chloroplast DNA (nupts) that are unique to Oryza sativa subsp. indica were identified. Comparisons with the preinsertion nuclear loci identified in the related subspecies, O. sativa subsp. japonica, which lacked these nupts, indicated that chloroplast DNA had integrated by nonhomologous end joining. Analyzing public DNase-seq data revealed that nupts were significantly more frequent in open chromatin regions of the nucleus. This preference was tested further in the chimpanzee genome by comparing nuclear loci containing integrants of mitochondrial DNA (numts) with their corresponding numt-lacking preinsertion sites in the human genome. Mitochondrial DNAs also tended to insert more frequently into regions of open chromatin revealed by human DNase-seq and Formaldehyde-Assisted Isolation of Regulatory Elements-seq databases. © The Author(s) 2013.","author":[{"dropping-particle":"","family":"Wang","given":"Dong","non-dropping-particle":"","parse-names":false,"suffix":""},{"dropping-particle":"","family":"Timmis","given":"Jeremy N.","non-dropping-particle":"","parse-names":false,"suffix":""}],"container-title":"Genome Biology and Evolution","id":"ITEM-1","issue":"6","issued":{"date-parts":[["2013"]]},"page":"1060-1064","title":"Cytoplasmic organelle DNA preferentially inserts into open chromatin","type":"article-journal","volume":"5"},"uris":["http://www.mendeley.com/documents/?uuid=70ad7571-7c00-4b29-8472-69a17ef25cf6"]}],"mendeley":{"formattedCitation":"(D. Wang &amp; Timmis, 2013)","plainTextFormattedCitation":"(D. Wang &amp; Timmis, 2013)","previouslyFormattedCitation":"(Wang &amp; Timmis 2013)"},"properties":{"noteIndex":0},"schema":"https://github.com/citation-style-language/schema/raw/master/csl-citation.json"}</w:instrText>
      </w:r>
      <w:r>
        <w:fldChar w:fldCharType="separate"/>
      </w:r>
      <w:r w:rsidRPr="00E64425">
        <w:rPr>
          <w:noProof/>
        </w:rPr>
        <w:t>(D. Wang &amp; Timmis, 2013)</w:t>
      </w:r>
      <w:r>
        <w:fldChar w:fldCharType="end"/>
      </w:r>
      <w:r>
        <w:t xml:space="preserve">. Additionally, it is also now evident that organelle derived regulatory sequences can drive nuclear transcription, albeit at lower levels than nuclear promoters </w:t>
      </w:r>
      <w:r>
        <w:fldChar w:fldCharType="begin" w:fldLock="1"/>
      </w:r>
      <w:r>
        <w:instrText>ADDIN CSL_CITATION {"citationItems":[{"id":"ITEM-1","itemData":{"DOI":"10.1093/gbe/evu111","ISSN":"17596653","PMID":"24868015","abstract":"Endosymbioticgene transfer from cytoplasmic organelles (chloroplasts and mitochondria) to thenucleus is an ongoing process in land plants. Although the frequency of organelle DNA migration is high, functional gene transfer is rare because a nuclear promoter is thought necessary for activity in the nucleus. Here we show that a chloroplast promoter, 16S rrn, drives nuclear transcription, suggesting that a transferred organellar gene may become active without obtaining a nuclear promoter. Examining the chromatin status of a knownde novo chloroplast integrant indicates that plastid DNA inserts into open chromatin and that this relaxed condition is maintained after integration. Transcription of nuclear organelle DNA integrants was explored at the whole genome level by analyzing RNA-seq data of Oryza sativa subsp. japonica, and utilizing sequence polymorphisms to unequivocally discriminate nuclear organelle DNA transcripts from those of bona fide cytoplasmic organelle DNA. Nuclear copies of organelle DNA that are transcribed show a spectrum of transcriptional activity but at comparatively low levels compared with the majority of other nuclear genes. © The Author(s) 2014.","author":[{"dropping-particle":"","family":"Wang","given":"Dong","non-dropping-particle":"","parse-names":false,"suffix":""},{"dropping-particle":"","family":"Qu","given":"Zhipeng","non-dropping-particle":"","parse-names":false,"suffix":""},{"dropping-particle":"","family":"Adelson","given":"David L.","non-dropping-particle":"","parse-names":false,"suffix":""},{"dropping-particle":"","family":"Zhu","given":"Jian Kang","non-dropping-particle":"","parse-names":false,"suffix":""},{"dropping-particle":"","family":"Timmis","given":"Jeremy N.","non-dropping-particle":"","parse-names":false,"suffix":""}],"container-title":"Genome Biology and Evolution","id":"ITEM-1","issue":"6","issued":{"date-parts":[["2014"]]},"page":"1327-1334","title":"Transcription of nuclear organellar DNA in a model plant system","type":"article-journal","volume":"6"},"uris":["http://www.mendeley.com/documents/?uuid=8b5bdf66-eb91-4c83-a4fa-fafbf69289f2"]}],"mendeley":{"formattedCitation":"(D. Wang, Qu, Adelson, Zhu, &amp; Timmis, 2014)","plainTextFormattedCitation":"(D. Wang, Qu, Adelson, Zhu, &amp; Timmis, 2014)","previouslyFormattedCitation":"(Wang et al. 2014)"},"properties":{"noteIndex":0},"schema":"https://github.com/citation-style-language/schema/raw/master/csl-citation.json"}</w:instrText>
      </w:r>
      <w:r>
        <w:fldChar w:fldCharType="separate"/>
      </w:r>
      <w:r w:rsidRPr="00E64425">
        <w:rPr>
          <w:noProof/>
        </w:rPr>
        <w:t>(D. Wang, Qu, Adelson, Zhu, &amp; Timmis, 2014)</w:t>
      </w:r>
      <w:r>
        <w:fldChar w:fldCharType="end"/>
      </w:r>
      <w:r>
        <w:t xml:space="preserve">. The transfer of whole functional genes may be unlikely but, NUPT or NUMT transfer has been shown to be implicated in remodeling existing genes. For example one study identified novel exons contributed by NUMTS and NUPTs in </w:t>
      </w:r>
      <w:r>
        <w:rPr>
          <w:i/>
          <w:iCs/>
        </w:rPr>
        <w:t xml:space="preserve">Arabidopsis, S. cerevisiae, humans, </w:t>
      </w:r>
      <w:r>
        <w:t xml:space="preserve">and rice </w:t>
      </w:r>
      <w:r>
        <w:fldChar w:fldCharType="begin" w:fldLock="1"/>
      </w:r>
      <w:r>
        <w:instrText>ADDIN CSL_CITATION {"citationItems":[{"id":"ITEM-1","itemData":{"DOI":"10.1016/j.tig.2007.08.016","ISSN":"01689525","abstract":"Recent nuclear transfer of organellar DNA is thought to result mainly in nonfunctional nuclear sequences or in genetic dysfunction. Here we show that nuclear exons encoding novel protein sequences can be generated by insertions of organellar DNA. Most of the protein sequences do not correspond to preexisting organellar coding sequences or they represent markedly reshaped protein domains, reflecting the recruitment and adaptation of encoded proteins to new functions. Organelle-derived DNA insertions might be responsible for many more ancient functional exon acquisitions that are not directly detectable. © 2007 Elsevier Ltd. All rights reserved.","author":[{"dropping-particle":"","family":"Noutsos","given":"Christos","non-dropping-particle":"","parse-names":false,"suffix":""},{"dropping-particle":"","family":"Kleine","given":"Tatjana","non-dropping-particle":"","parse-names":false,"suffix":""},{"dropping-particle":"","family":"Armbruster","given":"Ute","non-dropping-particle":"","parse-names":false,"suffix":""},{"dropping-particle":"","family":"DalCorso","given":"Giovanni","non-dropping-particle":"","parse-names":false,"suffix":""},{"dropping-particle":"","family":"Leister","given":"Dario","non-dropping-particle":"","parse-names":false,"suffix":""}],"container-title":"Trends in Genetics","id":"ITEM-1","issue":"12","issued":{"date-parts":[["2007"]]},"page":"597-601","title":"Nuclear insertions of organellar DNA can create novel patches of functional exon sequences","type":"article-journal","volume":"23"},"uris":["http://www.mendeley.com/documents/?uuid=4349ddbc-2169-4916-b997-8a82d0247337"]}],"mendeley":{"formattedCitation":"(Noutsos, Kleine, Armbruster, DalCorso, &amp; Leister, 2007)","plainTextFormattedCitation":"(Noutsos, Kleine, Armbruster, DalCorso, &amp; Leister, 2007)","previouslyFormattedCitation":"(Noutsos et al. 2007)"},"properties":{"noteIndex":0},"schema":"https://github.com/citation-style-language/schema/raw/master/csl-citation.json"}</w:instrText>
      </w:r>
      <w:r>
        <w:fldChar w:fldCharType="separate"/>
      </w:r>
      <w:r w:rsidRPr="00E64425">
        <w:rPr>
          <w:noProof/>
        </w:rPr>
        <w:t>(Noutsos, Kleine, Armbruster, DalCorso, &amp; Leister, 2007)</w:t>
      </w:r>
      <w:r>
        <w:fldChar w:fldCharType="end"/>
      </w:r>
      <w:r>
        <w:t xml:space="preserve">. Based on an analysis of these four species, 45 integration events contributed sequences to 49 protein-coding exons. Although NUPT and NUMT insertion may provide a source of evolutionary innovation, they also have been linked to disease in humans </w:t>
      </w:r>
      <w:r>
        <w:fldChar w:fldCharType="begin" w:fldLock="1"/>
      </w:r>
      <w:r>
        <w:instrText>ADDIN CSL_CITATION {"citationItems":[{"id":"ITEM-1","itemData":{"DOI":"10.1371/journal.pgen.1000834","ISSN":"15537390","PMID":"20168995","abstract":"The natural transfer of DNA from mitochondria to the nucleus generates nuclear copies of mitochondrial DNA (numts) and is an ongoing evolutionary process, as genome sequences attest. In humans, five different numts cause genetic disease and a dozen human loci are polymorphic for the presence of numts, underscoring the rapid rate at which mitochondrial sequences reach the nucleus over evolutionary time. In the laboratory and in nature, numts enter the nuclear DNA via non-homolgous end joining (NHEJ) at double-strand breaks (DSBs). The frequency of numt insertions among 85 sequenced eukaryotic genomes reveal that numt content is strongly correlated with genome size, suggesting that the numt insertion rate might be limited by DSB frequency. Polymorphic numts in humans link maternally inherited mitochondrial genotypes to nuclear DNA haplotypes during the past, offering new opportunities to associate nuclear markers with mitochondrial markers back in time. © 2010 Hazkani-Covo et al.","author":[{"dropping-particle":"","family":"Hazkani-Covo","given":"Einat","non-dropping-particle":"","parse-names":false,"suffix":""},{"dropping-particle":"","family":"Zeller","given":"Raymond M.","non-dropping-particle":"","parse-names":false,"suffix":""},{"dropping-particle":"","family":"Martin","given":"William","non-dropping-particle":"","parse-names":false,"suffix":""}],"container-title":"PLoS Genetics","id":"ITEM-1","issue":"2","issued":{"date-parts":[["2010"]]},"title":"Molecular poltergeists: Mitochondrial DNA copies (numts) in sequenced nuclear genomes","type":"article-journal","volume":"6"},"uris":["http://www.mendeley.com/documents/?uuid=ed57b9b3-46af-40cb-b1d5-17de8d3b9228"]}],"mendeley":{"formattedCitation":"(Hazkani-Covo et al., 2010)","plainTextFormattedCitation":"(Hazkani-Covo et al., 2010)","previouslyFormattedCitation":"(Hazkani-Covo et al. 2010)"},"properties":{"noteIndex":0},"schema":"https://github.com/citation-style-language/schema/raw/master/csl-citation.json"}</w:instrText>
      </w:r>
      <w:r>
        <w:fldChar w:fldCharType="separate"/>
      </w:r>
      <w:r w:rsidRPr="00E64425">
        <w:rPr>
          <w:noProof/>
        </w:rPr>
        <w:t>(Hazkani-Covo et al., 2010)</w:t>
      </w:r>
      <w:r>
        <w:fldChar w:fldCharType="end"/>
      </w:r>
      <w:r>
        <w:t xml:space="preserve">. One study described five different NUMT insertions which cause disease in humans </w:t>
      </w:r>
      <w:r>
        <w:fldChar w:fldCharType="begin" w:fldLock="1"/>
      </w:r>
      <w:r>
        <w:instrText xml:space="preserve">ADDIN CSL_CITATION {"citationItems":[{"id":"ITEM-1","itemData":{"DOI":"10.1002/humu.20133","ISSN":"10597794","PMID":"15643617","abstract":"Although gross insertions (&gt; 20 bp) comprise &lt; 1% of disease-causing mutations, they nevertheless represent an important category of pathological lesion. In an attempt to study these insertions in a systematic way, 158 gross insertions ranging in size between 21 bp and </w:instrText>
      </w:r>
      <w:r>
        <w:rPr>
          <w:rFonts w:ascii="Cambria Math" w:hAnsi="Cambria Math" w:cs="Cambria Math"/>
        </w:rPr>
        <w:instrText>∼</w:instrText>
      </w:r>
      <w:r>
        <w:instrText>10 kb were identified using the Human Gene Mutation Database (www.hgmd.org). A careful meta-analytical study revealed extensive diversity in terms of the nature of the inserted DNA sequence and has provided new insights into the underlying mutational mechanisms. Some 70% of gross insertions were found to represent sequence duplications of different types (tandem, partial tandem, or complex). Although most of the tandem duplications were explicable by simple replication slippage, the three complex duplications appear to result from multiple slippage events. Some 11% of gross insertions were attributable to nonpolyglutamine repeat expansions (including octapeptide repeat expansions in the prion protein gene [PRNP] and polyalanine tract expansions) and evidence is presented to support the contention that these mutations are also caused by replication slippage rather than by unequal crossing over. Some 17% of gross insertions, all ≥ 276 bp in length, were found to be due to LINE-1 (L1) retrotransposition involving different types of element (L1 trans-driven Alu, L1 direct, and L1 trans-driven SVA). A second example of pathological mitochondrial-nuclear sequence transfer was identified in the USH1C gene but appears to arise via a novel mechanism, trans-replication slippage. Finally, evidence for another novel mechanism of human genetic disease, involving the possible capture of DNA oligonucleotides, is presented in the context of a 26-bp insertion into the ERCC6 gene. © 2005 Wiley-Liss, Inc.","author":[{"dropping-particle":"","family":"Chen","given":"Jian Min","non-dropping-particle":"","parse-names":false,"suffix":""},{"dropping-particle":"","family":"Chuzhanova","given":"Nadia","non-dropping-particle":"","parse-names":false,"suffix":""},{"dropping-particle":"","family":"Stenson","given":"Peter D.","non-dropping-particle":"","parse-names":false,"suffix":""},{"dropping-particle":"","family":"Férec","given":"Claude","non-dropping-particle":"","parse-names":false,"suffix":""},{"dropping-particle":"","family":"Cooper","given":"David N.","non-dropping-particle":"","parse-names":false,"suffix":""}],"container-title":"Human Mutation","id":"ITEM-1","issue":"2","issued":{"date-parts":[["2005"]]},"page":"207-221","title":"Meta-analysis of gross insertions causing human genetic disease: Novel mutational mechanisms and the role of replication slippage","type":"article-journal","volume":"25"},"uris":["http://www.mendeley.com/documents/?uuid=42df03ac-96f0-4bdd-869d-7e65eec0f4b7"]}],"mendeley":{"formattedCitation":"(Chen, Chuzhanova, Stenson, Férec, &amp; Cooper, 2005)","plainTextFormattedCitation":"(Chen, Chuzhanova, Stenson, Férec, &amp; Cooper, 2005)","previouslyFormattedCitation":"(Chen et al. 2005)"},"properties":{"noteIndex":0},"schema":"https://github.com/citation-style-language/schema/raw/master/csl-citation.json"}</w:instrText>
      </w:r>
      <w:r>
        <w:fldChar w:fldCharType="separate"/>
      </w:r>
      <w:r w:rsidRPr="00E64425">
        <w:rPr>
          <w:noProof/>
        </w:rPr>
        <w:t>(Chen, Chuzhanova, Stenson, Férec, &amp; Cooper, 2005)</w:t>
      </w:r>
      <w:r>
        <w:fldChar w:fldCharType="end"/>
      </w:r>
      <w:r>
        <w:t>. Overall, NUPTs and NUMTs are important forces which shape genomes and adaptive evolution, are sources of genetic innovation, are causes of disease in humans.</w:t>
      </w:r>
    </w:p>
    <w:p w14:paraId="324BAC6B" w14:textId="77777777" w:rsidR="00636B5B" w:rsidRDefault="00636B5B" w:rsidP="00E64425"/>
    <w:p w14:paraId="62980AFA" w14:textId="77777777" w:rsidR="007768FC" w:rsidRDefault="007768FC" w:rsidP="00E64425">
      <w:pPr>
        <w:rPr>
          <w:b/>
          <w:bCs/>
        </w:rPr>
      </w:pPr>
    </w:p>
    <w:p w14:paraId="14E399FD" w14:textId="77777777" w:rsidR="007768FC" w:rsidRDefault="007768FC" w:rsidP="00E64425">
      <w:pPr>
        <w:rPr>
          <w:b/>
          <w:bCs/>
        </w:rPr>
      </w:pPr>
    </w:p>
    <w:p w14:paraId="1837F1D3" w14:textId="77777777" w:rsidR="007768FC" w:rsidRDefault="007768FC" w:rsidP="00E64425">
      <w:pPr>
        <w:rPr>
          <w:b/>
          <w:bCs/>
        </w:rPr>
      </w:pPr>
    </w:p>
    <w:p w14:paraId="1C224E01" w14:textId="7A9744D1" w:rsidR="00636B5B" w:rsidRDefault="00636B5B" w:rsidP="00E64425">
      <w:pPr>
        <w:rPr>
          <w:b/>
          <w:bCs/>
        </w:rPr>
      </w:pPr>
      <w:r>
        <w:rPr>
          <w:b/>
          <w:bCs/>
        </w:rPr>
        <w:lastRenderedPageBreak/>
        <w:t xml:space="preserve">Organelle genomics and </w:t>
      </w:r>
      <w:proofErr w:type="spellStart"/>
      <w:r>
        <w:rPr>
          <w:b/>
          <w:bCs/>
        </w:rPr>
        <w:t>phylogenomics</w:t>
      </w:r>
      <w:proofErr w:type="spellEnd"/>
      <w:r>
        <w:rPr>
          <w:b/>
          <w:bCs/>
        </w:rPr>
        <w:t xml:space="preserve"> in plants</w:t>
      </w:r>
    </w:p>
    <w:p w14:paraId="393BCE0E" w14:textId="77777777" w:rsidR="00D30413" w:rsidRPr="00927059" w:rsidRDefault="00D30413" w:rsidP="00E64425">
      <w:pPr>
        <w:rPr>
          <w:b/>
          <w:bCs/>
        </w:rPr>
      </w:pPr>
    </w:p>
    <w:p w14:paraId="6B173AA0" w14:textId="77777777" w:rsidR="00636B5B" w:rsidRDefault="00636B5B" w:rsidP="00E64425">
      <w:pPr>
        <w:spacing w:line="360" w:lineRule="auto"/>
      </w:pPr>
      <w:r>
        <w:tab/>
        <w:t xml:space="preserve">In the cell, chloroplasts and mitochondria are membrane bound organelles that perform photosynthesis and generate energy in the form of ATP, respectively </w:t>
      </w:r>
      <w:r>
        <w:fldChar w:fldCharType="begin" w:fldLock="1"/>
      </w:r>
      <w:r>
        <w:instrText>ADDIN CSL_CITATION {"citationItems":[{"id":"ITEM-1","itemData":{"DOI":"10.1105/tpc.108.059147","ISSN":"1532298X","PMID":"18952780","abstract":"The three-dimensional (3-D) network of the granum-stroma thylakoid assembly of vascular plant chloroplasts exhibits complex structural/functional heterogeneity. A complete understanding of the ultrastructure of this assembly is critical for our understanding of thylakoid function. The prevailing historical model of thylakoid structure, based on information derived from serial section analyses of electron microscopy (EM) images, suggests a helical arrangement of stroma membranes wound around the granum stacks. More recently, electron tomography has emerged as the leading method for the study of thylakoid ultrastructure, as it provides for higher resolution in the depth dimension. The first detailed 3D topological model derived from electron tomography was in disagreement with the helical model, whereas a more recent electron tomography study, conducted under somewhat different experimental conditions, suggested that basic features of the helical model are still valid. Here, we review the conventional EM data and present a critical discussion of the two electron tomography data sets in an attempt to establish a consensus model that accommodates all the information presently available. © 2008 American Society of Plant Biologists.","author":[{"dropping-particle":"","family":"Mustárdy","given":"László","non-dropping-particle":"","parse-names":false,"suffix":""},{"dropping-particle":"","family":"Buttle","given":"Karolyn","non-dropping-particle":"","parse-names":false,"suffix":""},{"dropping-particle":"","family":"Steinbach","given":"Gábor","non-dropping-particle":"","parse-names":false,"suffix":""},{"dropping-particle":"","family":"Garab","given":"Gyozo","non-dropping-particle":"","parse-names":false,"suffix":""}],"container-title":"Plant Cell","id":"ITEM-1","issue":"10","issued":{"date-parts":[["2008"]]},"page":"2552-2557","title":"The three-dimensional network of the thylakoid membranes in plants: Quasihelical model of the granum-stroma assembly","type":"article-journal","volume":"20"},"uris":["http://www.mendeley.com/documents/?uuid=800e2ea8-0d7c-49ed-bd25-ba06fc882fb9"]},{"id":"ITEM-2","itemData":{"DOI":"10.1038/scientificamerican0757-131","ISSN":"0036-8733","abstract":"JSTOR is a not-for-profit service that helps scholars, researchers, and students discover, use, and build upon a wide range of content in a trusted digital archive. We use information technology and tools to increase productivity and facilitate new forms of scholarship. For more information about JSTOR, please contact support@jstor.org.","author":[{"dropping-particle":"","family":"Siekevitz","given":"Philip","non-dropping-particle":"","parse-names":false,"suffix":""}],"container-title":"Scientific American","id":"ITEM-2","issue":"1","issued":{"date-parts":[["1957"]]},"page":"131-144","title":"Powerhouse of the Cell","type":"article-journal","volume":"197"},"uris":["http://www.mendeley.com/documents/?uuid=77854f65-f43c-477a-8ab0-378a35f03d31"]}],"mendeley":{"formattedCitation":"(Mustárdy, Buttle, Steinbach, &amp; Garab, 2008; Siekevitz, 1957)","plainTextFormattedCitation":"(Mustárdy, Buttle, Steinbach, &amp; Garab, 2008; Siekevitz, 1957)","previouslyFormattedCitation":"(Mustárdy et al. 2008; Siekevitz 1957)"},"properties":{"noteIndex":0},"schema":"https://github.com/citation-style-language/schema/raw/master/csl-citation.json"}</w:instrText>
      </w:r>
      <w:r>
        <w:fldChar w:fldCharType="separate"/>
      </w:r>
      <w:r w:rsidRPr="00E64425">
        <w:rPr>
          <w:noProof/>
        </w:rPr>
        <w:t>(Mustárdy, Buttle, Steinbach, &amp; Garab, 2008; Siekevitz, 1957)</w:t>
      </w:r>
      <w:r>
        <w:fldChar w:fldCharType="end"/>
      </w:r>
      <w:r>
        <w:t xml:space="preserve">. They both have haploid genomes and are of prokaryotic origin as proposed by endosymbiotic theory. Their utility in </w:t>
      </w:r>
      <w:proofErr w:type="spellStart"/>
      <w:r>
        <w:t>phylogenomics</w:t>
      </w:r>
      <w:proofErr w:type="spellEnd"/>
      <w:r>
        <w:t xml:space="preserve"> and comparative genomics will be explored here.</w:t>
      </w:r>
    </w:p>
    <w:p w14:paraId="75310A27" w14:textId="77777777" w:rsidR="00636B5B" w:rsidRDefault="00636B5B" w:rsidP="00E64425">
      <w:pPr>
        <w:spacing w:line="360" w:lineRule="auto"/>
      </w:pPr>
      <w:r>
        <w:tab/>
        <w:t xml:space="preserve"> </w:t>
      </w:r>
      <w:r>
        <w:rPr>
          <w:i/>
          <w:iCs/>
        </w:rPr>
        <w:t xml:space="preserve">N. </w:t>
      </w:r>
      <w:proofErr w:type="spellStart"/>
      <w:r>
        <w:rPr>
          <w:i/>
          <w:iCs/>
        </w:rPr>
        <w:t>benthamiana</w:t>
      </w:r>
      <w:proofErr w:type="spellEnd"/>
      <w:r>
        <w:rPr>
          <w:i/>
          <w:iCs/>
        </w:rPr>
        <w:t xml:space="preserve"> </w:t>
      </w:r>
      <w:r>
        <w:t xml:space="preserve">(tobacco) and </w:t>
      </w:r>
      <w:r>
        <w:rPr>
          <w:i/>
          <w:iCs/>
        </w:rPr>
        <w:t>M. polymorpha</w:t>
      </w:r>
      <w:r>
        <w:t xml:space="preserve"> (liverwort) were the first chloroplast genomes to be sequenced and were released in 1986 </w:t>
      </w:r>
      <w:r>
        <w:fldChar w:fldCharType="begin" w:fldLock="1"/>
      </w:r>
      <w:r>
        <w:instrText>ADDIN CSL_CITATION {"citationItems":[{"id":"ITEM-1","itemData":{"DOI":"10.1002/j.1460-2075.1986.tb04464.x","ISSN":"14602075","PMID":"16453699","abstract":"The complete nucleotide sequence (155 844 bp) of tobacco (Nicotiana tabacum var. Bright Yellow 4) chloroplast DNA has been determined. It contains two copies of an identical 25 339 bp inverted repeat, which are separated by a 86 684 bp and a 18 482 bp single-copy region. The genes for 4 different rRNAs, 30 different tRNAs, 39 different proteins and 11 other predicted protein coding genes have been located. Among them, 15 genes contain introns. Blot hybrid-ization revealed that all rRNA and tRNA genes and 27 protein genes so far analysed are transcribed in the chloroplast and that primary transcripts of the split genes hitherto examined are spliced. Five sequences coding for proteins homo-logous to components of the respiratory-chain NADH dehydrogenase from human mitochondria have been found. The 30 tRNAs predicted from their genes are sufficient to read all codons if the 'two out of three' and 'U:N wobble' mechanisms operate in the chloroplast. Two sequences which autonomously replicate in yeast have also been mapped. The sequence and expression analyses indicate both prokaryotic and eukaryotic features of the chloroplast genes.","author":[{"dropping-particle":"","family":"Shinozaki","given":"K.","non-dropping-particle":"","parse-names":false,"suffix":""},{"dropping-particle":"","family":"Ohme","given":"M.","non-dropping-particle":"","parse-names":false,"suffix":""},{"dropping-particle":"","family":"Tanaka","given":"M.","non-dropping-particle":"","parse-names":false,"suffix":""},{"dropping-particle":"","family":"Wakasugi","given":"T.","non-dropping-particle":"","parse-names":false,"suffix":""},{"dropping-particle":"","family":"Hayashida","given":"N.","non-dropping-particle":"","parse-names":false,"suffix":""},{"dropping-particle":"","family":"Matsubayashi","given":"T.","non-dropping-particle":"","parse-names":false,"suffix":""},{"dropping-particle":"","family":"Zaita","given":"N.","non-dropping-particle":"","parse-names":false,"suffix":""},{"dropping-particle":"","family":"Chunwongse","given":"J.","non-dropping-particle":"","parse-names":false,"suffix":""},{"dropping-particle":"","family":"Obokata","given":"J.","non-dropping-particle":"","parse-names":false,"suffix":""},{"dropping-particle":"","family":"Yamaguchi-Shinozaki","given":"K.","non-dropping-particle":"","parse-names":false,"suffix":""},{"dropping-particle":"","family":"Ohto","given":"C.","non-dropping-particle":"","parse-names":false,"suffix":""},{"dropping-particle":"","family":"Torazawa","given":"K.","non-dropping-particle":"","parse-names":false,"suffix":""},{"dropping-particle":"","family":"Meng","given":"B. Y.","non-dropping-particle":"","parse-names":false,"suffix":""},{"dropping-particle":"","family":"Sugita","given":"M.","non-dropping-particle":"","parse-names":false,"suffix":""},{"dropping-particle":"","family":"Deno","given":"H.","non-dropping-particle":"","parse-names":false,"suffix":""},{"dropping-particle":"","family":"Kamogashira","given":"T.","non-dropping-particle":"","parse-names":false,"suffix":""},{"dropping-particle":"","family":"Yamada","given":"K.","non-dropping-particle":"","parse-names":false,"suffix":""},{"dropping-particle":"","family":"Kusuda","given":"J.","non-dropping-particle":"","parse-names":false,"suffix":""},{"dropping-particle":"","family":"Takaiwa","given":"F.","non-dropping-particle":"","parse-names":false,"suffix":""},{"dropping-particle":"","family":"Kato","given":"A.","non-dropping-particle":"","parse-names":false,"suffix":""},{"dropping-particle":"","family":"Tohdoh","given":"N.","non-dropping-particle":"","parse-names":false,"suffix":""},{"dropping-particle":"","family":"Shimada","given":"H.","non-dropping-particle":"","parse-names":false,"suffix":""},{"dropping-particle":"","family":"Sugiura","given":"M.","non-dropping-particle":"","parse-names":false,"suffix":""}],"container-title":"EMBO Journal","id":"ITEM-1","issue":"9","issued":{"date-parts":[["1986"]]},"page":"2043-2049","title":"The complete nucleotide sequence of the tobacco chloroplast genome: Its gene organization and expression","type":"article-journal","volume":"5"},"uris":["http://www.mendeley.com/documents/?uuid=79590ef0-f134-4221-8286-f3d5519c1b85"]},{"id":"ITEM-2","itemData":{"DOI":"10.1038/322572a0","ISSN":"00280836","abstract":"Chloroplasts contain their own autonomously replicating DNA genome. The majority of proteins present in the chloroplasts are encoded by nuclear DNA, but the rest are encoded by chloroplast DNA and synthesized by the chloroplast transcription-translation machinery1-4. Although the nucleotide sequences of many chloroplast genes from various plant species have been determined, the entire gene organization of the chloroplast genome has not yet been elucidated for any species of plants. To improve our understanding of the chloroplast gene system, we have determined the complete sequence of the chloroplast DNA from a liverwort, Marchantia polymorpha, and deduced the gene organization. As reported here the liverwort chloroplast DNA contains 121,024 base pairs (bp), consisting of a set of large inverted repeats (IRA and IRB, each of 10,058 bp) separated by a small single-copy region (SSC, 19,813 bp) and a large single-copy region (LSC, 81,095 bp). We detected 128 possible genes throughout the liverwort chloroplast genome, including coding sequences for four kinds of ribosomal RNAs, 32 species of transfer RNAs and 55 identified open reading frames (ORFs) for proteins, which are separated by short A+T-rich spacers (Fig. 1). Twenty genes (8 encoding tRNAs, 12 encoding proteins) contain introns in their coding sequences. These introns can be classified as belonging to either group I or group II, as described for mitochondria5. Interestingly, seven of the identified ORFs show high homology to unidentified reading frames (URFs) found in human mitochondria 6,7. © 1986 Nature Publishing Group.","author":[{"dropping-particle":"","family":"Ohyama","given":"Kanji","non-dropping-particle":"","parse-names":false,"suffix":""},{"dropping-particle":"","family":"Fukuzawa","given":"Hideya","non-dropping-particle":"","parse-names":false,"suffix":""},{"dropping-particle":"","family":"Kohchi","given":"Takayuki","non-dropping-particle":"","parse-names":false,"suffix":""},{"dropping-particle":"","family":"Shirai","given":"Hiromasa","non-dropping-particle":"","parse-names":false,"suffix":""},{"dropping-particle":"","family":"Sano","given":"Tohru","non-dropping-particle":"","parse-names":false,"suffix":""},{"dropping-particle":"","family":"Sano","given":"Satoshi","non-dropping-particle":"","parse-names":false,"suffix":""},{"dropping-particle":"","family":"Umesono","given":"Kazuhiko","non-dropping-particle":"","parse-names":false,"suffix":""},{"dropping-particle":"","family":"Shiki","given":"Yasuhiko","non-dropping-particle":"","parse-names":false,"suffix":""},{"dropping-particle":"","family":"Takeuchi","given":"Masayuki","non-dropping-particle":"","parse-names":false,"suffix":""},{"dropping-particle":"","family":"Chang","given":"Zhen","non-dropping-particle":"","parse-names":false,"suffix":""},{"dropping-particle":"","family":"Aota","given":"Shin Ichi","non-dropping-particle":"","parse-names":false,"suffix":""},{"dropping-particle":"","family":"Inokuchi","given":"Hachiro","non-dropping-particle":"","parse-names":false,"suffix":""},{"dropping-particle":"","family":"Ozeki","given":"Haruo","non-dropping-particle":"","parse-names":false,"suffix":""}],"container-title":"Nature","id":"ITEM-2","issue":"6079","issued":{"date-parts":[["1986"]]},"page":"572-574","title":"Chloroplast gene organization deduced from complete sequence of liverwort marchantia polymorpha chloroplast DNA","type":"article-journal","volume":"322"},"uris":["http://www.mendeley.com/documents/?uuid=fa927f99-72cf-4d8c-8da3-f2b4896d1633"]}],"mendeley":{"formattedCitation":"(Ohyama et al., 1986; Shinozaki et al., 1986)","plainTextFormattedCitation":"(Ohyama et al., 1986; Shinozaki et al., 1986)","previouslyFormattedCitation":"(Shinozaki et al. 1986; Ohyama et al. 1986)"},"properties":{"noteIndex":0},"schema":"https://github.com/citation-style-language/schema/raw/master/csl-citation.json"}</w:instrText>
      </w:r>
      <w:r>
        <w:fldChar w:fldCharType="separate"/>
      </w:r>
      <w:r w:rsidRPr="00E64425">
        <w:rPr>
          <w:noProof/>
        </w:rPr>
        <w:t>(Ohyama et al., 1986; Shinozaki et al., 1986)</w:t>
      </w:r>
      <w:r>
        <w:fldChar w:fldCharType="end"/>
      </w:r>
      <w:r>
        <w:t xml:space="preserve">. At present, land plant chloroplast genomes are available for more than 2,500 genera NCBI and are far more numerous compared to mitogenome and nuclear genome assemblies (accessed 01/2022). Land plant chloroplast genomes have a highly conserved quadripartite structure which consists of a large single-copy (LSC), small single-copy (SSC), and two inverted repeat (IR) regions. Additionally, almost all land plant chloroplast genomes range in size from 120 kb to 160 kb </w:t>
      </w:r>
      <w:r>
        <w:fldChar w:fldCharType="begin" w:fldLock="1"/>
      </w:r>
      <w:r>
        <w:instrText>ADDIN CSL_CITATION {"citationItems":[{"id":"ITEM-1","itemData":{"DOI":"10.3389/fpls.2018.00689","ISSN":"1664462X","abstract":"In general, the chloroplast genomes of angiosperms are considered to be highly conserved and affected little by adaptive evolution. In this study, we tested this hypothesis based on sequence differentiation and adaptive variation in the plastid genomes in the order Dipsacales. We sequenced the plastid genomes of one Adoxaceae species and six Caprifoliaceae species, and together with seven previously released Dipsacales chloroplasts, we determined the sequence variations, evolutionary divergence of the plastid genomes, and phylogeny of Dipsacales species. The chloroplast genomes of Adoxaceae species ranged in size from 157,074 bp (Sinadoxa corydalifolia) to 158,305 bp (Sambucus williamsii), and the plastid genomes of Caprifoliaceae varied from 154,732 bp (Lonicera fragrantissima var. lancifolia) to 156,874 bp (Weigela florida). The differences in the number of genes in Caprifoliaceae and Adoxaceae species were largely due to the expansion and contraction of inverted repeat regions. In addition, we found that the number of dispersed repeats (Adoxaceae = 37; Caprifoliaceae = 384) was much higher than that of tandem repeats (Adoxaceae = 34; Caprifoliaceae = 291) in Dipsacales species. Interestingly, we determined 19 genes with positive selection sites, including three genes encoding ATP protein subunits (atpA, atpB, and atpI), four genes for ribosome protein small subunits (rps3, rps7, rps14, and rps15), four genes for photosystem protein subunits (psaA, psaJ, psbC, and pabK), two genes for ribosome protein large subunits (rpl22 and rpl32), and the clpP, infA, matK, rbcL, ycf1, and ycf2 genes. These gene regions may have played key roles in the adaptation of Dipsacales to diverse environments. In addition, phylogenetic analysis based on the plastid genomes strongly supported the division of 14 Dipsacales species into two previously recognized sections. The diversification of Adoxaceae and Caprifoliaceae was dated to the late Cretaceous and Tertiary periods. The availability of these chloroplast genomes provides useful genetic information for studying taxonomy, phylogeny, and species evolution in Dipsacales.","author":[{"dropping-particle":"","family":"Fan","given":"Wei Bing","non-dropping-particle":"","parse-names":false,"suffix":""},{"dropping-particle":"","family":"Wu","given":"Ying","non-dropping-particle":"","parse-names":false,"suffix":""},{"dropping-particle":"","family":"Yang","given":"Jiao","non-dropping-particle":"","parse-names":false,"suffix":""},{"dropping-particle":"","family":"Shahzad","given":"Khurram","non-dropping-particle":"","parse-names":false,"suffix":""},{"dropping-particle":"","family":"Li","given":"Zhong Hu","non-dropping-particle":"","parse-names":false,"suffix":""}],"container-title":"Frontiers in Plant Science","id":"ITEM-1","issue":"May","issued":{"date-parts":[["2018"]]},"page":"1-13","title":"Comparative chloroplast genomics of dipsacales species: Insights into sequence variation, adaptive evolution, and phylogenetic relationships","type":"article-journal","volume":"9"},"uris":["http://www.mendeley.com/documents/?uuid=53ba138e-cb60-4d13-b4cb-f4ef14e6d6ea"]}],"mendeley":{"formattedCitation":"(Fan, Wu, Yang, Shahzad, &amp; Li, 2018)","plainTextFormattedCitation":"(Fan, Wu, Yang, Shahzad, &amp; Li, 2018)","previouslyFormattedCitation":"(Fan et al. 2018)"},"properties":{"noteIndex":0},"schema":"https://github.com/citation-style-language/schema/raw/master/csl-citation.json"}</w:instrText>
      </w:r>
      <w:r>
        <w:fldChar w:fldCharType="separate"/>
      </w:r>
      <w:r w:rsidRPr="00E64425">
        <w:rPr>
          <w:noProof/>
        </w:rPr>
        <w:t>(Fan, Wu, Yang, Shahzad, &amp; Li, 2018)</w:t>
      </w:r>
      <w:r>
        <w:fldChar w:fldCharType="end"/>
      </w:r>
      <w:r>
        <w:t xml:space="preserve">. Although most chloroplast genomes map as circular molecules, there is also evidence for branched-linear forms. For example, the </w:t>
      </w:r>
      <w:r>
        <w:rPr>
          <w:i/>
          <w:iCs/>
        </w:rPr>
        <w:t xml:space="preserve">A. thaliana </w:t>
      </w:r>
      <w:r>
        <w:t xml:space="preserve">chloroplast genome has been observed in both circular and linear conformations </w:t>
      </w:r>
      <w:r>
        <w:fldChar w:fldCharType="begin" w:fldLock="1"/>
      </w:r>
      <w:r>
        <w:instrText>ADDIN CSL_CITATION {"citationItems":[{"id":"ITEM-1","itemData":{"DOI":"10.3389/fpls.2015.00883","ISSN":"1664462X","abstract":"The DNA molecules in plastids and mitochondria of plants have been studied for over 40 years. Here, we review the data on the circular or linear form, replication, repair, and persistence of the organellar DNA (orgDNA) in plants. The bacterial origin of orgDNA appears to have profoundly influenced ideas about the properties of chromosomal DNA molecules in these organelles to the point of dismissing data inconsistent with ideas from the 1970s. When found at all, circular genome-sized molecules comprise a few percent of orgDNA. In cells active in orgDNA replication, most orgDNA is found as linear and branched-linear forms larger than the size of the genome, likely a consequence of a virus-like DNA replication mechanism. In contrast to the stable chromosomal DNA molecules in bacteria and the plant nucleus, the molecular integrity of orgDNA declines during leaf development at a rate that varies among plant species. This decline is attributed to degradation of damaged-but-not-repaired molecules, with a proposed repair cost-saving benefit most evident in grasses. All orgDNA maintenance activities are proposed to occur on the nucleoid tethered to organellar membranes by developmentally-regulated proteins.","author":[{"dropping-particle":"","family":"Oldenburg","given":"Delene J.","non-dropping-particle":"","parse-names":false,"suffix":""},{"dropping-particle":"","family":"Bendich","given":"Arnold J.","non-dropping-particle":"","parse-names":false,"suffix":""}],"container-title":"Frontiers in Plant Science","id":"ITEM-1","issue":"OCTOBER","issued":{"date-parts":[["2015"]]},"page":"1-15","title":"DNA maintenance in plastids and mitochondria of plants","type":"article-journal","volume":"6"},"uris":["http://www.mendeley.com/documents/?uuid=4d63c1f9-a1de-4267-801f-389e833af5f8"]}],"mendeley":{"formattedCitation":"(Oldenburg &amp; Bendich, 2015)","plainTextFormattedCitation":"(Oldenburg &amp; Bendich, 2015)","previouslyFormattedCitation":"(Oldenburg &amp; Bendich 2015)"},"properties":{"noteIndex":0},"schema":"https://github.com/citation-style-language/schema/raw/master/csl-citation.json"}</w:instrText>
      </w:r>
      <w:r>
        <w:fldChar w:fldCharType="separate"/>
      </w:r>
      <w:r w:rsidRPr="00E64425">
        <w:rPr>
          <w:noProof/>
        </w:rPr>
        <w:t>(Oldenburg &amp; Bendich, 2015)</w:t>
      </w:r>
      <w:r>
        <w:fldChar w:fldCharType="end"/>
      </w:r>
      <w:r>
        <w:t xml:space="preserve">. Chloroplast gene arrangement reflects a bacterial origin, as most genes are organized into structures similar to operons </w:t>
      </w:r>
      <w:r>
        <w:fldChar w:fldCharType="begin" w:fldLock="1"/>
      </w:r>
      <w:r>
        <w:instrText>ADDIN CSL_CITATION {"citationItems":[{"id":"ITEM-1","itemData":{"DOI":"10.1105/tpc.18.00016","ISBN":"0000000175","ISSN":"1532298X","PMID":"29610211","abstract":"Chloroplast translation is essential for cellular viability and plant development. Its positioning at the intersection of organellar RNA and protein metabolism makes it a unique point for the regulation of gene expression in response to internal and external cues. Recently obtained high-resolution structures of plastid ribosomes, the development of approaches allowing genome-wide analyses of chloroplast translation (i.e., ribosome profiling), and the discovery of RNA binding proteins involved in the control of translational activity have greatly increased our understanding of the chloroplast translation process and its regulation. In this review, we provide an overview of the current knowledge of the chloroplast translation machinery, its structure, organization, and function. In addition, we summarize the techniques that are currently available to study chloroplast translation and describe how translational activity is controlled and which cis-elements and trans-factors are involved. Finally, we discuss how translational control contributes to the regulation of chloroplast gene expression in response to developmental, environmental, and physiological cues. We also illustrate the commonalities and the differences between the chloroplast and bacterial translation machineries and the mechanisms of protein biosynthesis in these two prokaryotic systems.","author":[{"dropping-particle":"","family":"Zoschke","given":"Reimo","non-dropping-particle":"","parse-names":false,"suffix":""},{"dropping-particle":"","family":"Bock","given":"Ralph","non-dropping-particle":"","parse-names":false,"suffix":""}],"container-title":"Plant Cell","id":"ITEM-1","issue":"4","issued":{"date-parts":[["2018"]]},"page":"745-770","title":"Chloroplast translation: Structural and functional organization, operational control, and regulation","type":"article-journal","volume":"30"},"uris":["http://www.mendeley.com/documents/?uuid=6a3bf91e-3d82-4783-a325-41b60cb73ac1"]}],"mendeley":{"formattedCitation":"(Zoschke &amp; Bock, 2018)","plainTextFormattedCitation":"(Zoschke &amp; Bock, 2018)","previouslyFormattedCitation":"(Zoschke &amp; Bock 2018)"},"properties":{"noteIndex":0},"schema":"https://github.com/citation-style-language/schema/raw/master/csl-citation.json"}</w:instrText>
      </w:r>
      <w:r>
        <w:fldChar w:fldCharType="separate"/>
      </w:r>
      <w:r w:rsidRPr="00E64425">
        <w:rPr>
          <w:noProof/>
        </w:rPr>
        <w:t>(Zoschke &amp; Bock, 2018)</w:t>
      </w:r>
      <w:r>
        <w:fldChar w:fldCharType="end"/>
      </w:r>
      <w:r>
        <w:t xml:space="preserve">. However, unlike bacteria, chloroplasts have highly complex expression regulation and posttranscriptional RNA modification mechanisms. Some of these include RNA splicing, RNA editing, and processing of RNA transcripts </w:t>
      </w:r>
      <w:r>
        <w:fldChar w:fldCharType="begin" w:fldLock="1"/>
      </w:r>
      <w:r>
        <w:instrText>ADDIN CSL_CITATION {"citationItems":[{"id":"ITEM-1","itemData":{"DOI":"10.1016/j.bbabio.2015.02.004","ISSN":"18792650","PMID":"25680513","abstract":"Abstract Plastid genes are transcribed by two types of RNA polymerase in angiosperms: the bacterial type plastid-encoded RNA polymerase (PEP) and one (RPOTp in monocots) or two (RPOTp and RPOTmp in dicots) nuclear-encoded RNA polymerase(s) (NEP). PEP is a bacterial-type multisubunit enzyme composed of core subunits (coded for by the plastid rpoA, rpoB, rpoC1 and rpoC2 genes) and additional protein factors (sigma factors and polymerase associated protein, PAPs) encoded in the nuclear genome. Sigma factors are required by PEP for promoter recognition. Six different sigma factors are NEP subunit has been identified, which bears the catalytic activity. NEP and PEP use different promoters. Many plastid genes have both PEP and NEP promoters. PEP dominates in the transcription of photosynthesis genes. Intriguingly, rpoB belongs to the few genes transcribed exclusively by NEP. Both NEP and PEP are active in non-green plastids and in chloroplasts at all stages of development. The transcriptional activity of NEP and PEP is affected by endogenous and exogenous factors. This article is part of a Special Issue entitled: Chloroplast Biogenesis.","author":[{"dropping-particle":"","family":"Börner","given":"Thomas","non-dropping-particle":"","parse-names":false,"suffix":""},{"dropping-particle":"","family":"Aleynikova","given":"Anastasia Yu","non-dropping-particle":"","parse-names":false,"suffix":""},{"dropping-particle":"","family":"Zubo","given":"Yan O.","non-dropping-particle":"","parse-names":false,"suffix":""},{"dropping-particle":"V.","family":"Kusnetsov","given":"Victor","non-dropping-particle":"","parse-names":false,"suffix":""}],"container-title":"Biochimica et Biophysica Acta - Bioenergetics","id":"ITEM-1","issue":"9","issued":{"date-parts":[["2015"]]},"page":"761-769","publisher":"Elsevier B.V.","title":"Chloroplast RNA polymerases: Role in chloroplast biogenesis","type":"article-journal","volume":"1847"},"uris":["http://www.mendeley.com/documents/?uuid=a7f69d66-255f-41ae-ab32-57cdacf3be75"]}],"mendeley":{"formattedCitation":"(Börner, Aleynikova, Zubo, &amp; Kusnetsov, 2015)","plainTextFormattedCitation":"(Börner, Aleynikova, Zubo, &amp; Kusnetsov, 2015)","previouslyFormattedCitation":"(Börner et al. 2015)"},"properties":{"noteIndex":0},"schema":"https://github.com/citation-style-language/schema/raw/master/csl-citation.json"}</w:instrText>
      </w:r>
      <w:r>
        <w:fldChar w:fldCharType="separate"/>
      </w:r>
      <w:r w:rsidRPr="00E64425">
        <w:rPr>
          <w:noProof/>
        </w:rPr>
        <w:t>(Börner, Aleynikova, Zubo, &amp; Kusnetsov, 2015)</w:t>
      </w:r>
      <w:r>
        <w:fldChar w:fldCharType="end"/>
      </w:r>
      <w:r>
        <w:t xml:space="preserve">. </w:t>
      </w:r>
    </w:p>
    <w:p w14:paraId="755F6816" w14:textId="77777777" w:rsidR="00636B5B" w:rsidRDefault="00636B5B" w:rsidP="00E64425">
      <w:pPr>
        <w:spacing w:line="360" w:lineRule="auto"/>
        <w:ind w:firstLine="720"/>
      </w:pPr>
      <w:r>
        <w:t xml:space="preserve">The highly conserved structure of chloroplasts among land plants has allowed for the widespread use of reference-based assembly </w:t>
      </w:r>
      <w:r>
        <w:fldChar w:fldCharType="begin" w:fldLock="1"/>
      </w:r>
      <w:r>
        <w:instrText>ADDIN CSL_CITATION {"citationItems":[{"id":"ITEM-1","itemData":{"DOI":"10.3389/fpls.2012.00243","ISSN":"1664462X","abstract":"Sequencing of the chloroplast (cp) genome using traditional sequencing methods has been difficult because of its size (&gt;120 kb) and the complicated procedures required to prepare templates. To explore the feasibility of sequencing the cp genome using DNA extracted from whole cells and Solexa sequencing technology, we sequenced whole cellular DNA isolated from leaves of three Brassica rapa accessions with one lane per accession. In total, 246, 362, and 361 Mb sequence data were generated for the three accessions Chiifu-401-42, Z16, and FT, respectively. Micro-reads were assembled by reference-guided assembly using the cpDNA sequences of B. rapa, Arabidopsis thaliana, and Nicotiana tabacum. We achieved coverage of more than 99.96% of the cp genome in the three tested accessions using the B. rapa sequence as the reference. When A. thaliana or N. tabacum sequences were used as references, 99.7-99.8 or 95.5-99.7% of the B. rapa cp genome was covered, respectively. These results demonstrated that sequencing of whole cellular DNA isolated from young leaves using the Illumina Genome Analyzer is an efficient method for high-throughput sequencing of cp genome. © 2012 Wu, Liu, Cheng, Ramchiary, Choi, Lim and Wang.","author":[{"dropping-particle":"","family":"Wu","given":"Jian","non-dropping-particle":"","parse-names":false,"suffix":""},{"dropping-particle":"","family":"Liu","given":"Bo","non-dropping-particle":"","parse-names":false,"suffix":""},{"dropping-particle":"","family":"Cheng","given":"Feng","non-dropping-particle":"","parse-names":false,"suffix":""},{"dropping-particle":"","family":"Ramchiary","given":"Nirala","non-dropping-particle":"","parse-names":false,"suffix":""},{"dropping-particle":"","family":"Choi","given":"Su Ryun","non-dropping-particle":"","parse-names":false,"suffix":""},{"dropping-particle":"","family":"Lim","given":"Yong Pyo","non-dropping-particle":"","parse-names":false,"suffix":""},{"dropping-particle":"","family":"Wang","given":"Xiao Wu","non-dropping-particle":"","parse-names":false,"suffix":""}],"container-title":"Frontiers in Plant Science","id":"ITEM-1","issue":"NOV","issued":{"date-parts":[["2012"]]},"page":"1-7","title":"Sequencing of chloroplast genome using whole cellular DNA and Solexa sequencing technology","type":"article-journal","volume":"3"},"uris":["http://www.mendeley.com/documents/?uuid=5cb744cb-e55d-4ddc-a86a-913a4aa8fa7b"]}],"mendeley":{"formattedCitation":"(J. Wu et al., 2012)","plainTextFormattedCitation":"(J. Wu et al., 2012)","previouslyFormattedCitation":"(Wu et al. 2012)"},"properties":{"noteIndex":0},"schema":"https://github.com/citation-style-language/schema/raw/master/csl-citation.json"}</w:instrText>
      </w:r>
      <w:r>
        <w:fldChar w:fldCharType="separate"/>
      </w:r>
      <w:r w:rsidRPr="00E64425">
        <w:rPr>
          <w:noProof/>
        </w:rPr>
        <w:t>(J. Wu et al., 2012)</w:t>
      </w:r>
      <w:r>
        <w:fldChar w:fldCharType="end"/>
      </w:r>
      <w:r>
        <w:t xml:space="preserve">. Furthermore, high copy number  of organelle DNA in the cell has resulted in high-quality DNA extraction and allowed for genome-skimming approaches </w:t>
      </w:r>
      <w:r>
        <w:fldChar w:fldCharType="begin" w:fldLock="1"/>
      </w:r>
      <w:r>
        <w:instrText>ADDIN CSL_CITATION {"citationItems":[{"id":"ITEM-1","itemData":{"DOI":"10.1105/tpc.113.117465","ISSN":"1532298X","PMID":"24668747","abstract":"The fate of plastid DNA (ptDNA) during leaf development has become a matter of contention. Reports on little change in ptDNA copy number per cell contrast with claims of complete or nearly complete DNA loss already in mature leaves. We employed high-resolution fluorescence microscopy, transmission electron microscopy, semithin sectioning of leaf tissue, and real-time quantitative PCR to study structural and quantitative aspects of ptDNA during leaf development in four higher plant species (Arabidopsis thaliana, sugar beet [Beta vulgaris], tobacco [Nicotiana tabacum], and maize [Zea mays]) for which controversial findings have been reported. Our data demonstrate the retention of substantial amounts of ptDNA in mesophyll cells until leaf necrosis. In ageing and senescent leaves of Arabidopsis, tobacco, and maize, ptDNA amounts remain largely unchanged and nucleoids visible, in spite of marked structural changes during chloroplast-to-gerontoplast transition. This excludes the possibility that ptDNA degradation triggers senescence. In senescent sugar beet leaves, reduction of ptDNA per cell to ~30% was observed reflecting primarily a decrease in plastid number per cell rather than a decline in DNA per organelle, as reported previously. Our findings are at variance with reports claiming loss of ptDNA at or after leaf maturation. © 2014 American Society of Plant Biologists. All rights reserved.","author":[{"dropping-particle":"","family":"Golczyk","given":"Hieronim","non-dropping-particle":"","parse-names":false,"suffix":""},{"dropping-particle":"","family":"Greiner","given":"Stephan","non-dropping-particle":"","parse-names":false,"suffix":""},{"dropping-particle":"","family":"Wanner","given":"Gerhard","non-dropping-particle":"","parse-names":false,"suffix":""},{"dropping-particle":"","family":"Weihe","given":"Andreas","non-dropping-particle":"","parse-names":false,"suffix":""},{"dropping-particle":"","family":"Bock","given":"Ralph","non-dropping-particle":"","parse-names":false,"suffix":""},{"dropping-particle":"","family":"Börner","given":"Thomas","non-dropping-particle":"","parse-names":false,"suffix":""},{"dropping-particle":"","family":"Herrmann","given":"Reinhold G.","non-dropping-particle":"","parse-names":false,"suffix":""}],"container-title":"Plant Cell","id":"ITEM-1","issue":"3","issued":{"date-parts":[["2014"]]},"page":"847-854","title":"Chloroplast DNA in mature and senescing leaves: A reappraisal","type":"article-journal","volume":"26"},"uris":["http://www.mendeley.com/documents/?uuid=fc32adb5-78f7-4999-bb25-1089b4eb19b6"]}],"mendeley":{"formattedCitation":"(Golczyk et al., 2014)","plainTextFormattedCitation":"(Golczyk et al., 2014)","previouslyFormattedCitation":"(Golczyk et al. 2014)"},"properties":{"noteIndex":0},"schema":"https://github.com/citation-style-language/schema/raw/master/csl-citation.json"}</w:instrText>
      </w:r>
      <w:r>
        <w:fldChar w:fldCharType="separate"/>
      </w:r>
      <w:r w:rsidRPr="00E64425">
        <w:rPr>
          <w:noProof/>
        </w:rPr>
        <w:t>(Golczyk et al., 2014)</w:t>
      </w:r>
      <w:r>
        <w:fldChar w:fldCharType="end"/>
      </w:r>
      <w:r>
        <w:t xml:space="preserve">. Before next-generation sequencing technologies were widely available much more intensive procedures were required to prepare organelle DNA for sequencing </w:t>
      </w:r>
      <w:r>
        <w:fldChar w:fldCharType="begin" w:fldLock="1"/>
      </w:r>
      <w:r>
        <w:instrText>ADDIN CSL_CITATION {"citationItems":[{"id":"ITEM-1","itemData":{"DOI":"10.1007/s11103-005-8882-0","ISSN":"01674412","PMID":"16247559","abstract":"Lack of complete chloroplast genome sequences is still one of the major limitations to extending chloroplast genetic engineering technology to useful crops. Therefore, we sequenced the soybean chloroplast genome and compared it to the other completely sequenced legumes, Lotus and Medicago. The chloroplast genome of Glycine is 152,218 basepairs (bp) in length, including a pair of inverted repeats of 25,574 bp of identical sequence separated by a small single copy region of 17,895 bp and a large single copy region of 83,175 bp. The genome contains 111 unique genes, and 19 of these are duplicated in the inverted repeat (IR). Comparisons of Glycine, Lotus and Medicago confirm the organization of legume chloroplast genomes based on previous studies. Gene content of the three legumes is nearly identical. The rpl22 gene is missing from all three legumes, and Medicago is missing rps16 and one copy of the IR. Gene order in Glycine, Lotus, and Medicago differs from the usual gene order for angiosperm chloroplast genomes by the presence of a single, large inversion of 51 kilobases (kb). Detailed analyses of repeated sequences indicate that many of the Glycine repeats that are located in the intergenic spacer regions and introns occur in the same location in the other legumes and in Arabidopsis, suggesting that they may play some functional role. The presence of small repeats of psbA and rbcL in legumes that have lost one copy of the IR indicate that this loss has only occurred once during the evolutionary history of legumes. © Springer 2005.","author":[{"dropping-particle":"","family":"Saski","given":"Christopher","non-dropping-particle":"","parse-names":false,"suffix":""},{"dropping-particle":"","family":"Lee","given":"Seung Bum","non-dropping-particle":"","parse-names":false,"suffix":""},{"dropping-particle":"","family":"Daniell","given":"Henry","non-dropping-particle":"","parse-names":false,"suffix":""},{"dropping-particle":"","family":"Wood","given":"Todd C.","non-dropping-particle":"","parse-names":false,"suffix":""},{"dropping-particle":"","family":"Tomkins","given":"Jeffrey","non-dropping-particle":"","parse-names":false,"suffix":""},{"dropping-particle":"","family":"Kim","given":"Hyi Gyung","non-dropping-particle":"","parse-names":false,"suffix":""},{"dropping-particle":"","family":"Jansen","given":"Robert K.","non-dropping-particle":"","parse-names":false,"suffix":""}],"container-title":"Plant Molecular Biology","id":"ITEM-1","issue":"2","issued":{"date-parts":[["2005"]]},"page":"309-322","title":"Complete chloroplast genome sequence of glycine max and comparative analyses with other legume genomes","type":"article-journal","volume":"59"},"uris":["http://www.mendeley.com/documents/?uuid=78d881cd-8f00-47d2-9e16-9c3813e3653d"]}],"mendeley":{"formattedCitation":"(Saski et al., 2005)","plainTextFormattedCitation":"(Saski et al., 2005)","previouslyFormattedCitation":"(Saski et al. 2005)"},"properties":{"noteIndex":0},"schema":"https://github.com/citation-style-language/schema/raw/master/csl-citation.json"}</w:instrText>
      </w:r>
      <w:r>
        <w:fldChar w:fldCharType="separate"/>
      </w:r>
      <w:r w:rsidRPr="00E64425">
        <w:rPr>
          <w:noProof/>
        </w:rPr>
        <w:t>(Saski et al., 2005)</w:t>
      </w:r>
      <w:r>
        <w:fldChar w:fldCharType="end"/>
      </w:r>
      <w:r>
        <w:t xml:space="preserve">. These procedures often included the creation of bacterial artificial chromosomes (BAC) libraries, sugar gradients or ultra-centrifugation, and long-range PCR to enrich for organelle genomes </w:t>
      </w:r>
      <w:r>
        <w:fldChar w:fldCharType="begin" w:fldLock="1"/>
      </w:r>
      <w:r>
        <w:instrText>ADDIN CSL_CITATION {"citationItems":[{"id":"ITEM-1","itemData":{"DOI":"10.1016/S0076-6879(05)95020-9","ISSN":"00766879","PMID":"15865976","abstract":"During the past decade, there has been a rapid increase in our understanding of plastid genome organization and evolution due to the availability of many new completely sequenced genomes. There are 45 complete genomes published and ongoing projects are likely to increase this sampling to nearly 200 genomes during the next 5 years. Several groups of researchers including ours have been developing new techniques for gathering and analyzing entire plastid genome sequences and details of these developments are summarized in this chapter. The most important developments that enhance our ability to generate whole chloroplast genome sequences involve the generation of pure fractions of chloroplast genomes by whole genome amplification using rolling circle amplification, cloning genomes into Fosmid or bacterial artificial chromosome (BAC) vectors, and the development of an organellar annotation program (Dual Organellar GenoMe Annotator [DOGMA]). In addition to providing details of these methods, we provide an overview of methods for analyzing complete plastid genome sequences for repeats and gene content, as well as approaches for using gene order and sequence data for phylogeny reconstruction. This explosive increase in the number of sequenced plastid genomes and improved computational tools will provide many insights into the evolution of these genomes and much new data for assessing relationships at deep nodes in plants and other photosynthetic organisms. Copyright 2005, Elsevier Inc. All rights reserved.","author":[{"dropping-particle":"","family":"Jansen","given":"Robert K.","non-dropping-particle":"","parse-names":false,"suffix":""},{"dropping-particle":"","family":"Raubeson","given":"Linda A.","non-dropping-particle":"","parse-names":false,"suffix":""},{"dropping-particle":"","family":"Boore","given":"Jeffrey L.","non-dropping-particle":"","parse-names":false,"suffix":""},{"dropping-particle":"","family":"DePamphilis","given":"Claude W.","non-dropping-particle":"","parse-names":false,"suffix":""},{"dropping-particle":"","family":"Chumley","given":"Timothy W.","non-dropping-particle":"","parse-names":false,"suffix":""},{"dropping-particle":"","family":"Haberle","given":"Rosemarie C.","non-dropping-particle":"","parse-names":false,"suffix":""},{"dropping-particle":"","family":"Wyman","given":"Stacia K.","non-dropping-particle":"","parse-names":false,"suffix":""},{"dropping-particle":"","family":"Alverson","given":"Andrew J.","non-dropping-particle":"","parse-names":false,"suffix":""},{"dropping-particle":"","family":"Peery","given":"Rhiannon","non-dropping-particle":"","parse-names":false,"suffix":""},{"dropping-particle":"","family":"Herman","given":"Sallie J.","non-dropping-particle":"","parse-names":false,"suffix":""},{"dropping-particle":"","family":"Fourcade","given":"H. Matthew","non-dropping-particle":"","parse-names":false,"suffix":""},{"dropping-particle":"V.","family":"Kuehl","given":"Jennifer","non-dropping-particle":"","parse-names":false,"suffix":""},{"dropping-particle":"","family":"McNeal","given":"Joel R.","non-dropping-particle":"","parse-names":false,"suffix":""},{"dropping-particle":"","family":"Leebens-Mack","given":"James","non-dropping-particle":"","parse-names":false,"suffix":""},{"dropping-particle":"","family":"Cui","given":"Liying","non-dropping-particle":"","parse-names":false,"suffix":""}],"container-title":"Methods in Enzymology","id":"ITEM-1","issued":{"date-parts":[["2005"]]},"page":"348-384","title":"Methods for obtaining and analyzing whole chloroplast genome sequences","type":"article-journal","volume":"395"},"uris":["http://www.mendeley.com/documents/?uuid=cea35fca-e221-4037-b442-7331705f0aad"]}],"mendeley":{"formattedCitation":"(Jansen et al., 2005)","plainTextFormattedCitation":"(Jansen et al., 2005)","previouslyFormattedCitation":"(Jansen et al. 2005)"},"properties":{"noteIndex":0},"schema":"https://github.com/citation-style-language/schema/raw/master/csl-citation.json"}</w:instrText>
      </w:r>
      <w:r>
        <w:fldChar w:fldCharType="separate"/>
      </w:r>
      <w:r w:rsidRPr="00E64425">
        <w:rPr>
          <w:noProof/>
        </w:rPr>
        <w:t>(Jansen et al., 2005)</w:t>
      </w:r>
      <w:r>
        <w:fldChar w:fldCharType="end"/>
      </w:r>
      <w:r>
        <w:t xml:space="preserve">. Recently, dedicated genome assembly software for plastid genomes has also been developed which further simplifies the chloroplast genome assembly process </w:t>
      </w:r>
      <w:r>
        <w:fldChar w:fldCharType="begin" w:fldLock="1"/>
      </w:r>
      <w:r>
        <w:instrText>ADDIN CSL_CITATION {"citationItems":[{"id":"ITEM-1","itemData":{"DOI":"10.1186/s13059-020-02154-5","ISSN":"1474760X","PMID":"32912315","abstract":"GetOrganelle is a state-of-the-art toolkit to accurately assemble organelle genomes from whole genome sequencing data. It recruits organelle-associated reads using a modified \"baiting and iterative mapping\"approach, conducts de novo assembly, filters and disentangles the assembly graph, and produces all possible configurations of circular organelle genomes. For 50 published plant datasets, we are able to reassemble the circular plastomes from 47 datasets using GetOrganelle. GetOrganelle assemblies are more accurate than published and/or NOVOPlasty-reassembled plastomes as assessed by mapping. We also assemble complete mitochondrial genomes using GetOrganelle. GetOrganelle is freely released under a GPL-3 license (https://github.com/Kinggerm/GetOrganelle).","author":[{"dropping-particle":"","family":"Jin","given":"Jian Jun","non-dropping-particle":"","parse-names":false,"suffix":""},{"dropping-particle":"Bin","family":"Yu","given":"Wen","non-dropping-particle":"","parse-names":false,"suffix":""},{"dropping-particle":"","family":"Yang","given":"Jun Bo","non-dropping-particle":"","parse-names":false,"suffix":""},{"dropping-particle":"","family":"Song","given":"Yu","non-dropping-particle":"","parse-names":false,"suffix":""},{"dropping-particle":"","family":"Depamphilis","given":"Claude W.","non-dropping-particle":"","parse-names":false,"suffix":""},{"dropping-particle":"","family":"Yi","given":"Ting Shuang","non-dropping-particle":"","parse-names":false,"suffix":""},{"dropping-particle":"","family":"Li","given":"De Zhu","non-dropping-particle":"","parse-names":false,"suffix":""}],"container-title":"Genome Biology","id":"ITEM-1","issue":"1","issued":{"date-parts":[["2020"]]},"page":"1-31","publisher":"Genome Biology","title":"GetOrganelle: A fast and versatile toolkit for accurate de novo assembly of organelle genomes","type":"article-journal","volume":"21"},"uris":["http://www.mendeley.com/documents/?uuid=7ebbdab2-fd16-4d6d-b102-f5b38395d0c9"]},{"id":"ITEM-2","itemData":{"DOI":"10.1093/nar/gkw955","ISSN":"13624962","PMID":"28204566","abstract":"The evolution in next-generation sequencing (NGS) technology has led to the development of many different assembly algorithms, but few of them focus on assembling the organelle genomes. These genomes are used in phylogenetic studies, food identification and are the most deposited eukaryotic genomes in GenBank. Producing organelle genome assembly from whole genome sequencing (WGS) data would be the most accurate and least laborious approach, but a tool specifically designed for this task is lacking. We developed a seed-and-extend algorithm that assembles organelle genomes from whole genome sequencing (WGS) data, starting from a related or distant single seed sequence. The algorithm has been tested on several new (Gonioctena intermedia and Avicennia marina) and public (Arabidopsis thaliana and Oryza sativa) whole genome Illumina data sets where it outperforms known assemblers in assembly accuracy and coverage. In our benchmark, NOVOPlasty assembled all tested circular genomes in less than 30 min with a maximum memory requirement of 16 GB and an accuracy over 99.99%. In conclusion, NOVOPlasty is the sole de novo assembler that provides a fast and straightforward extraction of the extranuclear genomes from WGS data in one circular high quality contig.","author":[{"dropping-particle":"","family":"Dierckxsens","given":"Nicolas","non-dropping-particle":"","parse-names":false,"suffix":""},{"dropping-particle":"","family":"Mardulyn","given":"Patrick","non-dropping-particle":"","parse-names":false,"suffix":""},{"dropping-particle":"","family":"Smits","given":"Guillaume","non-dropping-particle":"","parse-names":false,"suffix":""}],"container-title":"Nucleic Acids Research","id":"ITEM-2","issue":"4","issued":{"date-parts":[["2017"]]},"title":"NOVOPlasty: De novo assembly of organelle genomes from whole genome data","type":"article-journal","volume":"45"},"uris":["http://www.mendeley.com/documents/?uuid=3dc85002-18d1-472e-99d0-f0c92e2edc5c"]}],"mendeley":{"formattedCitation":"(Dierckxsens, Mardulyn, &amp; Smits, 2017; Jin et al., 2020)","plainTextFormattedCitation":"(Dierckxsens, Mardulyn, &amp; Smits, 2017; Jin et al., 2020)","previouslyFormattedCitation":"(Jin et al. 2020; Dierckxsens et al. 2017)"},"properties":{"noteIndex":0},"schema":"https://github.com/citation-style-language/schema/raw/master/csl-citation.json"}</w:instrText>
      </w:r>
      <w:r>
        <w:fldChar w:fldCharType="separate"/>
      </w:r>
      <w:r w:rsidRPr="00E64425">
        <w:rPr>
          <w:noProof/>
        </w:rPr>
        <w:t xml:space="preserve">(Dierckxsens, Mardulyn, &amp; Smits, 2017; Jin et al., </w:t>
      </w:r>
      <w:r w:rsidRPr="00E64425">
        <w:rPr>
          <w:noProof/>
        </w:rPr>
        <w:lastRenderedPageBreak/>
        <w:t>2020)</w:t>
      </w:r>
      <w:r>
        <w:fldChar w:fldCharType="end"/>
      </w:r>
      <w:r>
        <w:t xml:space="preserve">. These assembly methods require a partial assembly or starting sequence such as a conserved chloroplast gene and therefore don’t rely on a closely related reference </w:t>
      </w:r>
      <w:proofErr w:type="gramStart"/>
      <w:r>
        <w:t>genomes</w:t>
      </w:r>
      <w:proofErr w:type="gramEnd"/>
      <w:r>
        <w:t xml:space="preserve">. </w:t>
      </w:r>
      <w:proofErr w:type="gramStart"/>
      <w:r>
        <w:t>Both of these</w:t>
      </w:r>
      <w:proofErr w:type="gramEnd"/>
      <w:r>
        <w:t xml:space="preserve"> assembly software use baiting and iterative mapping approach for assembly. Additionally, a large number of automated gene annotation methods are available for chloroplast genomes, most of which rely on the transfer of existing annotations to the new assembly </w:t>
      </w:r>
      <w:r>
        <w:fldChar w:fldCharType="begin" w:fldLock="1"/>
      </w:r>
      <w:r>
        <w:instrText>ADDIN CSL_CITATION {"citationItems":[{"id":"ITEM-1","itemData":{"DOI":"10.1093/nar/gkx391","ISSN":"13624962","PMID":"28486635","abstract":"We have developed the web application GeSeq (https://chlorobox.mpimp-golm.mpg.de/geseq.html) for the rapid and accurate annotation of organellar genome sequences, in particular chloroplast genomes. In contrast to existing tools, GeSeq combines batch processing with a fully customizable reference sequence selection of organellar genome records from NCBI and/or references uploaded by the user. For the annotation of chloroplast genomes, the application additionally provides an integrated database of manually curated reference sequences. GeSeq identifies genes or other feature-encoding regions by BLAT-based homology searches and additionally, by profile HMM searches for protein and rRNA coding genes and two de novo predictors for tRNA genes. These unique features enable the user to conveniently compare the annotations of different state-of-the-art methods, thus supporting high-quality annotations. The main output of GeSeq is a GenBank file that usually requires only little curation and is instantly visualized by OGDRAW. GeSeq also offers a variety of optional additional outputs that facilitate downstream analyzes, for example comparative genomic or phylogenetic studies.","author":[{"dropping-particle":"","family":"Tillich","given":"Michael","non-dropping-particle":"","parse-names":false,"suffix":""},{"dropping-particle":"","family":"Lehwark","given":"Pascal","non-dropping-particle":"","parse-names":false,"suffix":""},{"dropping-particle":"","family":"Pellizzer","given":"Tommaso","non-dropping-particle":"","parse-names":false,"suffix":""},{"dropping-particle":"","family":"Ulbricht-Jones","given":"Elena S.","non-dropping-particle":"","parse-names":false,"suffix":""},{"dropping-particle":"","family":"Fischer","given":"Axel","non-dropping-particle":"","parse-names":false,"suffix":""},{"dropping-particle":"","family":"Bock","given":"Ralph","non-dropping-particle":"","parse-names":false,"suffix":""},{"dropping-particle":"","family":"Greiner","given":"Stephan","non-dropping-particle":"","parse-names":false,"suffix":""}],"container-title":"Nucleic Acids Research","id":"ITEM-1","issue":"W1","issued":{"date-parts":[["2017"]]},"page":"W6-W11","title":"GeSeq - Versatile and accurate annotation of organelle genomes","type":"article-journal","volume":"45"},"uris":["http://www.mendeley.com/documents/?uuid=f0be943e-2fcd-42b0-bfb8-319d3c8462fe"]},{"id":"ITEM-2","itemData":{"DOI":"10.1186/1471-2105-14-95","ISSN":"14712105","PMID":"23496817","abstract":"Background: Chloroplast is an essential organelle in plants which contains independent genome. Chloroplast genomes have been widely used for plant phylogenetic inference recently. The number of complete chloroplast genomes increases rapidly with the development of various genome sequencing projects. However, no comprehensive platform or tool has been developed for the comparative and phylogenetic analysis of chloroplast genomes. Thus, we constructed a comprehensive platform for the comparative and phylogenetic analysis of complete chloroplast genomes which was named as chloroplast genome analysis platform (CGAP).Results: CGAP is an interactive web-based platform which was designed for the comparative analysis of complete chloroplast genomes. CGAP integrated genome collection, visualization, content comparison, phylogeny analysis and annotation functions together. CGAP implemented four web servers including creating complete and regional genome maps of high quality, comparing genome features, constructing phylogenetic trees using complete genome sequences, and annotating draft chloroplast genomes submitted by users.Conclusions: Both CGAP and source code are available at http://www.herbbol.org:8000/chloroplast. CGAP will facilitate the collection, visualization, comparison and annotation of complete chloroplast genomes. Users can customize the comparative and phylogenetic analysis using their own unpublished chloroplast genomes. © 2013 Cheng et al.; licensee BioMed Central Ltd.","author":[{"dropping-particle":"","family":"Cheng","given":"Jinkui","non-dropping-particle":"","parse-names":false,"suffix":""},{"dropping-particle":"","family":"Zeng","given":"Xu","non-dropping-particle":"","parse-names":false,"suffix":""},{"dropping-particle":"","family":"Ren","given":"Guomin","non-dropping-particle":"","parse-names":false,"suffix":""},{"dropping-particle":"","family":"Liu","given":"Zhihua","non-dropping-particle":"","parse-names":false,"suffix":""}],"container-title":"BMC Bioinformatics","id":"ITEM-2","issued":{"date-parts":[["2013"]]},"title":"CGAP: A new comprehensive platform for the comparative analysis of chloroplast genomes","type":"article-journal","volume":"14"},"uris":["http://www.mendeley.com/documents/?uuid=58cb3f15-9888-412f-aedb-a2a5efe604ed"]},{"id":"ITEM-3","itemData":{"DOI":"10.1093/nar/gkz345","ISSN":"13624962","PMID":"31066451","abstract":"We previously developed a web server CPGAVAS for annotation, visualization and GenBank submission of plastome sequences. Here, we upgrade the server into CPGAVAS2 to address the following challenges: (i) inaccurate annotation in the reference sequence likely causing the propagation of errors; (ii) difficulty in the annotation of small exons of genes petB, petD and rps16 and trans-splicing gene rps12; (iii) lack of annotation for other genome features and their visualization, such as repeat elements; and (iv) lack of modules for diversity analysis of plastomes. In particular, CPGAVAS2 provides two reference datasets for plastome annotation. The first dataset contains 43 plastomes whose annotation have been validated or corrected by RNA-seq data. The second one contains 2544 plastomes curated with sequence alignment. Two new algorithms are also implemented to correctly annotate small exons and trans-splicing genes. Tandem and dispersed repeats are identified, whose results are displayed on a circular map together with the annotated genes. DNA-seq and RNA-seq data can be uploaded for identification of single-nucleotide polymorphism sites and RNA-editing sites. The results of two case studies show that CPGAVAS2 annotates better than several other servers. CPGAVAS2 will likely become an indispensible tool for plastome research and can be accessed from http://www.herbalgenomics.org/cpgavas2.","author":[{"dropping-particle":"","family":"Shi","given":"Linchun","non-dropping-particle":"","parse-names":false,"suffix":""},{"dropping-particle":"","family":"Chen","given":"Haimei","non-dropping-particle":"","parse-names":false,"suffix":""},{"dropping-particle":"","family":"Jiang","given":"Mei","non-dropping-particle":"","parse-names":false,"suffix":""},{"dropping-particle":"","family":"Wang","given":"Liqiang","non-dropping-particle":"","parse-names":false,"suffix":""},{"dropping-particle":"","family":"Wu","given":"Xi","non-dropping-particle":"","parse-names":false,"suffix":""},{"dropping-particle":"","family":"Huang","given":"Linfang","non-dropping-particle":"","parse-names":false,"suffix":""},{"dropping-particle":"","family":"Liu","given":"Chang","non-dropping-particle":"","parse-names":false,"suffix":""}],"container-title":"Nucleic Acids Research","id":"ITEM-3","issue":"W1","issued":{"date-parts":[["2019"]]},"page":"W65-W73","title":"CPGAVAS2, an integrated plastome sequence annotator and analyzer","type":"article-journal","volume":"47"},"uris":["http://www.mendeley.com/documents/?uuid=18555698-9b98-4c38-ae7f-819fd640d0a9"]}],"mendeley":{"formattedCitation":"(Cheng, Zeng, Ren, &amp; Liu, 2013; Shi et al., 2019; Tillich et al., 2017)","plainTextFormattedCitation":"(Cheng, Zeng, Ren, &amp; Liu, 2013; Shi et al., 2019; Tillich et al., 2017)","previouslyFormattedCitation":"(Tillich et al. 2017; Cheng et al. 2013; Shi et al. 2019)"},"properties":{"noteIndex":0},"schema":"https://github.com/citation-style-language/schema/raw/master/csl-citation.json"}</w:instrText>
      </w:r>
      <w:r>
        <w:fldChar w:fldCharType="separate"/>
      </w:r>
      <w:r w:rsidRPr="00E64425">
        <w:rPr>
          <w:noProof/>
        </w:rPr>
        <w:t>(Cheng, Zeng, Ren, &amp; Liu, 2013; Shi et al., 2019; Tillich et al., 2017)</w:t>
      </w:r>
      <w:r>
        <w:fldChar w:fldCharType="end"/>
      </w:r>
      <w:r>
        <w:t>. These tools greatly simplify the annotation and assembly process of chloroplast genomes.</w:t>
      </w:r>
    </w:p>
    <w:p w14:paraId="6828FFD0" w14:textId="77777777" w:rsidR="00636B5B" w:rsidRDefault="00636B5B" w:rsidP="00E64425">
      <w:pPr>
        <w:spacing w:line="360" w:lineRule="auto"/>
      </w:pPr>
      <w:r>
        <w:tab/>
        <w:t xml:space="preserve">The first two sequenced plant mitogenomes were </w:t>
      </w:r>
      <w:r>
        <w:rPr>
          <w:i/>
          <w:iCs/>
        </w:rPr>
        <w:t xml:space="preserve">M. polymorpha </w:t>
      </w:r>
      <w:r>
        <w:t xml:space="preserve">and </w:t>
      </w:r>
      <w:r>
        <w:rPr>
          <w:i/>
          <w:iCs/>
        </w:rPr>
        <w:t xml:space="preserve">A. thaliana </w:t>
      </w:r>
      <w:r>
        <w:rPr>
          <w:i/>
          <w:iCs/>
        </w:rPr>
        <w:fldChar w:fldCharType="begin" w:fldLock="1"/>
      </w:r>
      <w:r>
        <w:rPr>
          <w:i/>
          <w:iCs/>
        </w:rPr>
        <w:instrText>ADDIN CSL_CITATION {"citationItems":[{"id":"ITEM-1","itemData":{"DOI":"10.1016/0022-2836(92)90708-R","ISSN":"00222836","PMID":"1731062","abstract":"Analysis of the mitochondrial DNA of a liverwort Marchantia polymorpha by electron microscopy and restriction endonuclease mapping indicated that the liverwort mitochondrial genome was a single circular molecule of about 184,400 base-pairs. We have determined the complete sequence of the liverwort mitochondrial DNA and detected 94 possible genes in the sequence of 186,608 base-pairs. These included genes for three species of ribosomal RNA, 29 genes for 27 species of transfer RNA and 30 open reading frames (ORFs) for functionally known proteins (16 ribosomal proteins, 3 subunits of H+-ATPase, 3 subunits of cytochrome c oxidase, apocytochrome b protein and 7 subunits of NADH ubiquinone oxidoreductase). Three ORFs showed similarity to ORFs of unknown function in the mitochondrial genomes of other organisms. Furthermore, 29 ORFs were predicted as possible genes by using the index of G + C content in first, second and third letters of codons (42.0 ± 10.9%, 37.0 ± 13.2% and 26.4 ± 9.4%, respectively) obtained from the codon usages of identified liverwort genes. To date, 32 introns belonging to either group I or group II intron have been found in the coding regions of 17 genes including ribosomal RNA genes (rrn18 and rrn26), a transfer RNA gene (trnS) and a pseudogene (ψnad7). RNA editing was apparently lacking in liverwort mitochondria since the nucleotide sequences of the liverwort mitochondrial DNA were well-conserved at the DNA level. © 1992.","author":[{"dropping-particle":"","family":"Oda","given":"Kenji","non-dropping-particle":"","parse-names":false,"suffix":""},{"dropping-particle":"","family":"Yamato","given":"Katsuyuki","non-dropping-particle":"","parse-names":false,"suffix":""},{"dropping-particle":"","family":"Ohta","given":"Eiji","non-dropping-particle":"","parse-names":false,"suffix":""},{"dropping-particle":"","family":"Nakamura","given":"Yasukazu","non-dropping-particle":"","parse-names":false,"suffix":""},{"dropping-particle":"","family":"Takemura","given":"Miho","non-dropping-particle":"","parse-names":false,"suffix":""},{"dropping-particle":"","family":"Nozato","given":"Naoko","non-dropping-particle":"","parse-names":false,"suffix":""},{"dropping-particle":"","family":"Akashi","given":"Kinya","non-dropping-particle":"","parse-names":false,"suffix":""},{"dropping-particle":"","family":"Kanegae","given":"Takeshi","non-dropping-particle":"","parse-names":false,"suffix":""},{"dropping-particle":"","family":"Ogura","given":"Yutaka","non-dropping-particle":"","parse-names":false,"suffix":""},{"dropping-particle":"","family":"Kohchi","given":"Takayuki","non-dropping-particle":"","parse-names":false,"suffix":""},{"dropping-particle":"","family":"Ohyama","given":"Kanji","non-dropping-particle":"","parse-names":false,"suffix":""}],"container-title":"Journal of Molecular Biology","id":"ITEM-1","issue":"1","issued":{"date-parts":[["1992"]]},"page":"1-7","title":"Gene organization deduced from the complete sequence of liverwort Marchantia polymorpha mitochondrial DNA. A primitive form of plant mitochondrial genome","type":"article-journal","volume":"223"},"uris":["http://www.mendeley.com/documents/?uuid=c76291ec-001e-463e-a5b6-8cc65f20ea65"]},{"id":"ITEM-2","itemData":{"author":[{"dropping-particle":"","family":"Unseld","given":"Michael","non-dropping-particle":"","parse-names":false,"suffix":""},{"dropping-particle":"","family":"Marienfeld","given":"R. Joachim","non-dropping-particle":"","parse-names":false,"suffix":""},{"dropping-particle":"","family":"Brandt","given":"Petra","non-dropping-particle":"","parse-names":false,"suffix":""},{"dropping-particle":"","family":"Brennicke","given":"Axel","non-dropping-particle":"","parse-names":false,"suffix":""}],"id":"ITEM-2","issued":{"date-parts":[["1997"]]},"page":"57-61","title":"The mitochondrial genome of Arabidopsis thaliana contains 57 genes in 366,924 nucleotides","type":"article-journal","volume":"15"},"uris":["http://www.mendeley.com/documents/?uuid=3d066173-d4ed-4406-9236-d320b0d70b12"]}],"mendeley":{"formattedCitation":"(Oda et al., 1992; Unseld, Marienfeld, Brandt, &amp; Brennicke, 1997)","plainTextFormattedCitation":"(Oda et al., 1992; Unseld, Marienfeld, Brandt, &amp; Brennicke, 1997)","previouslyFormattedCitation":"(Oda et al. 1992; Unseld et al. 1997)"},"properties":{"noteIndex":0},"schema":"https://github.com/citation-style-language/schema/raw/master/csl-citation.json"}</w:instrText>
      </w:r>
      <w:r>
        <w:rPr>
          <w:i/>
          <w:iCs/>
        </w:rPr>
        <w:fldChar w:fldCharType="separate"/>
      </w:r>
      <w:r w:rsidRPr="00E64425">
        <w:rPr>
          <w:iCs/>
          <w:noProof/>
        </w:rPr>
        <w:t>(Oda et al., 1992; Unseld, Marienfeld, Brandt, &amp; Brennicke, 1997)</w:t>
      </w:r>
      <w:r>
        <w:rPr>
          <w:i/>
          <w:iCs/>
        </w:rPr>
        <w:fldChar w:fldCharType="end"/>
      </w:r>
      <w:r>
        <w:t xml:space="preserve">. The total numbers of land plant mitochondrial genomes which are publicly available at NCBI is quite low at 290, which is representative of 204 genera (accessed 01/2022). However, these mitogenomes do represent all seven major lineages of land plants which represents a promising opportunity for comparative analyses </w:t>
      </w:r>
      <w:r>
        <w:fldChar w:fldCharType="begin" w:fldLock="1"/>
      </w:r>
      <w:r>
        <w:instrText>ADDIN CSL_CITATION {"citationItems":[{"id":"ITEM-1","itemData":{"DOI":"10.1016/j.mito.2020.06.002","ISSN":"18728278","PMID":"32535166","abstract":"The functional content of the mitochondrial genome (mitogenome) is highly diverse across eukaryotes. Among land plants, our understanding of the variation in mitochondrial gene and intron content is improving from concerted efforts to densely sample mitogenomes from diverse land plants. Here I review the current state of knowledge regarding the diversity in content of protein genes and introns in the mitogenomes of all major land plant lineages. Mitochondrial protein gene content is largely conserved among mosses and liverworts, but it varies substantially among and within other land plant lineages due to convergent losses of genes encoding ribosomal proteins and, to a lesser extent, genes for proteins involved in cytochrome c maturation and oxidative phosphorylation. Mitochondrial intron content is fairly stable within each major land plant lineage, but highly variable among lineages, resulting from occasional gains and many convergent losses over time. Trans-splicing has evolved dozens of times in various vascular plant lineages, particularly those with relatively higher rates of mitogenomic rearrangement. Across eukaryotes, mitochondrial protein gene and intron content has been shaped massive convergent evolution.","author":[{"dropping-particle":"","family":"Mower","given":"Jeffrey P.","non-dropping-particle":"","parse-names":false,"suffix":""}],"container-title":"Mitochondrion","id":"ITEM-1","issue":"May","issued":{"date-parts":[["2020"]]},"page":"203-213","title":"Variation in protein gene and intron content among land plant mitogenomes","type":"article-journal","volume":"53"},"uris":["http://www.mendeley.com/documents/?uuid=c436ca4f-e7eb-4079-86bf-f7d5891a6d93"]}],"mendeley":{"formattedCitation":"(Mower, 2020)","plainTextFormattedCitation":"(Mower, 2020)","previouslyFormattedCitation":"(Mower 2020)"},"properties":{"noteIndex":0},"schema":"https://github.com/citation-style-language/schema/raw/master/csl-citation.json"}</w:instrText>
      </w:r>
      <w:r>
        <w:fldChar w:fldCharType="separate"/>
      </w:r>
      <w:r w:rsidRPr="00E64425">
        <w:rPr>
          <w:noProof/>
        </w:rPr>
        <w:t>(Mower, 2020)</w:t>
      </w:r>
      <w:r>
        <w:fldChar w:fldCharType="end"/>
      </w:r>
      <w:r>
        <w:t xml:space="preserve">. One of the main reasons for low numbers are primarily due to the challenges of mitogenome assembly with next-generation sequencing (NGS) data as mitogenomes generally have large repeats which may exceed the short read length and the heterogenous nature of mitogenomes even among closely related species. For example, in the genus </w:t>
      </w:r>
      <w:r>
        <w:rPr>
          <w:i/>
          <w:iCs/>
        </w:rPr>
        <w:t xml:space="preserve">Silene, S. </w:t>
      </w:r>
      <w:proofErr w:type="spellStart"/>
      <w:r>
        <w:rPr>
          <w:i/>
          <w:iCs/>
        </w:rPr>
        <w:t>latifola</w:t>
      </w:r>
      <w:proofErr w:type="spellEnd"/>
      <w:r>
        <w:rPr>
          <w:i/>
          <w:iCs/>
        </w:rPr>
        <w:t xml:space="preserve"> </w:t>
      </w:r>
      <w:r>
        <w:t xml:space="preserve">and </w:t>
      </w:r>
      <w:r>
        <w:rPr>
          <w:i/>
          <w:iCs/>
        </w:rPr>
        <w:t xml:space="preserve">S. </w:t>
      </w:r>
      <w:proofErr w:type="spellStart"/>
      <w:r>
        <w:rPr>
          <w:i/>
          <w:iCs/>
        </w:rPr>
        <w:t>conica</w:t>
      </w:r>
      <w:proofErr w:type="spellEnd"/>
      <w:r>
        <w:rPr>
          <w:i/>
          <w:iCs/>
        </w:rPr>
        <w:t xml:space="preserve"> </w:t>
      </w:r>
      <w:r>
        <w:t xml:space="preserve">have 250 kb and 11.3 Mb mitogenomes, respectively </w:t>
      </w:r>
      <w:r>
        <w:fldChar w:fldCharType="begin" w:fldLock="1"/>
      </w:r>
      <w:r>
        <w:instrText>ADDIN CSL_CITATION {"citationItems":[{"id":"ITEM-1","itemData":{"DOI":"10.1371/journal.pbio.1001241","ISSN":"15449173","PMID":"22272183","abstract":"Genome size and complexity vary tremendously among eukaryotic species and their organelles. Comparisons across deeply divergent eukaryotic lineages have suggested that variation in mutation rates may explain this diversity, with increased mutational burdens favoring reduced genome size and complexity. The discovery that mitochondrial mutation rates can differ by orders of magnitude among closely related angiosperm species presents a unique opportunity to test this hypothesis. We sequenced the mitochondrial genomes from two species in the angiosperm genus Silene with recent and dramatic accelerations in their mitochondrial mutation rates. Contrary to theoretical predictions, these genomes have experienced a massive proliferation of noncoding content. At 6.7 and 11.3 Mb, they are by far the largest known mitochondrial genomes, larger than most bacterial genomes and even some nuclear genomes. In contrast, two slowly evolving Silene mitochondrial genomes are smaller than average for angiosperms. Consequently, this genus captures approximately 98% of known variation in organelle genome size. The expanded genomes reveal several architectural changes, including the evolution of complex multichromosomal structures (with 59 and 128 circular-mapping chromosomes, ranging in size from 44 to 192 kb). They also exhibit a substantial reduction in recombination and gene conversion activity as measured by the relative frequency of alternative genome conformations and the level of sequence divergence between repeat copies. The evolution of mutation rate, genome size, and chromosome structure can therefore be extremely rapid and interrelated in ways not predicted by current evolutionary theories. Our results raise the hypothesis that changes in recombinational processes, including gene conversion, may be a central force driving the evolution of both mutation rate and genome structure. © 2012 Sloan et al.","author":[{"dropping-particle":"","family":"Sloan","given":"Daniel B.","non-dropping-particle":"","parse-names":false,"suffix":""},{"dropping-particle":"","family":"Alverson","given":"Andrew J.","non-dropping-particle":"","parse-names":false,"suffix":""},{"dropping-particle":"","family":"Chuckalovcak","given":"John P.","non-dropping-particle":"","parse-names":false,"suffix":""},{"dropping-particle":"","family":"Wu","given":"Martin","non-dropping-particle":"","parse-names":false,"suffix":""},{"dropping-particle":"","family":"McCauley","given":"David E.","non-dropping-particle":"","parse-names":false,"suffix":""},{"dropping-particle":"","family":"Palmer","given":"Jeffrey D.","non-dropping-particle":"","parse-names":false,"suffix":""},{"dropping-particle":"","family":"Taylor","given":"Douglas R.","non-dropping-particle":"","parse-names":false,"suffix":""}],"container-title":"PLoS Biology","id":"ITEM-1","issue":"1","issued":{"date-parts":[["2012"]]},"title":"Rapid evolution of enormous, multichromosomal genomes in flowering plant mitochondria with exceptionally high mutation rates","type":"article-journal","volume":"10"},"uris":["http://www.mendeley.com/documents/?uuid=c86dafd2-64f1-4192-b5b6-6f9b94a3e8f7"]},{"id":"ITEM-2","itemData":{"DOI":"10.1186/1471-2148-10-274","ISSN":"14712148","PMID":"20831793","abstract":"Background. Mitochondrial gene loss and functional transfer to the nucleus is an ongoing process in many lineages of plants, resulting in substantial variation across species in mitochondrial gene content. The Caryophyllaceae represents one lineage that has experienced a particularly high rate of mitochondrial gene loss relative to other angiosperms. Results. In this study, we report the first complete mitochondrial genome sequence from a member of this family, Silene latifolia. The genome can be mapped as a 253,413 bp circle, but its structure is complicated by a large repeated region that is present in 6 copies. Active recombination among these copies produces a suite of alternative genome configurations that appear to be at or near \"recombinational equilibrium\". The genome contains the fewest genes of any angiosperm mitochondrial genome sequenced to date, with intact copies of only 25 of the 41 protein genes inferred to be present in the common ancestor of angiosperms. As observed more broadly in angiosperms, ribosomal proteins have been especially prone to gene loss in the S. latifolia lineage. The genome has also experienced a major reduction in tRNA gene content, including loss of functional tRNAs of both native and chloroplast origin. Even assuming expanded wobble-pairing rules, the mitochondrial genome can support translation of only 17 of the 61 sense codons, which code for only 9 of the 20 amino acids. In addition, genes encoding 18S and, especially, 5S rRNA exhibit exceptional sequence divergence relative to other plants. Divergence in one region of 18S rRNA appears to be the result of a gene conversion event, in which recombination with a homologous gene of chloroplast origin led to the complete replacement of a helix in this ribosomal RNA. Conclusions. These findings suggest a markedly expanded role for nuclear gene products in the translation of mitochondrial genes in S. latifolia and raise the possibility of altered selective constraints operating on the mitochondrial translational apparatus in this lineage. © 2010 Sloan et al; licensee BioMed Central Ltd.","author":[{"dropping-particle":"","family":"Sloan","given":"Daniel B.","non-dropping-particle":"","parse-names":false,"suffix":""},{"dropping-particle":"","family":"Alverson","given":"Andrew J.","non-dropping-particle":"","parse-names":false,"suffix":""},{"dropping-particle":"","family":"Štorchová","given":"Helena","non-dropping-particle":"","parse-names":false,"suffix":""},{"dropping-particle":"","family":"Palmer","given":"Jeffrey D.","non-dropping-particle":"","parse-names":false,"suffix":""},{"dropping-particle":"","family":"Taylor","given":"Douglas R.","non-dropping-particle":"","parse-names":false,"suffix":""}],"container-title":"BMC Evolutionary Biology","id":"ITEM-2","issue":"1","issued":{"date-parts":[["2010"]]},"title":"Extensive loss of translational genes in the structurally dynamic mitochondrial genome of the angiosperm Silene latifolia","type":"article-journal","volume":"10"},"uris":["http://www.mendeley.com/documents/?uuid=8ec6d5a3-be3e-441e-8d4f-675a7d76f0e3"]}],"mendeley":{"formattedCitation":"(Sloan et al., 2012; Sloan, Alverson, Štorchová, Palmer, &amp; Taylor, 2010)","plainTextFormattedCitation":"(Sloan et al., 2012; Sloan, Alverson, Štorchová, Palmer, &amp; Taylor, 2010)","previouslyFormattedCitation":"(Sloan et al. 2012, 2010)"},"properties":{"noteIndex":0},"schema":"https://github.com/citation-style-language/schema/raw/master/csl-citation.json"}</w:instrText>
      </w:r>
      <w:r>
        <w:fldChar w:fldCharType="separate"/>
      </w:r>
      <w:r w:rsidRPr="00E64425">
        <w:rPr>
          <w:noProof/>
        </w:rPr>
        <w:t>(Sloan et al., 2012; Sloan, Alverson, Štorchová, Palmer, &amp; Taylor, 2010)</w:t>
      </w:r>
      <w:r>
        <w:fldChar w:fldCharType="end"/>
      </w:r>
      <w:r>
        <w:t xml:space="preserve">. Beyond differences in size, variation in structure is also apparent </w:t>
      </w:r>
      <w:r>
        <w:fldChar w:fldCharType="begin" w:fldLock="1"/>
      </w:r>
      <w:r>
        <w:instrText>ADDIN CSL_CITATION {"citationItems":[{"id":"ITEM-1","itemData":{"DOI":"10.1111/nph.12395","ISSN":"0028646X","PMID":"24712049","abstract":"The in vivo molecular structure of plant mitochondrial DNA (mtDNA) has been a long-standing source of intrigue and controversy. Recent deep sequencing analyses of mitochondrial genomes from numerous plant species have provided the opportunity to revisit this decades-old question from a novel perspective. Whole-genome sequencing approaches have yielded new lines of evidence that the 'master circle' is not the predominant form of plant mtDNA and have revealed striking structural variation both within and among species. Here, I review these recent studies, including the discovery that at least two independent angiosperm lineages have evolved multichromosomal mitochondrial genome structures. These findings raise fascinating questions regarding the mechanisms of plant mtDNA replication and inheritance. © 2013 New Phytologist Trust.","author":[{"dropping-particle":"","family":"Sloan","given":"Daniel B.","non-dropping-particle":"","parse-names":false,"suffix":""}],"container-title":"New Phytologist","id":"ITEM-1","issue":"4","issued":{"date-parts":[["2013"]]},"page":"978-985","title":"One ring to rule them all? Genome sequencing provides new insights into the 'master circle' model of plant mitochondrial DNA structure","type":"article-journal","volume":"200"},"uris":["http://www.mendeley.com/documents/?uuid=4fc66721-e397-4194-b27d-48584a986d51"]}],"mendeley":{"formattedCitation":"(Sloan, 2013)","plainTextFormattedCitation":"(Sloan, 2013)","previouslyFormattedCitation":"(Sloan 2013)"},"properties":{"noteIndex":0},"schema":"https://github.com/citation-style-language/schema/raw/master/csl-citation.json"}</w:instrText>
      </w:r>
      <w:r>
        <w:fldChar w:fldCharType="separate"/>
      </w:r>
      <w:r w:rsidRPr="00E64425">
        <w:rPr>
          <w:noProof/>
        </w:rPr>
        <w:t>(Sloan, 2013)</w:t>
      </w:r>
      <w:r>
        <w:fldChar w:fldCharType="end"/>
      </w:r>
      <w:r>
        <w:t xml:space="preserve">. Plant mitogenomes are typically thought to be circular and that the ‘master circle’ which is the entire sequence content derived from the recombination of </w:t>
      </w:r>
      <w:proofErr w:type="spellStart"/>
      <w:r>
        <w:t>subgenomic</w:t>
      </w:r>
      <w:proofErr w:type="spellEnd"/>
      <w:r>
        <w:t xml:space="preserve"> circles is the primary conformation. However, this is not always the case as multipartite genomes, </w:t>
      </w:r>
      <w:proofErr w:type="spellStart"/>
      <w:r>
        <w:t>subgenomic</w:t>
      </w:r>
      <w:proofErr w:type="spellEnd"/>
      <w:r>
        <w:t xml:space="preserve"> circles, and linear molecules have been observed </w:t>
      </w:r>
      <w:r>
        <w:fldChar w:fldCharType="begin" w:fldLock="1"/>
      </w:r>
      <w:r>
        <w:instrText>ADDIN CSL_CITATION {"citationItems":[{"id":"ITEM-1","itemData":{"DOI":"10.1016/j.mito.2020.06.002","ISSN":"18728278","PMID":"32535166","abstract":"The functional content of the mitochondrial genome (mitogenome) is highly diverse across eukaryotes. Among land plants, our understanding of the variation in mitochondrial gene and intron content is improving from concerted efforts to densely sample mitogenomes from diverse land plants. Here I review the current state of knowledge regarding the diversity in content of protein genes and introns in the mitogenomes of all major land plant lineages. Mitochondrial protein gene content is largely conserved among mosses and liverworts, but it varies substantially among and within other land plant lineages due to convergent losses of genes encoding ribosomal proteins and, to a lesser extent, genes for proteins involved in cytochrome c maturation and oxidative phosphorylation. Mitochondrial intron content is fairly stable within each major land plant lineage, but highly variable among lineages, resulting from occasional gains and many convergent losses over time. Trans-splicing has evolved dozens of times in various vascular plant lineages, particularly those with relatively higher rates of mitogenomic rearrangement. Across eukaryotes, mitochondrial protein gene and intron content has been shaped massive convergent evolution.","author":[{"dropping-particle":"","family":"Mower","given":"Jeffrey P.","non-dropping-particle":"","parse-names":false,"suffix":""}],"container-title":"Mitochondrion","id":"ITEM-1","issue":"May","issued":{"date-parts":[["2020"]]},"page":"203-213","title":"Variation in protein gene and intron content among land plant mitogenomes","type":"article-journal","volume":"53"},"uris":["http://www.mendeley.com/documents/?uuid=c436ca4f-e7eb-4079-86bf-f7d5891a6d93"]}],"mendeley":{"formattedCitation":"(Mower, 2020)","plainTextFormattedCitation":"(Mower, 2020)","previouslyFormattedCitation":"(Mower 2020)"},"properties":{"noteIndex":0},"schema":"https://github.com/citation-style-language/schema/raw/master/csl-citation.json"}</w:instrText>
      </w:r>
      <w:r>
        <w:fldChar w:fldCharType="separate"/>
      </w:r>
      <w:r w:rsidRPr="00E64425">
        <w:rPr>
          <w:noProof/>
        </w:rPr>
        <w:t>(Mower, 2020)</w:t>
      </w:r>
      <w:r>
        <w:fldChar w:fldCharType="end"/>
      </w:r>
      <w:r>
        <w:t xml:space="preserve">. Variation in land plant protein-coding gene content is also apparent with numbers as low as 19 in the genus </w:t>
      </w:r>
      <w:r>
        <w:rPr>
          <w:i/>
          <w:iCs/>
        </w:rPr>
        <w:t xml:space="preserve">Viscum </w:t>
      </w:r>
      <w:r>
        <w:t xml:space="preserve">and more than 50 in </w:t>
      </w:r>
      <w:r>
        <w:rPr>
          <w:i/>
          <w:iCs/>
        </w:rPr>
        <w:t xml:space="preserve">M. polymorpha </w:t>
      </w:r>
      <w:r>
        <w:rPr>
          <w:i/>
          <w:iCs/>
        </w:rPr>
        <w:fldChar w:fldCharType="begin" w:fldLock="1"/>
      </w:r>
      <w:r>
        <w:rPr>
          <w:i/>
          <w:iCs/>
        </w:rPr>
        <w:instrText>ADDIN CSL_CITATION {"citationItems":[{"id":"ITEM-1","itemData":{"DOI":"10.1073/pnas.1504491112","ISSN":"10916490","PMID":"26100885","abstract":"Despite the enormous diversity among parasitic angiosperms in form and structure, life-history strategies, and plastid genomes, little is known about the diversity of their mitogenomes. We report the sequence of the wonderfully bizarre mitogenome of the hemiparasitic aerial mistletoe Viscum scurruloideum. This genome is only 66 kb in size, making it the smallest known angiosperm mitogenome by a factor of more than three and the smallest land plant mitogenome. Accompanying this size reduction is exceptional reduction of gene content. Much of this reduction arises from the unexpected loss of respiratory complex I (NADH dehydrogenase), universally present in all 300+ other angiosperms examined, where it is encoded by nine mitochondrial and many nuclear nad genes. Loss of complex I in a multicellular organism is unprecedented. We explore the potential relationship between this loss in Viscum and its parasitic lifestyle. Despite its small size, the Viscum mitogenome is unusually rich in recombinationally active repeats, possessing unparalleled levels of predicted sublimons resulting from recombination across short repeats. Many mitochondrial gene products exhibit extraordinary levels of divergence in Viscum, indicative of highly relaxed if not positive selection. In addition, all Viscum mitochondrial protein genes have experienced a dramatic acceleration in synonymous substitution rates, consistent with the hypothesis of genomic streamlining in response to a high mutation rate but completely opposite to the pattern seen for the high-rate but enormous mitogenomes of Silene. In sum, the Viscum mitogenome possesses a unique constellation of extremely unusual features, a subset of which may be related to its parasitic lifestyle.","author":[{"dropping-particle":"","family":"Skippingtona","given":"Elizabeth","non-dropping-particle":"","parse-names":false,"suffix":""},{"dropping-particle":"","family":"Barkmanb","given":"Todd J.","non-dropping-particle":"","parse-names":false,"suffix":""},{"dropping-particle":"","family":"Ricea","given":"Danny W.","non-dropping-particle":"","parse-names":false,"suffix":""},{"dropping-particle":"","family":"Palmera","given":"Jeffrey D.","non-dropping-particle":"","parse-names":false,"suffix":""}],"container-title":"Proceedings of the National Academy of Sciences of the United States of America","id":"ITEM-1","issue":"27","issued":{"date-parts":[["2015"]]},"page":"E3515-E3524","title":"Miniaturized mitogenome of the parasitic plant viscum scurruloideum is extremely divergent and dynamic and has lost all nad genes","type":"article-journal","volume":"112"},"uris":["http://www.mendeley.com/documents/?uuid=8bfba446-ee54-410e-8014-c8f7c44ffeee"]},{"id":"ITEM-2","itemData":{"DOI":"10.1016/0022-2836(92)90708-R","ISSN":"00222836","PMID":"1731062","abstract":"Analysis of the mitochondrial DNA of a liverwort Marchantia polymorpha by electron microscopy and restriction endonuclease mapping indicated that the liverwort mitochondrial genome was a single circular molecule of about 184,400 base-pairs. We have determined the complete sequence of the liverwort mitochondrial DNA and detected 94 possible genes in the sequence of 186,608 base-pairs. These included genes for three species of ribosomal RNA, 29 genes for 27 species of transfer RNA and 30 open reading frames (ORFs) for functionally known proteins (16 ribosomal proteins, 3 subunits of H+-ATPase, 3 subunits of cytochrome c oxidase, apocytochrome b protein and 7 subunits of NADH ubiquinone oxidoreductase). Three ORFs showed similarity to ORFs of unknown function in the mitochondrial genomes of other organisms. Furthermore, 29 ORFs were predicted as possible genes by using the index of G + C content in first, second and third letters of codons (42.0 ± 10.9%, 37.0 ± 13.2% and 26.4 ± 9.4%, respectively) obtained from the codon usages of identified liverwort genes. To date, 32 introns belonging to either group I or group II intron have been found in the coding regions of 17 genes including ribosomal RNA genes (rrn18 and rrn26), a transfer RNA gene (trnS) and a pseudogene (ψnad7). RNA editing was apparently lacking in liverwort mitochondria since the nucleotide sequences of the liverwort mitochondrial DNA were well-conserved at the DNA level. © 1992.","author":[{"dropping-particle":"","family":"Oda","given":"Kenji","non-dropping-particle":"","parse-names":false,"suffix":""},{"dropping-particle":"","family":"Yamato","given":"Katsuyuki","non-dropping-particle":"","parse-names":false,"suffix":""},{"dropping-particle":"","family":"Ohta","given":"Eiji","non-dropping-particle":"","parse-names":false,"suffix":""},{"dropping-particle":"","family":"Nakamura","given":"Yasukazu","non-dropping-particle":"","parse-names":false,"suffix":""},{"dropping-particle":"","family":"Takemura","given":"Miho","non-dropping-particle":"","parse-names":false,"suffix":""},{"dropping-particle":"","family":"Nozato","given":"Naoko","non-dropping-particle":"","parse-names":false,"suffix":""},{"dropping-particle":"","family":"Akashi","given":"Kinya","non-dropping-particle":"","parse-names":false,"suffix":""},{"dropping-particle":"","family":"Kanegae","given":"Takeshi","non-dropping-particle":"","parse-names":false,"suffix":""},{"dropping-particle":"","family":"Ogura","given":"Yutaka","non-dropping-particle":"","parse-names":false,"suffix":""},{"dropping-particle":"","family":"Kohchi","given":"Takayuki","non-dropping-particle":"","parse-names":false,"suffix":""},{"dropping-particle":"","family":"Ohyama","given":"Kanji","non-dropping-particle":"","parse-names":false,"suffix":""}],"container-title":"Journal of Molecular Biology","id":"ITEM-2","issue":"1","issued":{"date-parts":[["1992"]]},"page":"1-7","title":"Gene organization deduced from the complete sequence of liverwort Marchantia polymorpha mitochondrial DNA. A primitive form of plant mitochondrial genome","type":"article-journal","volume":"223"},"uris":["http://www.mendeley.com/documents/?uuid=c76291ec-001e-463e-a5b6-8cc65f20ea65"]}],"mendeley":{"formattedCitation":"(Oda et al., 1992; Skippingtona, Barkmanb, Ricea, &amp; Palmera, 2015)","plainTextFormattedCitation":"(Oda et al., 1992; Skippingtona, Barkmanb, Ricea, &amp; Palmera, 2015)","previouslyFormattedCitation":"(Skippingtona et al. 2015; Oda et al. 1992)"},"properties":{"noteIndex":0},"schema":"https://github.com/citation-style-language/schema/raw/master/csl-citation.json"}</w:instrText>
      </w:r>
      <w:r>
        <w:rPr>
          <w:i/>
          <w:iCs/>
        </w:rPr>
        <w:fldChar w:fldCharType="separate"/>
      </w:r>
      <w:r w:rsidRPr="00E64425">
        <w:rPr>
          <w:iCs/>
          <w:noProof/>
        </w:rPr>
        <w:t>(Oda et al., 1992; Skippingtona, Barkmanb, Ricea, &amp; Palmera, 2015)</w:t>
      </w:r>
      <w:r>
        <w:rPr>
          <w:i/>
          <w:iCs/>
        </w:rPr>
        <w:fldChar w:fldCharType="end"/>
      </w:r>
      <w:r>
        <w:t xml:space="preserve">. Mitogenomes also have two types of introns (group I and group II) which have different secondary structures and splicing mechanisms and must be removed from precursor transcripts </w:t>
      </w:r>
      <w:r>
        <w:fldChar w:fldCharType="begin" w:fldLock="1"/>
      </w:r>
      <w:r>
        <w:instrText>ADDIN CSL_CITATION {"citationItems":[{"id":"ITEM-1","itemData":{"DOI":"10.1016/B978-0-12-394279-1.00007-7","ISBN":"9780123942791","ISSN":"00652296","abstract":"Introns within the mitochondrial genes of plants and algae are categorized as group I or group II based on distinctive structural properties that are important for splicing. These families of intron ribozymes are mobile genetic elements that can invade genomes through horizontal transfer and spread copies of themselves during evolution. Fully competent group I and group II introns encode their own machinery for splicing and mobility, but those found in present-day plant/algal mitochondria lack certain features and virtually none have been shown to be self-splicing in vitro. Accessory proteins are required for splicing in vivo and such machinery can include nuclear-encoded homologues of intronic RNA maturases as well as other RNA-binding proteins, as determined primarily from studies of Arabidopsis mutants. Several mitochondrial introns in plants/algae have been disrupted by DNA rearrangements during evolution and the independently-transcribed pieces are expressed through trans-splicing. The interplay between RNA editing and splicing can also confer an additional layer of complexity and coevolutionary constraint. This chapter highlights aspects of the evolutionary history of mitochondrial introns in plants and algae, the recruitment of host machinery for splicing, and the relationships between splicing and other expression events in the mitochondrion. © 2012 Elsevier Ltd.","author":[{"dropping-particle":"","family":"Bonen","given":"Linda","non-dropping-particle":"","parse-names":false,"suffix":""}],"container-title":"Advances in Botanical Research","id":"ITEM-1","issued":{"date-parts":[["2012"]]},"number-of-pages":"155-186","publisher":"Elsevier","title":"Evolution of Mitochondrial Introns in Plants and Photosynthetic Microbes","type":"book","volume":"63"},"uris":["http://www.mendeley.com/documents/?uuid=b9996543-ebee-4f44-b2e7-f2b095fcb1b5"]}],"mendeley":{"formattedCitation":"(Bonen, 2012)","plainTextFormattedCitation":"(Bonen, 2012)","previouslyFormattedCitation":"(Bonen 2012)"},"properties":{"noteIndex":0},"schema":"https://github.com/citation-style-language/schema/raw/master/csl-citation.json"}</w:instrText>
      </w:r>
      <w:r>
        <w:fldChar w:fldCharType="separate"/>
      </w:r>
      <w:r w:rsidRPr="00E64425">
        <w:rPr>
          <w:noProof/>
        </w:rPr>
        <w:t>(Bonen, 2012)</w:t>
      </w:r>
      <w:r>
        <w:fldChar w:fldCharType="end"/>
      </w:r>
      <w:r>
        <w:t xml:space="preserve">. Intron content and numbers are highly variable across plants with group II introns being more common in land plants compared to group I introns </w:t>
      </w:r>
      <w:r>
        <w:fldChar w:fldCharType="begin" w:fldLock="1"/>
      </w:r>
      <w:r>
        <w:instrText>ADDIN CSL_CITATION {"citationItems":[{"id":"ITEM-1","itemData":{"DOI":"10.3390/cells10082001","ISSN":"20734409","PMID":"34440770","abstract":"Introns are ubiquitous in eukaryotic genomes and have long been considered as ‘junk RNA’ but the huge energy expenditure in their transcription, removal, and degradation indicate that they may have functional significance and can offer evolutionary advantages. In fungi, plants and algae introns make a significant contribution to the size of the organellar genomes. Organellar introns are classified as catalytic self-splicing introns that can be categorized as either Group I or Group II introns. There are some biases, with Group I introns being more frequently encountered in fungal mitochondrial genomes, whereas among plants Group II introns dominate within the mitochondrial and chloroplast genomes. Organellar introns can encode a variety of proteins, such as maturases, homing endonucleases, reverse transcriptases, and, in some cases, ribosomal proteins, along with other novel open reading frames. Although organellar introns are viewed to be ribozymes, they do interact with various intron-or nuclear genome-encoded protein factors that assist in the intron RNA to fold into competent splicing structures, or facilitate the turn-over of intron RNAs to prevent reverse splicing. Organellar introns are also known to be involved in non-canonical splicing, such as backsplicing and trans-splicing which can result in novel splicing products or, in some instances, compensate for the fragmentation of genes by recombination events. In organellar genomes, Group I and II introns may exist in nested intronic arrangements, such as introns within introns, referred to as twintrons, where splicing of the external intron may be dependent on splicing of the internal intron. These nested or complex introns, with two or three-component intron modules, are being explored as platforms for alternative splicing and their possible function as molecular switches for modulating gene expression which could be potentially applied towards heterologous gene expression. This review explores recent findings on organellar Group I and II introns, focusing on splicing and mobility mechanisms aided by associated intron/nuclear encoded proteins and their potential roles in organellar gene expression and cross talk between nuclear and organellar genomes. Potential application for these types of elements in biotechnology are also discussed.","author":[{"dropping-particle":"","family":"Mukhopadhyay","given":"Jigeesha","non-dropping-particle":"","parse-names":false,"suffix":""},{"dropping-particle":"","family":"Hausner","given":"Georg","non-dropping-particle":"","parse-names":false,"suffix":""}],"container-title":"Cells","id":"ITEM-1","issue":"8","issued":{"date-parts":[["2021"]]},"title":"Organellar introns in fungi, algae, and plants","type":"article-journal","volume":"10"},"uris":["http://www.mendeley.com/documents/?uuid=422157ed-3679-4ba2-be51-432a6dcc683d"]}],"mendeley":{"formattedCitation":"(Mukhopadhyay &amp; Hausner, 2021)","plainTextFormattedCitation":"(Mukhopadhyay &amp; Hausner, 2021)","previouslyFormattedCitation":"(Mukhopadhyay &amp; Hausner 2021)"},"properties":{"noteIndex":0},"schema":"https://github.com/citation-style-language/schema/raw/master/csl-citation.json"}</w:instrText>
      </w:r>
      <w:r>
        <w:fldChar w:fldCharType="separate"/>
      </w:r>
      <w:r w:rsidRPr="00E64425">
        <w:rPr>
          <w:noProof/>
        </w:rPr>
        <w:t>(Mukhopadhyay &amp; Hausner, 2021)</w:t>
      </w:r>
      <w:r>
        <w:fldChar w:fldCharType="end"/>
      </w:r>
      <w:r>
        <w:t xml:space="preserve">. Splicing mechanisms in plant mitochondria can occur in both </w:t>
      </w:r>
      <w:r>
        <w:rPr>
          <w:i/>
          <w:iCs/>
        </w:rPr>
        <w:t xml:space="preserve">cis </w:t>
      </w:r>
      <w:r>
        <w:t xml:space="preserve">and </w:t>
      </w:r>
      <w:r>
        <w:rPr>
          <w:i/>
          <w:iCs/>
        </w:rPr>
        <w:t>trans</w:t>
      </w:r>
      <w:r>
        <w:t xml:space="preserve"> and vary between land plants. The most common mechanism is </w:t>
      </w:r>
      <w:r>
        <w:rPr>
          <w:i/>
          <w:iCs/>
        </w:rPr>
        <w:t xml:space="preserve">cis, </w:t>
      </w:r>
      <w:r>
        <w:t xml:space="preserve">where introns are removed from same primary transcript. </w:t>
      </w:r>
      <w:r>
        <w:lastRenderedPageBreak/>
        <w:t xml:space="preserve">Alternatively, as a result of fragmentation during evolution, some genes may be split apart and </w:t>
      </w:r>
      <w:r>
        <w:rPr>
          <w:i/>
          <w:iCs/>
        </w:rPr>
        <w:t>trans-</w:t>
      </w:r>
      <w:r>
        <w:t xml:space="preserve">splicing of introns occurs </w:t>
      </w:r>
      <w:r w:rsidRPr="009062DB">
        <w:t>over</w:t>
      </w:r>
      <w:r>
        <w:t xml:space="preserve"> long distances </w:t>
      </w:r>
      <w:r>
        <w:fldChar w:fldCharType="begin" w:fldLock="1"/>
      </w:r>
      <w:r>
        <w:instrText>ADDIN CSL_CITATION {"citationItems":[{"id":"ITEM-1","itemData":{"DOI":"10.1093/molbev/msaa029","ISSN":"15371719","PMID":"32027368","abstract":"Hundreds of plant mitogenomes have been sequenced from angiosperms, but relatively few mitogenomes are available from its sister lineage, gymnosperms. To examine mitogenomic diversity among extant gymnosperms, we generated draft mitogenomes from 11 diverse species and compared them with four previously published mitogenomes. Examined mitogenomes from Pinaceae and cycads retained all 41 protein genes and 26 introns present in the common ancestor of seed plants, whereas gnetophyte and cupressophyte mitogenomes experienced extensive gene and intron loss. In Pinaceae and cupressophyte mitogenomes, an unprecedented number of exons are distantly dispersed, requiring transsplicing of 50-70% of mitochondrial introns to generate mature transcripts. RNAseq data confirm trans-splicing of these dispersed exons in Pinus. The prevalence of trans-splicing in vascular plant lineages with recombinogenic mitogenomes suggests that genomic rearrangement is the primary cause of shifts from cis- to trans-splicing in plant mitochondria.","author":[{"dropping-particle":"","family":"Guo","given":"Wenhu","non-dropping-particle":"","parse-names":false,"suffix":""},{"dropping-particle":"","family":"Zhu","given":"Andan","non-dropping-particle":"","parse-names":false,"suffix":""},{"dropping-particle":"","family":"Fan","given":"Weishu","non-dropping-particle":"","parse-names":false,"suffix":""},{"dropping-particle":"","family":"Adams","given":"Robert P.","non-dropping-particle":"","parse-names":false,"suffix":""},{"dropping-particle":"","family":"Mower","given":"Jeffrey P.","non-dropping-particle":"","parse-names":false,"suffix":""}],"container-title":"Molecular Biology and Evolution","id":"ITEM-1","issue":"6","issued":{"date-parts":[["2020"]]},"page":"1615-1620","title":"Extensive shifts from cis-to trans-splicing of gymnosperm mitochondrial introns","type":"article-journal","volume":"37"},"uris":["http://www.mendeley.com/documents/?uuid=a1b4cdf3-a0e6-47cf-ab3a-9d466b7fdd4c"]}],"mendeley":{"formattedCitation":"(Guo, Zhu, Fan, Adams, &amp; Mower, 2020)","plainTextFormattedCitation":"(Guo, Zhu, Fan, Adams, &amp; Mower, 2020)","previouslyFormattedCitation":"(Guo et al. 2020)"},"properties":{"noteIndex":0},"schema":"https://github.com/citation-style-language/schema/raw/master/csl-citation.json"}</w:instrText>
      </w:r>
      <w:r>
        <w:fldChar w:fldCharType="separate"/>
      </w:r>
      <w:r w:rsidRPr="00E64425">
        <w:rPr>
          <w:noProof/>
        </w:rPr>
        <w:t>(Guo, Zhu, Fan, Adams, &amp; Mower, 2020)</w:t>
      </w:r>
      <w:r>
        <w:fldChar w:fldCharType="end"/>
      </w:r>
      <w:r>
        <w:t>.</w:t>
      </w:r>
    </w:p>
    <w:p w14:paraId="07EAB717" w14:textId="77777777" w:rsidR="00636B5B" w:rsidRDefault="00636B5B" w:rsidP="00E64425">
      <w:pPr>
        <w:spacing w:line="360" w:lineRule="auto"/>
        <w:ind w:firstLine="720"/>
      </w:pPr>
      <w:r>
        <w:t xml:space="preserve">Because mitogenomes are highly variable, reference-based assembly is a challenge. This results in a variety of non-standard methods used for assembly most of which rely on iterative baiting and assembly or </w:t>
      </w:r>
      <w:r>
        <w:rPr>
          <w:i/>
          <w:iCs/>
        </w:rPr>
        <w:t xml:space="preserve">de novo </w:t>
      </w:r>
      <w:r>
        <w:t xml:space="preserve">assembly followed by gap filling </w:t>
      </w:r>
      <w:r>
        <w:fldChar w:fldCharType="begin" w:fldLock="1"/>
      </w:r>
      <w:r>
        <w:instrText>ADDIN CSL_CITATION {"citationItems":[{"id":"ITEM-1","itemData":{"DOI":"10.1371/journal.pone.0147209","ISSN":"19326203","PMID":"26800039","abstract":"Complete Populus genome sequences are available for the nucleus (P. trichocarpa; section Tacamahaca) and for chloroplasts (seven species), but not for mitochondria. Here, we provide the complete genome sequences of the chloroplast and the mitochondrion for the clones P. tremula W52 and P. tremula x P. alba 717-1B4 (section Populus). The organization of the chloroplast genomes of both Populus clones is described. A phylogenetic tree constructed from all available complete chloroplast DNA sequences of Populus was not congruent with the assignment of the related species to different Populus sections. In total, 3,024 variable nucleotide positions were identified among all compared Populus chloroplast DNA sequences. The 5-prime part of the LSC from trnH to atpA showed the highest frequency of variations. The variable positions included 163 positions with SNPs allowing for differentiating the two clones with P. tremula chloroplast genomes (W52, 717-1B4) from the other seven Populus individuals. These potential P. tremula-specific SNPs were displayed as a whole-plastome barcode on the P. tremula W52 chloroplast DNA sequence. Three of these SNPs and one InDel in the trnH-psbA linker were successfully validated by Sanger sequencing in an extended set of Populus individuals. The complete mitochondrial genome sequence of P. tremula is the first in the family of Salicaceae. The mitochondrial genomes of the two clones are 783,442 bp (W52) and 783,513 bp (717-1B4) in size, structurally very similar and organized as single circles. DNA sequence regions with high similarity to the W52 chloroplast sequence account for about 2% of the W52 mitochondrial genome. The mean SNP frequency was found to be nearly six fold higher in the chloroplast than in the mitochondrial genome when comparing 717-1B4 with W52. The availability of the genomic information of all three DNA-containing cell organelles will allow a holistic approach in poplar molecular breeding in the future.","author":[{"dropping-particle":"","family":"Kersten","given":"Birgit","non-dropping-particle":"","parse-names":false,"suffix":""},{"dropping-particle":"","family":"Rampant","given":"Patricia Faivre","non-dropping-particle":"","parse-names":false,"suffix":""},{"dropping-particle":"","family":"Mader","given":"Malte","non-dropping-particle":"","parse-names":false,"suffix":""},{"dropping-particle":"","family":"Paslier","given":"Marie Christine","non-dropping-particle":"Le","parse-names":false,"suffix":""},{"dropping-particle":"","family":"Bounon","given":"Rémi","non-dropping-particle":"","parse-names":false,"suffix":""},{"dropping-particle":"","family":"Berard","given":"Aurélie","non-dropping-particle":"","parse-names":false,"suffix":""},{"dropping-particle":"","family":"Vettori","given":"Cristina","non-dropping-particle":"","parse-names":false,"suffix":""},{"dropping-particle":"","family":"Schroeder","given":"Hilke","non-dropping-particle":"","parse-names":false,"suffix":""},{"dropping-particle":"","family":"Leplé","given":"Jean Charles","non-dropping-particle":"","parse-names":false,"suffix":""},{"dropping-particle":"","family":"Fladung","given":"Matthias","non-dropping-particle":"","parse-names":false,"suffix":""}],"container-title":"PLoS ONE","id":"ITEM-1","issue":"1","issued":{"date-parts":[["2016"]]},"page":"1-21","title":"Genome sequences of Populus tremula chloroplast and mitochondrion: Implications for holistic poplar breeding","type":"article-journal","volume":"11"},"uris":["http://www.mendeley.com/documents/?uuid=b7918678-ffd0-4829-9e7d-30acdc44c56d"]},{"id":"ITEM-2","itemData":{"DOI":"10.1093/gbe/evaa108","ISSN":"17596653","PMID":"32449750","abstract":"Plant mitochondrial genomes vary widely in size. Although many plant mitochondrial genomes have been sequenced and assembled, the vast majority are of angiosperms, and few are of gymnosperms. Most plant mitochondrial genomes are smaller than a megabase, with a few notable exceptions. We have sequenced and assembled the complete 5.5-Mb mitochondrial genome of Sitka spruce (Picea sitchensis), to date, one of the largest mitochondrial genomes of a gymnosperm. We sequenced the whole genome using Oxford Nanopore MinION, and then identified contigs of mitochondrial origin assembled from these long reads based on sequence homology to the white spruce mitochondrial genome. The assembly graph shows a multipartite genome structure, composed of one smaller 168-kb circular segment of DNA, and a larger 5.4-Mb single component with a branching structure. The assembly graph gives insight into a putative complex physical genome structure, and its branching points may represent active sites of recombination.","author":[{"dropping-particle":"","family":"Jackman","given":"Shaun D.","non-dropping-particle":"","parse-names":false,"suffix":""},{"dropping-particle":"","family":"Coombe","given":"Lauren","non-dropping-particle":"","parse-names":false,"suffix":""},{"dropping-particle":"","family":"Warren","given":"René L.","non-dropping-particle":"","parse-names":false,"suffix":""},{"dropping-particle":"","family":"Kirk","given":"Heather","non-dropping-particle":"","parse-names":false,"suffix":""},{"dropping-particle":"","family":"Trinh","given":"Eva","non-dropping-particle":"","parse-names":false,"suffix":""},{"dropping-particle":"","family":"MacLeod","given":"Tina","non-dropping-particle":"","parse-names":false,"suffix":""},{"dropping-particle":"","family":"Pleasance","given":"Stephen","non-dropping-particle":"","parse-names":false,"suffix":""},{"dropping-particle":"","family":"Pandoh","given":"Pawan","non-dropping-particle":"","parse-names":false,"suffix":""},{"dropping-particle":"","family":"Zhao","given":"Yongjun","non-dropping-particle":"","parse-names":false,"suffix":""},{"dropping-particle":"","family":"Coope","given":"Robin J.","non-dropping-particle":"","parse-names":false,"suffix":""},{"dropping-particle":"","family":"Bousquet","given":"Jean","non-dropping-particle":"","parse-names":false,"suffix":""},{"dropping-particle":"","family":"Bohlmann","given":"Joerg","non-dropping-particle":"","parse-names":false,"suffix":""},{"dropping-particle":"","family":"Jones","given":"Steven J.M.","non-dropping-particle":"","parse-names":false,"suffix":""},{"dropping-particle":"","family":"Birol","given":"Inanc","non-dropping-particle":"","parse-names":false,"suffix":""}],"container-title":"Genome biology and evolution","id":"ITEM-2","issue":"7","issued":{"date-parts":[["2020"]]},"page":"1174-1179","title":"Complete Mitochondrial Genome of a Gymnosperm, Sitka Spruce (Picea sitchensis), Indicates a Complex Physical Structure","type":"article-journal","volume":"12"},"uris":["http://www.mendeley.com/documents/?uuid=6da1e996-6b30-4e42-af96-406294806490"]},{"id":"ITEM-3","itemData":{"DOI":"10.1080/23802359.2017.1289346","ISSN":"23802359","abstract":"This study sequenced the entire mitochondrial genome of Populus davidiana Dode. It was 779,361 bp in length, containing 33 protein-coding genes, 3 rRNA genes and 22 tRNA genes and 1 pseudogene, and its GC content was 44.8%. Phylogenetic analysis was conducted using 6 mitochondrial genomes from the Salicaceae and Euphorbiaceae families, resulting that P. davidiana Dode was closely related to Populus tremula and Populus tremula × Populus alba. These results will provide fundamental data for the evolutionary studies in Populus genus.","author":[{"dropping-particle":"","family":"Choi","given":"Mi Na","non-dropping-particle":"","parse-names":false,"suffix":""},{"dropping-particle":"","family":"Han","given":"Muho","non-dropping-particle":"","parse-names":false,"suffix":""},{"dropping-particle":"","family":"Lee","given":"Hyoshin","non-dropping-particle":"","parse-names":false,"suffix":""},{"dropping-particle":"","family":"Park","given":"Hong Seog","non-dropping-particle":"","parse-names":false,"suffix":""},{"dropping-particle":"","family":"Kim","given":"Min Young","non-dropping-particle":"","parse-names":false,"suffix":""},{"dropping-particle":"","family":"Kim","given":"Ji Seon","non-dropping-particle":"","parse-names":false,"suffix":""},{"dropping-particle":"","family":"Na","given":"Yoon Jeong","non-dropping-particle":"","parse-names":false,"suffix":""},{"dropping-particle":"","family":"Sim","given":"Seung Woo","non-dropping-particle":"","parse-names":false,"suffix":""},{"dropping-particle":"","family":"Park","given":"Eung Jun","non-dropping-particle":"","parse-names":false,"suffix":""}],"container-title":"Mitochondrial DNA Part B: Resources","id":"ITEM-3","issue":"1","issued":{"date-parts":[["2017"]]},"page":"113-114","title":"The complete mitochondrial genome sequence of Populus davidiana Dode","type":"article-journal","volume":"2"},"uris":["http://www.mendeley.com/documents/?uuid=f93fadc1-74c5-464c-99f5-1851547ae5ce"]}],"mendeley":{"formattedCitation":"(Choi et al., 2017; Jackman et al., 2020; Kersten et al., 2016)","plainTextFormattedCitation":"(Choi et al., 2017; Jackman et al., 2020; Kersten et al., 2016)","previouslyFormattedCitation":"(Kersten et al. 2016; Jackman et al. 2020; Choi et al. 2017)"},"properties":{"noteIndex":0},"schema":"https://github.com/citation-style-language/schema/raw/master/csl-citation.json"}</w:instrText>
      </w:r>
      <w:r>
        <w:fldChar w:fldCharType="separate"/>
      </w:r>
      <w:r w:rsidRPr="00E64425">
        <w:rPr>
          <w:noProof/>
        </w:rPr>
        <w:t>(Choi et al., 2017; Jackman et al., 2020; Kersten et al., 2016)</w:t>
      </w:r>
      <w:r>
        <w:fldChar w:fldCharType="end"/>
      </w:r>
      <w:r>
        <w:t xml:space="preserve">. Dedicated plant mitogenome assembly software such as </w:t>
      </w:r>
      <w:proofErr w:type="spellStart"/>
      <w:r>
        <w:t>GetOrganelle</w:t>
      </w:r>
      <w:proofErr w:type="spellEnd"/>
      <w:r>
        <w:t xml:space="preserve"> and </w:t>
      </w:r>
      <w:proofErr w:type="spellStart"/>
      <w:r>
        <w:t>NOVOPlasty</w:t>
      </w:r>
      <w:proofErr w:type="spellEnd"/>
      <w:r>
        <w:t xml:space="preserve"> are developed for the use of next-generation sequencing data and therefore may not be as useful for mitogenomes which have large repeats </w:t>
      </w:r>
      <w:r>
        <w:fldChar w:fldCharType="begin" w:fldLock="1"/>
      </w:r>
      <w:r>
        <w:instrText>ADDIN CSL_CITATION {"citationItems":[{"id":"ITEM-1","itemData":{"DOI":"10.1186/s13059-020-02154-5","ISSN":"1474760X","PMID":"32912315","abstract":"GetOrganelle is a state-of-the-art toolkit to accurately assemble organelle genomes from whole genome sequencing data. It recruits organelle-associated reads using a modified \"baiting and iterative mapping\"approach, conducts de novo assembly, filters and disentangles the assembly graph, and produces all possible configurations of circular organelle genomes. For 50 published plant datasets, we are able to reassemble the circular plastomes from 47 datasets using GetOrganelle. GetOrganelle assemblies are more accurate than published and/or NOVOPlasty-reassembled plastomes as assessed by mapping. We also assemble complete mitochondrial genomes using GetOrganelle. GetOrganelle is freely released under a GPL-3 license (https://github.com/Kinggerm/GetOrganelle).","author":[{"dropping-particle":"","family":"Jin","given":"Jian Jun","non-dropping-particle":"","parse-names":false,"suffix":""},{"dropping-particle":"Bin","family":"Yu","given":"Wen","non-dropping-particle":"","parse-names":false,"suffix":""},{"dropping-particle":"","family":"Yang","given":"Jun Bo","non-dropping-particle":"","parse-names":false,"suffix":""},{"dropping-particle":"","family":"Song","given":"Yu","non-dropping-particle":"","parse-names":false,"suffix":""},{"dropping-particle":"","family":"Depamphilis","given":"Claude W.","non-dropping-particle":"","parse-names":false,"suffix":""},{"dropping-particle":"","family":"Yi","given":"Ting Shuang","non-dropping-particle":"","parse-names":false,"suffix":""},{"dropping-particle":"","family":"Li","given":"De Zhu","non-dropping-particle":"","parse-names":false,"suffix":""}],"container-title":"Genome Biology","id":"ITEM-1","issue":"1","issued":{"date-parts":[["2020"]]},"page":"1-31","publisher":"Genome Biology","title":"GetOrganelle: A fast and versatile toolkit for accurate de novo assembly of organelle genomes","type":"article-journal","volume":"21"},"uris":["http://www.mendeley.com/documents/?uuid=7ebbdab2-fd16-4d6d-b102-f5b38395d0c9"]},{"id":"ITEM-2","itemData":{"DOI":"10.1093/nar/gkw955","ISSN":"13624962","PMID":"28204566","abstract":"The evolution in next-generation sequencing (NGS) technology has led to the development of many different assembly algorithms, but few of them focus on assembling the organelle genomes. These genomes are used in phylogenetic studies, food identification and are the most deposited eukaryotic genomes in GenBank. Producing organelle genome assembly from whole genome sequencing (WGS) data would be the most accurate and least laborious approach, but a tool specifically designed for this task is lacking. We developed a seed-and-extend algorithm that assembles organelle genomes from whole genome sequencing (WGS) data, starting from a related or distant single seed sequence. The algorithm has been tested on several new (Gonioctena intermedia and Avicennia marina) and public (Arabidopsis thaliana and Oryza sativa) whole genome Illumina data sets where it outperforms known assemblers in assembly accuracy and coverage. In our benchmark, NOVOPlasty assembled all tested circular genomes in less than 30 min with a maximum memory requirement of 16 GB and an accuracy over 99.99%. In conclusion, NOVOPlasty is the sole de novo assembler that provides a fast and straightforward extraction of the extranuclear genomes from WGS data in one circular high quality contig.","author":[{"dropping-particle":"","family":"Dierckxsens","given":"Nicolas","non-dropping-particle":"","parse-names":false,"suffix":""},{"dropping-particle":"","family":"Mardulyn","given":"Patrick","non-dropping-particle":"","parse-names":false,"suffix":""},{"dropping-particle":"","family":"Smits","given":"Guillaume","non-dropping-particle":"","parse-names":false,"suffix":""}],"container-title":"Nucleic Acids Research","id":"ITEM-2","issue":"4","issued":{"date-parts":[["2017"]]},"title":"NOVOPlasty: De novo assembly of organelle genomes from whole genome data","type":"article-journal","volume":"45"},"uris":["http://www.mendeley.com/documents/?uuid=3dc85002-18d1-472e-99d0-f0c92e2edc5c"]}],"mendeley":{"formattedCitation":"(Dierckxsens et al., 2017; Jin et al., 2020)","plainTextFormattedCitation":"(Dierckxsens et al., 2017; Jin et al., 2020)","previouslyFormattedCitation":"(Jin et al. 2020; Dierckxsens et al. 2017)"},"properties":{"noteIndex":0},"schema":"https://github.com/citation-style-language/schema/raw/master/csl-citation.json"}</w:instrText>
      </w:r>
      <w:r>
        <w:fldChar w:fldCharType="separate"/>
      </w:r>
      <w:r w:rsidRPr="00E64425">
        <w:rPr>
          <w:noProof/>
        </w:rPr>
        <w:t>(Dierckxsens et al., 2017; Jin et al., 2020)</w:t>
      </w:r>
      <w:r>
        <w:fldChar w:fldCharType="end"/>
      </w:r>
      <w:r>
        <w:t xml:space="preserve">. The increased adoption of third-generation sequencing data such as PacBio or Oxford Nanopore should simplify plant mitogenome assembly considerably. Studies which use third-generation sequencing data often use hybrid assembly methods with like those employed in </w:t>
      </w:r>
      <w:proofErr w:type="spellStart"/>
      <w:r>
        <w:t>SPAdes</w:t>
      </w:r>
      <w:proofErr w:type="spellEnd"/>
      <w:r>
        <w:t xml:space="preserve"> or </w:t>
      </w:r>
      <w:proofErr w:type="spellStart"/>
      <w:r>
        <w:t>Unicycler</w:t>
      </w:r>
      <w:proofErr w:type="spellEnd"/>
      <w:r>
        <w:t xml:space="preserve"> or a dedicated long-read assembler like </w:t>
      </w:r>
      <w:proofErr w:type="spellStart"/>
      <w:r>
        <w:t>Canu</w:t>
      </w:r>
      <w:proofErr w:type="spellEnd"/>
      <w:r>
        <w:t xml:space="preserve"> followed by polishing with next-generation sequencing data </w:t>
      </w:r>
      <w:r>
        <w:fldChar w:fldCharType="begin" w:fldLock="1"/>
      </w:r>
      <w:r>
        <w:instrText>ADDIN CSL_CITATION {"citationItems":[{"id":"ITEM-1","itemData":{"DOI":"10.1371/journal.pcbi.1005595","ISBN":"1111111111","ISSN":"15537358","PMID":"28594827","abstract":"The Illumina DNA sequencing platform generates accurate but short reads, which can be used to produce accurate but fragmented genome assemblies. Pacific Biosciences and Oxford Nanopore Technologies DNA sequencing platforms generate long reads that can produce complete genome assemblies, but the sequencing is more expensive and error-prone. There is significant interest in combining data from these complementary sequencing technologies to generate more accurate “hybrid” assemblies. However, few tools exist that truly leverage the benefits of both types of data, namely the accuracy of short reads and the structural resolving power of long reads. Here we present Unicycler, a new tool for assembling bacterial genomes from a combination of short and long reads, which produces assemblies that are accurate, complete and cost-effective. Unicycler builds an initial assembly graph from short reads using the de novo assembler SPAdes and then simplifies the graph using information from short and long reads. Unicycler uses a novel semi-global aligner to align long reads to the assembly graph. Tests on both synthetic and real reads show Unicycler can assemble larger contigs with fewer misassemblies than other hybrid assemblers, even when long-read depth and accuracy are low. Unicycler is open source (GPLv3) and available at github.com/rrwick/Unicycler.","author":[{"dropping-particle":"","family":"Wick","given":"Ryan R.","non-dropping-particle":"","parse-names":false,"suffix":""},{"dropping-particle":"","family":"Judd","given":"Louise M.","non-dropping-particle":"","parse-names":false,"suffix":""},{"dropping-particle":"","family":"Gorrie","given":"Claire L.","non-dropping-particle":"","parse-names":false,"suffix":""},{"dropping-particle":"","family":"Holt","given":"Kathryn E.","non-dropping-particle":"","parse-names":false,"suffix":""}],"container-title":"PLoS Computational Biology","id":"ITEM-1","issue":"6","issued":{"date-parts":[["2017"]]},"page":"1-22","title":"Unicycler: Resolving bacterial genome assemblies from short and long sequencing reads","type":"article-journal","volume":"13"},"uris":["http://www.mendeley.com/documents/?uuid=9b3244c1-ea55-4111-a237-4b2f5b2910e4"]},{"id":"ITEM-2","itemData":{"DOI":"10.1002/cpbi.102","ISSN":"1934340X","PMID":"32559359","abstract":"SPAdes—St. Petersburg genome Assembler—was originally developed for de novo assembly of genome sequencing data produced for cultivated microbial isolates and for single-cell genomic DNA sequencing. With time, the functionality of SPAdes was extended to enable assembly of IonTorrent data, as well as hybrid assembly from short and long reads (PacBio and Oxford Nanopore). In this article we present protocols for five different assembly pipelines that comprise the SPAdes package and that are used for assembly of metagenomes and transcriptomes as well as assembly of putative plasmids and biosynthetic gene clusters from whole-genome sequencing and metagenomic datasets. In addition, we present guidelines for understanding results with use cases for each pipeline, and several additional support protocols that help in using SPAdes properly. © 2020 Wiley Periodicals LLC. Basic Protocol 1: Assembling isolate bacterial datasets. Basic Protocol 2: Assembling metagenomic datasets. Basic Protocol 3: Assembling sets of putative plasmids. Basic Protocol 4: Assembling transcriptomes. Basic Protocol 5: Assembling putative biosynthetic gene clusters. Support Protocol 1: Installing SPAdes. Support Protocol 2: Providing input via command line. Support Protocol 3: Providing input data via YAML format. Support Protocol 4: Restarting previous run. Support Protocol 5: Determining strand-specificity of RNA-seq data.","author":[{"dropping-particle":"","family":"Prjibelski","given":"Andrey","non-dropping-particle":"","parse-names":false,"suffix":""},{"dropping-particle":"","family":"Antipov","given":"Dmitry","non-dropping-particle":"","parse-names":false,"suffix":""},{"dropping-particle":"","family":"Meleshko","given":"Dmitry","non-dropping-particle":"","parse-names":false,"suffix":""},{"dropping-particle":"","family":"Lapidus","given":"Alla","non-dropping-particle":"","parse-names":false,"suffix":""},{"dropping-particle":"","family":"Korobeynikov","given":"Anton","non-dropping-particle":"","parse-names":false,"suffix":""}],"container-title":"Current Protocols in Bioinformatics","id":"ITEM-2","issue":"1","issued":{"date-parts":[["2020"]]},"page":"1-29","title":"Using SPAdes De Novo Assembler","type":"article-journal","volume":"70"},"uris":["http://www.mendeley.com/documents/?uuid=40c1b013-3ace-46b3-922e-40c3e7779d0d"]},{"id":"ITEM-3","itemData":{"DOI":"10.1101/gr.215087.116","ISSN":"15495469","PMID":"28298431","abstract":"Long-read single-molecule sequencing has revolutionized de novo genome assembly and enabled the automated reconstruction of reference-quality genomes. However, given the relatively high error rates of such technologies, efficient and accurate assembly of large repeats and closely related haplotypes remains challenging. We address these issues with Canu, a successor of Celera Assembler that is specifically designed for noisy single-molecule sequences. Canu introduces support for nanopore sequencing, halves depth-of-coverage requirements, and improves assembly continuity while simultaneously reducing runtime by an order of magnitude on large genomes versus Celera Assembler 8.2. These advances result from new overlapping and assembly algorithms, including an adaptive overlapping strategy based on tf-idf weighted MinHash and a sparse assembly graph construction that avoids collapsing diverged repeats and haplotypes. We demonstrate that Canu can reliably assemble complete microbial genomes and near-complete eukaryotic chromosomes using either Pacific Biosciences (PacBio) or Oxford Nanopore technologies and achieves a contig NG50 of &gt;21 Mbp on both human and Drosophila melanogaster PacBio data sets. For assembly structures that cannot be linearly represented, Canu provides graph-based assembly outputs in graphical fragment assembly (GFA) format for analysis or integration with complementary phasing and scaffolding techniques. The combination of such highly resolved assembly graphs with long-range scaffolding information promises the complete and automated assembly of complex genomes.","author":[{"dropping-particle":"","family":"Koren","given":"Sergey","non-dropping-particle":"","parse-names":false,"suffix":""},{"dropping-particle":"","family":"Walenz","given":"Brian P.","non-dropping-particle":"","parse-names":false,"suffix":""},{"dropping-particle":"","family":"Berlin","given":"Konstantin","non-dropping-particle":"","parse-names":false,"suffix":""},{"dropping-particle":"","family":"Miller","given":"Jason R.","non-dropping-particle":"","parse-names":false,"suffix":""},{"dropping-particle":"","family":"Bergman","given":"Nicholas H.","non-dropping-particle":"","parse-names":false,"suffix":""},{"dropping-particle":"","family":"Phillippy","given":"Adam M.","non-dropping-particle":"","parse-names":false,"suffix":""}],"container-title":"Genome Research","id":"ITEM-3","issue":"5","issued":{"date-parts":[["2017"]]},"page":"722-736","title":"Canu: Scalable and accurate long-read assembly via adaptive κ-mer weighting and repeat separation","type":"article-journal","volume":"27"},"uris":["http://www.mendeley.com/documents/?uuid=aba0821b-b5c2-4533-b8c9-cb7b7b6cb38b"]}],"mendeley":{"formattedCitation":"(Koren et al., 2017; Prjibelski, Antipov, Meleshko, Lapidus, &amp; Korobeynikov, 2020; Wick, Judd, Gorrie, &amp; Holt, 2017)","plainTextFormattedCitation":"(Koren et al., 2017; Prjibelski, Antipov, Meleshko, Lapidus, &amp; Korobeynikov, 2020; Wick, Judd, Gorrie, &amp; Holt, 2017)","previouslyFormattedCitation":"(Wick et al. 2017; Prjibelski et al. 2020; Koren et al. 2017)"},"properties":{"noteIndex":0},"schema":"https://github.com/citation-style-language/schema/raw/master/csl-citation.json"}</w:instrText>
      </w:r>
      <w:r>
        <w:fldChar w:fldCharType="separate"/>
      </w:r>
      <w:r w:rsidRPr="00E64425">
        <w:rPr>
          <w:noProof/>
        </w:rPr>
        <w:t>(Koren et al., 2017; Prjibelski, Antipov, Meleshko, Lapidus, &amp; Korobeynikov, 2020; Wick, Judd, Gorrie, &amp; Holt, 2017)</w:t>
      </w:r>
      <w:r>
        <w:fldChar w:fldCharType="end"/>
      </w:r>
      <w:r>
        <w:t xml:space="preserve">. Plant mitogenome annotation software is less mature compared to chloroplast genome annotation software and is limited to </w:t>
      </w:r>
      <w:proofErr w:type="spellStart"/>
      <w:r>
        <w:t>mitofy</w:t>
      </w:r>
      <w:proofErr w:type="spellEnd"/>
      <w:r>
        <w:t xml:space="preserve"> and </w:t>
      </w:r>
      <w:proofErr w:type="spellStart"/>
      <w:r>
        <w:t>MFannot</w:t>
      </w:r>
      <w:proofErr w:type="spellEnd"/>
      <w:r>
        <w:t xml:space="preserve"> (</w:t>
      </w:r>
      <w:hyperlink r:id="rId10" w:history="1">
        <w:r w:rsidRPr="007768FC">
          <w:rPr>
            <w:rStyle w:val="Hyperlink"/>
            <w:color w:val="000000" w:themeColor="text1"/>
          </w:rPr>
          <w:t>https://github.com/BFL-lab/Mfannot</w:t>
        </w:r>
      </w:hyperlink>
      <w:r>
        <w:t xml:space="preserve">) </w:t>
      </w:r>
      <w:r>
        <w:fldChar w:fldCharType="begin" w:fldLock="1"/>
      </w:r>
      <w:r>
        <w:instrText>ADDIN CSL_CITATION {"citationItems":[{"id":"ITEM-1","itemData":{"DOI":"10.1093/molbev/msq029","ISSN":"07374038","PMID":"20118192","abstract":"The mitochondrial genomes of seed plants are unusually large and vary in size by at least an order of magnitude. Much of this variation occurs within a single family, the Cucurbitaceae, whose genomes range from an estimated 390 to 2,900 kb in size. We sequenced the mitochondrial genomes of Citrullus lanatus (watermelon: 379,236 nt) and Cucurbita pepo (zucchini: 982,833 nt)-the two smallest characterized cucurbit mitochondrial genomes-and determined their RNA editing content. The relatively compact Citrullus mitochondrial genome actually contains more and longer genes and introns, longer segmental duplications, and more discernibly nuclear-derived DNA. The large size of the Cucurbita mitochondrial genome reflects the accumulation of unprecedented amounts of both chloroplast sequences (&gt;113 kb) and short repeated sequences (&gt;370 kb). A low mutation rate has been hypothesized to underlie increases in both genome size and RNA editing frequency in plant mitochondria. However, despite its much larger genome, Cucurbita has a significantly higher synonymous substitution rate (and presumably mutation rate) than Citrullus but comparable levels of RNA editing. The evolution of mutation rate, genome size, and RNA editing are apparently decoupled in Cucurbitaceae, reflecting either simple stochastic variation or governance by different factors. © The Author 2010. Published by Oxford University Press on behalf of the Society for Molecular Biology and Evolution. All rights reserved.","author":[{"dropping-particle":"","family":"Alverson","given":"Andrew J.","non-dropping-particle":"","parse-names":false,"suffix":""},{"dropping-particle":"","family":"Wei","given":"Xiaoxin","non-dropping-particle":"","parse-names":false,"suffix":""},{"dropping-particle":"","family":"Rice","given":"Danny W.","non-dropping-particle":"","parse-names":false,"suffix":""},{"dropping-particle":"","family":"Stern","given":"David B.","non-dropping-particle":"","parse-names":false,"suffix":""},{"dropping-particle":"","family":"Barry","given":"Kerrie","non-dropping-particle":"","parse-names":false,"suffix":""},{"dropping-particle":"","family":"Palmer","given":"Jeffrey D.","non-dropping-particle":"","parse-names":false,"suffix":""}],"container-title":"Molecular Biology and Evolution","id":"ITEM-1","issue":"6","issued":{"date-parts":[["2010"]]},"page":"1436-1448","title":"Insights into the evolution of mitochondrial genome size from complete sequences of citrullus lanatus and cucurbita pepo (Cucurbitaceae)","type":"article-journal","volume":"27"},"uris":["http://www.mendeley.com/documents/?uuid=6ba74969-dd68-4ae8-9f69-50972becb456"]}],"mendeley":{"formattedCitation":"(Alverson et al., 2010)","plainTextFormattedCitation":"(Alverson et al., 2010)","previouslyFormattedCitation":"(Alverson et al. 2010)"},"properties":{"noteIndex":0},"schema":"https://github.com/citation-style-language/schema/raw/master/csl-citation.json"}</w:instrText>
      </w:r>
      <w:r>
        <w:fldChar w:fldCharType="separate"/>
      </w:r>
      <w:r w:rsidRPr="00E64425">
        <w:rPr>
          <w:noProof/>
        </w:rPr>
        <w:t>(Alverson et al., 2010)</w:t>
      </w:r>
      <w:r>
        <w:fldChar w:fldCharType="end"/>
      </w:r>
      <w:r>
        <w:t>. In summary, as the numbers of assembled plant mitogenomes continues to increase, additional plant mitogenome specific assembly and annotation methods would be beneficial.</w:t>
      </w:r>
    </w:p>
    <w:p w14:paraId="527EAFBE" w14:textId="77777777" w:rsidR="00636B5B" w:rsidRDefault="00636B5B" w:rsidP="00E64425">
      <w:pPr>
        <w:spacing w:line="360" w:lineRule="auto"/>
        <w:ind w:firstLine="720"/>
      </w:pPr>
      <w:r>
        <w:t xml:space="preserve">Plastid sequences are the most common choice for the reconstruction of land plant phylogenies </w:t>
      </w:r>
      <w:r>
        <w:fldChar w:fldCharType="begin" w:fldLock="1"/>
      </w:r>
      <w:r>
        <w:instrText>ADDIN CSL_CITATION {"citationItems":[{"id":"ITEM-1","itemData":{"DOI":"10.1016/bs.abr.2017.11.016","ISBN":"9780128134573","ISSN":"00652296","abstract":"From restriction site analyses to whole plastid genome sequences, our understanding of green plant (Viridiplantae; ~ 500,000 extant species) evolutionary relationships over the past three decades has largely been informed by analyses of the plastid genome. The plastid genome has informed studies ranging from population genetics to phylogenetics, the latter ranging from the intraspecific level to studies of all green plants. Diverse portions of the genome ranging from plastid spacers to entire genomes provide valuable data for plant evolutionary biologists. Recent phylogenetic analyses using whole plastid genomes sampled from over 2000 species representing all major groups of green plants have both solidified our understanding of relationships and highlighted the few key nodes in plant evolutionary history that remain unresolved. Likewise, detailed large-scale analyses of plastomes across angiosperms reinforce firmly supported nodes but fail to resolve a handful of remaining questionable relationships. The long history of plastid phylogenetics will serve as a reference point as scientists continue to expand beyond the plastid genome and include more nuclear and mitochondrial data in their analyses. These comparisons are crucial in that recent studies indicate some discordance between nuclear and plastid gene trees both across green plants as a whole and within angiosperms. Rather than being a source of concern, these discordances point to the complex and intriguing one-billion-year evolutionary history of the green plant clade, a clade that is foundational to life on Earth.","author":[{"dropping-particle":"","family":"Gitzendanner","given":"Matthew A.","non-dropping-particle":"","parse-names":false,"suffix":""},{"dropping-particle":"","family":"Soltis","given":"Pamela S.","non-dropping-particle":"","parse-names":false,"suffix":""},{"dropping-particle":"","family":"Yi","given":"Ting Shuang","non-dropping-particle":"","parse-names":false,"suffix":""},{"dropping-particle":"","family":"Li","given":"De Zhu","non-dropping-particle":"","parse-names":false,"suffix":""},{"dropping-particle":"","family":"Soltis","given":"Douglas E.","non-dropping-particle":"","parse-names":false,"suffix":""}],"container-title":"Advances in Botanical Research","edition":"1","id":"ITEM-1","issued":{"date-parts":[["2018"]]},"number-of-pages":"293-313","publisher":"Elsevier Ltd.","title":"Plastome Phylogenetics: 30 Years of Inferences Into Plant Evolution","type":"book","volume":"85"},"uris":["http://www.mendeley.com/documents/?uuid=b71ffe1e-2599-4250-b3fc-e13c9e270166"]}],"mendeley":{"formattedCitation":"(Gitzendanner, Soltis, Yi, Li, &amp; Soltis, 2018)","manualFormatting":"(Gitzendanner et al. 2018)","plainTextFormattedCitation":"(Gitzendanner, Soltis, Yi, Li, &amp; Soltis, 2018)","previouslyFormattedCitation":"(Gitzendanner, Soltis, Yi, et al. 2018)"},"properties":{"noteIndex":0},"schema":"https://github.com/citation-style-language/schema/raw/master/csl-citation.json"}</w:instrText>
      </w:r>
      <w:r>
        <w:fldChar w:fldCharType="separate"/>
      </w:r>
      <w:r w:rsidRPr="00065EC8">
        <w:rPr>
          <w:noProof/>
        </w:rPr>
        <w:t>(Gitzendanner</w:t>
      </w:r>
      <w:r>
        <w:rPr>
          <w:noProof/>
        </w:rPr>
        <w:t xml:space="preserve"> </w:t>
      </w:r>
      <w:r w:rsidRPr="00065EC8">
        <w:rPr>
          <w:noProof/>
        </w:rPr>
        <w:t>et al. 2018)</w:t>
      </w:r>
      <w:r>
        <w:fldChar w:fldCharType="end"/>
      </w:r>
      <w:r>
        <w:t xml:space="preserve">.  Due to their small size, homogeneity in structure, and uniparental inheritance the chloroplast genome is an optimal choice for phylogenomic studies </w:t>
      </w:r>
      <w:r>
        <w:fldChar w:fldCharType="begin" w:fldLock="1"/>
      </w:r>
      <w:r>
        <w:instrText>ADDIN CSL_CITATION {"citationItems":[{"id":"ITEM-1","itemData":{"DOI":"10.1111/j.1759-6831.2010.00071.x","ISSN":"17596831","abstract":"More than 190 plastid genomes have been completely sequenced during the past two decades due to advances in DNA sequencing technologies. Based on this unprecedented abundance of data, extensive genomic changes have been revealed in the plastid genomes. Inversion is the most common mechanism that leads to gene order changes. Several inversion events have been recognized as informative phylogenetic markers, such as a 30-kb inversion found in all living vascular plants minus lycopsids and two short inversions putatively shared by all ferns. Gene loss is a common event throughout plastid genome evolution. Many genes were independently lost or transferred to the nuclear genome in multiple plant lineages. The trnR-CCG gene was lost in some clades of lycophytes, ferns, and seed plants, and all the ndh genes were absent in parasitic plants, gnetophytes, Pinaceae, and the Taiwan moth orchid. Certain parasitic plants have, in particular, lost plastid genes related to photosynthesis because of the relaxation of functional constraint. The dramatic growth of plastid genome sequences has also promoted the use of whole plastid sequences and genomic features to solve phylogenetic problems. Chloroplast phylogenomics has provided additional evidence for deep-level phylogenetic relationships as well as increased phylogenetic resolutions at low taxonomic levels. However, chloroplast phylogenomics is still in its infant stage and rigorous analysis methodology has yet to be developed. © 2010 Institute of Botany, Chinese Academy of Sciences.","author":[{"dropping-particle":"","family":"Gao","given":"Lei","non-dropping-particle":"","parse-names":false,"suffix":""},{"dropping-particle":"","family":"Su","given":"Ying Juan","non-dropping-particle":"","parse-names":false,"suffix":""},{"dropping-particle":"","family":"Wang","given":"Ting","non-dropping-particle":"","parse-names":false,"suffix":""}],"container-title":"Journal of Systematics and Evolution","id":"ITEM-1","issue":"2","issued":{"date-parts":[["2010"]]},"page":"77-93","title":"Plastid genome sequencing, comparative genomics, and phylogenomics: Current status and prospects","type":"article-journal","volume":"48"},"uris":["http://www.mendeley.com/documents/?uuid=a924405d-9ea4-43f5-818a-f38891ef0ee5"]}],"mendeley":{"formattedCitation":"(Gao, Su, &amp; Wang, 2010)","plainTextFormattedCitation":"(Gao, Su, &amp; Wang, 2010)","previouslyFormattedCitation":"(Gao et al. 2010)"},"properties":{"noteIndex":0},"schema":"https://github.com/citation-style-language/schema/raw/master/csl-citation.json"}</w:instrText>
      </w:r>
      <w:r>
        <w:fldChar w:fldCharType="separate"/>
      </w:r>
      <w:r w:rsidRPr="00E64425">
        <w:rPr>
          <w:noProof/>
        </w:rPr>
        <w:t>(Gao, Su, &amp; Wang, 2010)</w:t>
      </w:r>
      <w:r>
        <w:fldChar w:fldCharType="end"/>
      </w:r>
      <w:r>
        <w:t xml:space="preserve">. Additionally, an early paper identified that plastid genes had appropriate rates of evolution for phylogenetic studies </w:t>
      </w:r>
      <w:r>
        <w:fldChar w:fldCharType="begin" w:fldLock="1"/>
      </w:r>
      <w:r>
        <w:instrText>ADDIN CSL_CITATION {"citationItems":[{"id":"ITEM-1","itemData":{"author":[{"dropping-particle":"","family":"Palmer","given":"Jeffrey D","non-dropping-particle":"","parse-names":false,"suffix":""},{"dropping-particle":"","family":"Jansen","given":"Robert K","non-dropping-particle":"","parse-names":false,"suffix":""},{"dropping-particle":"","family":"Michaels","given":"Helen J","non-dropping-particle":"","parse-names":false,"suffix":""},{"dropping-particle":"","family":"Chase","given":"Mark W","non-dropping-particle":"","parse-names":false,"suffix":""},{"dropping-particle":"","family":"Manhart","given":"James R","non-dropping-particle":"","parse-names":false,"suffix":""}],"container-title":"Annals of the Missouri Botanical Garden","id":"ITEM-1","issue":"4","issued":{"date-parts":[["1988"]]},"page":"1180-1206","title":"Chloroplast DNA Variation and Plant Phylogeny","type":"article-journal","volume":"75"},"uris":["http://www.mendeley.com/documents/?uuid=5507ed9e-f8b1-4b5b-b3f3-85ab7ad455a1"]}],"mendeley":{"formattedCitation":"(Palmer, Jansen, Michaels, Chase, &amp; Manhart, 1988)","plainTextFormattedCitation":"(Palmer, Jansen, Michaels, Chase, &amp; Manhart, 1988)","previouslyFormattedCitation":"(Palmer et al. 1988)"},"properties":{"noteIndex":0},"schema":"https://github.com/citation-style-language/schema/raw/master/csl-citation.json"}</w:instrText>
      </w:r>
      <w:r>
        <w:fldChar w:fldCharType="separate"/>
      </w:r>
      <w:r w:rsidRPr="00E64425">
        <w:rPr>
          <w:noProof/>
        </w:rPr>
        <w:t>(Palmer, Jansen, Michaels, Chase, &amp; Manhart, 1988)</w:t>
      </w:r>
      <w:r>
        <w:fldChar w:fldCharType="end"/>
      </w:r>
      <w:r>
        <w:t>. Prior to widespread whole chloroplast genome sequencing, single genes (</w:t>
      </w:r>
      <w:proofErr w:type="spellStart"/>
      <w:r w:rsidRPr="003C2719">
        <w:rPr>
          <w:i/>
          <w:iCs/>
        </w:rPr>
        <w:t>rbcL</w:t>
      </w:r>
      <w:proofErr w:type="spellEnd"/>
      <w:r>
        <w:t xml:space="preserve">) were common targets for the reconstruction of phylogenies in land plants </w:t>
      </w:r>
      <w:r>
        <w:fldChar w:fldCharType="begin" w:fldLock="1"/>
      </w:r>
      <w:r>
        <w:instrText>ADDIN CSL_CITATION {"citationItems":[{"id":"ITEM-1","itemData":{"DOI":"10.1186/1741-7007-12-11","ISSN":"17417007","PMID":"24533863","abstract":"A study in BMC Evolutionary Biology represents the most comprehensive effort to clarify the phylogeny of green plants using sequences from the plastid genome. This study highlights the strengths and limitations of plastome data for resolving the green plant phylogeny, and points toward an exciting future for plant phylogenetics, during which the vast and largely untapped territory of nuclear genomes will be explored. © 2014 Davis et al.; licensee BioMed Central Ltd.","author":[{"dropping-particle":"","family":"Davis","given":"Charles C.","non-dropping-particle":"","parse-names":false,"suffix":""},{"dropping-particle":"","family":"Xi","given":"Zhenxiang","non-dropping-particle":"","parse-names":false,"suffix":""},{"dropping-particle":"","family":"Mathews","given":"Sarah","non-dropping-particle":"","parse-names":false,"suffix":""}],"container-title":"BMC Biology","id":"ITEM-1","issued":{"date-parts":[["2014"]]},"page":"2-5","title":"Plastid phylogenomics and green plant phylogeny: Almost full circle but not quite there","type":"article-journal","volume":"12"},"uris":["http://www.mendeley.com/documents/?uuid=f6c9ce92-7e56-4907-9878-287b3420ca87"]},{"id":"ITEM-2","itemData":{"DOI":"10.2307/2399846","ISSN":"00266493","abstract":"JSTOR is a not-for-profit service that helps scholars, researchers, and students discover, use, and build upon a wide range of content in a trusted digital archive. We use information technology and tools to increase productivity and facilitate new forms of scholarship. For more information about JSTOR, please contact support@jstor.org. ABSTRACT We present the results of two exploratory parsimony analyses of DNA sequences from 475 and 499 species of seed plants, respectively, representing all major taxonomic groups. The data are exclusively from the chloroplast gene rbcL, which codes for the large subunit of ribulose-1,5-bisphosphate carboxylase/oxygenase (RuBisCO or RuBPCase). We used two different state-transformation assumptions resulting in two sets of cladograms: (i) equal-weighting for the 499-taxon analysis; and (ii) a procedure that differentially weights transversions over transitions within characters and codon positions among characters for the 475-taxon analysis. The degree of congruence between these results and other molecular, as well as morphological, cladistic studies indicates that rbcL sequence variation contains historical evidence appropriate for phylogenetic analysis at this taxonomic level of sampling. Because the topologies presented are necessarily approximate and cannot be evaluated adequately for internal support, these results should be assessed from the perspective of their predictive value and used to direct future studies, both molecular and morphological. In both analyses, the three genera of Gnetales are placed together as the sister group of the flowering plants, and the anomalous aquatic Ceratophyllum (Ceratophyllaceae) is sister to all other flowering plants. Several major lineages identified correspond well with at least some recent taxonomic schemes for angiosperms, particularly those of Dahlgren and Thorne. The basalmost clades within the angiosperms are orders of the apparently polyphyletic subclass Magnoliidae sensu Cronquist. The most conspicuous feature of the topology is that the major division is not monocot versus dicot, but rather one correlated with general pollen type: uniaperturate versus triaperturate. The Dilleniidae and Hamamelidae are the only subclasses that are grossly polyphyletic; an examination of the latter is presented as an example of the use of these broad analyses to focus more restricted studies. A broadly circumscribed Rosidae is paraphyletic to Asteridae and Dilleniidae. Subclass Caryoph…","author":[{"dropping-particle":"","family":"Chase","given":"Mark W.","non-dropping-particle":"","parse-names":false,"suffix":""},{"dropping-particle":"","family":"Soltis","given":"Douglas E.","non-dropping-particle":"","parse-names":false,"suffix":""},{"dropping-particle":"","family":"Olmstead","given":"Richard G.","non-dropping-particle":"","parse-names":false,"suffix":""},{"dropping-particle":"","family":"Morgan","given":"David","non-dropping-particle":"","parse-names":false,"suffix":""},{"dropping-particle":"","family":"Les","given":"Donald H.","non-dropping-particle":"","parse-names":false,"suffix":""},{"dropping-particle":"","family":"Mishler","given":"Brent D.","non-dropping-particle":"","parse-names":false,"suffix":""},{"dropping-particle":"","family":"Duvall","given":"Melvin R.","non-dropping-particle":"","parse-names":false,"suffix":""},{"dropping-particle":"","family":"Price","given":"Robert A.","non-dropping-particle":"","parse-names":false,"suffix":""},{"dropping-particle":"","family":"Hills","given":"Harold G.","non-dropping-particle":"","parse-names":false,"suffix":""},{"dropping-particle":"","family":"Qiu","given":"Yin-Long","non-dropping-particle":"","parse-names":false,"suffix":""},{"dropping-particle":"","family":"Kron","given":"Kathleen A.","non-dropping-particle":"","parse-names":false,"suffix":""},{"dropping-particle":"","family":"Rettig","given":"Jeffrey H.","non-dropping-particle":"","parse-names":false,"suffix":""},{"dropping-particle":"","family":"Conti","given":"Elena","non-dropping-particle":"","parse-names":false,"suffix":""},{"dropping-particle":"","family":"Palmer","given":"Jeffrey D.","non-dropping-particle":"","parse-names":false,"suffix":""},{"dropping-particle":"","family":"Manhart","given":"James R.","non-dropping-particle":"","parse-names":false,"suffix":""},{"dropping-particle":"","family":"Sytsma","given":"Kenneth J.","non-dropping-particle":"","parse-names":false,"suffix":""},{"dropping-particle":"","family":"Michaels","given":"Helen J.","non-dropping-particle":"","parse-names":false,"suffix":""},{"dropping-particle":"","family":"Kress","given":"W. John","non-dropping-particle":"","parse-names":false,"suffix":""},{"dropping-particle":"","family":"Karol","given":"Kenneth G.","non-dropping-particle":"","parse-names":false,"suffix":""},{"dropping-particle":"","family":"Clark","given":"W. Dennis","non-dropping-particle":"","parse-names":false,"suffix":""},{"dropping-particle":"","family":"Hedren","given":"Mikael","non-dropping-particle":"","parse-names":false,"suffix":""},{"dropping-particle":"","family":"Gaut","given":"Brandon S.","non-dropping-particle":"","parse-names":false,"suffix":""},{"dropping-particle":"","family":"Jansen","given":"Robert K.","non-dropping-particle":"","parse-names":false,"suffix":""},{"dropping-particle":"","family":"Kim","given":"Ki-Joong","non-dropping-particle":"","parse-names":false,"suffix":""},{"dropping-particle":"","family":"Wimpee","given":"Charles F.","non-dropping-particle":"","parse-names":false,"suffix":""},{"dropping-particle":"","family":"Smith","given":"James F.","non-dropping-particle":"","parse-names":false,"suffix":""},{"dropping-particle":"","family":"Furnier","given":"Glenn R.","non-dropping-particle":"","parse-names":false,"suffix":""},{"dropping-particle":"","family":"Strauss","given":"Steven H.","non-dropping-particle":"","parse-names":false,"suffix":""},{"dropping-particle":"","family":"Xiang","given":"Qui-Yun","non-dropping-particle":"","parse-names":false,"suffix":""},{"dropping-particle":"","family":"Plunkett","given":"Gregory M.","non-dropping-particle":"","parse-names":false,"suffix":""},{"dropping-particle":"","family":"Soltis","given":"Pamela S.","non-dropping-particle":"","parse-names":false,"suffix":""},{"dropping-particle":"","family":"Swensen","given":"Susan M.","non-dropping-particle":"","parse-names":false,"suffix":""},{"dropping-particle":"","family":"Williams","given":"Stephen E.","non-dropping-particle":"","parse-names":false,"suffix":""},{"dropping-particle":"","family":"Gadek","given":"Paul A.","non-dropping-particle":"","parse-names":false,"suffix":""},{"dropping-particle":"","family":"Quinn","given":"Christopher J.","non-dropping-particle":"","parse-names":false,"suffix":""},{"dropping-particle":"","family":"Eguiarte","given":"Luis E.","non-dropping-particle":"","parse-names":false,"suffix":""},{"dropping-particle":"","family":"Golenberg","given":"Edward","non-dropping-particle":"","parse-names":false,"suffix":""},{"dropping-particle":"","family":"Learn","given":"Gerald H.","non-dropping-particle":"","parse-names":false,"suffix":""},{"dropping-particle":"","family":"Graham","given":"Sean W.","non-dropping-particle":"","parse-names":false,"suffix":""},{"dropping-particle":"","family":"Barrett","given":"Spencer C. H.","non-dropping-particle":"","parse-names":false,"suffix":""},{"dropping-particle":"","family":"Dayanandan","given":"Selvadurai","non-dropping-particle":"","parse-names":false,"suffix":""},{"dropping-particle":"","family":"Albert","given":"Victor A.","non-dropping-particle":"","parse-names":false,"suffix":""}],"container-title":"Annals of the Missouri Botanical Garden","id":"ITEM-2","issue":"3","issued":{"date-parts":[["1993"]]},"page":"528","title":"Phylogenetics of Seed Plants: An Analysis of Nucleotide Sequences from the Plastid Gene rbcL","type":"article-journal","volume":"80"},"uris":["http://www.mendeley.com/documents/?uuid=835dcb82-39ae-4a29-a0ac-75e438592695"]}],"mendeley":{"formattedCitation":"(Chase et al., 1993; Davis, Xi, &amp; Mathews, 2014)","plainTextFormattedCitation":"(Chase et al., 1993; Davis, Xi, &amp; Mathews, 2014)","previouslyFormattedCitation":"(Davis et al. 2014; Chase et al. 1993)"},"properties":{"noteIndex":0},"schema":"https://github.com/citation-style-language/schema/raw/master/csl-citation.json"}</w:instrText>
      </w:r>
      <w:r>
        <w:fldChar w:fldCharType="separate"/>
      </w:r>
      <w:r w:rsidRPr="00E64425">
        <w:rPr>
          <w:noProof/>
        </w:rPr>
        <w:t>(Chase et al., 1993; Davis, Xi, &amp; Mathews, 2014)</w:t>
      </w:r>
      <w:r>
        <w:fldChar w:fldCharType="end"/>
      </w:r>
      <w:r>
        <w:t xml:space="preserve">.  More recently, additional single copy regions which have higher rates of variation have been proposed for barcoding all land plants </w:t>
      </w:r>
      <w:r>
        <w:fldChar w:fldCharType="begin" w:fldLock="1"/>
      </w:r>
      <w:r>
        <w:instrText>ADDIN CSL_CITATION {"citationItems":[{"id":"ITEM-1","itemData":{"DOI":"10.1002/tax.562004","ISSN":"00400262","abstract":"We propose in this paper to use three regions of plastid DNA as a standard protocol for barcoding all land plants. We review the other markers that have been proposed and discuss their advantages and disadvantages. The low levels of variation in plastid DNA make three regions necessary; there are no plastid regions, coding or non-coding, that evolve as rapidly as mitochondrial DNA generally does in animals. We outline two, three-region options, (1) rpoC1, rpoB and matK or (2) rpoC1, matK andpsbA-trnH as viable markers for land plant barcoding.","author":[{"dropping-particle":"","family":"Chase","given":"Mark W.","non-dropping-particle":"","parse-names":false,"suffix":""},{"dropping-particle":"","family":"Cowan","given":"Robyn S.","non-dropping-particle":"","parse-names":false,"suffix":""},{"dropping-particle":"","family":"Hollingsworth","given":"Peter M.","non-dropping-particle":"","parse-names":false,"suffix":""},{"dropping-particle":"","family":"Berg","given":"Cassio","non-dropping-particle":"Van Den","parse-names":false,"suffix":""},{"dropping-particle":"","family":"Madriñán","given":"Santiago","non-dropping-particle":"","parse-names":false,"suffix":""},{"dropping-particle":"","family":"Petersen","given":"Gitte","non-dropping-particle":"","parse-names":false,"suffix":""},{"dropping-particle":"","family":"Seberg","given":"Ole","non-dropping-particle":"","parse-names":false,"suffix":""},{"dropping-particle":"","family":"Jørgsensen","given":"Tina","non-dropping-particle":"","parse-names":false,"suffix":""},{"dropping-particle":"","family":"Cameron","given":"Kenneth M.","non-dropping-particle":"","parse-names":false,"suffix":""},{"dropping-particle":"","family":"Carine","given":"Mark","non-dropping-particle":"","parse-names":false,"suffix":""},{"dropping-particle":"","family":"Pedersen","given":"Niklas","non-dropping-particle":"","parse-names":false,"suffix":""},{"dropping-particle":"","family":"Hedderson","given":"Terry A.J.","non-dropping-particle":"","parse-names":false,"suffix":""},{"dropping-particle":"","family":"Conrad","given":"Ferozah","non-dropping-particle":"","parse-names":false,"suffix":""},{"dropping-particle":"","family":"Salazar","given":"Gerardo A.","non-dropping-particle":"","parse-names":false,"suffix":""},{"dropping-particle":"","family":"Richardson","given":"James E.","non-dropping-particle":"","parse-names":false,"suffix":""},{"dropping-particle":"","family":"Hollingsworth","given":"Michelle L.","non-dropping-particle":"","parse-names":false,"suffix":""},{"dropping-particle":"","family":"Barraclough","given":"Timothy G.","non-dropping-particle":"","parse-names":false,"suffix":""},{"dropping-particle":"","family":"Kelly","given":"Laura","non-dropping-particle":"","parse-names":false,"suffix":""},{"dropping-particle":"","family":"Wilkinson","given":"Mike","non-dropping-particle":"","parse-names":false,"suffix":""}],"container-title":"Taxon","id":"ITEM-1","issue":"2","issued":{"date-parts":[["2007"]]},"page":"295-299","title":"A proposal for a standardised protocol to barcode all land plants","type":"article-journal","volume":"56"},"uris":["http://www.mendeley.com/documents/?uuid=8ceebd4e-6dae-4726-9b88-85ba91421851"]}],"mendeley":{"formattedCitation":"(Chase et al., 2007)","plainTextFormattedCitation":"(Chase et al., 2007)","previouslyFormattedCitation":"(Chase et al. 2007)"},"properties":{"noteIndex":0},"schema":"https://github.com/citation-style-language/schema/raw/master/csl-citation.json"}</w:instrText>
      </w:r>
      <w:r>
        <w:fldChar w:fldCharType="separate"/>
      </w:r>
      <w:r w:rsidRPr="00E64425">
        <w:rPr>
          <w:noProof/>
        </w:rPr>
        <w:t>(Chase et al., 2007)</w:t>
      </w:r>
      <w:r>
        <w:fldChar w:fldCharType="end"/>
      </w:r>
      <w:r>
        <w:t xml:space="preserve">. These universal barcodes have also allowed for phylogenetic inference at more granular levels. Currently, </w:t>
      </w:r>
      <w:proofErr w:type="spellStart"/>
      <w:r>
        <w:t>phylogenomics</w:t>
      </w:r>
      <w:proofErr w:type="spellEnd"/>
      <w:r>
        <w:t xml:space="preserve"> leverages widely available whole chloroplast genomes to infer phylogenies </w:t>
      </w:r>
      <w:r>
        <w:fldChar w:fldCharType="begin" w:fldLock="1"/>
      </w:r>
      <w:r>
        <w:instrText>ADDIN CSL_CITATION {"citationItems":[{"id":"ITEM-1","itemData":{"abstract":"Military History","author":[{"dropping-particle":"","family":"Ruhfel","given":"Brad R.","non-dropping-particle":"","parse-names":false,"suffix":""},{"dropping-particle":"","family":"Gitzendanner","given":"Matthew A.","non-dropping-particle":"","parse-names":false,"suffix":""},{"dropping-particle":"","family":"Soltis","given":"Pamela S.","non-dropping-particle":"","parse-names":false,"suffix":""},{"dropping-particle":"","family":"Soltis","given":"Douglas E.","non-dropping-particle":"","parse-names":false,"suffix":""},{"dropping-particle":"","family":"Burleigh","given":"J Gordon","non-dropping-particle":"","parse-names":false,"suffix":""}],"id":"ITEM-1","issue":"23","issued":{"date-parts":[["2014"]]},"title":"From algae to angiosperms–inferring the phylogeny of green plants (Viridiplantae) from 360 plastid genomes","type":"article-journal","volume":"14"},"uris":["http://www.mendeley.com/documents/?uuid=6a922f8f-3c66-4c76-92e8-abcfbd119854"]}],"mendeley":{"formattedCitation":"(Ruhfel, Gitzendanner, Soltis, Soltis, &amp; Burleigh, 2014)","plainTextFormattedCitation":"(Ruhfel, Gitzendanner, Soltis, Soltis, &amp; Burleigh, 2014)","previouslyFormattedCitation":"(Ruhfel et al. 2014)"},"properties":{"noteIndex":0},"schema":"https://github.com/citation-style-language/schema/raw/master/csl-citation.json"}</w:instrText>
      </w:r>
      <w:r>
        <w:fldChar w:fldCharType="separate"/>
      </w:r>
      <w:r w:rsidRPr="00E64425">
        <w:rPr>
          <w:noProof/>
        </w:rPr>
        <w:t>(Ruhfel, Gitzendanner, Soltis, Soltis, &amp; Burleigh, 2014)</w:t>
      </w:r>
      <w:r>
        <w:fldChar w:fldCharType="end"/>
      </w:r>
      <w:r>
        <w:t xml:space="preserve">. Phylogenies inferred from </w:t>
      </w:r>
      <w:r>
        <w:lastRenderedPageBreak/>
        <w:t xml:space="preserve">whole chloroplast genome information are commonly derived from all single copy orthologs or whole genome alignments </w:t>
      </w:r>
      <w:r>
        <w:fldChar w:fldCharType="begin" w:fldLock="1"/>
      </w:r>
      <w:r>
        <w:instrText>ADDIN CSL_CITATION {"citationItems":[{"id":"ITEM-1","itemData":{"DOI":"10.1002/ajb2.1048","ISSN":"00029122","PMID":"29603143","abstract":"Premise of the Study: For the past one billion years, green plants (Viridiplantae) have dominated global ecosystems, yet many key branches in their evolutionary history remain poorly resolved. Using the largest analysis of Viridiplantae based on plastid genome sequences to date, we examined the phylogeny and implications for morphological evolution at key nodes. Methods: We analyzed amino acid sequences from protein-coding genes from complete (or nearly complete) plastomes for 1879 taxa, including representatives across all major clades of Viridiplantae. Much of the data used was derived from transcriptomes from the One Thousand Plants Project (1KP); other data were taken from GenBank. Key Results: Our results largely agree with previous plastid-based analyses. Noteworthy results include (1) the position of Zygnematophyceae as sister to land plants (Embryophyta), (2) a bryophyte clade (hornworts, mosses + liverworts), (3) Equisetum + Psilotaceae as sister to Marattiales + leptosporangiate ferns, (4) cycads + Ginkgo as sister to the remaining extant gymnosperms, within which Gnetophyta are placed within conifers as sister to non-Pinaceae (Gne-Cup hypothesis), and (5) Amborella, followed by water lilies (Nymphaeales), as successive sisters to all other extant angiosperms. Within angiosperms, there is support for Mesangiospermae, a clade that comprises magnoliids, Chloranthales, monocots, Ceratophyllum, and eudicots. The placements of Ceratophyllum and Dilleniaceae remain problematic. Within Pentapetalae, two major clades (superasterids and superrosids) are recovered. Conclusions: This plastid data set provides an important resource for elucidating morphological evolution, dating divergence times in Viridiplantae, comparisons with emerging nuclear phylogenies, and analyses of molecular evolutionary patterns and dynamics of the plastid genome.","author":[{"dropping-particle":"","family":"Gitzendanner","given":"Matthew A.","non-dropping-particle":"","parse-names":false,"suffix":""},{"dropping-particle":"","family":"Soltis","given":"Pamela S.","non-dropping-particle":"","parse-names":false,"suffix":""},{"dropping-particle":"","family":"Wong","given":"Gane K.S.","non-dropping-particle":"","parse-names":false,"suffix":""},{"dropping-particle":"","family":"Ruhfel","given":"Brad R.","non-dropping-particle":"","parse-names":false,"suffix":""},{"dropping-particle":"","family":"Soltis","given":"Douglas E.","non-dropping-particle":"","parse-names":false,"suffix":""}],"container-title":"American Journal of Botany","id":"ITEM-1","issue":"3","issued":{"date-parts":[["2018"]]},"page":"291-301","title":"Plastid phylogenomic analysis of green plants: A billion years of evolutionary history","type":"article-journal","volume":"105"},"uris":["http://www.mendeley.com/documents/?uuid=329ff5e0-3031-49cd-9aa8-df800254dd0f"]}],"mendeley":{"formattedCitation":"(Gitzendanner, Soltis, Wong, Ruhfel, &amp; Soltis, 2018)","manualFormatting":"(Gitzendanner et al. 2018)","plainTextFormattedCitation":"(Gitzendanner, Soltis, Wong, Ruhfel, &amp; Soltis, 2018)","previouslyFormattedCitation":"(Gitzendanner, Soltis, Wong, et al. 2018)"},"properties":{"noteIndex":0},"schema":"https://github.com/citation-style-language/schema/raw/master/csl-citation.json"}</w:instrText>
      </w:r>
      <w:r>
        <w:fldChar w:fldCharType="separate"/>
      </w:r>
      <w:r w:rsidRPr="00065EC8">
        <w:rPr>
          <w:noProof/>
        </w:rPr>
        <w:t>(Gitzendanner et al. 2018)</w:t>
      </w:r>
      <w:r>
        <w:fldChar w:fldCharType="end"/>
      </w:r>
      <w:r>
        <w:t>.</w:t>
      </w:r>
    </w:p>
    <w:p w14:paraId="6128E350" w14:textId="77777777" w:rsidR="00636B5B" w:rsidRDefault="00636B5B" w:rsidP="00E64425">
      <w:pPr>
        <w:spacing w:line="360" w:lineRule="auto"/>
        <w:ind w:firstLine="720"/>
      </w:pPr>
      <w:r>
        <w:t xml:space="preserve">Due to its complex structure, poor conservation across land plants, and a slower evolutionary rate compared to the nuclear (12 times slower) and chloroplast genomes (3 times slower) the plant mitogenome is much less suited for phylogenetic analyses </w:t>
      </w:r>
      <w:r>
        <w:fldChar w:fldCharType="begin" w:fldLock="1"/>
      </w:r>
      <w:r>
        <w:instrText>ADDIN CSL_CITATION {"citationItems":[{"id":"ITEM-1","itemData":{"DOI":"10.1007/978-1-0716-0997-2_6","ISBN":"9781071609972","ISSN":"19406029","PMID":"33301090","abstract":"Size, structure, and sequence content lability of plant mitochondrial genome (mtDNA) across species has sharply limited its use in taxonomic studies. Historically, mtDNA variation has been first investigated with RFLPs, while the development of universal primers then allowed studying sequence polymorphisms within short genomic regions (&amp;lt;3 kb). The recent advent of NGS technologies now offers new opportunities by greatly facilitating the assembly of longer mtDNA regions, and even full mitogenomes. Phylogenetic works aiming at comparing signals from different genomic compartments (i.e., nucleus, chloroplast, and mitochondria) have been developed on a few plant lineages, and have been shown especially relevant in groups with contrasted inheritance of organelle genomes. This chapter first reviews the main characteristics of mtDNA and the application offered in taxonomic studies. It then presents tips for best sequencing protocol based on NGS data to be routinely used in mtDNA-based phylogenetic studies.","author":[{"dropping-particle":"","family":"Duminil","given":"Jérôme","non-dropping-particle":"","parse-names":false,"suffix":""},{"dropping-particle":"","family":"Besnard","given":"Guillaume","non-dropping-particle":"","parse-names":false,"suffix":""}],"container-title":"Methods in Molecular Biology","id":"ITEM-1","issued":{"date-parts":[["2021"]]},"page":"107-118","title":"Utility of the Mitochondrial Genome in Plant Taxonomic Studies","type":"article-journal","volume":"2222"},"uris":["http://www.mendeley.com/documents/?uuid=7bd2bbf7-dc6f-4ea3-98b8-113bf7b0fae2"]},{"id":"ITEM-2","itemData":{"DOI":"10.1111/1755-0998.12742","ISSN":"17550998","PMID":"29172252","abstract":"The mitogenome is rarely used to reconstruct the evolutionary history of plants, contrary to nuclear and plastid markers. Here, we evaluate the usefulness of mitochondrial DNA for molecular evolutionary studies in Oleaceae, in which cases of cytoplasmic male sterility (CMS) and of potentially contrasted organelle inheritance are known. We compare the diversity and the evolution of mitochondrial and chloroplast genomes by focusing on the olive complex and related genera. Using high-throughput techniques, we reconstructed complete mitogenomes (ca. 0.7 Mb) and plastomes (ca. 156 kb) for six olive accessions and one Chionanthus. A highly variable organization of mitogenomes was observed at the species level. In olive, two specific chimeric genes were identified in the mitogenome of lineage E3 and may be involved in CMS. Plastid-derived regions (mtpt) were observed in all reconstructed mitogenomes. Through phylogenetic reconstruction, we demonstrate that multiple integrations of mtpt regions have occurred in Oleaceae, but mtpt regions shared by all members of the olive complex derive from a common ancestor. We then assembled 52 conserved mitochondrial gene regions and complete plastomes of ten additional accessions belonging to tribes Oleeae, Fontanesieae and Forsythieae. Phylogenetic congruence between topologies based on mitochondrial regions and plastomes suggests a strong disequilibrium linkage between both organellar genomes. Finally, while phylogenetic reconstruction based on plastomes fails to resolve the evolutionary history of maternal olive lineages in the Mediterranean area, their phylogenetic relationships were successfully resolved with complete mitogenomes. Overall, our study demonstrates the great potential of using mitochondrial DNA in plant phylogeographic and metagenomic studies.","author":[{"dropping-particle":"","family":"Paer","given":"Céline","non-dropping-particle":"Van de","parse-names":false,"suffix":""},{"dropping-particle":"","family":"Bouchez","given":"Olivier","non-dropping-particle":"","parse-names":false,"suffix":""},{"dropping-particle":"","family":"Besnard","given":"Guillaume","non-dropping-particle":"","parse-names":false,"suffix":""}],"container-title":"Molecular Ecology Resources","id":"ITEM-2","issue":"3","issued":{"date-parts":[["2018"]]},"page":"407-423","title":"Prospects on the evolutionary mitogenomics of plants: A case study on the olive family (Oleaceae)","type":"article-journal","volume":"18"},"uris":["http://www.mendeley.com/documents/?uuid=d898d6cb-0090-4e38-937e-c5d01d50b904"]},{"id":"ITEM-3","itemData":{"DOI":"10.1016/j.ympev.2008.09.009","ISSN":"10557903","PMID":"18838124","abstract":"Previous studies have estimated that, in angiosperms, the synonymous substitution rate of chloroplast genes is three times higher than that of mitochondrial genes and that of nuclear genes is twelve times higher than that of mitochondrial genes. Here we used 12 genes in 27 seed plant species to investigate whether these relative rates of substitutions are common to diverse seed plant groups. We find that the overall relative rate of synonymous substitutions of mitochondrial, chloroplast and nuclear genes of all seed plants is 1:3:10, that these ratios are 1:2:4 in gymnosperms but 1:3:16 in angiosperms and that they go up to 1:3:20 in basal angiosperms. Our results show that the mitochondrial, chloroplast and nuclear genomes of seed plant groups have different synonymous substitutions rates, that these rates are different in different seed plant groups and that gymnosperms have smaller ratios than angiosperms. © 2008 Elsevier Inc. All rights reserved.","author":[{"dropping-particle":"","family":"Drouin","given":"Guy","non-dropping-particle":"","parse-names":false,"suffix":""},{"dropping-particle":"","family":"Daoud","given":"Hanane","non-dropping-particle":"","parse-names":false,"suffix":""},{"dropping-particle":"","family":"Xia","given":"Junnan","non-dropping-particle":"","parse-names":false,"suffix":""}],"container-title":"Molecular Phylogenetics and Evolution","id":"ITEM-3","issue":"3","issued":{"date-parts":[["2008"]]},"page":"827-831","publisher":"Elsevier Inc.","title":"Relative rates of synonymous substitutions in the mitochondrial, chloroplast and nuclear genomes of seed plants","type":"article-journal","volume":"49"},"uris":["http://www.mendeley.com/documents/?uuid=cd7e3dff-9000-4081-972b-aed1ddda0459"]}],"mendeley":{"formattedCitation":"(Drouin, Daoud, &amp; Xia, 2008; Duminil &amp; Besnard, 2021; Van de Paer, Bouchez, &amp; Besnard, 2018)","plainTextFormattedCitation":"(Drouin, Daoud, &amp; Xia, 2008; Duminil &amp; Besnard, 2021; Van de Paer, Bouchez, &amp; Besnard, 2018)","previouslyFormattedCitation":"(Duminil &amp; Besnard 2021; Van de Paer et al. 2018; Drouin et al. 2008)"},"properties":{"noteIndex":0},"schema":"https://github.com/citation-style-language/schema/raw/master/csl-citation.json"}</w:instrText>
      </w:r>
      <w:r>
        <w:fldChar w:fldCharType="separate"/>
      </w:r>
      <w:r w:rsidRPr="00E64425">
        <w:rPr>
          <w:noProof/>
        </w:rPr>
        <w:t>(Drouin, Daoud, &amp; Xia, 2008; Duminil &amp; Besnard, 2021; Van de Paer, Bouchez, &amp; Besnard, 2018)</w:t>
      </w:r>
      <w:r>
        <w:fldChar w:fldCharType="end"/>
      </w:r>
      <w:r>
        <w:t xml:space="preserve">. This contrasts animal and fungal mitogenomes which are much smaller and more conserved in structure and are commonly used in phylogenetic studies </w:t>
      </w:r>
      <w:r>
        <w:fldChar w:fldCharType="begin" w:fldLock="1"/>
      </w:r>
      <w:r>
        <w:instrText>ADDIN CSL_CITATION {"citationItems":[{"id":"ITEM-1","itemData":{"DOI":"10.1093/nar/27.8.1767","ISSN":"03051048","PMID":"10101183","abstract":"Animal mitochondrial DNA is a small, extrachromosomal genome, typically ~ 16 kb in size. With few exceptions, all animal mitochondrial genomes contain the same 37 genes: two for rRNAs, 13 for proteins and 22 for tRNAs. The products of these genes, along with RNAs and proteins imported from the cytoplasm, endow mitochondria with their own systems for DNA replication, transcription, mRNA processing and translation of proteins. The study of these genomes as they function in mitochondrial systems - 'mitochondrial genomics' - serves as a model for genome evolution. Furthermore, the comparison of animal mitochondrial gene arrangements has become a very powerful means for inferring ancient evolutionary relationships, since rearrangements appear to be unique, generally rare events that are unlikely to arise independently in separate evolutionary lineages. Complete mitochondrial gene arrangements have been published for 58 chordate species and 29 non-chordate species, and partial arrangements for hundreds of other taxa. This review compares and summarizes these gene arrangements and points out some of the questions that may be addressed by comparing mitochondrial systems.","author":[{"dropping-particle":"","family":"Boore","given":"Jeffrey L.","non-dropping-particle":"","parse-names":false,"suffix":""}],"container-title":"Nucleic Acids Research","id":"ITEM-1","issue":"8","issued":{"date-parts":[["1999"]]},"page":"1767-1780","title":"Animal mitochondrial genomes","type":"article-journal","volume":"27"},"uris":["http://www.mendeley.com/documents/?uuid=71c7e14b-f23c-488d-88bc-ec34e91d502f"]},{"id":"ITEM-2","itemData":{"DOI":"10.1371/journal.pone.0097141","ISSN":"19326203","PMID":"24824642","abstract":"Mitochondria are eukaryotic organelles supporting individual life-style via generation of proton motive force and cellular energy, and indispensable metabolic pathways. As part of genome sequencing of the white rot Basidiomycota species Phlebia radiata, we first assembled its mitochondrial genome (mtDNA). So far, the 156 348 bp mtDNA is the second largest described for fungi, and of considerable size among eukaryotes. The P. radiata mtDNA assembled as single circular dsDNA molecule containing genes for the large and small ribosomal RNAs, 28 transfer RNAs, and over 100 open reading frames encoding the 14 fungal conserved protein subunits of the mitochondrial complexes I, III, IV, and V. Two genes (atp6 and tRNA-IleGAU) were duplicated within 6.1 kbp inverted region, which is a unique feature of the genome. The large mtDNA size, however, is explained by the dominance of intronic and intergenic regions (sum 80% of mtDNA sequence). The intergenic DNA stretches harness short (≤200 nt) repetitive, dispersed and overlapping sequence elements in abundance. Long self-splicing introns of types I and II interrupt eleven of the conserved genes (cox1,2,3 ; cob; nad1,2,4,4L,5; rnl; rns). The introns embrace a total of 57 homing endonucleases with LAGLIDADGD and GYI-YIG core motifs, which makes P. radiata mtDNA to one of the largest known reservoirs of intron-homing endonucleases. The inverted duplication, intergenic stretches, and intronic features are indications of dynamics and genetic flexibility of the mtDNA, not fully recognized to this extent in fungal mitochondrial genomes previously, thus giving new insights for the evolution of organelle genomes in eukaryotes. © 2014 Salavirta et al.","author":[{"dropping-particle":"","family":"Salavirta","given":"Heikki","non-dropping-particle":"","parse-names":false,"suffix":""},{"dropping-particle":"","family":"Oksanen","given":"Ilona","non-dropping-particle":"","parse-names":false,"suffix":""},{"dropping-particle":"","family":"Kuuskeri","given":"Jaana","non-dropping-particle":"","parse-names":false,"suffix":""},{"dropping-particle":"","family":"Mak̈elä","given":"Miia","non-dropping-particle":"","parse-names":false,"suffix":""},{"dropping-particle":"","family":"Laine","given":"Pia","non-dropping-particle":"","parse-names":false,"suffix":""},{"dropping-particle":"","family":"Paulin","given":"Lars","non-dropping-particle":"","parse-names":false,"suffix":""},{"dropping-particle":"","family":"Lundell","given":"Taina","non-dropping-particle":"","parse-names":false,"suffix":""}],"container-title":"PLoS ONE","id":"ITEM-2","issue":"5","issued":{"date-parts":[["2014"]]},"title":"Mitochondrial genome of Phlebia radiata is the second largest (156 kbp) among fungi and features signs of genome flexibility and recent recombination events","type":"article-journal","volume":"9"},"uris":["http://www.mendeley.com/documents/?uuid=229eae9a-d042-4c79-9ed7-0029374d1a4c"]}],"mendeley":{"formattedCitation":"(Boore, 1999; Salavirta et al., 2014)","plainTextFormattedCitation":"(Boore, 1999; Salavirta et al., 2014)","previouslyFormattedCitation":"(Boore 1999; Salavirta et al. 2014)"},"properties":{"noteIndex":0},"schema":"https://github.com/citation-style-language/schema/raw/master/csl-citation.json"}</w:instrText>
      </w:r>
      <w:r>
        <w:fldChar w:fldCharType="separate"/>
      </w:r>
      <w:r w:rsidRPr="00E64425">
        <w:rPr>
          <w:noProof/>
        </w:rPr>
        <w:t>(Boore, 1999; Salavirta et al., 2014)</w:t>
      </w:r>
      <w:r>
        <w:fldChar w:fldCharType="end"/>
      </w:r>
      <w:r>
        <w:t xml:space="preserve">. Because of structural divergence even among closely related species plant mitogenome derived phylogenies should be constructed from genes </w:t>
      </w:r>
      <w:r>
        <w:fldChar w:fldCharType="begin" w:fldLock="1"/>
      </w:r>
      <w:r>
        <w:instrText>ADDIN CSL_CITATION {"citationItems":[{"id":"ITEM-1","itemData":{"DOI":"10.1038/s41438-017-0002-1","ISSN":"20527276","abstract":"Although organellar genomes (including chloroplast and mitochondrial genomes) are smaller than nuclear genomes in size and gene number, organellar genomes are very important for the investigation of plant evolution and molecular ecology mechanisms. Few studies have focused on the organellar genomes of horticultural plants. Approximately 1193 chloroplast genomes and 199 mitochondrial genomes of land plants are available in the National Center for Biotechnology Information (NCBI), of which only 39 are from horticultural plants. In this paper, we report an innovative and efficient method for high-quality horticultural organellar genome assembly from next-generation sequencing (NGS) data. Sequencing reads were first assembled by Newbler, Amos, and Minimus software with default parameters. The remaining gaps were then filled through BLASTN search and PCR. The complete DNA sequence was corrected based on Illumina sequencing data using BWA (Burrows-Wheeler Alignment tool) software. The advantage of this approach is that there is no need to isolate organellar DNA from total DNA during sample preparation. Using this procedure, the complete mitochondrial and chloroplast genomes of an ornamental plant, Salix suchowensis, and a fruit tree, Ziziphus jujuba, were identified. This study shows that horticultural plants have similar mitochondrial and chloroplast sequence organization to other seed plants. Most horticultural plants demonstrate a slight bias toward A+T rich features in the mitochondrial genome. In addition, a phylogenetic analysis of 39 horticultural plants based on 15 protein-coding genes showed that some mitochondrial genes are horizontally transferred from chloroplast DNA. Our study will provide an important reference for organellar genome assembly in other horticultural plants. Furthermore, phylogenetic analysis of the organellar genomes of horticultural plants could accurately clarify the unanticipated relationships among these plants.","author":[{"dropping-particle":"","family":"Wang","given":"Xuelin","non-dropping-particle":"","parse-names":false,"suffix":""},{"dropping-particle":"","family":"Cheng","given":"Feng","non-dropping-particle":"","parse-names":false,"suffix":""},{"dropping-particle":"","family":"Rohlsen","given":"Dekai","non-dropping-particle":"","parse-names":false,"suffix":""},{"dropping-particle":"","family":"Bi","given":"Changwei","non-dropping-particle":"","parse-names":false,"suffix":""},{"dropping-particle":"","family":"Wang","given":"Chunyan","non-dropping-particle":"","parse-names":false,"suffix":""},{"dropping-particle":"","family":"Xu","given":"Yiqing","non-dropping-particle":"","parse-names":false,"suffix":""},{"dropping-particle":"","family":"Wei","given":"Suyun","non-dropping-particle":"","parse-names":false,"suffix":""},{"dropping-particle":"","family":"Ye","given":"Qiaolin","non-dropping-particle":"","parse-names":false,"suffix":""},{"dropping-particle":"","family":"Yin","given":"Tongming","non-dropping-particle":"","parse-names":false,"suffix":""},{"dropping-particle":"","family":"Ye","given":"Ning","non-dropping-particle":"","parse-names":false,"suffix":""}],"container-title":"Horticulture Research","id":"ITEM-1","issue":"1","issued":{"date-parts":[["2018"]]},"page":"1-13","publisher":"Springer US","title":"Organellar genome assembly methods and comparative analysis of horticultural plants","type":"article-journal","volume":"5"},"uris":["http://www.mendeley.com/documents/?uuid=5b68c6af-2a91-4a45-a34d-0aadbd28b6b7"]}],"mendeley":{"formattedCitation":"(X. Wang et al., 2018)","plainTextFormattedCitation":"(X. Wang et al., 2018)","previouslyFormattedCitation":"(Xuelin Wang et al. 2018)"},"properties":{"noteIndex":0},"schema":"https://github.com/citation-style-language/schema/raw/master/csl-citation.json"}</w:instrText>
      </w:r>
      <w:r>
        <w:fldChar w:fldCharType="separate"/>
      </w:r>
      <w:r w:rsidRPr="00E64425">
        <w:rPr>
          <w:noProof/>
        </w:rPr>
        <w:t>(X. Wang et al., 2018)</w:t>
      </w:r>
      <w:r>
        <w:fldChar w:fldCharType="end"/>
      </w:r>
      <w:r>
        <w:t xml:space="preserve">. However, some studies have inferred phylogenies from mitogenome data which agree with </w:t>
      </w:r>
      <w:proofErr w:type="spellStart"/>
      <w:r>
        <w:t>plastome</w:t>
      </w:r>
      <w:proofErr w:type="spellEnd"/>
      <w:r>
        <w:t xml:space="preserve"> data </w:t>
      </w:r>
      <w:r>
        <w:fldChar w:fldCharType="begin" w:fldLock="1"/>
      </w:r>
      <w:r>
        <w:instrText>ADDIN CSL_CITATION {"citationItems":[{"id":"ITEM-1","itemData":{"DOI":"10.3390/genes9110547","ISSN":"20734425","abstract":"Diversity in structure and organization is one of the main features of angiosperm mitochondrial genomes (mitogenomes). The ultra-long reads of Oxford Nanopore Technology (ONT) provide an opportunity to obtain a complete mitogenome and investigate the structural variation in unprecedented detail. In this study, we compared mitogenome assembly methods using Illumina and/or ONT sequencing data and obtained the complete mitogenome (208 kb) of Chrysanthemum nankingense based on the hybrid assembly method. The mitogenome encoded 19 transfer RNA genes, three ribosomal RNA genes, and 34 protein-coding genes with 21 group II introns disrupting eight intron-contained genes. A total of seven medium repeats were related to homologous recombination at different frequencies as supported by the long ONT reads. Subsequently, we investigated the variations in gene content and constitution of 28 near-complete mitogenomes from Asteraceae. A total of six protein-coding genes were missing in all Asteraceae mitogenomes, while four other genes were not detected in some lineages. The core fragments (~88 kb) of the Asteraceae mitogenomes had a higher GC content (~46.7%) than the variable and specific fragments. The phylogenetic topology based on the core fragments of the Asteraceae mitogenomes was highly consistent with the topologies obtained from the corresponding plastid datasets. Our results highlighted the advantages of the complete assembly of the C. nankingense mitogenome and the investigation of its structural variation based on ONT sequencing data. Moreover, the method based on local collinear blocks of the mitogenomes could achieve the alignment of highly rearrangeable and variable plant mitogenomes as well as construct a robust phylogenetic topology.","author":[{"dropping-particle":"","family":"Wang","given":"Shuaibin","non-dropping-particle":"","parse-names":false,"suffix":""},{"dropping-particle":"","family":"Song","given":"Qingwei","non-dropping-particle":"","parse-names":false,"suffix":""},{"dropping-particle":"","family":"Li","given":"Shanshan","non-dropping-particle":"","parse-names":false,"suffix":""},{"dropping-particle":"","family":"Hu","given":"Zhigang","non-dropping-particle":"","parse-names":false,"suffix":""},{"dropping-particle":"","family":"Dong","given":"Gangqiang","non-dropping-particle":"","parse-names":false,"suffix":""},{"dropping-particle":"","family":"Song","given":"Chi","non-dropping-particle":"","parse-names":false,"suffix":""},{"dropping-particle":"","family":"Huang","given":"Hongwen","non-dropping-particle":"","parse-names":false,"suffix":""},{"dropping-particle":"","family":"Liu","given":"Yifei","non-dropping-particle":"","parse-names":false,"suffix":""}],"container-title":"Genes","id":"ITEM-1","issue":"11","issued":{"date-parts":[["2018"]]},"title":"Assembly of a complete mitogenome of chrysanthemum nankingense using oxford nanopore long reads and the diversity and evolution of asteraceae mitogenomes","type":"article-journal","volume":"9"},"uris":["http://www.mendeley.com/documents/?uuid=4b6b606e-7371-4a77-91d5-82ada1d60541"]},{"id":"ITEM-2","itemData":{"DOI":"10.1111/1755-0998.12742","ISSN":"17550998","PMID":"29172252","abstract":"The mitogenome is rarely used to reconstruct the evolutionary history of plants, contrary to nuclear and plastid markers. Here, we evaluate the usefulness of mitochondrial DNA for molecular evolutionary studies in Oleaceae, in which cases of cytoplasmic male sterility (CMS) and of potentially contrasted organelle inheritance are known. We compare the diversity and the evolution of mitochondrial and chloroplast genomes by focusing on the olive complex and related genera. Using high-throughput techniques, we reconstructed complete mitogenomes (ca. 0.7 Mb) and plastomes (ca. 156 kb) for six olive accessions and one Chionanthus. A highly variable organization of mitogenomes was observed at the species level. In olive, two specific chimeric genes were identified in the mitogenome of lineage E3 and may be involved in CMS. Plastid-derived regions (mtpt) were observed in all reconstructed mitogenomes. Through phylogenetic reconstruction, we demonstrate that multiple integrations of mtpt regions have occurred in Oleaceae, but mtpt regions shared by all members of the olive complex derive from a common ancestor. We then assembled 52 conserved mitochondrial gene regions and complete plastomes of ten additional accessions belonging to tribes Oleeae, Fontanesieae and Forsythieae. Phylogenetic congruence between topologies based on mitochondrial regions and plastomes suggests a strong disequilibrium linkage between both organellar genomes. Finally, while phylogenetic reconstruction based on plastomes fails to resolve the evolutionary history of maternal olive lineages in the Mediterranean area, their phylogenetic relationships were successfully resolved with complete mitogenomes. Overall, our study demonstrates the great potential of using mitochondrial DNA in plant phylogeographic and metagenomic studies.","author":[{"dropping-particle":"","family":"Paer","given":"Céline","non-dropping-particle":"Van de","parse-names":false,"suffix":""},{"dropping-particle":"","family":"Bouchez","given":"Olivier","non-dropping-particle":"","parse-names":false,"suffix":""},{"dropping-particle":"","family":"Besnard","given":"Guillaume","non-dropping-particle":"","parse-names":false,"suffix":""}],"container-title":"Molecular Ecology Resources","id":"ITEM-2","issue":"3","issued":{"date-parts":[["2018"]]},"page":"407-423","title":"Prospects on the evolutionary mitogenomics of plants: A case study on the olive family (Oleaceae)","type":"article-journal","volume":"18"},"uris":["http://www.mendeley.com/documents/?uuid=d898d6cb-0090-4e38-937e-c5d01d50b904"]}],"mendeley":{"formattedCitation":"(Van de Paer et al., 2018; S. Wang et al., 2018)","plainTextFormattedCitation":"(Van de Paer et al., 2018; S. Wang et al., 2018)","previouslyFormattedCitation":"(Shuaibin Wang et al. 2018; Van de Paer et al. 2018)"},"properties":{"noteIndex":0},"schema":"https://github.com/citation-style-language/schema/raw/master/csl-citation.json"}</w:instrText>
      </w:r>
      <w:r>
        <w:fldChar w:fldCharType="separate"/>
      </w:r>
      <w:r w:rsidRPr="00E64425">
        <w:rPr>
          <w:noProof/>
        </w:rPr>
        <w:t>(Van de Paer et al., 2018; S. Wang et al., 2018)</w:t>
      </w:r>
      <w:r>
        <w:fldChar w:fldCharType="end"/>
      </w:r>
      <w:r>
        <w:t xml:space="preserve">. Additional land plant mitogenomes should become available as third generation sequencing becomes more widespread. This should allow for a more comprehensive understanding of their use in phylogenetic inference and how they compare to </w:t>
      </w:r>
      <w:proofErr w:type="spellStart"/>
      <w:r>
        <w:t>plastome</w:t>
      </w:r>
      <w:proofErr w:type="spellEnd"/>
      <w:r>
        <w:t xml:space="preserve"> based phylogenies.</w:t>
      </w:r>
    </w:p>
    <w:p w14:paraId="78A5655A" w14:textId="77777777" w:rsidR="00636B5B" w:rsidRDefault="00636B5B" w:rsidP="00E64425">
      <w:pPr>
        <w:rPr>
          <w:b/>
          <w:bCs/>
        </w:rPr>
      </w:pPr>
    </w:p>
    <w:p w14:paraId="7C2E201C" w14:textId="465CBC30" w:rsidR="00636B5B" w:rsidRDefault="00636B5B" w:rsidP="00E64425">
      <w:pPr>
        <w:rPr>
          <w:b/>
          <w:bCs/>
        </w:rPr>
      </w:pPr>
      <w:r>
        <w:rPr>
          <w:b/>
          <w:bCs/>
        </w:rPr>
        <w:t>Outline and scientific contribution of dissertation</w:t>
      </w:r>
    </w:p>
    <w:p w14:paraId="6EAC53C1" w14:textId="77777777" w:rsidR="00D30413" w:rsidRDefault="00D30413" w:rsidP="00E64425">
      <w:pPr>
        <w:rPr>
          <w:b/>
          <w:bCs/>
        </w:rPr>
      </w:pPr>
    </w:p>
    <w:p w14:paraId="1092BA1A" w14:textId="77777777" w:rsidR="00636B5B" w:rsidRPr="00B75A75" w:rsidRDefault="00636B5B" w:rsidP="00E64425">
      <w:pPr>
        <w:spacing w:line="360" w:lineRule="auto"/>
      </w:pPr>
      <w:r>
        <w:rPr>
          <w:b/>
          <w:bCs/>
        </w:rPr>
        <w:tab/>
      </w:r>
      <w:r>
        <w:t xml:space="preserve">The genera </w:t>
      </w:r>
      <w:r>
        <w:rPr>
          <w:i/>
          <w:iCs/>
        </w:rPr>
        <w:t xml:space="preserve">Populus </w:t>
      </w:r>
      <w:r>
        <w:t xml:space="preserve">and </w:t>
      </w:r>
      <w:r>
        <w:rPr>
          <w:i/>
          <w:iCs/>
        </w:rPr>
        <w:t xml:space="preserve">Salix </w:t>
      </w:r>
      <w:r>
        <w:t xml:space="preserve">are ecologically and economically important trees and shrubs. Their natural range is expansive and extends across North America, Europe, and Asia. Their uses are broad, some of which include; fiber, fuel, and medicine </w:t>
      </w:r>
      <w:r>
        <w:fldChar w:fldCharType="begin" w:fldLock="1"/>
      </w:r>
      <w:r>
        <w:instrText>ADDIN CSL_CITATION {"citationItems":[{"id":"ITEM-1","itemData":{"author":[{"dropping-particle":"","family":"Erichsen-Brown","given":"Charlotte","non-dropping-particle":"","parse-names":false,"suffix":""}],"id":"ITEM-1","issued":{"date-parts":[["1979"]]},"title":"Use of plants for the past 500 years","type":"article-journal"},"uris":["http://www.mendeley.com/documents/?uuid=aeeebac8-a69e-473c-a881-8d09e15798d0"]}],"mendeley":{"formattedCitation":"(Erichsen-Brown, 1979)","plainTextFormattedCitation":"(Erichsen-Brown, 1979)","previouslyFormattedCitation":"(Erichsen-Brown 1979)"},"properties":{"noteIndex":0},"schema":"https://github.com/citation-style-language/schema/raw/master/csl-citation.json"}</w:instrText>
      </w:r>
      <w:r>
        <w:fldChar w:fldCharType="separate"/>
      </w:r>
      <w:r w:rsidRPr="00E64425">
        <w:rPr>
          <w:noProof/>
        </w:rPr>
        <w:t>(Erichsen-Brown, 1979)</w:t>
      </w:r>
      <w:r>
        <w:fldChar w:fldCharType="end"/>
      </w:r>
      <w:r>
        <w:t xml:space="preserve">. The development of genetic resources for these important species has and will benefit the domestication and breeding process </w:t>
      </w:r>
      <w:r>
        <w:fldChar w:fldCharType="begin" w:fldLock="1"/>
      </w:r>
      <w:r>
        <w:instrText>ADDIN CSL_CITATION {"citationItems":[{"id":"ITEM-1","itemData":{"author":[{"dropping-particle":"","family":"Stanton","given":"Brian J","non-dropping-particle":"","parse-names":false,"suffix":""},{"dropping-particle":"","family":"Serapiglia","given":"Michelle J","non-dropping-particle":"","parse-names":false,"suffix":""},{"dropping-particle":"","family":"Smart","given":"Lawrence B","non-dropping-particle":"","parse-names":false,"suffix":""},{"dropping-particle":"","family":"others","given":"","non-dropping-particle":"","parse-names":false,"suffix":""}],"container-title":"Poplars and willows: trees for society and the environment. Wallingford, UK: CAB International","id":"ITEM-1","issued":{"date-parts":[["2014"]]},"page":"124-199","title":"The domestication and conservation of Populus and Salix genetic resources","type":"article-journal"},"uris":["http://www.mendeley.com/documents/?uuid=8ef9b693-5322-41bb-ae3f-e131d7889813"]},{"id":"ITEM-2","itemData":{"DOI":"10.1186/s13059-020-1952-4","ISSN":"1474760X","PMID":"32059685","abstract":"Background: Sex chromosomes have arisen independently in a wide variety of species, yet they share common characteristics, including the presence of suppressed recombination surrounding sex determination loci. Mammalian sex chromosomes contain multiple palindromic repeats across the non-recombining region that show sequence conservation through gene conversion and contain genes that are crucial for sexual reproduction. In plants, it is not clear if palindromic repeats play a role in maintaining sequence conservation in the absence of homologous recombination. Results: Here we present the first evidence of large palindromic structures in a plant sex chromosome, based on a highly contiguous assembly of the W chromosome of the dioecious shrub Salix purpurea. The W chromosome has an expanded number of genes due to transpositions from autosomes. It also contains two consecutive palindromes that span a region of 200 kb, with conspicuous 20-kb stretches of highly conserved sequences among the four arms that show evidence of gene conversion. Four genes in the palindrome are homologous to genes in the sex determination regions of the closely related genus Populus, which is located on a different chromosome. These genes show distinct, floral-biased expression patterns compared to paralogous copies on autosomes. Conclusion: The presence of palindromes in sex chromosomes of mammals and plants highlights the intrinsic importance of these features in adaptive evolution in the absence of recombination. Convergent evolution is driving both the independent establishment of sex chromosomes as well as their fine-scale sequence structure.","author":[{"dropping-particle":"","family":"Zhou","given":"Ran","non-dropping-particle":"","parse-names":false,"suffix":""},{"dropping-particle":"","family":"Macaya-Sanz","given":"David","non-dropping-particle":"","parse-names":false,"suffix":""},{"dropping-particle":"","family":"Carlson","given":"Craig H.","non-dropping-particle":"","parse-names":false,"suffix":""},{"dropping-particle":"","family":"Schmutz","given":"Jeremy","non-dropping-particle":"","parse-names":false,"suffix":""},{"dropping-particle":"","family":"Jenkins","given":"Jerry W.","non-dropping-particle":"","parse-names":false,"suffix":""},{"dropping-particle":"","family":"Kudrna","given":"David","non-dropping-particle":"","parse-names":false,"suffix":""},{"dropping-particle":"","family":"Sharma","given":"Aditi","non-dropping-particle":"","parse-names":false,"suffix":""},{"dropping-particle":"","family":"Sandor","given":"Laura","non-dropping-particle":"","parse-names":false,"suffix":""},{"dropping-particle":"","family":"Shu","given":"Shengqiang","non-dropping-particle":"","parse-names":false,"suffix":""},{"dropping-particle":"","family":"Barry","given":"Kerrie","non-dropping-particle":"","parse-names":false,"suffix":""},{"dropping-particle":"","family":"Tuskan","given":"Gerald A.","non-dropping-particle":"","parse-names":false,"suffix":""},{"dropping-particle":"","family":"Ma","given":"Tao","non-dropping-particle":"","parse-names":false,"suffix":""},{"dropping-particle":"","family":"Liu","given":"Jianquan","non-dropping-particle":"","parse-names":false,"suffix":""},{"dropping-particle":"","family":"Olson","given":"Matthew","non-dropping-particle":"","parse-names":false,"suffix":""},{"dropping-particle":"","family":"Smart","given":"Lawrence B.","non-dropping-particle":"","parse-names":false,"suffix":""},{"dropping-particle":"","family":"Difazio","given":"Stephen P.","non-dropping-particle":"","parse-names":false,"suffix":""}],"container-title":"Genome Biology","id":"ITEM-2","issue":"1","issued":{"date-parts":[["2020"]]},"page":"1-19","publisher":"Genome Biology","title":"A willow sex chromosome reveals convergent evolution of complex palindromic repeats","type":"article-journal","volume":"21"},"uris":["http://www.mendeley.com/documents/?uuid=c8992710-a983-45bb-9ca9-5ba4f2733732"]}],"mendeley":{"formattedCitation":"(Stanton, Serapiglia, Smart, &amp; others, 2014; Zhou et al., 2020)","manualFormatting":"(Stanton et al., 2014; Zhou et al., 2020)","plainTextFormattedCitation":"(Stanton, Serapiglia, Smart, &amp; others, 2014; Zhou et al., 2020)","previouslyFormattedCitation":"(Stanton et al. 2014; Zhou et al. 2020)"},"properties":{"noteIndex":0},"schema":"https://github.com/citation-style-language/schema/raw/master/csl-citation.json"}</w:instrText>
      </w:r>
      <w:r>
        <w:fldChar w:fldCharType="separate"/>
      </w:r>
      <w:r w:rsidRPr="00C47D20">
        <w:rPr>
          <w:noProof/>
        </w:rPr>
        <w:t>(Stanton</w:t>
      </w:r>
      <w:r>
        <w:rPr>
          <w:noProof/>
        </w:rPr>
        <w:t xml:space="preserve"> et al.</w:t>
      </w:r>
      <w:r w:rsidRPr="00C47D20">
        <w:rPr>
          <w:noProof/>
        </w:rPr>
        <w:t>, 2014; Zhou et al., 2020)</w:t>
      </w:r>
      <w:r>
        <w:fldChar w:fldCharType="end"/>
      </w:r>
      <w:r>
        <w:t xml:space="preserve">. This is particularly important as they are excellent feedstocks for the creation of lignocellulosic biofuels which aim to replace fossil fuels primarily in ocean shipping and aviation industries </w:t>
      </w:r>
      <w:r>
        <w:fldChar w:fldCharType="begin" w:fldLock="1"/>
      </w:r>
      <w:r>
        <w:instrText>ADDIN CSL_CITATION {"citationItems":[{"id":"ITEM-1","itemData":{"DOI":"10.1002/bbb","ISSN":"1932104X","abstract":"The question of whether the world needs biofuels is approached by examining the feasibil- ity of doing without them. Even with aggressive reductions in travel growth, shifts to mass transport modes, strong effi ciency improvements, and deep market penetration by vehicles running on electric- ity and hydrogen, there remains a large demand for dense liquid fuels in 2050 (80% of transportation fuel) and even in 2075 (50%). This demand is due largely to aviation, ocean shipping, and long-haul trucking. Acknowledging the signifi cant uncertainties involved in such projections and the challenges faced by all candidate technologies and fuels, we conclude that it will likely be diffi cult to achieve a low-carbon transport sector without widespread use of biofuels, and that aggressive efforts to develop sustainable, low-carbon biofuels alongside other options are warranted.","author":[{"dropping-particle":"","family":"Fulton","given":"Lewis","non-dropping-particle":"","parse-names":false,"suffix":""},{"dropping-particle":"","family":"Lynd","given":"Lee R.","non-dropping-particle":"","parse-names":false,"suffix":""},{"dropping-particle":"","family":"Körner","given":"Alexander","non-dropping-particle":"","parse-names":false,"suffix":""},{"dropping-particle":"","family":"Greene","given":"Nathanael","non-dropping-particle":"","parse-names":false,"suffix":""},{"dropping-particle":"","family":"Tonachel","given":"Luke R.","non-dropping-particle":"","parse-names":false,"suffix":""}],"container-title":"Biofuels, Bioproducts and Biorefining","id":"ITEM-1","issued":{"date-parts":[["2015"]]},"page":"476-483","title":"The need for biofuels as part of a low carbon energy future Lewis","type":"article-journal","volume":"9"},"uris":["http://www.mendeley.com/documents/?uuid=59c28a87-b687-44b7-9f38-938766ecb563"]}],"mendeley":{"formattedCitation":"(Fulton, Lynd, Körner, Greene, &amp; Tonachel, 2015)","manualFormatting":"(Fulton et. al., 2015)","plainTextFormattedCitation":"(Fulton, Lynd, Körner, Greene, &amp; Tonachel, 2015)","previouslyFormattedCitation":"(Fulton et al. 2015)"},"properties":{"noteIndex":0},"schema":"https://github.com/citation-style-language/schema/raw/master/csl-citation.json"}</w:instrText>
      </w:r>
      <w:r>
        <w:fldChar w:fldCharType="separate"/>
      </w:r>
      <w:r w:rsidRPr="00AF21CA">
        <w:rPr>
          <w:noProof/>
        </w:rPr>
        <w:t>(Fulton</w:t>
      </w:r>
      <w:r>
        <w:rPr>
          <w:noProof/>
        </w:rPr>
        <w:t xml:space="preserve"> et. al.</w:t>
      </w:r>
      <w:r w:rsidRPr="00AF21CA">
        <w:rPr>
          <w:noProof/>
        </w:rPr>
        <w:t>, 2015)</w:t>
      </w:r>
      <w:r>
        <w:fldChar w:fldCharType="end"/>
      </w:r>
      <w:r>
        <w:t xml:space="preserve">. As demand for liquid fuels remains likely until 2075, development of cleaner alternatives to fossil fuels are of paramount importance </w:t>
      </w:r>
      <w:r>
        <w:fldChar w:fldCharType="begin" w:fldLock="1"/>
      </w:r>
      <w:r>
        <w:instrText>ADDIN CSL_CITATION {"citationItems":[{"id":"ITEM-1","itemData":{"DOI":"10.1002/bbb","ISSN":"1932104X","abstract":"The question of whether the world needs biofuels is approached by examining the feasibil- ity of doing without them. Even with aggressive reductions in travel growth, shifts to mass transport modes, strong effi ciency improvements, and deep market penetration by vehicles running on electric- ity and hydrogen, there remains a large demand for dense liquid fuels in 2050 (80% of transportation fuel) and even in 2075 (50%). This demand is due largely to aviation, ocean shipping, and long-haul trucking. Acknowledging the signifi cant uncertainties involved in such projections and the challenges faced by all candidate technologies and fuels, we conclude that it will likely be diffi cult to achieve a low-carbon transport sector without widespread use of biofuels, and that aggressive efforts to develop sustainable, low-carbon biofuels alongside other options are warranted.","author":[{"dropping-particle":"","family":"Fulton","given":"Lewis","non-dropping-particle":"","parse-names":false,"suffix":""},{"dropping-particle":"","family":"Lynd","given":"Lee R.","non-dropping-particle":"","parse-names":false,"suffix":""},{"dropping-particle":"","family":"Körner","given":"Alexander","non-dropping-particle":"","parse-names":false,"suffix":""},{"dropping-particle":"","family":"Greene","given":"Nathanael","non-dropping-particle":"","parse-names":false,"suffix":""},{"dropping-particle":"","family":"Tonachel","given":"Luke R.","non-dropping-particle":"","parse-names":false,"suffix":""}],"container-title":"Biofuels, Bioproducts and Biorefining","id":"ITEM-1","issued":{"date-parts":[["2015"]]},"page":"476-483","title":"The need for biofuels as part of a low carbon energy future Lewis","type":"article-journal","volume":"9"},"uris":["http://www.mendeley.com/documents/?uuid=59c28a87-b687-44b7-9f38-938766ecb563"]},{"id":"ITEM-2","itemData":{"DOI":"10.1073/pnas.1821684116","ISSN":"10916490","PMID":"31767762","abstract":"Technoeconomic and life-cycle analyses are presented for catalytic conversion of ethanol to fungible hydrocarbon fuel blendstocks, informed by advances in catalyst and process development. Whereas prior work toward this end focused on 3-step processes featuring dehydration, oligomerization, and hydrogenation, the consolidated alcohol dehydration and oligomerization (CADO) approach described here results in 1-step conversion of wet ethanol vapor (40 wt% in water) to hydrocarbons and water over a metal-modified zeolite catalyst. A development project increased liquid hydrocarbon yields from 36% of theoretical to &gt;80%, reduced catalyst cost by an order of magnitude, scaled up the process by 300-fold, and reduced projected costs of ethanol conversion 12-fold. Current CADO products conform most closely to gasoline blendstocks, but can be blended with jet fuel at low levels today, and could potentially be blended at higher levels in the future. Operating plus annualized capital costs for conversion of wet ethanol to fungible blendstocks are estimated at $2.00/GJ for CADO today and $1.44/GJ in the future, similar to the unit energy cost of producing anhydrous ethanol from wet ethanol ($1.46/GJ). Including the cost of ethanol from either corn or future cellulosic biomass but not production incentives, projected minimum selling prices for fungible blendstocks produced via CADO are competitive with conventional jet fuel when oil is $100 per barrel but not at $60 per barrel. However, with existing production incentives, the projected minimum blendstock selling price is competitive with oil at $60 per barrel. Life-cycle greenhouse gas emission reductions for CADO-derived hydrocarbon blendstocks closely follow those for the ethanol feedstock.","author":[{"dropping-particle":"","family":"Hannon","given":"John R.","non-dropping-particle":"","parse-names":false,"suffix":""},{"dropping-particle":"","family":"Lynd","given":"Lee R.","non-dropping-particle":"","parse-names":false,"suffix":""},{"dropping-particle":"","family":"Andrade","given":"Onofre","non-dropping-particle":"","parse-names":false,"suffix":""},{"dropping-particle":"","family":"Benavides","given":"Pahola Thathiana","non-dropping-particle":"","parse-names":false,"suffix":""},{"dropping-particle":"","family":"Beckham","given":"Gregg T.","non-dropping-particle":"","parse-names":false,"suffix":""},{"dropping-particle":"","family":"Biddy","given":"Mary J.","non-dropping-particle":"","parse-names":false,"suffix":""},{"dropping-particle":"","family":"Brown","given":"Nathan","non-dropping-particle":"","parse-names":false,"suffix":""},{"dropping-particle":"","family":"Chagas","given":"Mateus F.","non-dropping-particle":"","parse-names":false,"suffix":""},{"dropping-particle":"","family":"Davison","given":"Brian H.","non-dropping-particle":"","parse-names":false,"suffix":""},{"dropping-particle":"","family":"Foust","given":"Thomas","non-dropping-particle":"","parse-names":false,"suffix":""},{"dropping-particle":"","family":"Junqueira","given":"Tassia L.","non-dropping-particle":"","parse-names":false,"suffix":""},{"dropping-particle":"","family":"Laser","given":"Mark S.","non-dropping-particle":"","parse-names":false,"suffix":""},{"dropping-particle":"","family":"Li","given":"Zhenglong","non-dropping-particle":"","parse-names":false,"suffix":""},{"dropping-particle":"","family":"Richard","given":"Tom","non-dropping-particle":"","parse-names":false,"suffix":""},{"dropping-particle":"","family":"Tao","given":"Ling","non-dropping-particle":"","parse-names":false,"suffix":""},{"dropping-particle":"","family":"Tuskan","given":"Gerald A.","non-dropping-particle":"","parse-names":false,"suffix":""},{"dropping-particle":"","family":"Wang","given":"Michael","non-dropping-particle":"","parse-names":false,"suffix":""},{"dropping-particle":"","family":"Woods","given":"Jeremy","non-dropping-particle":"","parse-names":false,"suffix":""},{"dropping-particle":"","family":"Wyman","given":"Charles E.","non-dropping-particle":"","parse-names":false,"suffix":""}],"container-title":"Proceedings of the National Academy of Sciences of the United States of America","id":"ITEM-2","issue":"23","issued":{"date-parts":[["2020"]]},"page":"12576-12583","title":"Technoeconomic and life-cycle analysis of single-step catalytic conversion of wet ethanol into fungible fuel blendstocks","type":"article-journal","volume":"117"},"uris":["http://www.mendeley.com/documents/?uuid=4fc6cf90-9e53-4de7-b086-8300c8cb1ed2"]}],"mendeley":{"formattedCitation":"(Fulton et al., 2015; Hannon et al., 2020)","plainTextFormattedCitation":"(Fulton et al., 2015; Hannon et al., 2020)","previouslyFormattedCitation":"(Fulton et al. 2015; Hannon et al. 2020)"},"properties":{"noteIndex":0},"schema":"https://github.com/citation-style-language/schema/raw/master/csl-citation.json"}</w:instrText>
      </w:r>
      <w:r>
        <w:fldChar w:fldCharType="separate"/>
      </w:r>
      <w:r w:rsidRPr="00E64425">
        <w:rPr>
          <w:noProof/>
        </w:rPr>
        <w:t>(Fulton et al., 2015; Hannon et al., 2020)</w:t>
      </w:r>
      <w:r>
        <w:fldChar w:fldCharType="end"/>
      </w:r>
      <w:r>
        <w:t>.</w:t>
      </w:r>
    </w:p>
    <w:p w14:paraId="67FA2885" w14:textId="77777777" w:rsidR="00636B5B" w:rsidRDefault="00636B5B" w:rsidP="00E64425">
      <w:pPr>
        <w:spacing w:line="360" w:lineRule="auto"/>
      </w:pPr>
      <w:r>
        <w:tab/>
        <w:t xml:space="preserve">The primary contribution of this thesis will be the creation of new genomic resources and the exploration of genome evolution from various facets in the </w:t>
      </w:r>
      <w:r>
        <w:rPr>
          <w:i/>
          <w:iCs/>
        </w:rPr>
        <w:t xml:space="preserve">Salicaceae </w:t>
      </w:r>
      <w:r>
        <w:t xml:space="preserve">family. The first chapter provides a comprehensive introduction to chapters two through five. The second chapter explores orphan and </w:t>
      </w:r>
      <w:r>
        <w:rPr>
          <w:i/>
          <w:iCs/>
        </w:rPr>
        <w:t xml:space="preserve">de novo </w:t>
      </w:r>
      <w:r>
        <w:t xml:space="preserve">gene evolution in </w:t>
      </w:r>
      <w:r w:rsidRPr="00333E28">
        <w:rPr>
          <w:i/>
          <w:iCs/>
        </w:rPr>
        <w:t xml:space="preserve">P. </w:t>
      </w:r>
      <w:proofErr w:type="spellStart"/>
      <w:r w:rsidRPr="00333E28">
        <w:rPr>
          <w:i/>
          <w:iCs/>
        </w:rPr>
        <w:t>trichocarpa</w:t>
      </w:r>
      <w:proofErr w:type="spellEnd"/>
      <w:r>
        <w:rPr>
          <w:i/>
          <w:iCs/>
        </w:rPr>
        <w:t xml:space="preserve"> </w:t>
      </w:r>
      <w:r>
        <w:t xml:space="preserve">through the lens of a whole genome duplication. The third chapter identifies and compares organelle derived nuclear DNA in </w:t>
      </w:r>
      <w:r>
        <w:lastRenderedPageBreak/>
        <w:t xml:space="preserve">the nuclear genomes of </w:t>
      </w:r>
      <w:r w:rsidRPr="00333E28">
        <w:rPr>
          <w:i/>
          <w:iCs/>
        </w:rPr>
        <w:t xml:space="preserve">P. </w:t>
      </w:r>
      <w:proofErr w:type="spellStart"/>
      <w:r w:rsidRPr="00333E28">
        <w:rPr>
          <w:i/>
          <w:iCs/>
        </w:rPr>
        <w:t>trichocarpa</w:t>
      </w:r>
      <w:proofErr w:type="spellEnd"/>
      <w:r>
        <w:rPr>
          <w:i/>
          <w:iCs/>
        </w:rPr>
        <w:t xml:space="preserve"> </w:t>
      </w:r>
      <w:r>
        <w:t xml:space="preserve">and </w:t>
      </w:r>
      <w:r w:rsidRPr="00333E28">
        <w:rPr>
          <w:i/>
          <w:iCs/>
        </w:rPr>
        <w:t xml:space="preserve">P. </w:t>
      </w:r>
      <w:proofErr w:type="spellStart"/>
      <w:r w:rsidRPr="00333E28">
        <w:rPr>
          <w:i/>
          <w:iCs/>
        </w:rPr>
        <w:t>deltoides</w:t>
      </w:r>
      <w:proofErr w:type="spellEnd"/>
      <w:r>
        <w:t>. The fourth chapter generates new organelle genome resources from a pedigree of 11 F</w:t>
      </w:r>
      <w:r w:rsidRPr="006C06BF">
        <w:rPr>
          <w:u w:val="single"/>
        </w:rPr>
        <w:t>1</w:t>
      </w:r>
      <w:r>
        <w:rPr>
          <w:i/>
          <w:iCs/>
        </w:rPr>
        <w:t xml:space="preserve"> Salix </w:t>
      </w:r>
      <w:r>
        <w:t>genomes and further characterizes them through comparative genomics. The following paragraphs will expand further on the specific contributions of each chapter.</w:t>
      </w:r>
    </w:p>
    <w:p w14:paraId="02F1758C" w14:textId="77777777" w:rsidR="00636B5B" w:rsidRDefault="00636B5B" w:rsidP="00E64425">
      <w:pPr>
        <w:spacing w:line="360" w:lineRule="auto"/>
      </w:pPr>
      <w:r>
        <w:tab/>
        <w:t xml:space="preserve">Chapter two is focused on the identification, curation, and regulation of </w:t>
      </w:r>
      <w:r>
        <w:rPr>
          <w:i/>
          <w:iCs/>
        </w:rPr>
        <w:t xml:space="preserve">de novo </w:t>
      </w:r>
      <w:r>
        <w:t xml:space="preserve">genes in </w:t>
      </w:r>
      <w:r w:rsidRPr="00333E28">
        <w:rPr>
          <w:i/>
          <w:iCs/>
        </w:rPr>
        <w:t xml:space="preserve">P. </w:t>
      </w:r>
      <w:proofErr w:type="spellStart"/>
      <w:r w:rsidRPr="00333E28">
        <w:rPr>
          <w:i/>
          <w:iCs/>
        </w:rPr>
        <w:t>trichocarpa</w:t>
      </w:r>
      <w:proofErr w:type="spellEnd"/>
      <w:r>
        <w:t xml:space="preserve">. All members of the </w:t>
      </w:r>
      <w:r>
        <w:rPr>
          <w:i/>
          <w:iCs/>
        </w:rPr>
        <w:t xml:space="preserve">Salicaceae </w:t>
      </w:r>
      <w:r>
        <w:t xml:space="preserve">share a common whole genome duplication event called the </w:t>
      </w:r>
      <w:proofErr w:type="spellStart"/>
      <w:r>
        <w:t>Salicoid</w:t>
      </w:r>
      <w:proofErr w:type="spellEnd"/>
      <w:r>
        <w:t xml:space="preserve"> whole genome duplication which resulted in highly syntenic sister chromosomes </w:t>
      </w:r>
      <w:r>
        <w:fldChar w:fldCharType="begin" w:fldLock="1"/>
      </w:r>
      <w:r>
        <w:instrText>ADDIN CSL_CITATION {"citationItems":[{"id":"ITEM-1","itemData":{"DOI":"10.1038/cr.2014.83","ISBN":"1748-7838 (Electronic)\\r1001-0602 (Linking)","ISSN":"1748-7838","PMID":"24980958","abstract":"\\nSupplementary information available for this article at http://www.nature.com/cr/journal/v24/n10/suppinfo/cr201483s1.html","author":[{"dropping-particle":"","family":"Dai","given":"Xiaogang","non-dropping-particle":"","parse-names":false,"suffix":""},{"dropping-particle":"","family":"Hu","given":"Quanjun","non-dropping-particle":"","parse-names":false,"suffix":""},{"dropping-particle":"","family":"Cai","given":"Qingle","non-dropping-particle":"","parse-names":false,"suffix":""},{"dropping-particle":"","family":"Feng","given":"Kai","non-dropping-particle":"","parse-names":false,"suffix":""},{"dropping-particle":"","family":"Ye","given":"Ning","non-dropping-particle":"","parse-names":false,"suffix":""},{"dropping-particle":"","family":"Tuskan","given":"Gerald A","non-dropping-particle":"","parse-names":false,"suffix":""},{"dropping-particle":"","family":"Milne","given":"Richard","non-dropping-particle":"","parse-names":false,"suffix":""},{"dropping-particle":"","family":"Chen","given":"Yingnan","non-dropping-particle":"","parse-names":false,"suffix":""},{"dropping-particle":"","family":"Wan","given":"Zhibing","non-dropping-particle":"","parse-names":false,"suffix":""},{"dropping-particle":"","family":"Wang","given":"Zefu","non-dropping-particle":"","parse-names":false,"suffix":""},{"dropping-particle":"","family":"Luo","given":"Wenchun","non-dropping-particle":"","parse-names":false,"suffix":""},{"dropping-particle":"","family":"Wang","given":"Kun","non-dropping-particle":"","parse-names":false,"suffix":""},{"dropping-particle":"","family":"Wan","given":"Dongshi","non-dropping-particle":"","parse-names":false,"suffix":""},{"dropping-particle":"","family":"Wang","given":"Mingxiu","non-dropping-particle":"","parse-names":false,"suffix":""},{"dropping-particle":"","family":"Wang","given":"Jun","non-dropping-particle":"","parse-names":false,"suffix":""},{"dropping-particle":"","family":"Liu","given":"Jianquan","non-dropping-particle":"","parse-names":false,"suffix":""},{"dropping-particle":"","family":"Yin","given":"Tongming","non-dropping-particle":"","parse-names":false,"suffix":""}],"container-title":"Cell research","id":"ITEM-1","issue":"10","issued":{"date-parts":[["2014"]]},"page":"1274-1277","title":"The willow genome and divergent evolution from poplar after the common genome duplication.","type":"article-journal","volume":"24"},"uris":["http://www.mendeley.com/documents/?uuid=3bc29b77-8ec8-46b0-b497-e078d08e0308"]},{"id":"ITEM-2","itemData":{"DOI":"10.1126/science.1128691","author":[{"dropping-particle":"","family":"Tuskan","given":"G A","non-dropping-particle":"","parse-names":false,"suffix":""},{"dropping-particle":"","family":"Torr","given":"Populus","non-dropping-particle":"","parse-names":false,"suffix":""}],"container-title":"Science","id":"ITEM-2","issue":"2006","issued":{"date-parts":[["2007"]]},"page":"1596-1605","title":"The Genome of Black Cottonwood ,","type":"article-journal","volume":"1596"},"uris":["http://www.mendeley.com/documents/?uuid=a9bf3acc-cc8e-4289-84b0-536be849cffe"]}],"mendeley":{"formattedCitation":"(Dai et al., 2014; Tuskan &amp; Torr, 2007)","manualFormatting":"(Dai et al., 2014; Tuskan et al., 2007)","plainTextFormattedCitation":"(Dai et al., 2014; Tuskan &amp; Torr, 2007)","previouslyFormattedCitation":"(Dai et al. 2014; Tuskan &amp; Torr 2007)"},"properties":{"noteIndex":0},"schema":"https://github.com/citation-style-language/schema/raw/master/csl-citation.json"}</w:instrText>
      </w:r>
      <w:r>
        <w:fldChar w:fldCharType="separate"/>
      </w:r>
      <w:r w:rsidRPr="000C7B96">
        <w:rPr>
          <w:noProof/>
        </w:rPr>
        <w:t>(Dai et al., 2014; Tuskan</w:t>
      </w:r>
      <w:r>
        <w:rPr>
          <w:noProof/>
        </w:rPr>
        <w:t xml:space="preserve"> et al.,</w:t>
      </w:r>
      <w:r w:rsidRPr="000C7B96">
        <w:rPr>
          <w:noProof/>
        </w:rPr>
        <w:t xml:space="preserve"> 2007)</w:t>
      </w:r>
      <w:r>
        <w:fldChar w:fldCharType="end"/>
      </w:r>
      <w:r>
        <w:t xml:space="preserve">. This genomic feature allows for inter-genera, inter-species, and intra-genome comparisons of the steps of </w:t>
      </w:r>
      <w:r>
        <w:rPr>
          <w:i/>
          <w:iCs/>
        </w:rPr>
        <w:t>de novo</w:t>
      </w:r>
      <w:r>
        <w:t xml:space="preserve"> gene evolution. Additionally, </w:t>
      </w:r>
      <w:r w:rsidRPr="00333E28">
        <w:rPr>
          <w:i/>
          <w:iCs/>
        </w:rPr>
        <w:t xml:space="preserve">P. </w:t>
      </w:r>
      <w:proofErr w:type="spellStart"/>
      <w:r w:rsidRPr="00333E28">
        <w:rPr>
          <w:i/>
          <w:iCs/>
        </w:rPr>
        <w:t>trichocarpa</w:t>
      </w:r>
      <w:proofErr w:type="spellEnd"/>
      <w:r>
        <w:rPr>
          <w:i/>
          <w:iCs/>
        </w:rPr>
        <w:t xml:space="preserve"> </w:t>
      </w:r>
      <w:r>
        <w:t xml:space="preserve">is a good platform for characterizing orphan and </w:t>
      </w:r>
      <w:r>
        <w:rPr>
          <w:i/>
          <w:iCs/>
        </w:rPr>
        <w:t xml:space="preserve">de novo </w:t>
      </w:r>
      <w:r>
        <w:t xml:space="preserve">gene evolution because of the genome wide association study (GWAS) population which includes genomic and transcriptomic resources for thousands of </w:t>
      </w:r>
      <w:r w:rsidRPr="00333E28">
        <w:rPr>
          <w:i/>
          <w:iCs/>
        </w:rPr>
        <w:t xml:space="preserve">P. </w:t>
      </w:r>
      <w:proofErr w:type="spellStart"/>
      <w:r w:rsidRPr="00333E28">
        <w:rPr>
          <w:i/>
          <w:iCs/>
        </w:rPr>
        <w:t>trichocarpa</w:t>
      </w:r>
      <w:proofErr w:type="spellEnd"/>
      <w:r>
        <w:rPr>
          <w:i/>
          <w:iCs/>
        </w:rPr>
        <w:t xml:space="preserve"> </w:t>
      </w:r>
      <w:r>
        <w:t xml:space="preserve">genotypes. This population allowed for determination of variation in </w:t>
      </w:r>
      <w:r>
        <w:rPr>
          <w:i/>
          <w:iCs/>
        </w:rPr>
        <w:t xml:space="preserve">de novo </w:t>
      </w:r>
      <w:r>
        <w:t xml:space="preserve">genes along the natural range of </w:t>
      </w:r>
      <w:r w:rsidRPr="00333E28">
        <w:rPr>
          <w:i/>
          <w:iCs/>
        </w:rPr>
        <w:t xml:space="preserve">P. </w:t>
      </w:r>
      <w:proofErr w:type="spellStart"/>
      <w:r w:rsidRPr="00333E28">
        <w:rPr>
          <w:i/>
          <w:iCs/>
        </w:rPr>
        <w:t>trichocarpa</w:t>
      </w:r>
      <w:proofErr w:type="spellEnd"/>
      <w:r>
        <w:rPr>
          <w:i/>
          <w:iCs/>
        </w:rPr>
        <w:t>.</w:t>
      </w:r>
      <w:r>
        <w:t xml:space="preserve"> Furthermore, it also allowed for the assignment of </w:t>
      </w:r>
      <w:r>
        <w:rPr>
          <w:i/>
          <w:iCs/>
        </w:rPr>
        <w:t xml:space="preserve">de novo </w:t>
      </w:r>
      <w:r>
        <w:t xml:space="preserve">and orphan genes to regulatory networks. Through functional enrichment of genes in these networks, </w:t>
      </w:r>
      <w:r>
        <w:rPr>
          <w:i/>
          <w:iCs/>
        </w:rPr>
        <w:t xml:space="preserve">de novo </w:t>
      </w:r>
      <w:r>
        <w:t>and orphan genes could be assigned a putative function by guilt by association.</w:t>
      </w:r>
    </w:p>
    <w:p w14:paraId="04373FAC" w14:textId="77777777" w:rsidR="00636B5B" w:rsidRDefault="00636B5B" w:rsidP="00E64425">
      <w:pPr>
        <w:spacing w:line="360" w:lineRule="auto"/>
      </w:pPr>
      <w:r>
        <w:tab/>
        <w:t xml:space="preserve">Chapter three identifies and compares putative coding and non-coding organelle derived integration events in the nuclear genomes of </w:t>
      </w:r>
      <w:r w:rsidRPr="00333E28">
        <w:rPr>
          <w:i/>
          <w:iCs/>
        </w:rPr>
        <w:t xml:space="preserve">P. </w:t>
      </w:r>
      <w:proofErr w:type="spellStart"/>
      <w:r w:rsidRPr="00333E28">
        <w:rPr>
          <w:i/>
          <w:iCs/>
        </w:rPr>
        <w:t>trichocarpa</w:t>
      </w:r>
      <w:proofErr w:type="spellEnd"/>
      <w:r>
        <w:rPr>
          <w:i/>
          <w:iCs/>
        </w:rPr>
        <w:t xml:space="preserve"> </w:t>
      </w:r>
      <w:r>
        <w:t xml:space="preserve">and </w:t>
      </w:r>
      <w:r w:rsidRPr="00333E28">
        <w:rPr>
          <w:i/>
          <w:iCs/>
        </w:rPr>
        <w:t xml:space="preserve">P. </w:t>
      </w:r>
      <w:proofErr w:type="spellStart"/>
      <w:r w:rsidRPr="00333E28">
        <w:rPr>
          <w:i/>
          <w:iCs/>
        </w:rPr>
        <w:t>deltoides</w:t>
      </w:r>
      <w:proofErr w:type="spellEnd"/>
      <w:r>
        <w:t xml:space="preserve">. To assess variation in these features between </w:t>
      </w:r>
      <w:r>
        <w:rPr>
          <w:i/>
          <w:iCs/>
        </w:rPr>
        <w:t xml:space="preserve">P. </w:t>
      </w:r>
      <w:proofErr w:type="spellStart"/>
      <w:r>
        <w:rPr>
          <w:i/>
          <w:iCs/>
        </w:rPr>
        <w:t>trichcoarpa</w:t>
      </w:r>
      <w:proofErr w:type="spellEnd"/>
      <w:r>
        <w:rPr>
          <w:i/>
          <w:iCs/>
        </w:rPr>
        <w:t xml:space="preserve"> </w:t>
      </w:r>
      <w:r>
        <w:t xml:space="preserve">and </w:t>
      </w:r>
      <w:r w:rsidRPr="00333E28">
        <w:rPr>
          <w:i/>
          <w:iCs/>
        </w:rPr>
        <w:t xml:space="preserve">P. </w:t>
      </w:r>
      <w:proofErr w:type="spellStart"/>
      <w:r w:rsidRPr="00333E28">
        <w:rPr>
          <w:i/>
          <w:iCs/>
        </w:rPr>
        <w:t>deltoides</w:t>
      </w:r>
      <w:proofErr w:type="spellEnd"/>
      <w:r>
        <w:rPr>
          <w:i/>
          <w:iCs/>
        </w:rPr>
        <w:t xml:space="preserve"> </w:t>
      </w:r>
      <w:r>
        <w:t xml:space="preserve">developed we developed a presence and absence variation (PAV) curation process. To validate PAV and further characterize these organelle derived features we determined their methylation levels and their genetic distances to their original organelle feature. To determine expression evidence of putative protein-coding organelle derived features we used the JGI Gene Atlas expression datasets in both </w:t>
      </w:r>
      <w:r w:rsidRPr="00333E28">
        <w:rPr>
          <w:i/>
          <w:iCs/>
        </w:rPr>
        <w:t xml:space="preserve">P. </w:t>
      </w:r>
      <w:proofErr w:type="spellStart"/>
      <w:r w:rsidRPr="00333E28">
        <w:rPr>
          <w:i/>
          <w:iCs/>
        </w:rPr>
        <w:t>trichocarpa</w:t>
      </w:r>
      <w:proofErr w:type="spellEnd"/>
      <w:r>
        <w:rPr>
          <w:i/>
          <w:iCs/>
        </w:rPr>
        <w:t xml:space="preserve"> </w:t>
      </w:r>
      <w:r>
        <w:t xml:space="preserve">and </w:t>
      </w:r>
      <w:r w:rsidRPr="00333E28">
        <w:rPr>
          <w:i/>
          <w:iCs/>
        </w:rPr>
        <w:t xml:space="preserve">P. </w:t>
      </w:r>
      <w:proofErr w:type="spellStart"/>
      <w:r w:rsidRPr="00333E28">
        <w:rPr>
          <w:i/>
          <w:iCs/>
        </w:rPr>
        <w:t>deltoides</w:t>
      </w:r>
      <w:proofErr w:type="spellEnd"/>
      <w:r>
        <w:t xml:space="preserve">. Additionally, we further characterized putative protein-coding features with expression datasets from the </w:t>
      </w:r>
      <w:r w:rsidRPr="00333E28">
        <w:rPr>
          <w:i/>
          <w:iCs/>
        </w:rPr>
        <w:t xml:space="preserve">P. </w:t>
      </w:r>
      <w:proofErr w:type="spellStart"/>
      <w:r w:rsidRPr="00333E28">
        <w:rPr>
          <w:i/>
          <w:iCs/>
        </w:rPr>
        <w:t>trichocarpa</w:t>
      </w:r>
      <w:proofErr w:type="spellEnd"/>
      <w:r>
        <w:rPr>
          <w:i/>
          <w:iCs/>
        </w:rPr>
        <w:t xml:space="preserve"> </w:t>
      </w:r>
      <w:r>
        <w:t xml:space="preserve">GWAS population. Lastly, we examined the whole chloroplast integration event reported in Huang et al., 2017 and identified structural differences at this locus in newer </w:t>
      </w:r>
      <w:r w:rsidRPr="00333E28">
        <w:rPr>
          <w:i/>
          <w:iCs/>
        </w:rPr>
        <w:t xml:space="preserve">P. </w:t>
      </w:r>
      <w:proofErr w:type="spellStart"/>
      <w:r w:rsidRPr="00333E28">
        <w:rPr>
          <w:i/>
          <w:iCs/>
        </w:rPr>
        <w:t>trichocarpa</w:t>
      </w:r>
      <w:proofErr w:type="spellEnd"/>
      <w:r>
        <w:rPr>
          <w:i/>
          <w:iCs/>
        </w:rPr>
        <w:t xml:space="preserve"> </w:t>
      </w:r>
      <w:r>
        <w:t>assemblies.</w:t>
      </w:r>
    </w:p>
    <w:p w14:paraId="56926BB9" w14:textId="77777777" w:rsidR="00636B5B" w:rsidRDefault="00636B5B" w:rsidP="00E64425">
      <w:pPr>
        <w:spacing w:line="360" w:lineRule="auto"/>
      </w:pPr>
      <w:r>
        <w:tab/>
        <w:t>Chapter four generates new sequence data and organelle assemblies for 11 F</w:t>
      </w:r>
      <w:r w:rsidRPr="00291950">
        <w:rPr>
          <w:u w:val="single"/>
        </w:rPr>
        <w:t>1</w:t>
      </w:r>
      <w:r>
        <w:t xml:space="preserve"> </w:t>
      </w:r>
      <w:r>
        <w:rPr>
          <w:i/>
          <w:iCs/>
        </w:rPr>
        <w:t xml:space="preserve">Salix </w:t>
      </w:r>
      <w:r>
        <w:t xml:space="preserve">genomes which consisted of six different species. These assemblies were then annotated, and gene presence absence was assessed. Furthermore, mitogenome structural variation was identified and large amounts of heterogeneity even at the species level was identified. We also </w:t>
      </w:r>
      <w:r>
        <w:lastRenderedPageBreak/>
        <w:t xml:space="preserve">assessed structural variation at inverted repeat (IR) regions in chloroplast genomes. To determine if there was evidence of adaptive evolution, we calculated pairwise Ka/Ks between species and identified both purifying and positive selection. Finally, we constructed a species phylogeny from publicly available </w:t>
      </w:r>
      <w:r>
        <w:rPr>
          <w:i/>
          <w:iCs/>
        </w:rPr>
        <w:t xml:space="preserve">Salix </w:t>
      </w:r>
      <w:r>
        <w:t xml:space="preserve">organelle genomes and the 11 </w:t>
      </w:r>
      <w:r>
        <w:rPr>
          <w:i/>
          <w:iCs/>
        </w:rPr>
        <w:t xml:space="preserve">Salix </w:t>
      </w:r>
      <w:r>
        <w:t>organelle genomes assembled here.</w:t>
      </w:r>
    </w:p>
    <w:p w14:paraId="4A3B788E" w14:textId="77777777" w:rsidR="00636B5B" w:rsidRDefault="00636B5B"/>
    <w:p w14:paraId="316CA16A" w14:textId="77777777" w:rsidR="007768FC" w:rsidRDefault="007768FC" w:rsidP="00E64425">
      <w:pPr>
        <w:jc w:val="center"/>
        <w:rPr>
          <w:b/>
          <w:bCs/>
          <w:sz w:val="28"/>
          <w:szCs w:val="26"/>
        </w:rPr>
      </w:pPr>
    </w:p>
    <w:p w14:paraId="58E499A4" w14:textId="77777777" w:rsidR="007768FC" w:rsidRDefault="007768FC" w:rsidP="00E64425">
      <w:pPr>
        <w:jc w:val="center"/>
        <w:rPr>
          <w:b/>
          <w:bCs/>
          <w:sz w:val="28"/>
          <w:szCs w:val="26"/>
        </w:rPr>
      </w:pPr>
    </w:p>
    <w:p w14:paraId="3E74079C" w14:textId="77777777" w:rsidR="007768FC" w:rsidRDefault="007768FC" w:rsidP="00E64425">
      <w:pPr>
        <w:jc w:val="center"/>
        <w:rPr>
          <w:b/>
          <w:bCs/>
          <w:sz w:val="28"/>
          <w:szCs w:val="26"/>
        </w:rPr>
      </w:pPr>
    </w:p>
    <w:p w14:paraId="449433F7" w14:textId="77777777" w:rsidR="007768FC" w:rsidRDefault="007768FC" w:rsidP="00E64425">
      <w:pPr>
        <w:jc w:val="center"/>
        <w:rPr>
          <w:b/>
          <w:bCs/>
          <w:sz w:val="28"/>
          <w:szCs w:val="26"/>
        </w:rPr>
      </w:pPr>
    </w:p>
    <w:p w14:paraId="34ABE8B5" w14:textId="77777777" w:rsidR="007768FC" w:rsidRDefault="007768FC" w:rsidP="00E64425">
      <w:pPr>
        <w:jc w:val="center"/>
        <w:rPr>
          <w:b/>
          <w:bCs/>
          <w:sz w:val="28"/>
          <w:szCs w:val="26"/>
        </w:rPr>
      </w:pPr>
    </w:p>
    <w:p w14:paraId="4541F17E" w14:textId="77777777" w:rsidR="007768FC" w:rsidRDefault="007768FC" w:rsidP="00E64425">
      <w:pPr>
        <w:jc w:val="center"/>
        <w:rPr>
          <w:b/>
          <w:bCs/>
          <w:sz w:val="28"/>
          <w:szCs w:val="26"/>
        </w:rPr>
      </w:pPr>
    </w:p>
    <w:p w14:paraId="0C0EEA77" w14:textId="77777777" w:rsidR="007768FC" w:rsidRDefault="007768FC" w:rsidP="00E64425">
      <w:pPr>
        <w:jc w:val="center"/>
        <w:rPr>
          <w:b/>
          <w:bCs/>
          <w:sz w:val="28"/>
          <w:szCs w:val="26"/>
        </w:rPr>
      </w:pPr>
    </w:p>
    <w:p w14:paraId="10D8318C" w14:textId="77777777" w:rsidR="007768FC" w:rsidRDefault="007768FC" w:rsidP="00E64425">
      <w:pPr>
        <w:jc w:val="center"/>
        <w:rPr>
          <w:b/>
          <w:bCs/>
          <w:sz w:val="28"/>
          <w:szCs w:val="26"/>
        </w:rPr>
      </w:pPr>
    </w:p>
    <w:p w14:paraId="5A2F6E42" w14:textId="77777777" w:rsidR="007768FC" w:rsidRDefault="007768FC" w:rsidP="00E64425">
      <w:pPr>
        <w:jc w:val="center"/>
        <w:rPr>
          <w:b/>
          <w:bCs/>
          <w:sz w:val="28"/>
          <w:szCs w:val="26"/>
        </w:rPr>
      </w:pPr>
    </w:p>
    <w:p w14:paraId="3B48C40F" w14:textId="77777777" w:rsidR="007768FC" w:rsidRDefault="007768FC" w:rsidP="00E64425">
      <w:pPr>
        <w:jc w:val="center"/>
        <w:rPr>
          <w:b/>
          <w:bCs/>
          <w:sz w:val="28"/>
          <w:szCs w:val="26"/>
        </w:rPr>
      </w:pPr>
    </w:p>
    <w:p w14:paraId="2DFD631C" w14:textId="77777777" w:rsidR="007768FC" w:rsidRDefault="007768FC" w:rsidP="00E64425">
      <w:pPr>
        <w:jc w:val="center"/>
        <w:rPr>
          <w:b/>
          <w:bCs/>
          <w:sz w:val="28"/>
          <w:szCs w:val="26"/>
        </w:rPr>
      </w:pPr>
    </w:p>
    <w:p w14:paraId="7EEE8B5A" w14:textId="77777777" w:rsidR="007768FC" w:rsidRDefault="007768FC" w:rsidP="00E64425">
      <w:pPr>
        <w:jc w:val="center"/>
        <w:rPr>
          <w:b/>
          <w:bCs/>
          <w:sz w:val="28"/>
          <w:szCs w:val="26"/>
        </w:rPr>
      </w:pPr>
    </w:p>
    <w:p w14:paraId="5A6317DB" w14:textId="77777777" w:rsidR="007768FC" w:rsidRDefault="007768FC" w:rsidP="00E64425">
      <w:pPr>
        <w:jc w:val="center"/>
        <w:rPr>
          <w:b/>
          <w:bCs/>
          <w:sz w:val="28"/>
          <w:szCs w:val="26"/>
        </w:rPr>
      </w:pPr>
    </w:p>
    <w:p w14:paraId="0D0DCF83" w14:textId="77777777" w:rsidR="007768FC" w:rsidRDefault="007768FC" w:rsidP="00E64425">
      <w:pPr>
        <w:jc w:val="center"/>
        <w:rPr>
          <w:b/>
          <w:bCs/>
          <w:sz w:val="28"/>
          <w:szCs w:val="26"/>
        </w:rPr>
      </w:pPr>
    </w:p>
    <w:p w14:paraId="25532322" w14:textId="77777777" w:rsidR="007768FC" w:rsidRDefault="007768FC" w:rsidP="00E64425">
      <w:pPr>
        <w:jc w:val="center"/>
        <w:rPr>
          <w:b/>
          <w:bCs/>
          <w:sz w:val="28"/>
          <w:szCs w:val="26"/>
        </w:rPr>
      </w:pPr>
    </w:p>
    <w:p w14:paraId="6518C030" w14:textId="77777777" w:rsidR="007768FC" w:rsidRDefault="007768FC" w:rsidP="00E64425">
      <w:pPr>
        <w:jc w:val="center"/>
        <w:rPr>
          <w:b/>
          <w:bCs/>
          <w:sz w:val="28"/>
          <w:szCs w:val="26"/>
        </w:rPr>
      </w:pPr>
    </w:p>
    <w:p w14:paraId="553DF13E" w14:textId="77777777" w:rsidR="007768FC" w:rsidRDefault="007768FC" w:rsidP="00E64425">
      <w:pPr>
        <w:jc w:val="center"/>
        <w:rPr>
          <w:b/>
          <w:bCs/>
          <w:sz w:val="28"/>
          <w:szCs w:val="26"/>
        </w:rPr>
      </w:pPr>
    </w:p>
    <w:p w14:paraId="330D19EC" w14:textId="77777777" w:rsidR="007768FC" w:rsidRDefault="007768FC" w:rsidP="00E64425">
      <w:pPr>
        <w:jc w:val="center"/>
        <w:rPr>
          <w:b/>
          <w:bCs/>
          <w:sz w:val="28"/>
          <w:szCs w:val="26"/>
        </w:rPr>
      </w:pPr>
    </w:p>
    <w:p w14:paraId="0A49A3B1" w14:textId="77777777" w:rsidR="007768FC" w:rsidRDefault="007768FC" w:rsidP="00E64425">
      <w:pPr>
        <w:jc w:val="center"/>
        <w:rPr>
          <w:b/>
          <w:bCs/>
          <w:sz w:val="28"/>
          <w:szCs w:val="26"/>
        </w:rPr>
      </w:pPr>
    </w:p>
    <w:p w14:paraId="59C32B8F" w14:textId="77777777" w:rsidR="007768FC" w:rsidRDefault="007768FC" w:rsidP="00E64425">
      <w:pPr>
        <w:jc w:val="center"/>
        <w:rPr>
          <w:b/>
          <w:bCs/>
          <w:sz w:val="28"/>
          <w:szCs w:val="26"/>
        </w:rPr>
      </w:pPr>
    </w:p>
    <w:p w14:paraId="332D44AB" w14:textId="77777777" w:rsidR="007768FC" w:rsidRDefault="007768FC" w:rsidP="00E64425">
      <w:pPr>
        <w:jc w:val="center"/>
        <w:rPr>
          <w:b/>
          <w:bCs/>
          <w:sz w:val="28"/>
          <w:szCs w:val="26"/>
        </w:rPr>
      </w:pPr>
    </w:p>
    <w:p w14:paraId="01F47E28" w14:textId="77777777" w:rsidR="007768FC" w:rsidRDefault="007768FC" w:rsidP="00E64425">
      <w:pPr>
        <w:jc w:val="center"/>
        <w:rPr>
          <w:b/>
          <w:bCs/>
          <w:sz w:val="28"/>
          <w:szCs w:val="26"/>
        </w:rPr>
      </w:pPr>
    </w:p>
    <w:p w14:paraId="454EBEBC" w14:textId="77777777" w:rsidR="007768FC" w:rsidRDefault="007768FC" w:rsidP="00E64425">
      <w:pPr>
        <w:jc w:val="center"/>
        <w:rPr>
          <w:b/>
          <w:bCs/>
          <w:sz w:val="28"/>
          <w:szCs w:val="26"/>
        </w:rPr>
      </w:pPr>
    </w:p>
    <w:p w14:paraId="5E8EF10A" w14:textId="77777777" w:rsidR="007768FC" w:rsidRDefault="007768FC" w:rsidP="00E64425">
      <w:pPr>
        <w:jc w:val="center"/>
        <w:rPr>
          <w:b/>
          <w:bCs/>
          <w:sz w:val="28"/>
          <w:szCs w:val="26"/>
        </w:rPr>
      </w:pPr>
    </w:p>
    <w:p w14:paraId="2AA448BA" w14:textId="77777777" w:rsidR="007768FC" w:rsidRDefault="007768FC" w:rsidP="00E64425">
      <w:pPr>
        <w:jc w:val="center"/>
        <w:rPr>
          <w:b/>
          <w:bCs/>
          <w:sz w:val="28"/>
          <w:szCs w:val="26"/>
        </w:rPr>
      </w:pPr>
    </w:p>
    <w:p w14:paraId="7EEA1D2D" w14:textId="77777777" w:rsidR="007768FC" w:rsidRDefault="007768FC" w:rsidP="00E64425">
      <w:pPr>
        <w:jc w:val="center"/>
        <w:rPr>
          <w:b/>
          <w:bCs/>
          <w:sz w:val="28"/>
          <w:szCs w:val="26"/>
        </w:rPr>
      </w:pPr>
    </w:p>
    <w:p w14:paraId="01202DF0" w14:textId="77777777" w:rsidR="007768FC" w:rsidRDefault="007768FC" w:rsidP="00E64425">
      <w:pPr>
        <w:jc w:val="center"/>
        <w:rPr>
          <w:b/>
          <w:bCs/>
          <w:sz w:val="28"/>
          <w:szCs w:val="26"/>
        </w:rPr>
      </w:pPr>
    </w:p>
    <w:p w14:paraId="6AB1EC42" w14:textId="77777777" w:rsidR="007768FC" w:rsidRDefault="007768FC" w:rsidP="00E64425">
      <w:pPr>
        <w:jc w:val="center"/>
        <w:rPr>
          <w:b/>
          <w:bCs/>
          <w:sz w:val="28"/>
          <w:szCs w:val="26"/>
        </w:rPr>
      </w:pPr>
    </w:p>
    <w:p w14:paraId="0A031ABA" w14:textId="77777777" w:rsidR="007768FC" w:rsidRDefault="007768FC" w:rsidP="00E64425">
      <w:pPr>
        <w:jc w:val="center"/>
        <w:rPr>
          <w:b/>
          <w:bCs/>
          <w:sz w:val="28"/>
          <w:szCs w:val="26"/>
        </w:rPr>
      </w:pPr>
    </w:p>
    <w:p w14:paraId="0C3F4386" w14:textId="77777777" w:rsidR="007768FC" w:rsidRDefault="007768FC" w:rsidP="00E64425">
      <w:pPr>
        <w:jc w:val="center"/>
        <w:rPr>
          <w:b/>
          <w:bCs/>
          <w:sz w:val="28"/>
          <w:szCs w:val="26"/>
        </w:rPr>
      </w:pPr>
    </w:p>
    <w:p w14:paraId="254396E2" w14:textId="77777777" w:rsidR="007768FC" w:rsidRDefault="007768FC" w:rsidP="00E64425">
      <w:pPr>
        <w:jc w:val="center"/>
        <w:rPr>
          <w:b/>
          <w:bCs/>
          <w:sz w:val="28"/>
          <w:szCs w:val="26"/>
        </w:rPr>
      </w:pPr>
    </w:p>
    <w:p w14:paraId="75005F8F" w14:textId="77777777" w:rsidR="00CE1EEC" w:rsidRDefault="00CE1EEC" w:rsidP="00CE1EEC">
      <w:pPr>
        <w:rPr>
          <w:b/>
          <w:bCs/>
          <w:sz w:val="28"/>
          <w:szCs w:val="26"/>
        </w:rPr>
      </w:pPr>
    </w:p>
    <w:p w14:paraId="668CC0C4" w14:textId="1572ED25" w:rsidR="00636B5B" w:rsidRPr="005B7743" w:rsidRDefault="00636B5B" w:rsidP="00CE1EEC">
      <w:pPr>
        <w:jc w:val="center"/>
        <w:rPr>
          <w:b/>
          <w:bCs/>
          <w:sz w:val="28"/>
          <w:szCs w:val="26"/>
        </w:rPr>
      </w:pPr>
      <w:r w:rsidRPr="005B7743">
        <w:rPr>
          <w:b/>
          <w:bCs/>
          <w:sz w:val="28"/>
          <w:szCs w:val="26"/>
        </w:rPr>
        <w:lastRenderedPageBreak/>
        <w:t>References</w:t>
      </w:r>
    </w:p>
    <w:p w14:paraId="40CC0F99" w14:textId="77777777" w:rsidR="00636B5B" w:rsidRPr="00E64425" w:rsidRDefault="00636B5B" w:rsidP="00E64425">
      <w:pPr>
        <w:widowControl w:val="0"/>
        <w:autoSpaceDE w:val="0"/>
        <w:autoSpaceDN w:val="0"/>
        <w:adjustRightInd w:val="0"/>
        <w:ind w:left="480" w:hanging="480"/>
        <w:rPr>
          <w:rFonts w:cs="Times New Roman"/>
          <w:noProof/>
        </w:rPr>
      </w:pPr>
      <w:r>
        <w:rPr>
          <w:b/>
          <w:bCs/>
        </w:rPr>
        <w:fldChar w:fldCharType="begin" w:fldLock="1"/>
      </w:r>
      <w:r>
        <w:rPr>
          <w:b/>
          <w:bCs/>
        </w:rPr>
        <w:instrText xml:space="preserve">ADDIN Mendeley Bibliography CSL_BIBLIOGRAPHY </w:instrText>
      </w:r>
      <w:r>
        <w:rPr>
          <w:b/>
          <w:bCs/>
        </w:rPr>
        <w:fldChar w:fldCharType="separate"/>
      </w:r>
      <w:r w:rsidRPr="00E64425">
        <w:rPr>
          <w:rFonts w:cs="Times New Roman"/>
          <w:noProof/>
        </w:rPr>
        <w:t xml:space="preserve">Ahrens, J., Dos Santos, H. G., &amp; Siltberg-Liberles, J. (2016). The Nuanced Interplay of Intrinsic Disorder and Other Structural Properties Driving Protein Evolution. </w:t>
      </w:r>
      <w:r w:rsidRPr="00E64425">
        <w:rPr>
          <w:rFonts w:cs="Times New Roman"/>
          <w:i/>
          <w:iCs/>
          <w:noProof/>
        </w:rPr>
        <w:t>Molecular Biology and Evolution</w:t>
      </w:r>
      <w:r w:rsidRPr="00E64425">
        <w:rPr>
          <w:rFonts w:cs="Times New Roman"/>
          <w:noProof/>
        </w:rPr>
        <w:t xml:space="preserve">, </w:t>
      </w:r>
      <w:r w:rsidRPr="00E64425">
        <w:rPr>
          <w:rFonts w:cs="Times New Roman"/>
          <w:i/>
          <w:iCs/>
          <w:noProof/>
        </w:rPr>
        <w:t>33</w:t>
      </w:r>
      <w:r w:rsidRPr="00E64425">
        <w:rPr>
          <w:rFonts w:cs="Times New Roman"/>
          <w:noProof/>
        </w:rPr>
        <w:t>(9), 2248–2256. https://doi.org/10.1093/molbev/msw092</w:t>
      </w:r>
    </w:p>
    <w:p w14:paraId="6F7F25BD"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Allen, J. F. (2017). The CoRR hypothesis for genes in organelles. </w:t>
      </w:r>
      <w:r w:rsidRPr="00E64425">
        <w:rPr>
          <w:rFonts w:cs="Times New Roman"/>
          <w:i/>
          <w:iCs/>
          <w:noProof/>
        </w:rPr>
        <w:t>Journal of Theoretical Biology</w:t>
      </w:r>
      <w:r w:rsidRPr="00E64425">
        <w:rPr>
          <w:rFonts w:cs="Times New Roman"/>
          <w:noProof/>
        </w:rPr>
        <w:t xml:space="preserve">, </w:t>
      </w:r>
      <w:r w:rsidRPr="00E64425">
        <w:rPr>
          <w:rFonts w:cs="Times New Roman"/>
          <w:i/>
          <w:iCs/>
          <w:noProof/>
        </w:rPr>
        <w:t>434</w:t>
      </w:r>
      <w:r w:rsidRPr="00E64425">
        <w:rPr>
          <w:rFonts w:cs="Times New Roman"/>
          <w:noProof/>
        </w:rPr>
        <w:t>, 50–57. https://doi.org/10.1016/j.jtbi.2017.04.008</w:t>
      </w:r>
    </w:p>
    <w:p w14:paraId="7BD7B699"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Altschul, S. (1977). Gapped BLAST and PSI-BLAST: a new generation of protein database search programs. </w:t>
      </w:r>
      <w:r w:rsidRPr="00E64425">
        <w:rPr>
          <w:rFonts w:cs="Times New Roman"/>
          <w:i/>
          <w:iCs/>
          <w:noProof/>
        </w:rPr>
        <w:t>Nucleic Acids Research.</w:t>
      </w:r>
      <w:r w:rsidRPr="00E64425">
        <w:rPr>
          <w:rFonts w:cs="Times New Roman"/>
          <w:noProof/>
        </w:rPr>
        <w:t xml:space="preserve">, </w:t>
      </w:r>
      <w:r w:rsidRPr="00E64425">
        <w:rPr>
          <w:rFonts w:cs="Times New Roman"/>
          <w:i/>
          <w:iCs/>
          <w:noProof/>
        </w:rPr>
        <w:t>25</w:t>
      </w:r>
      <w:r w:rsidRPr="00E64425">
        <w:rPr>
          <w:rFonts w:cs="Times New Roman"/>
          <w:noProof/>
        </w:rPr>
        <w:t>(17), 3389–3402.</w:t>
      </w:r>
    </w:p>
    <w:p w14:paraId="1D84FE00"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Alverson, A. J., Wei, X., Rice, D. W., Stern, D. B., Barry, K., &amp; Palmer, J. D. (2010). Insights into the evolution of mitochondrial genome size from complete sequences of citrullus lanatus and cucurbita pepo (Cucurbitaceae). </w:t>
      </w:r>
      <w:r w:rsidRPr="00E64425">
        <w:rPr>
          <w:rFonts w:cs="Times New Roman"/>
          <w:i/>
          <w:iCs/>
          <w:noProof/>
        </w:rPr>
        <w:t>Molecular Biology and Evolution</w:t>
      </w:r>
      <w:r w:rsidRPr="00E64425">
        <w:rPr>
          <w:rFonts w:cs="Times New Roman"/>
          <w:noProof/>
        </w:rPr>
        <w:t xml:space="preserve">, </w:t>
      </w:r>
      <w:r w:rsidRPr="00E64425">
        <w:rPr>
          <w:rFonts w:cs="Times New Roman"/>
          <w:i/>
          <w:iCs/>
          <w:noProof/>
        </w:rPr>
        <w:t>27</w:t>
      </w:r>
      <w:r w:rsidRPr="00E64425">
        <w:rPr>
          <w:rFonts w:cs="Times New Roman"/>
          <w:noProof/>
        </w:rPr>
        <w:t>(6), 1436–1448. https://doi.org/10.1093/molbev/msq029</w:t>
      </w:r>
    </w:p>
    <w:p w14:paraId="12110791"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Ardern, Z., Neuhaus, K., &amp; Scherer, S. (2020). Are Antisense Proteins in Prokaryotes Functional? </w:t>
      </w:r>
      <w:r w:rsidRPr="00E64425">
        <w:rPr>
          <w:rFonts w:cs="Times New Roman"/>
          <w:i/>
          <w:iCs/>
          <w:noProof/>
        </w:rPr>
        <w:t>Frontiers in Molecular Biosciences</w:t>
      </w:r>
      <w:r w:rsidRPr="00E64425">
        <w:rPr>
          <w:rFonts w:cs="Times New Roman"/>
          <w:noProof/>
        </w:rPr>
        <w:t xml:space="preserve">, </w:t>
      </w:r>
      <w:r w:rsidRPr="00E64425">
        <w:rPr>
          <w:rFonts w:cs="Times New Roman"/>
          <w:i/>
          <w:iCs/>
          <w:noProof/>
        </w:rPr>
        <w:t>7</w:t>
      </w:r>
      <w:r w:rsidRPr="00E64425">
        <w:rPr>
          <w:rFonts w:cs="Times New Roman"/>
          <w:noProof/>
        </w:rPr>
        <w:t>(August), 1–12. https://doi.org/10.3389/fmolb.2020.00187</w:t>
      </w:r>
    </w:p>
    <w:p w14:paraId="325BF6AE"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Arendsee, Z., Li, J., Singh, U., Bhandary, P., Seetharam, A., &amp; Wurtele, E. S. (2019). Fagin: Synteny-based phylostratigraphy and finer classification of young genes. </w:t>
      </w:r>
      <w:r w:rsidRPr="00E64425">
        <w:rPr>
          <w:rFonts w:cs="Times New Roman"/>
          <w:i/>
          <w:iCs/>
          <w:noProof/>
        </w:rPr>
        <w:t>BMC Bioinformatics</w:t>
      </w:r>
      <w:r w:rsidRPr="00E64425">
        <w:rPr>
          <w:rFonts w:cs="Times New Roman"/>
          <w:noProof/>
        </w:rPr>
        <w:t xml:space="preserve">, </w:t>
      </w:r>
      <w:r w:rsidRPr="00E64425">
        <w:rPr>
          <w:rFonts w:cs="Times New Roman"/>
          <w:i/>
          <w:iCs/>
          <w:noProof/>
        </w:rPr>
        <w:t>20</w:t>
      </w:r>
      <w:r w:rsidRPr="00E64425">
        <w:rPr>
          <w:rFonts w:cs="Times New Roman"/>
          <w:noProof/>
        </w:rPr>
        <w:t>(1), 1–14. https://doi.org/10.1186/s12859-019-3023-y</w:t>
      </w:r>
    </w:p>
    <w:p w14:paraId="0D13431C"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Arendsee, Z., Li, J., Singh, U., Seetharam, A., Dorman, K., &amp; Wurtele, E. S. (2019).  Phylostratr : a Framework for Phylostratigraphy . </w:t>
      </w:r>
      <w:r w:rsidRPr="00E64425">
        <w:rPr>
          <w:rFonts w:cs="Times New Roman"/>
          <w:i/>
          <w:iCs/>
          <w:noProof/>
        </w:rPr>
        <w:t>Bioinformatics</w:t>
      </w:r>
      <w:r w:rsidRPr="00E64425">
        <w:rPr>
          <w:rFonts w:cs="Times New Roman"/>
          <w:noProof/>
        </w:rPr>
        <w:t>, (March), 1–11. https://doi.org/10.1093/bioinformatics/btz171</w:t>
      </w:r>
    </w:p>
    <w:p w14:paraId="3702511B"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Arendsee, Z. W., Li, L., &amp; Wurtele, E. S. (2014). Coming of age: Orphan genes in plants. </w:t>
      </w:r>
      <w:r w:rsidRPr="00E64425">
        <w:rPr>
          <w:rFonts w:cs="Times New Roman"/>
          <w:i/>
          <w:iCs/>
          <w:noProof/>
        </w:rPr>
        <w:t>Trends in Plant Science</w:t>
      </w:r>
      <w:r w:rsidRPr="00E64425">
        <w:rPr>
          <w:rFonts w:cs="Times New Roman"/>
          <w:noProof/>
        </w:rPr>
        <w:t xml:space="preserve">, </w:t>
      </w:r>
      <w:r w:rsidRPr="00E64425">
        <w:rPr>
          <w:rFonts w:cs="Times New Roman"/>
          <w:i/>
          <w:iCs/>
          <w:noProof/>
        </w:rPr>
        <w:t>19</w:t>
      </w:r>
      <w:r w:rsidRPr="00E64425">
        <w:rPr>
          <w:rFonts w:cs="Times New Roman"/>
          <w:noProof/>
        </w:rPr>
        <w:t>(11), 698–708. https://doi.org/10.1016/j.tplants.2014.07.003</w:t>
      </w:r>
    </w:p>
    <w:p w14:paraId="6EEE3AAB"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Arendsee, Z., Wilkey, A., Singh, U., Li, J., Hur, M., &amp; Wurtele, E. (2019). Synder: Inferring Genomic Orthologs From Synteny Maps. </w:t>
      </w:r>
      <w:r w:rsidRPr="00E64425">
        <w:rPr>
          <w:rFonts w:cs="Times New Roman"/>
          <w:i/>
          <w:iCs/>
          <w:noProof/>
        </w:rPr>
        <w:t>BioRxiv</w:t>
      </w:r>
      <w:r w:rsidRPr="00E64425">
        <w:rPr>
          <w:rFonts w:cs="Times New Roman"/>
          <w:noProof/>
        </w:rPr>
        <w:t>, 554501. https://doi.org/10.1101/554501</w:t>
      </w:r>
    </w:p>
    <w:p w14:paraId="444DA55C"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Bao, Z., Clancy, M. A., Carvalho, R. F., Elliott, K., &amp; Folta, K. M. (2017). Identification of novel growth regulators in plant populations expressing random peptides. </w:t>
      </w:r>
      <w:r w:rsidRPr="00E64425">
        <w:rPr>
          <w:rFonts w:cs="Times New Roman"/>
          <w:i/>
          <w:iCs/>
          <w:noProof/>
        </w:rPr>
        <w:t>Plant Physiology</w:t>
      </w:r>
      <w:r w:rsidRPr="00E64425">
        <w:rPr>
          <w:rFonts w:cs="Times New Roman"/>
          <w:noProof/>
        </w:rPr>
        <w:t xml:space="preserve">, </w:t>
      </w:r>
      <w:r w:rsidRPr="00E64425">
        <w:rPr>
          <w:rFonts w:cs="Times New Roman"/>
          <w:i/>
          <w:iCs/>
          <w:noProof/>
        </w:rPr>
        <w:t>175</w:t>
      </w:r>
      <w:r w:rsidRPr="00E64425">
        <w:rPr>
          <w:rFonts w:cs="Times New Roman"/>
          <w:noProof/>
        </w:rPr>
        <w:t>(2), 619–627. https://doi.org/10.1104/pp.17.00577</w:t>
      </w:r>
    </w:p>
    <w:p w14:paraId="71CDA258"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Basile, W., Sachenkova, O., Light, S., &amp; Elofsson, A. (2016). High GC Content Causes De Novo Created Proteins to be Intrinsically Disordered. </w:t>
      </w:r>
      <w:r w:rsidRPr="00E64425">
        <w:rPr>
          <w:rFonts w:cs="Times New Roman"/>
          <w:i/>
          <w:iCs/>
          <w:noProof/>
        </w:rPr>
        <w:t>BioRxiv</w:t>
      </w:r>
      <w:r w:rsidRPr="00E64425">
        <w:rPr>
          <w:rFonts w:cs="Times New Roman"/>
          <w:noProof/>
        </w:rPr>
        <w:t>, 070003. https://doi.org/10.1101/070003</w:t>
      </w:r>
    </w:p>
    <w:p w14:paraId="78DA07B2"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Begun, D. J., Lindfors, H. A., Kern, A. D., &amp; Jones, C. D. (2007). Evidence for de novo evolution of testis-expressed genes in the Drosophila yakuba/Drosophila erecta clade. </w:t>
      </w:r>
      <w:r w:rsidRPr="00E64425">
        <w:rPr>
          <w:rFonts w:cs="Times New Roman"/>
          <w:i/>
          <w:iCs/>
          <w:noProof/>
        </w:rPr>
        <w:t>Genetics</w:t>
      </w:r>
      <w:r w:rsidRPr="00E64425">
        <w:rPr>
          <w:rFonts w:cs="Times New Roman"/>
          <w:noProof/>
        </w:rPr>
        <w:t xml:space="preserve">, </w:t>
      </w:r>
      <w:r w:rsidRPr="00E64425">
        <w:rPr>
          <w:rFonts w:cs="Times New Roman"/>
          <w:i/>
          <w:iCs/>
          <w:noProof/>
        </w:rPr>
        <w:t>176</w:t>
      </w:r>
      <w:r w:rsidRPr="00E64425">
        <w:rPr>
          <w:rFonts w:cs="Times New Roman"/>
          <w:noProof/>
        </w:rPr>
        <w:t>(2), 1131–1137. https://doi.org/10.1534/genetics.106.069245</w:t>
      </w:r>
    </w:p>
    <w:p w14:paraId="5F663012"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Betrán, E., Thornton, K., &amp; Long, M. (2002). Retroposed new genes out of the X in Drosophila. </w:t>
      </w:r>
      <w:r w:rsidRPr="00E64425">
        <w:rPr>
          <w:rFonts w:cs="Times New Roman"/>
          <w:i/>
          <w:iCs/>
          <w:noProof/>
        </w:rPr>
        <w:t>Genome Research</w:t>
      </w:r>
      <w:r w:rsidRPr="00E64425">
        <w:rPr>
          <w:rFonts w:cs="Times New Roman"/>
          <w:noProof/>
        </w:rPr>
        <w:t xml:space="preserve">, </w:t>
      </w:r>
      <w:r w:rsidRPr="00E64425">
        <w:rPr>
          <w:rFonts w:cs="Times New Roman"/>
          <w:i/>
          <w:iCs/>
          <w:noProof/>
        </w:rPr>
        <w:t>12</w:t>
      </w:r>
      <w:r w:rsidRPr="00E64425">
        <w:rPr>
          <w:rFonts w:cs="Times New Roman"/>
          <w:noProof/>
        </w:rPr>
        <w:t>(12), 1854–1859. https://doi.org/10.1101/gr.6049</w:t>
      </w:r>
    </w:p>
    <w:p w14:paraId="6E4F1ED8"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Blevins, W. R., Ruiz-Orera, J., Messeguer, X., Blasco-Moreno, B., Villanueva-Cañas, J. L., Espinar, L., … Albà, M. M. (2021). Uncovering de novo gene birth in yeast using deep transcriptomics. </w:t>
      </w:r>
      <w:r w:rsidRPr="00E64425">
        <w:rPr>
          <w:rFonts w:cs="Times New Roman"/>
          <w:i/>
          <w:iCs/>
          <w:noProof/>
        </w:rPr>
        <w:t>Nature Communications</w:t>
      </w:r>
      <w:r w:rsidRPr="00E64425">
        <w:rPr>
          <w:rFonts w:cs="Times New Roman"/>
          <w:noProof/>
        </w:rPr>
        <w:t xml:space="preserve">, </w:t>
      </w:r>
      <w:r w:rsidRPr="00E64425">
        <w:rPr>
          <w:rFonts w:cs="Times New Roman"/>
          <w:i/>
          <w:iCs/>
          <w:noProof/>
        </w:rPr>
        <w:t>12</w:t>
      </w:r>
      <w:r w:rsidRPr="00E64425">
        <w:rPr>
          <w:rFonts w:cs="Times New Roman"/>
          <w:noProof/>
        </w:rPr>
        <w:t>(1), 1–13. https://doi.org/10.1038/s41467-021-20911-3</w:t>
      </w:r>
    </w:p>
    <w:p w14:paraId="6C5F2B6B"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Bonen, L. (2012). </w:t>
      </w:r>
      <w:r w:rsidRPr="00E64425">
        <w:rPr>
          <w:rFonts w:cs="Times New Roman"/>
          <w:i/>
          <w:iCs/>
          <w:noProof/>
        </w:rPr>
        <w:t>Evolution of Mitochondrial Introns in Plants and Photosynthetic Microbes</w:t>
      </w:r>
      <w:r w:rsidRPr="00E64425">
        <w:rPr>
          <w:rFonts w:cs="Times New Roman"/>
          <w:noProof/>
        </w:rPr>
        <w:t xml:space="preserve">. </w:t>
      </w:r>
      <w:r w:rsidRPr="00E64425">
        <w:rPr>
          <w:rFonts w:cs="Times New Roman"/>
          <w:i/>
          <w:iCs/>
          <w:noProof/>
        </w:rPr>
        <w:t>Advances in Botanical Research</w:t>
      </w:r>
      <w:r w:rsidRPr="00E64425">
        <w:rPr>
          <w:rFonts w:cs="Times New Roman"/>
          <w:noProof/>
        </w:rPr>
        <w:t xml:space="preserve"> (Vol. 63). Elsevier. https://doi.org/10.1016/B978-0-12-394279-1.00007-7</w:t>
      </w:r>
    </w:p>
    <w:p w14:paraId="1A1197E4"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Boore, J. L. (1999). Animal mitochondrial genomes. </w:t>
      </w:r>
      <w:r w:rsidRPr="00E64425">
        <w:rPr>
          <w:rFonts w:cs="Times New Roman"/>
          <w:i/>
          <w:iCs/>
          <w:noProof/>
        </w:rPr>
        <w:t>Nucleic Acids Research</w:t>
      </w:r>
      <w:r w:rsidRPr="00E64425">
        <w:rPr>
          <w:rFonts w:cs="Times New Roman"/>
          <w:noProof/>
        </w:rPr>
        <w:t xml:space="preserve">, </w:t>
      </w:r>
      <w:r w:rsidRPr="00E64425">
        <w:rPr>
          <w:rFonts w:cs="Times New Roman"/>
          <w:i/>
          <w:iCs/>
          <w:noProof/>
        </w:rPr>
        <w:t>27</w:t>
      </w:r>
      <w:r w:rsidRPr="00E64425">
        <w:rPr>
          <w:rFonts w:cs="Times New Roman"/>
          <w:noProof/>
        </w:rPr>
        <w:t>(8), 1767–1780. https://doi.org/10.1093/nar/27.8.1767</w:t>
      </w:r>
    </w:p>
    <w:p w14:paraId="2FFCCE96"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Bornberg-bauer, E., Schmitz, J., &amp; Heberlein, M. (2015). Emergence of de novo proteins from ‘ </w:t>
      </w:r>
      <w:r w:rsidRPr="00E64425">
        <w:rPr>
          <w:rFonts w:cs="Times New Roman"/>
          <w:noProof/>
        </w:rPr>
        <w:lastRenderedPageBreak/>
        <w:t>dark genomic matter ’ by ‘ grow slow and moult ,’ 867–873. https://doi.org/10.1042/BST20150089</w:t>
      </w:r>
    </w:p>
    <w:p w14:paraId="108E1248"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Börner, T., Aleynikova, A. Y., Zubo, Y. O., &amp; Kusnetsov, V. V. (2015). Chloroplast RNA polymerases: Role in chloroplast biogenesis. </w:t>
      </w:r>
      <w:r w:rsidRPr="00E64425">
        <w:rPr>
          <w:rFonts w:cs="Times New Roman"/>
          <w:i/>
          <w:iCs/>
          <w:noProof/>
        </w:rPr>
        <w:t>Biochimica et Biophysica Acta - Bioenergetics</w:t>
      </w:r>
      <w:r w:rsidRPr="00E64425">
        <w:rPr>
          <w:rFonts w:cs="Times New Roman"/>
          <w:noProof/>
        </w:rPr>
        <w:t xml:space="preserve">, </w:t>
      </w:r>
      <w:r w:rsidRPr="00E64425">
        <w:rPr>
          <w:rFonts w:cs="Times New Roman"/>
          <w:i/>
          <w:iCs/>
          <w:noProof/>
        </w:rPr>
        <w:t>1847</w:t>
      </w:r>
      <w:r w:rsidRPr="00E64425">
        <w:rPr>
          <w:rFonts w:cs="Times New Roman"/>
          <w:noProof/>
        </w:rPr>
        <w:t>(9), 761–769. https://doi.org/10.1016/j.bbabio.2015.02.004</w:t>
      </w:r>
    </w:p>
    <w:p w14:paraId="35601A11"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Carvunis, A.-R., Rolland, T., Wapinski, I., Calderwood, M. A., Yildirim, M. A., Simonis, N., … Vidal, M. (2012). Proto-genes and de novo gene birth. </w:t>
      </w:r>
      <w:r w:rsidRPr="00E64425">
        <w:rPr>
          <w:rFonts w:cs="Times New Roman"/>
          <w:i/>
          <w:iCs/>
          <w:noProof/>
        </w:rPr>
        <w:t>Nature</w:t>
      </w:r>
      <w:r w:rsidRPr="00E64425">
        <w:rPr>
          <w:rFonts w:cs="Times New Roman"/>
          <w:noProof/>
        </w:rPr>
        <w:t xml:space="preserve">, </w:t>
      </w:r>
      <w:r w:rsidRPr="00E64425">
        <w:rPr>
          <w:rFonts w:cs="Times New Roman"/>
          <w:i/>
          <w:iCs/>
          <w:noProof/>
        </w:rPr>
        <w:t>487</w:t>
      </w:r>
      <w:r w:rsidRPr="00E64425">
        <w:rPr>
          <w:rFonts w:cs="Times New Roman"/>
          <w:noProof/>
        </w:rPr>
        <w:t>(7407), 370–374. https://doi.org/10.1038/nature11184</w:t>
      </w:r>
    </w:p>
    <w:p w14:paraId="42D4C3B6"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Casari, G., De Daruvar, A., Sander, C., &amp; Schneider, R. (1996). Bioinformatics and the discovery of gene function. </w:t>
      </w:r>
      <w:r w:rsidRPr="00E64425">
        <w:rPr>
          <w:rFonts w:cs="Times New Roman"/>
          <w:i/>
          <w:iCs/>
          <w:noProof/>
        </w:rPr>
        <w:t>Trends in Genetics</w:t>
      </w:r>
      <w:r w:rsidRPr="00E64425">
        <w:rPr>
          <w:rFonts w:cs="Times New Roman"/>
          <w:noProof/>
        </w:rPr>
        <w:t xml:space="preserve">, </w:t>
      </w:r>
      <w:r w:rsidRPr="00E64425">
        <w:rPr>
          <w:rFonts w:cs="Times New Roman"/>
          <w:i/>
          <w:iCs/>
          <w:noProof/>
        </w:rPr>
        <w:t>12</w:t>
      </w:r>
      <w:r w:rsidRPr="00E64425">
        <w:rPr>
          <w:rFonts w:cs="Times New Roman"/>
          <w:noProof/>
        </w:rPr>
        <w:t>(7), 244–245. https://doi.org/10.1016/0168-9525(96)30057-7</w:t>
      </w:r>
    </w:p>
    <w:p w14:paraId="7764E62B"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Chase, M. W., Cowan, R. S., Hollingsworth, P. M., Van Den Berg, C., Madriñán, S., Petersen, G., … Wilkinson, M. (2007). A proposal for a standardised protocol to barcode all land plants. </w:t>
      </w:r>
      <w:r w:rsidRPr="00E64425">
        <w:rPr>
          <w:rFonts w:cs="Times New Roman"/>
          <w:i/>
          <w:iCs/>
          <w:noProof/>
        </w:rPr>
        <w:t>Taxon</w:t>
      </w:r>
      <w:r w:rsidRPr="00E64425">
        <w:rPr>
          <w:rFonts w:cs="Times New Roman"/>
          <w:noProof/>
        </w:rPr>
        <w:t xml:space="preserve">, </w:t>
      </w:r>
      <w:r w:rsidRPr="00E64425">
        <w:rPr>
          <w:rFonts w:cs="Times New Roman"/>
          <w:i/>
          <w:iCs/>
          <w:noProof/>
        </w:rPr>
        <w:t>56</w:t>
      </w:r>
      <w:r w:rsidRPr="00E64425">
        <w:rPr>
          <w:rFonts w:cs="Times New Roman"/>
          <w:noProof/>
        </w:rPr>
        <w:t>(2), 295–299. https://doi.org/10.1002/tax.562004</w:t>
      </w:r>
    </w:p>
    <w:p w14:paraId="74DF03A4"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Chase, M. W., Soltis, D. E., Olmstead, R. G., Morgan, D., Les, D. H., Mishler, B. D., … Albert, V. A. (1993). Phylogenetics of Seed Plants: An Analysis of Nucleotide Sequences from the Plastid Gene rbcL. </w:t>
      </w:r>
      <w:r w:rsidRPr="00E64425">
        <w:rPr>
          <w:rFonts w:cs="Times New Roman"/>
          <w:i/>
          <w:iCs/>
          <w:noProof/>
        </w:rPr>
        <w:t>Annals of the Missouri Botanical Garden</w:t>
      </w:r>
      <w:r w:rsidRPr="00E64425">
        <w:rPr>
          <w:rFonts w:cs="Times New Roman"/>
          <w:noProof/>
        </w:rPr>
        <w:t xml:space="preserve">, </w:t>
      </w:r>
      <w:r w:rsidRPr="00E64425">
        <w:rPr>
          <w:rFonts w:cs="Times New Roman"/>
          <w:i/>
          <w:iCs/>
          <w:noProof/>
        </w:rPr>
        <w:t>80</w:t>
      </w:r>
      <w:r w:rsidRPr="00E64425">
        <w:rPr>
          <w:rFonts w:cs="Times New Roman"/>
          <w:noProof/>
        </w:rPr>
        <w:t>(3), 528. https://doi.org/10.2307/2399846</w:t>
      </w:r>
    </w:p>
    <w:p w14:paraId="2A9BACE1"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Chen, J. M., Chuzhanova, N., Stenson, P. D., Férec, C., &amp; Cooper, D. N. (2005). Meta-analysis of gross insertions causing human genetic disease: Novel mutational mechanisms and the role of replication slippage. </w:t>
      </w:r>
      <w:r w:rsidRPr="00E64425">
        <w:rPr>
          <w:rFonts w:cs="Times New Roman"/>
          <w:i/>
          <w:iCs/>
          <w:noProof/>
        </w:rPr>
        <w:t>Human Mutation</w:t>
      </w:r>
      <w:r w:rsidRPr="00E64425">
        <w:rPr>
          <w:rFonts w:cs="Times New Roman"/>
          <w:noProof/>
        </w:rPr>
        <w:t xml:space="preserve">, </w:t>
      </w:r>
      <w:r w:rsidRPr="00E64425">
        <w:rPr>
          <w:rFonts w:cs="Times New Roman"/>
          <w:i/>
          <w:iCs/>
          <w:noProof/>
        </w:rPr>
        <w:t>25</w:t>
      </w:r>
      <w:r w:rsidRPr="00E64425">
        <w:rPr>
          <w:rFonts w:cs="Times New Roman"/>
          <w:noProof/>
        </w:rPr>
        <w:t>(2), 207–221. https://doi.org/10.1002/humu.20133</w:t>
      </w:r>
    </w:p>
    <w:p w14:paraId="314408C8"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Cheng, J., Zeng, X., Ren, G., &amp; Liu, Z. (2013). CGAP: A new comprehensive platform for the comparative analysis of chloroplast genomes. </w:t>
      </w:r>
      <w:r w:rsidRPr="00E64425">
        <w:rPr>
          <w:rFonts w:cs="Times New Roman"/>
          <w:i/>
          <w:iCs/>
          <w:noProof/>
        </w:rPr>
        <w:t>BMC Bioinformatics</w:t>
      </w:r>
      <w:r w:rsidRPr="00E64425">
        <w:rPr>
          <w:rFonts w:cs="Times New Roman"/>
          <w:noProof/>
        </w:rPr>
        <w:t xml:space="preserve">, </w:t>
      </w:r>
      <w:r w:rsidRPr="00E64425">
        <w:rPr>
          <w:rFonts w:cs="Times New Roman"/>
          <w:i/>
          <w:iCs/>
          <w:noProof/>
        </w:rPr>
        <w:t>14</w:t>
      </w:r>
      <w:r w:rsidRPr="00E64425">
        <w:rPr>
          <w:rFonts w:cs="Times New Roman"/>
          <w:noProof/>
        </w:rPr>
        <w:t>. https://doi.org/10.1186/1471-2105-14-95</w:t>
      </w:r>
    </w:p>
    <w:p w14:paraId="1A11C0B8"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Choi, M. N., Han, M., Lee, H., Park, H. S., Kim, M. Y., Kim, J. S., … Park, E. J. (2017). The complete mitochondrial genome sequence of Populus davidiana Dode. </w:t>
      </w:r>
      <w:r w:rsidRPr="00E64425">
        <w:rPr>
          <w:rFonts w:cs="Times New Roman"/>
          <w:i/>
          <w:iCs/>
          <w:noProof/>
        </w:rPr>
        <w:t>Mitochondrial DNA Part B: Resources</w:t>
      </w:r>
      <w:r w:rsidRPr="00E64425">
        <w:rPr>
          <w:rFonts w:cs="Times New Roman"/>
          <w:noProof/>
        </w:rPr>
        <w:t xml:space="preserve">, </w:t>
      </w:r>
      <w:r w:rsidRPr="00E64425">
        <w:rPr>
          <w:rFonts w:cs="Times New Roman"/>
          <w:i/>
          <w:iCs/>
          <w:noProof/>
        </w:rPr>
        <w:t>2</w:t>
      </w:r>
      <w:r w:rsidRPr="00E64425">
        <w:rPr>
          <w:rFonts w:cs="Times New Roman"/>
          <w:noProof/>
        </w:rPr>
        <w:t>(1), 113–114. https://doi.org/10.1080/23802359.2017.1289346</w:t>
      </w:r>
    </w:p>
    <w:p w14:paraId="361B0113"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Colbourne, J. K., Pfrender, M. E., Gilbert, D., Thomas, W. K., Tucker, A., Oakley, T. H., … Boore, J. L. (2011). The ecoresponsive genome of Daphnia pulex. </w:t>
      </w:r>
      <w:r w:rsidRPr="00E64425">
        <w:rPr>
          <w:rFonts w:cs="Times New Roman"/>
          <w:i/>
          <w:iCs/>
          <w:noProof/>
        </w:rPr>
        <w:t>Science</w:t>
      </w:r>
      <w:r w:rsidRPr="00E64425">
        <w:rPr>
          <w:rFonts w:cs="Times New Roman"/>
          <w:noProof/>
        </w:rPr>
        <w:t xml:space="preserve">, </w:t>
      </w:r>
      <w:r w:rsidRPr="00E64425">
        <w:rPr>
          <w:rFonts w:cs="Times New Roman"/>
          <w:i/>
          <w:iCs/>
          <w:noProof/>
        </w:rPr>
        <w:t>331</w:t>
      </w:r>
      <w:r w:rsidRPr="00E64425">
        <w:rPr>
          <w:rFonts w:cs="Times New Roman"/>
          <w:noProof/>
        </w:rPr>
        <w:t>(6017), 555–561. https://doi.org/10.1126/science.1197761</w:t>
      </w:r>
    </w:p>
    <w:p w14:paraId="45051284"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Cui, X., Lv, Y., Chen, M., Nikoloski, Z., Twell, D., &amp; Zhang, D. (2015). Young genes out of the male: An insight from evolutionary age analysis of the pollen transcriptome. </w:t>
      </w:r>
      <w:r w:rsidRPr="00E64425">
        <w:rPr>
          <w:rFonts w:cs="Times New Roman"/>
          <w:i/>
          <w:iCs/>
          <w:noProof/>
        </w:rPr>
        <w:t>Molecular Plant</w:t>
      </w:r>
      <w:r w:rsidRPr="00E64425">
        <w:rPr>
          <w:rFonts w:cs="Times New Roman"/>
          <w:noProof/>
        </w:rPr>
        <w:t xml:space="preserve">, </w:t>
      </w:r>
      <w:r w:rsidRPr="00E64425">
        <w:rPr>
          <w:rFonts w:cs="Times New Roman"/>
          <w:i/>
          <w:iCs/>
          <w:noProof/>
        </w:rPr>
        <w:t>8</w:t>
      </w:r>
      <w:r w:rsidRPr="00E64425">
        <w:rPr>
          <w:rFonts w:cs="Times New Roman"/>
          <w:noProof/>
        </w:rPr>
        <w:t>(6), 935–945. https://doi.org/10.1016/j.molp.2014.12.008</w:t>
      </w:r>
    </w:p>
    <w:p w14:paraId="6EA418E8"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Dai, X., Hu, Q., Cai, Q., Feng, K., Ye, N., Tuskan, G. A., … Yin, T. (2014). The willow genome and divergent evolution from poplar after the common genome duplication. </w:t>
      </w:r>
      <w:r w:rsidRPr="00E64425">
        <w:rPr>
          <w:rFonts w:cs="Times New Roman"/>
          <w:i/>
          <w:iCs/>
          <w:noProof/>
        </w:rPr>
        <w:t>Cell Research</w:t>
      </w:r>
      <w:r w:rsidRPr="00E64425">
        <w:rPr>
          <w:rFonts w:cs="Times New Roman"/>
          <w:noProof/>
        </w:rPr>
        <w:t xml:space="preserve">, </w:t>
      </w:r>
      <w:r w:rsidRPr="00E64425">
        <w:rPr>
          <w:rFonts w:cs="Times New Roman"/>
          <w:i/>
          <w:iCs/>
          <w:noProof/>
        </w:rPr>
        <w:t>24</w:t>
      </w:r>
      <w:r w:rsidRPr="00E64425">
        <w:rPr>
          <w:rFonts w:cs="Times New Roman"/>
          <w:noProof/>
        </w:rPr>
        <w:t>(10), 1274–1277. https://doi.org/10.1038/cr.2014.83</w:t>
      </w:r>
    </w:p>
    <w:p w14:paraId="285C7D03"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Daley, D. O., &amp; Whelan, J. (2005). Why genes persist in organelle genomes. </w:t>
      </w:r>
      <w:r w:rsidRPr="00E64425">
        <w:rPr>
          <w:rFonts w:cs="Times New Roman"/>
          <w:i/>
          <w:iCs/>
          <w:noProof/>
        </w:rPr>
        <w:t>Genome Biology</w:t>
      </w:r>
      <w:r w:rsidRPr="00E64425">
        <w:rPr>
          <w:rFonts w:cs="Times New Roman"/>
          <w:noProof/>
        </w:rPr>
        <w:t xml:space="preserve">, </w:t>
      </w:r>
      <w:r w:rsidRPr="00E64425">
        <w:rPr>
          <w:rFonts w:cs="Times New Roman"/>
          <w:i/>
          <w:iCs/>
          <w:noProof/>
        </w:rPr>
        <w:t>6</w:t>
      </w:r>
      <w:r w:rsidRPr="00E64425">
        <w:rPr>
          <w:rFonts w:cs="Times New Roman"/>
          <w:noProof/>
        </w:rPr>
        <w:t>(5). https://doi.org/10.1186/gb-2005-6-5-110</w:t>
      </w:r>
    </w:p>
    <w:p w14:paraId="7F3491F6"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Davis, C. C., Xi, Z., &amp; Mathews, S. (2014). Plastid phylogenomics and green plant phylogeny: Almost full circle but not quite there. </w:t>
      </w:r>
      <w:r w:rsidRPr="00E64425">
        <w:rPr>
          <w:rFonts w:cs="Times New Roman"/>
          <w:i/>
          <w:iCs/>
          <w:noProof/>
        </w:rPr>
        <w:t>BMC Biology</w:t>
      </w:r>
      <w:r w:rsidRPr="00E64425">
        <w:rPr>
          <w:rFonts w:cs="Times New Roman"/>
          <w:noProof/>
        </w:rPr>
        <w:t xml:space="preserve">, </w:t>
      </w:r>
      <w:r w:rsidRPr="00E64425">
        <w:rPr>
          <w:rFonts w:cs="Times New Roman"/>
          <w:i/>
          <w:iCs/>
          <w:noProof/>
        </w:rPr>
        <w:t>12</w:t>
      </w:r>
      <w:r w:rsidRPr="00E64425">
        <w:rPr>
          <w:rFonts w:cs="Times New Roman"/>
          <w:noProof/>
        </w:rPr>
        <w:t>, 2–5. https://doi.org/10.1186/1741-7007-12-11</w:t>
      </w:r>
    </w:p>
    <w:p w14:paraId="1ED07B36"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Dayama, G., Emery, S. B., Kidd, J. M., &amp; Mills, R. E. (2014). The genomic landscape of polymorphic human nuclear mitochondrial insertions. </w:t>
      </w:r>
      <w:r w:rsidRPr="00E64425">
        <w:rPr>
          <w:rFonts w:cs="Times New Roman"/>
          <w:i/>
          <w:iCs/>
          <w:noProof/>
        </w:rPr>
        <w:t>Nucleic Acids Research</w:t>
      </w:r>
      <w:r w:rsidRPr="00E64425">
        <w:rPr>
          <w:rFonts w:cs="Times New Roman"/>
          <w:noProof/>
        </w:rPr>
        <w:t xml:space="preserve">, </w:t>
      </w:r>
      <w:r w:rsidRPr="00E64425">
        <w:rPr>
          <w:rFonts w:cs="Times New Roman"/>
          <w:i/>
          <w:iCs/>
          <w:noProof/>
        </w:rPr>
        <w:t>42</w:t>
      </w:r>
      <w:r w:rsidRPr="00E64425">
        <w:rPr>
          <w:rFonts w:cs="Times New Roman"/>
          <w:noProof/>
        </w:rPr>
        <w:t>(20), 12640–12649. https://doi.org/10.1093/nar/gku1038</w:t>
      </w:r>
    </w:p>
    <w:p w14:paraId="3F138F5F"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Dierckxsens, N., Mardulyn, P., &amp; Smits, G. (2017). NOVOPlasty: De novo assembly of </w:t>
      </w:r>
      <w:r w:rsidRPr="00E64425">
        <w:rPr>
          <w:rFonts w:cs="Times New Roman"/>
          <w:noProof/>
        </w:rPr>
        <w:lastRenderedPageBreak/>
        <w:t xml:space="preserve">organelle genomes from whole genome data. </w:t>
      </w:r>
      <w:r w:rsidRPr="00E64425">
        <w:rPr>
          <w:rFonts w:cs="Times New Roman"/>
          <w:i/>
          <w:iCs/>
          <w:noProof/>
        </w:rPr>
        <w:t>Nucleic Acids Research</w:t>
      </w:r>
      <w:r w:rsidRPr="00E64425">
        <w:rPr>
          <w:rFonts w:cs="Times New Roman"/>
          <w:noProof/>
        </w:rPr>
        <w:t xml:space="preserve">, </w:t>
      </w:r>
      <w:r w:rsidRPr="00E64425">
        <w:rPr>
          <w:rFonts w:cs="Times New Roman"/>
          <w:i/>
          <w:iCs/>
          <w:noProof/>
        </w:rPr>
        <w:t>45</w:t>
      </w:r>
      <w:r w:rsidRPr="00E64425">
        <w:rPr>
          <w:rFonts w:cs="Times New Roman"/>
          <w:noProof/>
        </w:rPr>
        <w:t>(4). https://doi.org/10.1093/nar/gkw955</w:t>
      </w:r>
    </w:p>
    <w:p w14:paraId="6C7017A9"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Domazet-Lošo, T., Carvunis, A.-R., Mar Albà, M., Sebastijan Šestak, M., Bakarić, R., Neme, R., &amp; Tautz, D. (2017). No evidence for phylostratigraphic bias impacting inferences on patterns of gene emergence and evolution. </w:t>
      </w:r>
      <w:r w:rsidRPr="00E64425">
        <w:rPr>
          <w:rFonts w:cs="Times New Roman"/>
          <w:i/>
          <w:iCs/>
          <w:noProof/>
        </w:rPr>
        <w:t>Molecular Biology and Evolution</w:t>
      </w:r>
      <w:r w:rsidRPr="00E64425">
        <w:rPr>
          <w:rFonts w:cs="Times New Roman"/>
          <w:noProof/>
        </w:rPr>
        <w:t xml:space="preserve">, </w:t>
      </w:r>
      <w:r w:rsidRPr="00E64425">
        <w:rPr>
          <w:rFonts w:cs="Times New Roman"/>
          <w:i/>
          <w:iCs/>
          <w:noProof/>
        </w:rPr>
        <w:t>34</w:t>
      </w:r>
      <w:r w:rsidRPr="00E64425">
        <w:rPr>
          <w:rFonts w:cs="Times New Roman"/>
          <w:noProof/>
        </w:rPr>
        <w:t>(4), msw284. https://doi.org/10.1093/molbev/msw284</w:t>
      </w:r>
    </w:p>
    <w:p w14:paraId="23489AAB"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Donoghue, M. T., Keshavaiah, C., Swamidatta, S. H., &amp; Spillane, C. (2011). Evolutionary origins of Brassicaceae specific genes in Arabidopsis thaliana. </w:t>
      </w:r>
      <w:r w:rsidRPr="00E64425">
        <w:rPr>
          <w:rFonts w:cs="Times New Roman"/>
          <w:i/>
          <w:iCs/>
          <w:noProof/>
        </w:rPr>
        <w:t>BMC Evolutionary Biology</w:t>
      </w:r>
      <w:r w:rsidRPr="00E64425">
        <w:rPr>
          <w:rFonts w:cs="Times New Roman"/>
          <w:noProof/>
        </w:rPr>
        <w:t xml:space="preserve">, </w:t>
      </w:r>
      <w:r w:rsidRPr="00E64425">
        <w:rPr>
          <w:rFonts w:cs="Times New Roman"/>
          <w:i/>
          <w:iCs/>
          <w:noProof/>
        </w:rPr>
        <w:t>11</w:t>
      </w:r>
      <w:r w:rsidRPr="00E64425">
        <w:rPr>
          <w:rFonts w:cs="Times New Roman"/>
          <w:noProof/>
        </w:rPr>
        <w:t>(1), 47. https://doi.org/10.1186/1471-2148-11-47</w:t>
      </w:r>
    </w:p>
    <w:p w14:paraId="336257BB"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Drouin, G., Daoud, H., &amp; Xia, J. (2008). Relative rates of synonymous substitutions in the mitochondrial, chloroplast and nuclear genomes of seed plants. </w:t>
      </w:r>
      <w:r w:rsidRPr="00E64425">
        <w:rPr>
          <w:rFonts w:cs="Times New Roman"/>
          <w:i/>
          <w:iCs/>
          <w:noProof/>
        </w:rPr>
        <w:t>Molecular Phylogenetics and Evolution</w:t>
      </w:r>
      <w:r w:rsidRPr="00E64425">
        <w:rPr>
          <w:rFonts w:cs="Times New Roman"/>
          <w:noProof/>
        </w:rPr>
        <w:t xml:space="preserve">, </w:t>
      </w:r>
      <w:r w:rsidRPr="00E64425">
        <w:rPr>
          <w:rFonts w:cs="Times New Roman"/>
          <w:i/>
          <w:iCs/>
          <w:noProof/>
        </w:rPr>
        <w:t>49</w:t>
      </w:r>
      <w:r w:rsidRPr="00E64425">
        <w:rPr>
          <w:rFonts w:cs="Times New Roman"/>
          <w:noProof/>
        </w:rPr>
        <w:t>(3), 827–831. https://doi.org/10.1016/j.ympev.2008.09.009</w:t>
      </w:r>
    </w:p>
    <w:p w14:paraId="5ECC70F5"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Du, J., Johnson, L. M., Jacobsen, S. E., &amp; Patel, D. J. (2015). DNA methylation pathways and their crosstalk with histone methylation. </w:t>
      </w:r>
      <w:r w:rsidRPr="00E64425">
        <w:rPr>
          <w:rFonts w:cs="Times New Roman"/>
          <w:i/>
          <w:iCs/>
          <w:noProof/>
        </w:rPr>
        <w:t>Nature Reviews Molecular Cell Biology</w:t>
      </w:r>
      <w:r w:rsidRPr="00E64425">
        <w:rPr>
          <w:rFonts w:cs="Times New Roman"/>
          <w:noProof/>
        </w:rPr>
        <w:t xml:space="preserve">, </w:t>
      </w:r>
      <w:r w:rsidRPr="00E64425">
        <w:rPr>
          <w:rFonts w:cs="Times New Roman"/>
          <w:i/>
          <w:iCs/>
          <w:noProof/>
        </w:rPr>
        <w:t>16</w:t>
      </w:r>
      <w:r w:rsidRPr="00E64425">
        <w:rPr>
          <w:rFonts w:cs="Times New Roman"/>
          <w:noProof/>
        </w:rPr>
        <w:t>(9), 519–532. https://doi.org/10.1038/nrm4043</w:t>
      </w:r>
    </w:p>
    <w:p w14:paraId="6416408B"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Dujon, B. (1996). The yeast genome project: what did we learn? </w:t>
      </w:r>
      <w:r w:rsidRPr="00E64425">
        <w:rPr>
          <w:rFonts w:cs="Times New Roman"/>
          <w:i/>
          <w:iCs/>
          <w:noProof/>
        </w:rPr>
        <w:t>Trends in Genetics : TIG</w:t>
      </w:r>
      <w:r w:rsidRPr="00E64425">
        <w:rPr>
          <w:rFonts w:cs="Times New Roman"/>
          <w:noProof/>
        </w:rPr>
        <w:t xml:space="preserve">, </w:t>
      </w:r>
      <w:r w:rsidRPr="00E64425">
        <w:rPr>
          <w:rFonts w:cs="Times New Roman"/>
          <w:i/>
          <w:iCs/>
          <w:noProof/>
        </w:rPr>
        <w:t>12</w:t>
      </w:r>
      <w:r w:rsidRPr="00E64425">
        <w:rPr>
          <w:rFonts w:cs="Times New Roman"/>
          <w:noProof/>
        </w:rPr>
        <w:t>(7), 263–270. https://doi.org/10.1016/0168-9525(96)10027-5</w:t>
      </w:r>
    </w:p>
    <w:p w14:paraId="44B6F0A8"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Duminil, J., &amp; Besnard, G. (2021). Utility of the Mitochondrial Genome in Plant Taxonomic Studies. </w:t>
      </w:r>
      <w:r w:rsidRPr="00E64425">
        <w:rPr>
          <w:rFonts w:cs="Times New Roman"/>
          <w:i/>
          <w:iCs/>
          <w:noProof/>
        </w:rPr>
        <w:t>Methods in Molecular Biology</w:t>
      </w:r>
      <w:r w:rsidRPr="00E64425">
        <w:rPr>
          <w:rFonts w:cs="Times New Roman"/>
          <w:noProof/>
        </w:rPr>
        <w:t xml:space="preserve">, </w:t>
      </w:r>
      <w:r w:rsidRPr="00E64425">
        <w:rPr>
          <w:rFonts w:cs="Times New Roman"/>
          <w:i/>
          <w:iCs/>
          <w:noProof/>
        </w:rPr>
        <w:t>2222</w:t>
      </w:r>
      <w:r w:rsidRPr="00E64425">
        <w:rPr>
          <w:rFonts w:cs="Times New Roman"/>
          <w:noProof/>
        </w:rPr>
        <w:t>, 107–118. https://doi.org/10.1007/978-1-0716-0997-2_6</w:t>
      </w:r>
    </w:p>
    <w:p w14:paraId="393B46E8"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Erichsen-Brown, C. (1979). Use of plants for the past 500 years.</w:t>
      </w:r>
    </w:p>
    <w:p w14:paraId="321BFF02"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Fan, W. B., Wu, Y., Yang, J., Shahzad, K., &amp; Li, Z. H. (2018). Comparative chloroplast genomics of dipsacales species: Insights into sequence variation, adaptive evolution, and phylogenetic relationships. </w:t>
      </w:r>
      <w:r w:rsidRPr="00E64425">
        <w:rPr>
          <w:rFonts w:cs="Times New Roman"/>
          <w:i/>
          <w:iCs/>
          <w:noProof/>
        </w:rPr>
        <w:t>Frontiers in Plant Science</w:t>
      </w:r>
      <w:r w:rsidRPr="00E64425">
        <w:rPr>
          <w:rFonts w:cs="Times New Roman"/>
          <w:noProof/>
        </w:rPr>
        <w:t xml:space="preserve">, </w:t>
      </w:r>
      <w:r w:rsidRPr="00E64425">
        <w:rPr>
          <w:rFonts w:cs="Times New Roman"/>
          <w:i/>
          <w:iCs/>
          <w:noProof/>
        </w:rPr>
        <w:t>9</w:t>
      </w:r>
      <w:r w:rsidRPr="00E64425">
        <w:rPr>
          <w:rFonts w:cs="Times New Roman"/>
          <w:noProof/>
        </w:rPr>
        <w:t>(May), 1–13. https://doi.org/10.3389/fpls.2018.00689</w:t>
      </w:r>
    </w:p>
    <w:p w14:paraId="7712C990"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Fulton, L., Lynd, L. R., Körner, A., Greene, N., &amp; Tonachel, L. R. (2015). The need for biofuels as part of a low carbon energy future Lewis. </w:t>
      </w:r>
      <w:r w:rsidRPr="00E64425">
        <w:rPr>
          <w:rFonts w:cs="Times New Roman"/>
          <w:i/>
          <w:iCs/>
          <w:noProof/>
        </w:rPr>
        <w:t>Biofuels, Bioproducts and Biorefining</w:t>
      </w:r>
      <w:r w:rsidRPr="00E64425">
        <w:rPr>
          <w:rFonts w:cs="Times New Roman"/>
          <w:noProof/>
        </w:rPr>
        <w:t xml:space="preserve">, </w:t>
      </w:r>
      <w:r w:rsidRPr="00E64425">
        <w:rPr>
          <w:rFonts w:cs="Times New Roman"/>
          <w:i/>
          <w:iCs/>
          <w:noProof/>
        </w:rPr>
        <w:t>9</w:t>
      </w:r>
      <w:r w:rsidRPr="00E64425">
        <w:rPr>
          <w:rFonts w:cs="Times New Roman"/>
          <w:noProof/>
        </w:rPr>
        <w:t>, 476–483. https://doi.org/10.1002/bbb</w:t>
      </w:r>
    </w:p>
    <w:p w14:paraId="26CB9159"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Gao, L., Su, Y. J., &amp; Wang, T. (2010). Plastid genome sequencing, comparative genomics, and phylogenomics: Current status and prospects. </w:t>
      </w:r>
      <w:r w:rsidRPr="00E64425">
        <w:rPr>
          <w:rFonts w:cs="Times New Roman"/>
          <w:i/>
          <w:iCs/>
          <w:noProof/>
        </w:rPr>
        <w:t>Journal of Systematics and Evolution</w:t>
      </w:r>
      <w:r w:rsidRPr="00E64425">
        <w:rPr>
          <w:rFonts w:cs="Times New Roman"/>
          <w:noProof/>
        </w:rPr>
        <w:t xml:space="preserve">, </w:t>
      </w:r>
      <w:r w:rsidRPr="00E64425">
        <w:rPr>
          <w:rFonts w:cs="Times New Roman"/>
          <w:i/>
          <w:iCs/>
          <w:noProof/>
        </w:rPr>
        <w:t>48</w:t>
      </w:r>
      <w:r w:rsidRPr="00E64425">
        <w:rPr>
          <w:rFonts w:cs="Times New Roman"/>
          <w:noProof/>
        </w:rPr>
        <w:t>(2), 77–93. https://doi.org/10.1111/j.1759-6831.2010.00071.x</w:t>
      </w:r>
    </w:p>
    <w:p w14:paraId="6A93DCDE"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Gitzendanner, M. A., Soltis, P. S., Wong, G. K. S., Ruhfel, B. R., &amp; Soltis, D. E. (2018). Plastid phylogenomic analysis of green plants: A billion years of evolutionary history. </w:t>
      </w:r>
      <w:r w:rsidRPr="00E64425">
        <w:rPr>
          <w:rFonts w:cs="Times New Roman"/>
          <w:i/>
          <w:iCs/>
          <w:noProof/>
        </w:rPr>
        <w:t>American Journal of Botany</w:t>
      </w:r>
      <w:r w:rsidRPr="00E64425">
        <w:rPr>
          <w:rFonts w:cs="Times New Roman"/>
          <w:noProof/>
        </w:rPr>
        <w:t xml:space="preserve">, </w:t>
      </w:r>
      <w:r w:rsidRPr="00E64425">
        <w:rPr>
          <w:rFonts w:cs="Times New Roman"/>
          <w:i/>
          <w:iCs/>
          <w:noProof/>
        </w:rPr>
        <w:t>105</w:t>
      </w:r>
      <w:r w:rsidRPr="00E64425">
        <w:rPr>
          <w:rFonts w:cs="Times New Roman"/>
          <w:noProof/>
        </w:rPr>
        <w:t>(3), 291–301. https://doi.org/10.1002/ajb2.1048</w:t>
      </w:r>
    </w:p>
    <w:p w14:paraId="458D332C"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Gitzendanner, M. A., Soltis, P. S., Yi, T. S., Li, D. Z., &amp; Soltis, D. E. (2018). </w:t>
      </w:r>
      <w:r w:rsidRPr="00E64425">
        <w:rPr>
          <w:rFonts w:cs="Times New Roman"/>
          <w:i/>
          <w:iCs/>
          <w:noProof/>
        </w:rPr>
        <w:t>Plastome Phylogenetics: 30 Years of Inferences Into Plant Evolution</w:t>
      </w:r>
      <w:r w:rsidRPr="00E64425">
        <w:rPr>
          <w:rFonts w:cs="Times New Roman"/>
          <w:noProof/>
        </w:rPr>
        <w:t xml:space="preserve">. </w:t>
      </w:r>
      <w:r w:rsidRPr="00E64425">
        <w:rPr>
          <w:rFonts w:cs="Times New Roman"/>
          <w:i/>
          <w:iCs/>
          <w:noProof/>
        </w:rPr>
        <w:t>Advances in Botanical Research</w:t>
      </w:r>
      <w:r w:rsidRPr="00E64425">
        <w:rPr>
          <w:rFonts w:cs="Times New Roman"/>
          <w:noProof/>
        </w:rPr>
        <w:t xml:space="preserve"> (1st ed., Vol. 85). Elsevier Ltd. https://doi.org/10.1016/bs.abr.2017.11.016</w:t>
      </w:r>
    </w:p>
    <w:p w14:paraId="54F108DB"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Golczyk, H., Greiner, S., Wanner, G., Weihe, A., Bock, R., Börner, T., &amp; Herrmann, R. G. (2014). Chloroplast DNA in mature and senescing leaves: A reappraisal. </w:t>
      </w:r>
      <w:r w:rsidRPr="00E64425">
        <w:rPr>
          <w:rFonts w:cs="Times New Roman"/>
          <w:i/>
          <w:iCs/>
          <w:noProof/>
        </w:rPr>
        <w:t>Plant Cell</w:t>
      </w:r>
      <w:r w:rsidRPr="00E64425">
        <w:rPr>
          <w:rFonts w:cs="Times New Roman"/>
          <w:noProof/>
        </w:rPr>
        <w:t xml:space="preserve">, </w:t>
      </w:r>
      <w:r w:rsidRPr="00E64425">
        <w:rPr>
          <w:rFonts w:cs="Times New Roman"/>
          <w:i/>
          <w:iCs/>
          <w:noProof/>
        </w:rPr>
        <w:t>26</w:t>
      </w:r>
      <w:r w:rsidRPr="00E64425">
        <w:rPr>
          <w:rFonts w:cs="Times New Roman"/>
          <w:noProof/>
        </w:rPr>
        <w:t>(3), 847–854. https://doi.org/10.1105/tpc.113.117465</w:t>
      </w:r>
    </w:p>
    <w:p w14:paraId="3DEDACA6"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Grabherr, M. G., Russell, P., Meyer, M., Mauceli, E., Alföldi, J., di Palma, F., &amp; Lindblad-Toh, K. (2010). Genome-wide synteny through highly sensitive sequence alignment: Satsuma. </w:t>
      </w:r>
      <w:r w:rsidRPr="00E64425">
        <w:rPr>
          <w:rFonts w:cs="Times New Roman"/>
          <w:i/>
          <w:iCs/>
          <w:noProof/>
        </w:rPr>
        <w:t>Bioinformatics</w:t>
      </w:r>
      <w:r w:rsidRPr="00E64425">
        <w:rPr>
          <w:rFonts w:cs="Times New Roman"/>
          <w:noProof/>
        </w:rPr>
        <w:t xml:space="preserve">, </w:t>
      </w:r>
      <w:r w:rsidRPr="00E64425">
        <w:rPr>
          <w:rFonts w:cs="Times New Roman"/>
          <w:i/>
          <w:iCs/>
          <w:noProof/>
        </w:rPr>
        <w:t>26</w:t>
      </w:r>
      <w:r w:rsidRPr="00E64425">
        <w:rPr>
          <w:rFonts w:cs="Times New Roman"/>
          <w:noProof/>
        </w:rPr>
        <w:t>(9), 1145–1151. https://doi.org/10.1093/bioinformatics/btq102</w:t>
      </w:r>
    </w:p>
    <w:p w14:paraId="62053624"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Guerzoni, D., &amp; McLysaght, A. (2016). De Novo Genes Arise at a Slow but Steady Rate along the Primate Lineage and Have Been Subject to Incomplete Lineage Sorting. </w:t>
      </w:r>
      <w:r w:rsidRPr="00E64425">
        <w:rPr>
          <w:rFonts w:cs="Times New Roman"/>
          <w:i/>
          <w:iCs/>
          <w:noProof/>
        </w:rPr>
        <w:t>Genome Biology and Evolution</w:t>
      </w:r>
      <w:r w:rsidRPr="00E64425">
        <w:rPr>
          <w:rFonts w:cs="Times New Roman"/>
          <w:noProof/>
        </w:rPr>
        <w:t xml:space="preserve">, </w:t>
      </w:r>
      <w:r w:rsidRPr="00E64425">
        <w:rPr>
          <w:rFonts w:cs="Times New Roman"/>
          <w:i/>
          <w:iCs/>
          <w:noProof/>
        </w:rPr>
        <w:t>8</w:t>
      </w:r>
      <w:r w:rsidRPr="00E64425">
        <w:rPr>
          <w:rFonts w:cs="Times New Roman"/>
          <w:noProof/>
        </w:rPr>
        <w:t>(4), 1222–1232. https://doi.org/10.1093/gbe/evw074</w:t>
      </w:r>
    </w:p>
    <w:p w14:paraId="7CFAFB1C"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lastRenderedPageBreak/>
        <w:t xml:space="preserve">Guo, W., Zhu, A., Fan, W., Adams, R. P., &amp; Mower, J. P. (2020). Extensive shifts from cis-to trans-splicing of gymnosperm mitochondrial introns. </w:t>
      </w:r>
      <w:r w:rsidRPr="00E64425">
        <w:rPr>
          <w:rFonts w:cs="Times New Roman"/>
          <w:i/>
          <w:iCs/>
          <w:noProof/>
        </w:rPr>
        <w:t>Molecular Biology and Evolution</w:t>
      </w:r>
      <w:r w:rsidRPr="00E64425">
        <w:rPr>
          <w:rFonts w:cs="Times New Roman"/>
          <w:noProof/>
        </w:rPr>
        <w:t xml:space="preserve">, </w:t>
      </w:r>
      <w:r w:rsidRPr="00E64425">
        <w:rPr>
          <w:rFonts w:cs="Times New Roman"/>
          <w:i/>
          <w:iCs/>
          <w:noProof/>
        </w:rPr>
        <w:t>37</w:t>
      </w:r>
      <w:r w:rsidRPr="00E64425">
        <w:rPr>
          <w:rFonts w:cs="Times New Roman"/>
          <w:noProof/>
        </w:rPr>
        <w:t>(6), 1615–1620. https://doi.org/10.1093/molbev/msaa029</w:t>
      </w:r>
    </w:p>
    <w:p w14:paraId="438060ED"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Hannon, J. R., Lynd, L. R., Andrade, O., Benavides, P. T., Beckham, G. T., Biddy, M. J., … Wyman, C. E. (2020). Technoeconomic and life-cycle analysis of single-step catalytic conversion of wet ethanol into fungible fuel blendstocks. </w:t>
      </w:r>
      <w:r w:rsidRPr="00E64425">
        <w:rPr>
          <w:rFonts w:cs="Times New Roman"/>
          <w:i/>
          <w:iCs/>
          <w:noProof/>
        </w:rPr>
        <w:t>Proceedings of the National Academy of Sciences of the United States of America</w:t>
      </w:r>
      <w:r w:rsidRPr="00E64425">
        <w:rPr>
          <w:rFonts w:cs="Times New Roman"/>
          <w:noProof/>
        </w:rPr>
        <w:t xml:space="preserve">, </w:t>
      </w:r>
      <w:r w:rsidRPr="00E64425">
        <w:rPr>
          <w:rFonts w:cs="Times New Roman"/>
          <w:i/>
          <w:iCs/>
          <w:noProof/>
        </w:rPr>
        <w:t>117</w:t>
      </w:r>
      <w:r w:rsidRPr="00E64425">
        <w:rPr>
          <w:rFonts w:cs="Times New Roman"/>
          <w:noProof/>
        </w:rPr>
        <w:t>(23), 12576–12583. https://doi.org/10.1073/pnas.1821684116</w:t>
      </w:r>
    </w:p>
    <w:p w14:paraId="2F133266"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Hazkani-Covo, E., &amp; Covo, S. (2008). Numt-mediated double-strand break repair mitigates deletions during primate genome evolution. </w:t>
      </w:r>
      <w:r w:rsidRPr="00E64425">
        <w:rPr>
          <w:rFonts w:cs="Times New Roman"/>
          <w:i/>
          <w:iCs/>
          <w:noProof/>
        </w:rPr>
        <w:t>PLoS Genetics</w:t>
      </w:r>
      <w:r w:rsidRPr="00E64425">
        <w:rPr>
          <w:rFonts w:cs="Times New Roman"/>
          <w:noProof/>
        </w:rPr>
        <w:t xml:space="preserve">, </w:t>
      </w:r>
      <w:r w:rsidRPr="00E64425">
        <w:rPr>
          <w:rFonts w:cs="Times New Roman"/>
          <w:i/>
          <w:iCs/>
          <w:noProof/>
        </w:rPr>
        <w:t>4</w:t>
      </w:r>
      <w:r w:rsidRPr="00E64425">
        <w:rPr>
          <w:rFonts w:cs="Times New Roman"/>
          <w:noProof/>
        </w:rPr>
        <w:t>(10). https://doi.org/10.1371/journal.pgen.1000237</w:t>
      </w:r>
    </w:p>
    <w:p w14:paraId="0E8145C7"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Hazkani-Covo, E., &amp; Martin, W. F. (2017). Quantifying the number of independent organelle DNA insertions in genome evolution and human health. </w:t>
      </w:r>
      <w:r w:rsidRPr="00E64425">
        <w:rPr>
          <w:rFonts w:cs="Times New Roman"/>
          <w:i/>
          <w:iCs/>
          <w:noProof/>
        </w:rPr>
        <w:t>Genome Biology and Evolution</w:t>
      </w:r>
      <w:r w:rsidRPr="00E64425">
        <w:rPr>
          <w:rFonts w:cs="Times New Roman"/>
          <w:noProof/>
        </w:rPr>
        <w:t xml:space="preserve">, </w:t>
      </w:r>
      <w:r w:rsidRPr="00E64425">
        <w:rPr>
          <w:rFonts w:cs="Times New Roman"/>
          <w:i/>
          <w:iCs/>
          <w:noProof/>
        </w:rPr>
        <w:t>9</w:t>
      </w:r>
      <w:r w:rsidRPr="00E64425">
        <w:rPr>
          <w:rFonts w:cs="Times New Roman"/>
          <w:noProof/>
        </w:rPr>
        <w:t>(5), 1190–1203. https://doi.org/10.1093/gbe/evx078</w:t>
      </w:r>
    </w:p>
    <w:p w14:paraId="105EAB27"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Hazkani-Covo, E., Zeller, R. M., &amp; Martin, W. (2010). Molecular poltergeists: Mitochondrial DNA copies (numts) in sequenced nuclear genomes. </w:t>
      </w:r>
      <w:r w:rsidRPr="00E64425">
        <w:rPr>
          <w:rFonts w:cs="Times New Roman"/>
          <w:i/>
          <w:iCs/>
          <w:noProof/>
        </w:rPr>
        <w:t>PLoS Genetics</w:t>
      </w:r>
      <w:r w:rsidRPr="00E64425">
        <w:rPr>
          <w:rFonts w:cs="Times New Roman"/>
          <w:noProof/>
        </w:rPr>
        <w:t xml:space="preserve">, </w:t>
      </w:r>
      <w:r w:rsidRPr="00E64425">
        <w:rPr>
          <w:rFonts w:cs="Times New Roman"/>
          <w:i/>
          <w:iCs/>
          <w:noProof/>
        </w:rPr>
        <w:t>6</w:t>
      </w:r>
      <w:r w:rsidRPr="00E64425">
        <w:rPr>
          <w:rFonts w:cs="Times New Roman"/>
          <w:noProof/>
        </w:rPr>
        <w:t>(2). https://doi.org/10.1371/journal.pgen.1000834</w:t>
      </w:r>
    </w:p>
    <w:p w14:paraId="1AD8B210"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Heinen, T. J. A. J., Staubach, F., Häming, D., &amp; Tautz, D. (2009). Emergence of a New Gene from an Intergenic Region. </w:t>
      </w:r>
      <w:r w:rsidRPr="00E64425">
        <w:rPr>
          <w:rFonts w:cs="Times New Roman"/>
          <w:i/>
          <w:iCs/>
          <w:noProof/>
        </w:rPr>
        <w:t>Current Biology</w:t>
      </w:r>
      <w:r w:rsidRPr="00E64425">
        <w:rPr>
          <w:rFonts w:cs="Times New Roman"/>
          <w:noProof/>
        </w:rPr>
        <w:t xml:space="preserve">, </w:t>
      </w:r>
      <w:r w:rsidRPr="00E64425">
        <w:rPr>
          <w:rFonts w:cs="Times New Roman"/>
          <w:i/>
          <w:iCs/>
          <w:noProof/>
        </w:rPr>
        <w:t>19</w:t>
      </w:r>
      <w:r w:rsidRPr="00E64425">
        <w:rPr>
          <w:rFonts w:cs="Times New Roman"/>
          <w:noProof/>
        </w:rPr>
        <w:t>(18), 1527–1531. https://doi.org/10.1016/j.cub.2009.07.049</w:t>
      </w:r>
    </w:p>
    <w:p w14:paraId="0633E0D0"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Huang, C. Y., Ayliffe, M. A., &amp; Timmis, J. N. (2003). Direct measurement of the transfer rate of chloroplast DNA into the nucleus. </w:t>
      </w:r>
      <w:r w:rsidRPr="00E64425">
        <w:rPr>
          <w:rFonts w:cs="Times New Roman"/>
          <w:i/>
          <w:iCs/>
          <w:noProof/>
        </w:rPr>
        <w:t>Nature</w:t>
      </w:r>
      <w:r w:rsidRPr="00E64425">
        <w:rPr>
          <w:rFonts w:cs="Times New Roman"/>
          <w:noProof/>
        </w:rPr>
        <w:t xml:space="preserve">, </w:t>
      </w:r>
      <w:r w:rsidRPr="00E64425">
        <w:rPr>
          <w:rFonts w:cs="Times New Roman"/>
          <w:i/>
          <w:iCs/>
          <w:noProof/>
        </w:rPr>
        <w:t>422</w:t>
      </w:r>
      <w:r w:rsidRPr="00E64425">
        <w:rPr>
          <w:rFonts w:cs="Times New Roman"/>
          <w:noProof/>
        </w:rPr>
        <w:t>(6927), 72–76. https://doi.org/10.1038/nature01435</w:t>
      </w:r>
    </w:p>
    <w:p w14:paraId="0F444C9B"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Huang, C. Y., Grünheit, N., Ahmadinejad, N., Timmis, J. N., &amp; Martin, W. (2005). Mutational decay and age of chloroplast and mitochondrial genomes transferred recently to angiosperm nuclear chromosomes. </w:t>
      </w:r>
      <w:r w:rsidRPr="00E64425">
        <w:rPr>
          <w:rFonts w:cs="Times New Roman"/>
          <w:i/>
          <w:iCs/>
          <w:noProof/>
        </w:rPr>
        <w:t>Plant Physiology</w:t>
      </w:r>
      <w:r w:rsidRPr="00E64425">
        <w:rPr>
          <w:rFonts w:cs="Times New Roman"/>
          <w:noProof/>
        </w:rPr>
        <w:t xml:space="preserve">, </w:t>
      </w:r>
      <w:r w:rsidRPr="00E64425">
        <w:rPr>
          <w:rFonts w:cs="Times New Roman"/>
          <w:i/>
          <w:iCs/>
          <w:noProof/>
        </w:rPr>
        <w:t>138</w:t>
      </w:r>
      <w:r w:rsidRPr="00E64425">
        <w:rPr>
          <w:rFonts w:cs="Times New Roman"/>
          <w:noProof/>
        </w:rPr>
        <w:t>(3), 1723–1733. https://doi.org/10.1104/pp.105.060327</w:t>
      </w:r>
    </w:p>
    <w:p w14:paraId="4A3B7CE5"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Jackman, S. D., Coombe, L., Warren, R. L., Kirk, H., Trinh, E., MacLeod, T., … Birol, I. (2020). Complete Mitochondrial Genome of a Gymnosperm, Sitka Spruce (Picea sitchensis), Indicates a Complex Physical Structure. </w:t>
      </w:r>
      <w:r w:rsidRPr="00E64425">
        <w:rPr>
          <w:rFonts w:cs="Times New Roman"/>
          <w:i/>
          <w:iCs/>
          <w:noProof/>
        </w:rPr>
        <w:t>Genome Biology and Evolution</w:t>
      </w:r>
      <w:r w:rsidRPr="00E64425">
        <w:rPr>
          <w:rFonts w:cs="Times New Roman"/>
          <w:noProof/>
        </w:rPr>
        <w:t xml:space="preserve">, </w:t>
      </w:r>
      <w:r w:rsidRPr="00E64425">
        <w:rPr>
          <w:rFonts w:cs="Times New Roman"/>
          <w:i/>
          <w:iCs/>
          <w:noProof/>
        </w:rPr>
        <w:t>12</w:t>
      </w:r>
      <w:r w:rsidRPr="00E64425">
        <w:rPr>
          <w:rFonts w:cs="Times New Roman"/>
          <w:noProof/>
        </w:rPr>
        <w:t>(7), 1174–1179. https://doi.org/10.1093/gbe/evaa108</w:t>
      </w:r>
    </w:p>
    <w:p w14:paraId="67334BEF"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Jacob, F. (1977). Evolution and Tinkering. </w:t>
      </w:r>
      <w:r w:rsidRPr="00E64425">
        <w:rPr>
          <w:rFonts w:cs="Times New Roman"/>
          <w:i/>
          <w:iCs/>
          <w:noProof/>
        </w:rPr>
        <w:t>Science</w:t>
      </w:r>
      <w:r w:rsidRPr="00E64425">
        <w:rPr>
          <w:rFonts w:cs="Times New Roman"/>
          <w:noProof/>
        </w:rPr>
        <w:t xml:space="preserve">, </w:t>
      </w:r>
      <w:r w:rsidRPr="00E64425">
        <w:rPr>
          <w:rFonts w:cs="Times New Roman"/>
          <w:i/>
          <w:iCs/>
          <w:noProof/>
        </w:rPr>
        <w:t>196</w:t>
      </w:r>
      <w:r w:rsidRPr="00E64425">
        <w:rPr>
          <w:rFonts w:cs="Times New Roman"/>
          <w:noProof/>
        </w:rPr>
        <w:t>(4295), 1161–1166. https://doi.org/10.1210/jcem-10-10-1361</w:t>
      </w:r>
    </w:p>
    <w:p w14:paraId="35F4FB7F"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Jansen, R. K., Raubeson, L. A., Boore, J. L., DePamphilis, C. W., Chumley, T. W., Haberle, R. C., … Cui, L. (2005). Methods for obtaining and analyzing whole chloroplast genome sequences. </w:t>
      </w:r>
      <w:r w:rsidRPr="00E64425">
        <w:rPr>
          <w:rFonts w:cs="Times New Roman"/>
          <w:i/>
          <w:iCs/>
          <w:noProof/>
        </w:rPr>
        <w:t>Methods in Enzymology</w:t>
      </w:r>
      <w:r w:rsidRPr="00E64425">
        <w:rPr>
          <w:rFonts w:cs="Times New Roman"/>
          <w:noProof/>
        </w:rPr>
        <w:t xml:space="preserve">, </w:t>
      </w:r>
      <w:r w:rsidRPr="00E64425">
        <w:rPr>
          <w:rFonts w:cs="Times New Roman"/>
          <w:i/>
          <w:iCs/>
          <w:noProof/>
        </w:rPr>
        <w:t>395</w:t>
      </w:r>
      <w:r w:rsidRPr="00E64425">
        <w:rPr>
          <w:rFonts w:cs="Times New Roman"/>
          <w:noProof/>
        </w:rPr>
        <w:t>, 348–384. https://doi.org/10.1016/S0076-6879(05)95020-9</w:t>
      </w:r>
    </w:p>
    <w:p w14:paraId="126111A7"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Jin, J. J., Yu, W. Bin, Yang, J. B., Song, Y., Depamphilis, C. W., Yi, T. S., &amp; Li, D. Z. (2020). GetOrganelle: A fast and versatile toolkit for accurate de novo assembly of organelle genomes. </w:t>
      </w:r>
      <w:r w:rsidRPr="00E64425">
        <w:rPr>
          <w:rFonts w:cs="Times New Roman"/>
          <w:i/>
          <w:iCs/>
          <w:noProof/>
        </w:rPr>
        <w:t>Genome Biology</w:t>
      </w:r>
      <w:r w:rsidRPr="00E64425">
        <w:rPr>
          <w:rFonts w:cs="Times New Roman"/>
          <w:noProof/>
        </w:rPr>
        <w:t xml:space="preserve">, </w:t>
      </w:r>
      <w:r w:rsidRPr="00E64425">
        <w:rPr>
          <w:rFonts w:cs="Times New Roman"/>
          <w:i/>
          <w:iCs/>
          <w:noProof/>
        </w:rPr>
        <w:t>21</w:t>
      </w:r>
      <w:r w:rsidRPr="00E64425">
        <w:rPr>
          <w:rFonts w:cs="Times New Roman"/>
          <w:noProof/>
        </w:rPr>
        <w:t>(1), 1–31. https://doi.org/10.1186/s13059-020-02154-5</w:t>
      </w:r>
    </w:p>
    <w:p w14:paraId="30EEF754"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Kersten, B., Rampant, P. F., Mader, M., Le Paslier, M. C., Bounon, R., Berard, A., … Fladung, M. (2016). Genome sequences of Populus tremula chloroplast and mitochondrion: Implications for holistic poplar breeding. </w:t>
      </w:r>
      <w:r w:rsidRPr="00E64425">
        <w:rPr>
          <w:rFonts w:cs="Times New Roman"/>
          <w:i/>
          <w:iCs/>
          <w:noProof/>
        </w:rPr>
        <w:t>PLoS ONE</w:t>
      </w:r>
      <w:r w:rsidRPr="00E64425">
        <w:rPr>
          <w:rFonts w:cs="Times New Roman"/>
          <w:noProof/>
        </w:rPr>
        <w:t xml:space="preserve">, </w:t>
      </w:r>
      <w:r w:rsidRPr="00E64425">
        <w:rPr>
          <w:rFonts w:cs="Times New Roman"/>
          <w:i/>
          <w:iCs/>
          <w:noProof/>
        </w:rPr>
        <w:t>11</w:t>
      </w:r>
      <w:r w:rsidRPr="00E64425">
        <w:rPr>
          <w:rFonts w:cs="Times New Roman"/>
          <w:noProof/>
        </w:rPr>
        <w:t>(1), 1–21. https://doi.org/10.1371/journal.pone.0147209</w:t>
      </w:r>
    </w:p>
    <w:p w14:paraId="5A932C2D"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Khalturin, K., Hemmrich, G., Fraune, S., Augustin, R., &amp; Bosch, T. C. G. (2009). More than just orphans: are taxonomically-restricted genes important in evolution? </w:t>
      </w:r>
      <w:r w:rsidRPr="00E64425">
        <w:rPr>
          <w:rFonts w:cs="Times New Roman"/>
          <w:i/>
          <w:iCs/>
          <w:noProof/>
        </w:rPr>
        <w:t>Trends in Genetics</w:t>
      </w:r>
      <w:r w:rsidRPr="00E64425">
        <w:rPr>
          <w:rFonts w:cs="Times New Roman"/>
          <w:noProof/>
        </w:rPr>
        <w:t xml:space="preserve">, </w:t>
      </w:r>
      <w:r w:rsidRPr="00E64425">
        <w:rPr>
          <w:rFonts w:cs="Times New Roman"/>
          <w:i/>
          <w:iCs/>
          <w:noProof/>
        </w:rPr>
        <w:lastRenderedPageBreak/>
        <w:t>25</w:t>
      </w:r>
      <w:r w:rsidRPr="00E64425">
        <w:rPr>
          <w:rFonts w:cs="Times New Roman"/>
          <w:noProof/>
        </w:rPr>
        <w:t>(9), 404–413. https://doi.org/10.1016/j.tig.2009.07.006</w:t>
      </w:r>
    </w:p>
    <w:p w14:paraId="5B12B24E"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Klasberg, S., Bitard-Feildel, T., &amp; Mallet, L. (2016). Computational identification of novel genes: Current and future perspectives. </w:t>
      </w:r>
      <w:r w:rsidRPr="00E64425">
        <w:rPr>
          <w:rFonts w:cs="Times New Roman"/>
          <w:i/>
          <w:iCs/>
          <w:noProof/>
        </w:rPr>
        <w:t>Bioinformatics and Biology Insights</w:t>
      </w:r>
      <w:r w:rsidRPr="00E64425">
        <w:rPr>
          <w:rFonts w:cs="Times New Roman"/>
          <w:noProof/>
        </w:rPr>
        <w:t xml:space="preserve">, </w:t>
      </w:r>
      <w:r w:rsidRPr="00E64425">
        <w:rPr>
          <w:rFonts w:cs="Times New Roman"/>
          <w:i/>
          <w:iCs/>
          <w:noProof/>
        </w:rPr>
        <w:t>10</w:t>
      </w:r>
      <w:r w:rsidRPr="00E64425">
        <w:rPr>
          <w:rFonts w:cs="Times New Roman"/>
          <w:noProof/>
        </w:rPr>
        <w:t>, 121–131. https://doi.org/10.4137/BBI.S39950</w:t>
      </w:r>
    </w:p>
    <w:p w14:paraId="774F531E"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Kleine, T., Maier, U. G., &amp; Leister, D. (2009). DNA Transfer from Organelles to the Nucleus: The Idiosyncratic Genetics of Endosymbiosis. </w:t>
      </w:r>
      <w:r w:rsidRPr="00E64425">
        <w:rPr>
          <w:rFonts w:cs="Times New Roman"/>
          <w:i/>
          <w:iCs/>
          <w:noProof/>
        </w:rPr>
        <w:t>Annual Review of Plant Biology</w:t>
      </w:r>
      <w:r w:rsidRPr="00E64425">
        <w:rPr>
          <w:rFonts w:cs="Times New Roman"/>
          <w:noProof/>
        </w:rPr>
        <w:t xml:space="preserve">, </w:t>
      </w:r>
      <w:r w:rsidRPr="00E64425">
        <w:rPr>
          <w:rFonts w:cs="Times New Roman"/>
          <w:i/>
          <w:iCs/>
          <w:noProof/>
        </w:rPr>
        <w:t>60</w:t>
      </w:r>
      <w:r w:rsidRPr="00E64425">
        <w:rPr>
          <w:rFonts w:cs="Times New Roman"/>
          <w:noProof/>
        </w:rPr>
        <w:t>(1), 115–138. https://doi.org/10.1146/annurev.arplant.043008.092119</w:t>
      </w:r>
    </w:p>
    <w:p w14:paraId="39349E9C"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Knowles, D. G., Mclysaght, A., Knowles, D. G., &amp; Mclysaght, A. (2009). Recent de novo origin of human protein-coding genes. </w:t>
      </w:r>
      <w:r w:rsidRPr="00E64425">
        <w:rPr>
          <w:rFonts w:cs="Times New Roman"/>
          <w:i/>
          <w:iCs/>
          <w:noProof/>
        </w:rPr>
        <w:t>Genome Research</w:t>
      </w:r>
      <w:r w:rsidRPr="00E64425">
        <w:rPr>
          <w:rFonts w:cs="Times New Roman"/>
          <w:noProof/>
        </w:rPr>
        <w:t xml:space="preserve">, </w:t>
      </w:r>
      <w:r w:rsidRPr="00E64425">
        <w:rPr>
          <w:rFonts w:cs="Times New Roman"/>
          <w:i/>
          <w:iCs/>
          <w:noProof/>
        </w:rPr>
        <w:t>19</w:t>
      </w:r>
      <w:r w:rsidRPr="00E64425">
        <w:rPr>
          <w:rFonts w:cs="Times New Roman"/>
          <w:noProof/>
        </w:rPr>
        <w:t>, 1–9. https://doi.org/10.1101/gr.095026.109</w:t>
      </w:r>
    </w:p>
    <w:p w14:paraId="32B59220"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Koren, S., Walenz, B. P., Berlin, K., Miller, J. R., Bergman, N. H., &amp; Phillippy, A. M. (2017). Canu: Scalable and accurate long-read assembly via adaptive κ-mer weighting and repeat separation. </w:t>
      </w:r>
      <w:r w:rsidRPr="00E64425">
        <w:rPr>
          <w:rFonts w:cs="Times New Roman"/>
          <w:i/>
          <w:iCs/>
          <w:noProof/>
        </w:rPr>
        <w:t>Genome Research</w:t>
      </w:r>
      <w:r w:rsidRPr="00E64425">
        <w:rPr>
          <w:rFonts w:cs="Times New Roman"/>
          <w:noProof/>
        </w:rPr>
        <w:t xml:space="preserve">, </w:t>
      </w:r>
      <w:r w:rsidRPr="00E64425">
        <w:rPr>
          <w:rFonts w:cs="Times New Roman"/>
          <w:i/>
          <w:iCs/>
          <w:noProof/>
        </w:rPr>
        <w:t>27</w:t>
      </w:r>
      <w:r w:rsidRPr="00E64425">
        <w:rPr>
          <w:rFonts w:cs="Times New Roman"/>
          <w:noProof/>
        </w:rPr>
        <w:t>(5), 722–736. https://doi.org/10.1101/gr.215087.116</w:t>
      </w:r>
    </w:p>
    <w:p w14:paraId="7AB3AC17"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Leister, D. (2005). Origin, evolution and genetic effects of nuclear insertions of organelle DNA. </w:t>
      </w:r>
      <w:r w:rsidRPr="00E64425">
        <w:rPr>
          <w:rFonts w:cs="Times New Roman"/>
          <w:i/>
          <w:iCs/>
          <w:noProof/>
        </w:rPr>
        <w:t>Trends in Genetics</w:t>
      </w:r>
      <w:r w:rsidRPr="00E64425">
        <w:rPr>
          <w:rFonts w:cs="Times New Roman"/>
          <w:noProof/>
        </w:rPr>
        <w:t xml:space="preserve">, </w:t>
      </w:r>
      <w:r w:rsidRPr="00E64425">
        <w:rPr>
          <w:rFonts w:cs="Times New Roman"/>
          <w:i/>
          <w:iCs/>
          <w:noProof/>
        </w:rPr>
        <w:t>21</w:t>
      </w:r>
      <w:r w:rsidRPr="00E64425">
        <w:rPr>
          <w:rFonts w:cs="Times New Roman"/>
          <w:noProof/>
        </w:rPr>
        <w:t>(12), 655–663. https://doi.org/10.1016/j.tig.2005.09.004</w:t>
      </w:r>
    </w:p>
    <w:p w14:paraId="59DDDFB9"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Levine, M. T., Jones, C. D., Kern, A. D., Lindfors, H. A., &amp; Begun, D. J. (2006). Novel genes derived from noncoding DNA in Drosophila melanogaster are frequently X-linked and exhibit testis-biased expression. </w:t>
      </w:r>
      <w:r w:rsidRPr="00E64425">
        <w:rPr>
          <w:rFonts w:cs="Times New Roman"/>
          <w:i/>
          <w:iCs/>
          <w:noProof/>
        </w:rPr>
        <w:t>Proceedings of the National Academy of Sciences of the United States of America</w:t>
      </w:r>
      <w:r w:rsidRPr="00E64425">
        <w:rPr>
          <w:rFonts w:cs="Times New Roman"/>
          <w:noProof/>
        </w:rPr>
        <w:t xml:space="preserve">, </w:t>
      </w:r>
      <w:r w:rsidRPr="00E64425">
        <w:rPr>
          <w:rFonts w:cs="Times New Roman"/>
          <w:i/>
          <w:iCs/>
          <w:noProof/>
        </w:rPr>
        <w:t>103</w:t>
      </w:r>
      <w:r w:rsidRPr="00E64425">
        <w:rPr>
          <w:rFonts w:cs="Times New Roman"/>
          <w:noProof/>
        </w:rPr>
        <w:t>(26), 9935–9939. https://doi.org/10.1073/pnas.0509809103</w:t>
      </w:r>
    </w:p>
    <w:p w14:paraId="2FDC8F4E"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Li, L., Foster, C. M., Gan, Q., Nettleton, D., James, M. G., Myers, A. M., &amp; Wurtele, E. S. (2009). Identification of the novel protein QQS as a component of the starch metabolic network in Arabidopsis leaves. </w:t>
      </w:r>
      <w:r w:rsidRPr="00E64425">
        <w:rPr>
          <w:rFonts w:cs="Times New Roman"/>
          <w:i/>
          <w:iCs/>
          <w:noProof/>
        </w:rPr>
        <w:t>Plant Journal</w:t>
      </w:r>
      <w:r w:rsidRPr="00E64425">
        <w:rPr>
          <w:rFonts w:cs="Times New Roman"/>
          <w:noProof/>
        </w:rPr>
        <w:t xml:space="preserve">, </w:t>
      </w:r>
      <w:r w:rsidRPr="00E64425">
        <w:rPr>
          <w:rFonts w:cs="Times New Roman"/>
          <w:i/>
          <w:iCs/>
          <w:noProof/>
        </w:rPr>
        <w:t>58</w:t>
      </w:r>
      <w:r w:rsidRPr="00E64425">
        <w:rPr>
          <w:rFonts w:cs="Times New Roman"/>
          <w:noProof/>
        </w:rPr>
        <w:t>(3), 485–498. https://doi.org/10.1111/j.1365-313X.2009.03793.x</w:t>
      </w:r>
    </w:p>
    <w:p w14:paraId="3B7267AC"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Li, S. F., Li, J. R., Wang, J., Dong, R., Jia, K. L., Zhu, H. W., … Gao, W. J. (2019). Cytogenetic and genomic organization analyses of chloroplast DNA invasions in the nuclear genome of Asparagus officinalis L. provides signatures of evolutionary complexity and informativity in sex chromosome evolution. </w:t>
      </w:r>
      <w:r w:rsidRPr="00E64425">
        <w:rPr>
          <w:rFonts w:cs="Times New Roman"/>
          <w:i/>
          <w:iCs/>
          <w:noProof/>
        </w:rPr>
        <w:t>BMC Plant Biology</w:t>
      </w:r>
      <w:r w:rsidRPr="00E64425">
        <w:rPr>
          <w:rFonts w:cs="Times New Roman"/>
          <w:noProof/>
        </w:rPr>
        <w:t xml:space="preserve">, </w:t>
      </w:r>
      <w:r w:rsidRPr="00E64425">
        <w:rPr>
          <w:rFonts w:cs="Times New Roman"/>
          <w:i/>
          <w:iCs/>
          <w:noProof/>
        </w:rPr>
        <w:t>19</w:t>
      </w:r>
      <w:r w:rsidRPr="00E64425">
        <w:rPr>
          <w:rFonts w:cs="Times New Roman"/>
          <w:noProof/>
        </w:rPr>
        <w:t>(1), 1–13. https://doi.org/10.1186/s12870-019-1975-8</w:t>
      </w:r>
    </w:p>
    <w:p w14:paraId="2EFFFE23"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Li, Z.-W., Chen, X., Wu, Q., Hagmann, J., Han, T.-S., Zou, Y.-P., … Guo, Y.-L. (2016). On the Origin of De Novo Genes in Arabidopsis thaliana Populations. </w:t>
      </w:r>
      <w:r w:rsidRPr="00E64425">
        <w:rPr>
          <w:rFonts w:cs="Times New Roman"/>
          <w:i/>
          <w:iCs/>
          <w:noProof/>
        </w:rPr>
        <w:t>Genome Biology and Evolution</w:t>
      </w:r>
      <w:r w:rsidRPr="00E64425">
        <w:rPr>
          <w:rFonts w:cs="Times New Roman"/>
          <w:noProof/>
        </w:rPr>
        <w:t xml:space="preserve">, </w:t>
      </w:r>
      <w:r w:rsidRPr="00E64425">
        <w:rPr>
          <w:rFonts w:cs="Times New Roman"/>
          <w:i/>
          <w:iCs/>
          <w:noProof/>
        </w:rPr>
        <w:t>8</w:t>
      </w:r>
      <w:r w:rsidRPr="00E64425">
        <w:rPr>
          <w:rFonts w:cs="Times New Roman"/>
          <w:noProof/>
        </w:rPr>
        <w:t>(7), 2190–2202. https://doi.org/10.1093/gbe/evw164</w:t>
      </w:r>
    </w:p>
    <w:p w14:paraId="2DC55796"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Light, S., Sagit, R., Sachenkova, O., Ekman, D., &amp; Elofsson, A. (2013). Protein expansion is primarily due to indels in intrinsically disordered regions. </w:t>
      </w:r>
      <w:r w:rsidRPr="00E64425">
        <w:rPr>
          <w:rFonts w:cs="Times New Roman"/>
          <w:i/>
          <w:iCs/>
          <w:noProof/>
        </w:rPr>
        <w:t>Molecular Biology and Evolution</w:t>
      </w:r>
      <w:r w:rsidRPr="00E64425">
        <w:rPr>
          <w:rFonts w:cs="Times New Roman"/>
          <w:noProof/>
        </w:rPr>
        <w:t xml:space="preserve">, </w:t>
      </w:r>
      <w:r w:rsidRPr="00E64425">
        <w:rPr>
          <w:rFonts w:cs="Times New Roman"/>
          <w:i/>
          <w:iCs/>
          <w:noProof/>
        </w:rPr>
        <w:t>30</w:t>
      </w:r>
      <w:r w:rsidRPr="00E64425">
        <w:rPr>
          <w:rFonts w:cs="Times New Roman"/>
          <w:noProof/>
        </w:rPr>
        <w:t>(12), 2645–2653. https://doi.org/10.1093/molbev/mst157</w:t>
      </w:r>
    </w:p>
    <w:p w14:paraId="06BDEB4A"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Ma, X., Fan, J., Wu, Y., Zhao, S., Zheng, X., Sun, C., &amp; Tan, L. (2020). Whole-genome de novo assemblies reveal extensive structural variations and dynamic organelle-to-nucleus DNA transfers in African and Asian rice. </w:t>
      </w:r>
      <w:r w:rsidRPr="00E64425">
        <w:rPr>
          <w:rFonts w:cs="Times New Roman"/>
          <w:i/>
          <w:iCs/>
          <w:noProof/>
        </w:rPr>
        <w:t>Plant Journal</w:t>
      </w:r>
      <w:r w:rsidRPr="00E64425">
        <w:rPr>
          <w:rFonts w:cs="Times New Roman"/>
          <w:noProof/>
        </w:rPr>
        <w:t xml:space="preserve">, </w:t>
      </w:r>
      <w:r w:rsidRPr="00E64425">
        <w:rPr>
          <w:rFonts w:cs="Times New Roman"/>
          <w:i/>
          <w:iCs/>
          <w:noProof/>
        </w:rPr>
        <w:t>104</w:t>
      </w:r>
      <w:r w:rsidRPr="00E64425">
        <w:rPr>
          <w:rFonts w:cs="Times New Roman"/>
          <w:noProof/>
        </w:rPr>
        <w:t>(3), 596–612. https://doi.org/10.1111/tpj.14946</w:t>
      </w:r>
    </w:p>
    <w:p w14:paraId="3EF82889"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Majic, P., &amp; Payne, J. L. (2019). Enhancers facilitate the birth of de novo genes and their integration into regulatory networks. </w:t>
      </w:r>
      <w:r w:rsidRPr="00E64425">
        <w:rPr>
          <w:rFonts w:cs="Times New Roman"/>
          <w:i/>
          <w:iCs/>
          <w:noProof/>
        </w:rPr>
        <w:t>BioRxiv</w:t>
      </w:r>
      <w:r w:rsidRPr="00E64425">
        <w:rPr>
          <w:rFonts w:cs="Times New Roman"/>
          <w:noProof/>
        </w:rPr>
        <w:t>, 616581. https://doi.org/10.1101/616581</w:t>
      </w:r>
    </w:p>
    <w:p w14:paraId="5137E184"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Marçais, G., Delcher, A. L., Phillippy, A. M., Coston, R., Salzberg, S. L., &amp; Zimin, A. (2018). MUMmer4: A fast and versatile genome alignment system. </w:t>
      </w:r>
      <w:r w:rsidRPr="00E64425">
        <w:rPr>
          <w:rFonts w:cs="Times New Roman"/>
          <w:i/>
          <w:iCs/>
          <w:noProof/>
        </w:rPr>
        <w:t>PLoS Computational Biology</w:t>
      </w:r>
      <w:r w:rsidRPr="00E64425">
        <w:rPr>
          <w:rFonts w:cs="Times New Roman"/>
          <w:noProof/>
        </w:rPr>
        <w:t xml:space="preserve">, </w:t>
      </w:r>
      <w:r w:rsidRPr="00E64425">
        <w:rPr>
          <w:rFonts w:cs="Times New Roman"/>
          <w:i/>
          <w:iCs/>
          <w:noProof/>
        </w:rPr>
        <w:t>14</w:t>
      </w:r>
      <w:r w:rsidRPr="00E64425">
        <w:rPr>
          <w:rFonts w:cs="Times New Roman"/>
          <w:noProof/>
        </w:rPr>
        <w:t>(1), 1–14. https://doi.org/10.1371/journal.pcbi.1005944</w:t>
      </w:r>
    </w:p>
    <w:p w14:paraId="67D3654F"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Martin, W., Rujan, T., Richly, E., Hansen, A., Cornelsen, S., Lins, T., … Penny, D. (2002). Evolutionary analysis of Arabidopsis, cyanobacterial, and chloroplast genomes reveals plastid phylogeny and thousands of cyanobacterial genes in the nucleus. </w:t>
      </w:r>
      <w:r w:rsidRPr="00E64425">
        <w:rPr>
          <w:rFonts w:cs="Times New Roman"/>
          <w:i/>
          <w:iCs/>
          <w:noProof/>
        </w:rPr>
        <w:t xml:space="preserve">Proceedings of the </w:t>
      </w:r>
      <w:r w:rsidRPr="00E64425">
        <w:rPr>
          <w:rFonts w:cs="Times New Roman"/>
          <w:i/>
          <w:iCs/>
          <w:noProof/>
        </w:rPr>
        <w:lastRenderedPageBreak/>
        <w:t>National Academy of Sciences of the United States of America</w:t>
      </w:r>
      <w:r w:rsidRPr="00E64425">
        <w:rPr>
          <w:rFonts w:cs="Times New Roman"/>
          <w:noProof/>
        </w:rPr>
        <w:t xml:space="preserve">, </w:t>
      </w:r>
      <w:r w:rsidRPr="00E64425">
        <w:rPr>
          <w:rFonts w:cs="Times New Roman"/>
          <w:i/>
          <w:iCs/>
          <w:noProof/>
        </w:rPr>
        <w:t>99</w:t>
      </w:r>
      <w:r w:rsidRPr="00E64425">
        <w:rPr>
          <w:rFonts w:cs="Times New Roman"/>
          <w:noProof/>
        </w:rPr>
        <w:t>(19), 12246–12251. https://doi.org/10.1073/pnas.182432999</w:t>
      </w:r>
    </w:p>
    <w:p w14:paraId="33E2782B"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Matsuo, M., Ito, Y., Yamauchi, R., &amp; Obokata, J. (2005). The rice nuclear genome continuously integrates, shuffles, and eliminates the chloroplast genome to cause chloroplast-nuclear DNA flux. </w:t>
      </w:r>
      <w:r w:rsidRPr="00E64425">
        <w:rPr>
          <w:rFonts w:cs="Times New Roman"/>
          <w:i/>
          <w:iCs/>
          <w:noProof/>
        </w:rPr>
        <w:t>Plant Cell</w:t>
      </w:r>
      <w:r w:rsidRPr="00E64425">
        <w:rPr>
          <w:rFonts w:cs="Times New Roman"/>
          <w:noProof/>
        </w:rPr>
        <w:t xml:space="preserve">, </w:t>
      </w:r>
      <w:r w:rsidRPr="00E64425">
        <w:rPr>
          <w:rFonts w:cs="Times New Roman"/>
          <w:i/>
          <w:iCs/>
          <w:noProof/>
        </w:rPr>
        <w:t>17</w:t>
      </w:r>
      <w:r w:rsidRPr="00E64425">
        <w:rPr>
          <w:rFonts w:cs="Times New Roman"/>
          <w:noProof/>
        </w:rPr>
        <w:t>(3), 665–675. https://doi.org/10.1105/tpc.104.027706</w:t>
      </w:r>
    </w:p>
    <w:p w14:paraId="1228D5C0"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McLysaght, A., &amp; Hurst, L. D. (2016). Open questions in the study of de novo genes: what, how and why. </w:t>
      </w:r>
      <w:r w:rsidRPr="00E64425">
        <w:rPr>
          <w:rFonts w:cs="Times New Roman"/>
          <w:i/>
          <w:iCs/>
          <w:noProof/>
        </w:rPr>
        <w:t>Nature Reviews Genetics</w:t>
      </w:r>
      <w:r w:rsidRPr="00E64425">
        <w:rPr>
          <w:rFonts w:cs="Times New Roman"/>
          <w:noProof/>
        </w:rPr>
        <w:t xml:space="preserve">, </w:t>
      </w:r>
      <w:r w:rsidRPr="00E64425">
        <w:rPr>
          <w:rFonts w:cs="Times New Roman"/>
          <w:i/>
          <w:iCs/>
          <w:noProof/>
        </w:rPr>
        <w:t>17</w:t>
      </w:r>
      <w:r w:rsidRPr="00E64425">
        <w:rPr>
          <w:rFonts w:cs="Times New Roman"/>
          <w:noProof/>
        </w:rPr>
        <w:t>(9), 567–578. https://doi.org/10.1038/nrg.2016.78</w:t>
      </w:r>
    </w:p>
    <w:p w14:paraId="439CEF35"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Michalovova, M., Vyskot, B., &amp; Kejnovsky, E. (2013). Analysis of plastid and mitochondrial DNA insertions in the nucleus (NUPTs and NUMTs) of six plant species: Size, relative age and chromosomal localization. </w:t>
      </w:r>
      <w:r w:rsidRPr="00E64425">
        <w:rPr>
          <w:rFonts w:cs="Times New Roman"/>
          <w:i/>
          <w:iCs/>
          <w:noProof/>
        </w:rPr>
        <w:t>Heredity</w:t>
      </w:r>
      <w:r w:rsidRPr="00E64425">
        <w:rPr>
          <w:rFonts w:cs="Times New Roman"/>
          <w:noProof/>
        </w:rPr>
        <w:t xml:space="preserve">, </w:t>
      </w:r>
      <w:r w:rsidRPr="00E64425">
        <w:rPr>
          <w:rFonts w:cs="Times New Roman"/>
          <w:i/>
          <w:iCs/>
          <w:noProof/>
        </w:rPr>
        <w:t>111</w:t>
      </w:r>
      <w:r w:rsidRPr="00E64425">
        <w:rPr>
          <w:rFonts w:cs="Times New Roman"/>
          <w:noProof/>
        </w:rPr>
        <w:t>(4), 314–320. https://doi.org/10.1038/hdy.2013.51</w:t>
      </w:r>
    </w:p>
    <w:p w14:paraId="76919087"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Mower, J. P. (2020). Variation in protein gene and intron content among land plant mitogenomes. </w:t>
      </w:r>
      <w:r w:rsidRPr="00E64425">
        <w:rPr>
          <w:rFonts w:cs="Times New Roman"/>
          <w:i/>
          <w:iCs/>
          <w:noProof/>
        </w:rPr>
        <w:t>Mitochondrion</w:t>
      </w:r>
      <w:r w:rsidRPr="00E64425">
        <w:rPr>
          <w:rFonts w:cs="Times New Roman"/>
          <w:noProof/>
        </w:rPr>
        <w:t xml:space="preserve">, </w:t>
      </w:r>
      <w:r w:rsidRPr="00E64425">
        <w:rPr>
          <w:rFonts w:cs="Times New Roman"/>
          <w:i/>
          <w:iCs/>
          <w:noProof/>
        </w:rPr>
        <w:t>53</w:t>
      </w:r>
      <w:r w:rsidRPr="00E64425">
        <w:rPr>
          <w:rFonts w:cs="Times New Roman"/>
          <w:noProof/>
        </w:rPr>
        <w:t>(May), 203–213. https://doi.org/10.1016/j.mito.2020.06.002</w:t>
      </w:r>
    </w:p>
    <w:p w14:paraId="496287CC"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Mukhopadhyay, J., &amp; Hausner, G. (2021). Organellar introns in fungi, algae, and plants. </w:t>
      </w:r>
      <w:r w:rsidRPr="00E64425">
        <w:rPr>
          <w:rFonts w:cs="Times New Roman"/>
          <w:i/>
          <w:iCs/>
          <w:noProof/>
        </w:rPr>
        <w:t>Cells</w:t>
      </w:r>
      <w:r w:rsidRPr="00E64425">
        <w:rPr>
          <w:rFonts w:cs="Times New Roman"/>
          <w:noProof/>
        </w:rPr>
        <w:t xml:space="preserve">, </w:t>
      </w:r>
      <w:r w:rsidRPr="00E64425">
        <w:rPr>
          <w:rFonts w:cs="Times New Roman"/>
          <w:i/>
          <w:iCs/>
          <w:noProof/>
        </w:rPr>
        <w:t>10</w:t>
      </w:r>
      <w:r w:rsidRPr="00E64425">
        <w:rPr>
          <w:rFonts w:cs="Times New Roman"/>
          <w:noProof/>
        </w:rPr>
        <w:t>(8). https://doi.org/10.3390/cells10082001</w:t>
      </w:r>
    </w:p>
    <w:p w14:paraId="64008795"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Mustárdy, L., Buttle, K., Steinbach, G., &amp; Garab, G. (2008). The three-dimensional network of the thylakoid membranes in plants: Quasihelical model of the granum-stroma assembly. </w:t>
      </w:r>
      <w:r w:rsidRPr="00E64425">
        <w:rPr>
          <w:rFonts w:cs="Times New Roman"/>
          <w:i/>
          <w:iCs/>
          <w:noProof/>
        </w:rPr>
        <w:t>Plant Cell</w:t>
      </w:r>
      <w:r w:rsidRPr="00E64425">
        <w:rPr>
          <w:rFonts w:cs="Times New Roman"/>
          <w:noProof/>
        </w:rPr>
        <w:t xml:space="preserve">, </w:t>
      </w:r>
      <w:r w:rsidRPr="00E64425">
        <w:rPr>
          <w:rFonts w:cs="Times New Roman"/>
          <w:i/>
          <w:iCs/>
          <w:noProof/>
        </w:rPr>
        <w:t>20</w:t>
      </w:r>
      <w:r w:rsidRPr="00E64425">
        <w:rPr>
          <w:rFonts w:cs="Times New Roman"/>
          <w:noProof/>
        </w:rPr>
        <w:t>(10), 2552–2557. https://doi.org/10.1105/tpc.108.059147</w:t>
      </w:r>
    </w:p>
    <w:p w14:paraId="035E3D3E"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Neme, R., &amp; Tautz, D. (2016). Fast turnover of genome transcription across evolutionary time exposes entire non-coding DNA to de novo gene emergence. </w:t>
      </w:r>
      <w:r w:rsidRPr="00E64425">
        <w:rPr>
          <w:rFonts w:cs="Times New Roman"/>
          <w:i/>
          <w:iCs/>
          <w:noProof/>
        </w:rPr>
        <w:t>ELife</w:t>
      </w:r>
      <w:r w:rsidRPr="00E64425">
        <w:rPr>
          <w:rFonts w:cs="Times New Roman"/>
          <w:noProof/>
        </w:rPr>
        <w:t xml:space="preserve">, </w:t>
      </w:r>
      <w:r w:rsidRPr="00E64425">
        <w:rPr>
          <w:rFonts w:cs="Times New Roman"/>
          <w:i/>
          <w:iCs/>
          <w:noProof/>
        </w:rPr>
        <w:t>5</w:t>
      </w:r>
      <w:r w:rsidRPr="00E64425">
        <w:rPr>
          <w:rFonts w:cs="Times New Roman"/>
          <w:noProof/>
        </w:rPr>
        <w:t>(FEBRUARY2016), 1–20. https://doi.org/10.7554/eLife.09977</w:t>
      </w:r>
    </w:p>
    <w:p w14:paraId="51602C65"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Noutsos, C., Kleine, T., Armbruster, U., DalCorso, G., &amp; Leister, D. (2007). Nuclear insertions of organellar DNA can create novel patches of functional exon sequences. </w:t>
      </w:r>
      <w:r w:rsidRPr="00E64425">
        <w:rPr>
          <w:rFonts w:cs="Times New Roman"/>
          <w:i/>
          <w:iCs/>
          <w:noProof/>
        </w:rPr>
        <w:t>Trends in Genetics</w:t>
      </w:r>
      <w:r w:rsidRPr="00E64425">
        <w:rPr>
          <w:rFonts w:cs="Times New Roman"/>
          <w:noProof/>
        </w:rPr>
        <w:t xml:space="preserve">, </w:t>
      </w:r>
      <w:r w:rsidRPr="00E64425">
        <w:rPr>
          <w:rFonts w:cs="Times New Roman"/>
          <w:i/>
          <w:iCs/>
          <w:noProof/>
        </w:rPr>
        <w:t>23</w:t>
      </w:r>
      <w:r w:rsidRPr="00E64425">
        <w:rPr>
          <w:rFonts w:cs="Times New Roman"/>
          <w:noProof/>
        </w:rPr>
        <w:t>(12), 597–601. https://doi.org/10.1016/j.tig.2007.08.016</w:t>
      </w:r>
    </w:p>
    <w:p w14:paraId="7193F35C"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Nugent, J. M., &amp; Palmer, J. D. (1991). RNA-mediated transfer of the gene coxII from the mitochondrion to the nucleus during flowering plant evolution. </w:t>
      </w:r>
      <w:r w:rsidRPr="00E64425">
        <w:rPr>
          <w:rFonts w:cs="Times New Roman"/>
          <w:i/>
          <w:iCs/>
          <w:noProof/>
        </w:rPr>
        <w:t>Cell</w:t>
      </w:r>
      <w:r w:rsidRPr="00E64425">
        <w:rPr>
          <w:rFonts w:cs="Times New Roman"/>
          <w:noProof/>
        </w:rPr>
        <w:t xml:space="preserve">, </w:t>
      </w:r>
      <w:r w:rsidRPr="00E64425">
        <w:rPr>
          <w:rFonts w:cs="Times New Roman"/>
          <w:i/>
          <w:iCs/>
          <w:noProof/>
        </w:rPr>
        <w:t>66</w:t>
      </w:r>
      <w:r w:rsidRPr="00E64425">
        <w:rPr>
          <w:rFonts w:cs="Times New Roman"/>
          <w:noProof/>
        </w:rPr>
        <w:t>(3), 473–481. https://doi.org/10.1016/0092-8674(81)90011-8</w:t>
      </w:r>
    </w:p>
    <w:p w14:paraId="53EBF400"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Oda, K., Yamato, K., Ohta, E., Nakamura, Y., Takemura, M., Nozato, N., … Ohyama, K. (1992). Gene organization deduced from the complete sequence of liverwort Marchantia polymorpha mitochondrial DNA. A primitive form of plant mitochondrial genome. </w:t>
      </w:r>
      <w:r w:rsidRPr="00E64425">
        <w:rPr>
          <w:rFonts w:cs="Times New Roman"/>
          <w:i/>
          <w:iCs/>
          <w:noProof/>
        </w:rPr>
        <w:t>Journal of Molecular Biology</w:t>
      </w:r>
      <w:r w:rsidRPr="00E64425">
        <w:rPr>
          <w:rFonts w:cs="Times New Roman"/>
          <w:noProof/>
        </w:rPr>
        <w:t xml:space="preserve">, </w:t>
      </w:r>
      <w:r w:rsidRPr="00E64425">
        <w:rPr>
          <w:rFonts w:cs="Times New Roman"/>
          <w:i/>
          <w:iCs/>
          <w:noProof/>
        </w:rPr>
        <w:t>223</w:t>
      </w:r>
      <w:r w:rsidRPr="00E64425">
        <w:rPr>
          <w:rFonts w:cs="Times New Roman"/>
          <w:noProof/>
        </w:rPr>
        <w:t>(1), 1–7. https://doi.org/10.1016/0022-2836(92)90708-R</w:t>
      </w:r>
    </w:p>
    <w:p w14:paraId="1DFC8D47"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Ohno, S. (1970). </w:t>
      </w:r>
      <w:r w:rsidRPr="00E64425">
        <w:rPr>
          <w:rFonts w:cs="Times New Roman"/>
          <w:i/>
          <w:iCs/>
          <w:noProof/>
        </w:rPr>
        <w:t>Evolution by gene duplication</w:t>
      </w:r>
      <w:r w:rsidRPr="00E64425">
        <w:rPr>
          <w:rFonts w:cs="Times New Roman"/>
          <w:noProof/>
        </w:rPr>
        <w:t>. Springer Science \&amp; Business Media.</w:t>
      </w:r>
    </w:p>
    <w:p w14:paraId="7CC49822"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Ohyama, K., Fukuzawa, H., Kohchi, T., Shirai, H., Sano, T., Sano, S., … Ozeki, H. (1986). Chloroplast gene organization deduced from complete sequence of liverwort marchantia polymorpha chloroplast DNA. </w:t>
      </w:r>
      <w:r w:rsidRPr="00E64425">
        <w:rPr>
          <w:rFonts w:cs="Times New Roman"/>
          <w:i/>
          <w:iCs/>
          <w:noProof/>
        </w:rPr>
        <w:t>Nature</w:t>
      </w:r>
      <w:r w:rsidRPr="00E64425">
        <w:rPr>
          <w:rFonts w:cs="Times New Roman"/>
          <w:noProof/>
        </w:rPr>
        <w:t xml:space="preserve">, </w:t>
      </w:r>
      <w:r w:rsidRPr="00E64425">
        <w:rPr>
          <w:rFonts w:cs="Times New Roman"/>
          <w:i/>
          <w:iCs/>
          <w:noProof/>
        </w:rPr>
        <w:t>322</w:t>
      </w:r>
      <w:r w:rsidRPr="00E64425">
        <w:rPr>
          <w:rFonts w:cs="Times New Roman"/>
          <w:noProof/>
        </w:rPr>
        <w:t>(6079), 572–574. https://doi.org/10.1038/322572a0</w:t>
      </w:r>
    </w:p>
    <w:p w14:paraId="1D0D4B29"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Oldenburg, D. J., &amp; Bendich, A. J. (2015). DNA maintenance in plastids and mitochondria of plants. </w:t>
      </w:r>
      <w:r w:rsidRPr="00E64425">
        <w:rPr>
          <w:rFonts w:cs="Times New Roman"/>
          <w:i/>
          <w:iCs/>
          <w:noProof/>
        </w:rPr>
        <w:t>Frontiers in Plant Science</w:t>
      </w:r>
      <w:r w:rsidRPr="00E64425">
        <w:rPr>
          <w:rFonts w:cs="Times New Roman"/>
          <w:noProof/>
        </w:rPr>
        <w:t xml:space="preserve">, </w:t>
      </w:r>
      <w:r w:rsidRPr="00E64425">
        <w:rPr>
          <w:rFonts w:cs="Times New Roman"/>
          <w:i/>
          <w:iCs/>
          <w:noProof/>
        </w:rPr>
        <w:t>6</w:t>
      </w:r>
      <w:r w:rsidRPr="00E64425">
        <w:rPr>
          <w:rFonts w:cs="Times New Roman"/>
          <w:noProof/>
        </w:rPr>
        <w:t>(OCTOBER), 1–15. https://doi.org/10.3389/fpls.2015.00883</w:t>
      </w:r>
    </w:p>
    <w:p w14:paraId="220932A5"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Palmer, J. D., Jansen, R. K., Michaels, H. J., Chase, M. W., &amp; Manhart, J. R. (1988). Chloroplast DNA Variation and Plant Phylogeny. </w:t>
      </w:r>
      <w:r w:rsidRPr="00E64425">
        <w:rPr>
          <w:rFonts w:cs="Times New Roman"/>
          <w:i/>
          <w:iCs/>
          <w:noProof/>
        </w:rPr>
        <w:t>Annals of the Missouri Botanical Garden</w:t>
      </w:r>
      <w:r w:rsidRPr="00E64425">
        <w:rPr>
          <w:rFonts w:cs="Times New Roman"/>
          <w:noProof/>
        </w:rPr>
        <w:t xml:space="preserve">, </w:t>
      </w:r>
      <w:r w:rsidRPr="00E64425">
        <w:rPr>
          <w:rFonts w:cs="Times New Roman"/>
          <w:i/>
          <w:iCs/>
          <w:noProof/>
        </w:rPr>
        <w:t>75</w:t>
      </w:r>
      <w:r w:rsidRPr="00E64425">
        <w:rPr>
          <w:rFonts w:cs="Times New Roman"/>
          <w:noProof/>
        </w:rPr>
        <w:t>(4), 1180–1206.</w:t>
      </w:r>
    </w:p>
    <w:p w14:paraId="55E8BA1C"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Pinard, D., Myburg, A. A., &amp; Mizrachi, E. (2019). The plastid and mitochondrial genomes of Eucalyptus grandis. </w:t>
      </w:r>
      <w:r w:rsidRPr="00E64425">
        <w:rPr>
          <w:rFonts w:cs="Times New Roman"/>
          <w:i/>
          <w:iCs/>
          <w:noProof/>
        </w:rPr>
        <w:t>BMC Genomics</w:t>
      </w:r>
      <w:r w:rsidRPr="00E64425">
        <w:rPr>
          <w:rFonts w:cs="Times New Roman"/>
          <w:noProof/>
        </w:rPr>
        <w:t xml:space="preserve">, </w:t>
      </w:r>
      <w:r w:rsidRPr="00E64425">
        <w:rPr>
          <w:rFonts w:cs="Times New Roman"/>
          <w:i/>
          <w:iCs/>
          <w:noProof/>
        </w:rPr>
        <w:t>20</w:t>
      </w:r>
      <w:r w:rsidRPr="00E64425">
        <w:rPr>
          <w:rFonts w:cs="Times New Roman"/>
          <w:noProof/>
        </w:rPr>
        <w:t>(1), 1–14. https://doi.org/10.1186/s12864-019-5444-4</w:t>
      </w:r>
    </w:p>
    <w:p w14:paraId="5C3899AA"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lastRenderedPageBreak/>
        <w:t xml:space="preserve">Prjibelski, A., Antipov, D., Meleshko, D., Lapidus, A., &amp; Korobeynikov, A. (2020). Using SPAdes De Novo Assembler. </w:t>
      </w:r>
      <w:r w:rsidRPr="00E64425">
        <w:rPr>
          <w:rFonts w:cs="Times New Roman"/>
          <w:i/>
          <w:iCs/>
          <w:noProof/>
        </w:rPr>
        <w:t>Current Protocols in Bioinformatics</w:t>
      </w:r>
      <w:r w:rsidRPr="00E64425">
        <w:rPr>
          <w:rFonts w:cs="Times New Roman"/>
          <w:noProof/>
        </w:rPr>
        <w:t xml:space="preserve">, </w:t>
      </w:r>
      <w:r w:rsidRPr="00E64425">
        <w:rPr>
          <w:rFonts w:cs="Times New Roman"/>
          <w:i/>
          <w:iCs/>
          <w:noProof/>
        </w:rPr>
        <w:t>70</w:t>
      </w:r>
      <w:r w:rsidRPr="00E64425">
        <w:rPr>
          <w:rFonts w:cs="Times New Roman"/>
          <w:noProof/>
        </w:rPr>
        <w:t>(1), 1–29. https://doi.org/10.1002/cpbi.102</w:t>
      </w:r>
    </w:p>
    <w:p w14:paraId="026BF244"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Qi, M., Zheng, W., Zhao, X., Hohenstein, J. D., Kandel, Y., O’Conner, S., … Li, L. (2019). QQS orphan gene and its interactor NF-YC4 reduce susceptibility to pathogens and pests. </w:t>
      </w:r>
      <w:r w:rsidRPr="00E64425">
        <w:rPr>
          <w:rFonts w:cs="Times New Roman"/>
          <w:i/>
          <w:iCs/>
          <w:noProof/>
        </w:rPr>
        <w:t>Plant Biotechnology Journal</w:t>
      </w:r>
      <w:r w:rsidRPr="00E64425">
        <w:rPr>
          <w:rFonts w:cs="Times New Roman"/>
          <w:noProof/>
        </w:rPr>
        <w:t xml:space="preserve">, </w:t>
      </w:r>
      <w:r w:rsidRPr="00E64425">
        <w:rPr>
          <w:rFonts w:cs="Times New Roman"/>
          <w:i/>
          <w:iCs/>
          <w:noProof/>
        </w:rPr>
        <w:t>17</w:t>
      </w:r>
      <w:r w:rsidRPr="00E64425">
        <w:rPr>
          <w:rFonts w:cs="Times New Roman"/>
          <w:noProof/>
        </w:rPr>
        <w:t>(1), 252–263. https://doi.org/10.1111/pbi.12961</w:t>
      </w:r>
    </w:p>
    <w:p w14:paraId="0239D693"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Reinhardt, J. A., Wanjiru, B. M., Brant, A. T., Saelao, P., Begun, D. J., &amp; Jones, C. D. (2013). De Novo ORFs in Drosophila Are Important to Organismal Fitness and Evolved Rapidly from Previously Non-coding Sequences. </w:t>
      </w:r>
      <w:r w:rsidRPr="00E64425">
        <w:rPr>
          <w:rFonts w:cs="Times New Roman"/>
          <w:i/>
          <w:iCs/>
          <w:noProof/>
        </w:rPr>
        <w:t>PLoS Genetics</w:t>
      </w:r>
      <w:r w:rsidRPr="00E64425">
        <w:rPr>
          <w:rFonts w:cs="Times New Roman"/>
          <w:noProof/>
        </w:rPr>
        <w:t xml:space="preserve">, </w:t>
      </w:r>
      <w:r w:rsidRPr="00E64425">
        <w:rPr>
          <w:rFonts w:cs="Times New Roman"/>
          <w:i/>
          <w:iCs/>
          <w:noProof/>
        </w:rPr>
        <w:t>9</w:t>
      </w:r>
      <w:r w:rsidRPr="00E64425">
        <w:rPr>
          <w:rFonts w:cs="Times New Roman"/>
          <w:noProof/>
        </w:rPr>
        <w:t>(10). https://doi.org/10.1371/journal.pgen.1003860</w:t>
      </w:r>
    </w:p>
    <w:p w14:paraId="7FE97DE6"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Richly, E., &amp; Leister, D. (2004a). NUMTs in sequenced eukaryotic genomes. </w:t>
      </w:r>
      <w:r w:rsidRPr="00E64425">
        <w:rPr>
          <w:rFonts w:cs="Times New Roman"/>
          <w:i/>
          <w:iCs/>
          <w:noProof/>
        </w:rPr>
        <w:t>Molecular Biology and Evolution</w:t>
      </w:r>
      <w:r w:rsidRPr="00E64425">
        <w:rPr>
          <w:rFonts w:cs="Times New Roman"/>
          <w:noProof/>
        </w:rPr>
        <w:t xml:space="preserve">, </w:t>
      </w:r>
      <w:r w:rsidRPr="00E64425">
        <w:rPr>
          <w:rFonts w:cs="Times New Roman"/>
          <w:i/>
          <w:iCs/>
          <w:noProof/>
        </w:rPr>
        <w:t>21</w:t>
      </w:r>
      <w:r w:rsidRPr="00E64425">
        <w:rPr>
          <w:rFonts w:cs="Times New Roman"/>
          <w:noProof/>
        </w:rPr>
        <w:t>(6), 1081–1084. https://doi.org/10.1093/molbev/msh110</w:t>
      </w:r>
    </w:p>
    <w:p w14:paraId="3B8FCFBF"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Richly, E., &amp; Leister, D. (2004b). NUPTs in sequenced eukaryotes and their genomic organization in relation to NUMTs. </w:t>
      </w:r>
      <w:r w:rsidRPr="00E64425">
        <w:rPr>
          <w:rFonts w:cs="Times New Roman"/>
          <w:i/>
          <w:iCs/>
          <w:noProof/>
        </w:rPr>
        <w:t>Molecular Biology and Evolution</w:t>
      </w:r>
      <w:r w:rsidRPr="00E64425">
        <w:rPr>
          <w:rFonts w:cs="Times New Roman"/>
          <w:noProof/>
        </w:rPr>
        <w:t xml:space="preserve">, </w:t>
      </w:r>
      <w:r w:rsidRPr="00E64425">
        <w:rPr>
          <w:rFonts w:cs="Times New Roman"/>
          <w:i/>
          <w:iCs/>
          <w:noProof/>
        </w:rPr>
        <w:t>21</w:t>
      </w:r>
      <w:r w:rsidRPr="00E64425">
        <w:rPr>
          <w:rFonts w:cs="Times New Roman"/>
          <w:noProof/>
        </w:rPr>
        <w:t>(10), 1972–1980. https://doi.org/10.1093/molbev/msh210</w:t>
      </w:r>
    </w:p>
    <w:p w14:paraId="172193A7"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Ruhfel, B. R., Gitzendanner, M. A., Soltis, P. S., Soltis, D. E., &amp; Burleigh, J. G. (2014). From algae to angiosperms–inferring the phylogeny of green plants (Viridiplantae) from 360 plastid genomes, </w:t>
      </w:r>
      <w:r w:rsidRPr="00E64425">
        <w:rPr>
          <w:rFonts w:cs="Times New Roman"/>
          <w:i/>
          <w:iCs/>
          <w:noProof/>
        </w:rPr>
        <w:t>14</w:t>
      </w:r>
      <w:r w:rsidRPr="00E64425">
        <w:rPr>
          <w:rFonts w:cs="Times New Roman"/>
          <w:noProof/>
        </w:rPr>
        <w:t>(23).</w:t>
      </w:r>
    </w:p>
    <w:p w14:paraId="7E2A2928"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Ruiz-Orera, J., Hernandez-Rodriguez, J., Chiva, C., Sabidó, E., Kondova, I., Bontrop, R., … Albà, M. M. (2015). Origins of De Novo Genes in Human and Chimpanzee. </w:t>
      </w:r>
      <w:r w:rsidRPr="00E64425">
        <w:rPr>
          <w:rFonts w:cs="Times New Roman"/>
          <w:i/>
          <w:iCs/>
          <w:noProof/>
        </w:rPr>
        <w:t>PLoS Genetics</w:t>
      </w:r>
      <w:r w:rsidRPr="00E64425">
        <w:rPr>
          <w:rFonts w:cs="Times New Roman"/>
          <w:noProof/>
        </w:rPr>
        <w:t xml:space="preserve">, </w:t>
      </w:r>
      <w:r w:rsidRPr="00E64425">
        <w:rPr>
          <w:rFonts w:cs="Times New Roman"/>
          <w:i/>
          <w:iCs/>
          <w:noProof/>
        </w:rPr>
        <w:t>11</w:t>
      </w:r>
      <w:r w:rsidRPr="00E64425">
        <w:rPr>
          <w:rFonts w:cs="Times New Roman"/>
          <w:noProof/>
        </w:rPr>
        <w:t>(12), 1–24. https://doi.org/10.1371/journal.pgen.1005721</w:t>
      </w:r>
    </w:p>
    <w:p w14:paraId="3279EC47"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Salavirta, H., Oksanen, I., Kuuskeri, J., Mak̈elä, M., Laine, P., Paulin, L., &amp; Lundell, T. (2014). Mitochondrial genome of Phlebia radiata is the second largest (156 kbp) among fungi and features signs of genome flexibility and recent recombination events. </w:t>
      </w:r>
      <w:r w:rsidRPr="00E64425">
        <w:rPr>
          <w:rFonts w:cs="Times New Roman"/>
          <w:i/>
          <w:iCs/>
          <w:noProof/>
        </w:rPr>
        <w:t>PLoS ONE</w:t>
      </w:r>
      <w:r w:rsidRPr="00E64425">
        <w:rPr>
          <w:rFonts w:cs="Times New Roman"/>
          <w:noProof/>
        </w:rPr>
        <w:t xml:space="preserve">, </w:t>
      </w:r>
      <w:r w:rsidRPr="00E64425">
        <w:rPr>
          <w:rFonts w:cs="Times New Roman"/>
          <w:i/>
          <w:iCs/>
          <w:noProof/>
        </w:rPr>
        <w:t>9</w:t>
      </w:r>
      <w:r w:rsidRPr="00E64425">
        <w:rPr>
          <w:rFonts w:cs="Times New Roman"/>
          <w:noProof/>
        </w:rPr>
        <w:t>(5). https://doi.org/10.1371/journal.pone.0097141</w:t>
      </w:r>
    </w:p>
    <w:p w14:paraId="0A6A264E"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Saski, C., Lee, S. B., Daniell, H., Wood, T. C., Tomkins, J., Kim, H. G., &amp; Jansen, R. K. (2005). Complete chloroplast genome sequence of glycine max and comparative analyses with other legume genomes. </w:t>
      </w:r>
      <w:r w:rsidRPr="00E64425">
        <w:rPr>
          <w:rFonts w:cs="Times New Roman"/>
          <w:i/>
          <w:iCs/>
          <w:noProof/>
        </w:rPr>
        <w:t>Plant Molecular Biology</w:t>
      </w:r>
      <w:r w:rsidRPr="00E64425">
        <w:rPr>
          <w:rFonts w:cs="Times New Roman"/>
          <w:noProof/>
        </w:rPr>
        <w:t xml:space="preserve">, </w:t>
      </w:r>
      <w:r w:rsidRPr="00E64425">
        <w:rPr>
          <w:rFonts w:cs="Times New Roman"/>
          <w:i/>
          <w:iCs/>
          <w:noProof/>
        </w:rPr>
        <w:t>59</w:t>
      </w:r>
      <w:r w:rsidRPr="00E64425">
        <w:rPr>
          <w:rFonts w:cs="Times New Roman"/>
          <w:noProof/>
        </w:rPr>
        <w:t>(2), 309–322. https://doi.org/10.1007/s11103-005-8882-0</w:t>
      </w:r>
    </w:p>
    <w:p w14:paraId="254C2EE4"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Schlotterer, C. (2015). Genes from scratch - the evolutionary fate of de novo genes. </w:t>
      </w:r>
      <w:r w:rsidRPr="00E64425">
        <w:rPr>
          <w:rFonts w:cs="Times New Roman"/>
          <w:i/>
          <w:iCs/>
          <w:noProof/>
        </w:rPr>
        <w:t>Trends in Genetics</w:t>
      </w:r>
      <w:r w:rsidRPr="00E64425">
        <w:rPr>
          <w:rFonts w:cs="Times New Roman"/>
          <w:noProof/>
        </w:rPr>
        <w:t xml:space="preserve">, </w:t>
      </w:r>
      <w:r w:rsidRPr="00E64425">
        <w:rPr>
          <w:rFonts w:cs="Times New Roman"/>
          <w:i/>
          <w:iCs/>
          <w:noProof/>
        </w:rPr>
        <w:t>31</w:t>
      </w:r>
      <w:r w:rsidRPr="00E64425">
        <w:rPr>
          <w:rFonts w:cs="Times New Roman"/>
          <w:noProof/>
        </w:rPr>
        <w:t>(4), 215–219. https://doi.org/10.1016/j.tig.2015.02.007</w:t>
      </w:r>
    </w:p>
    <w:p w14:paraId="76AFAF46"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Schmitz, J. F., &amp; Bornberg-Bauer, E. (2017). Fact or fiction: updates on how protein-coding genes might emerge de novo from previously non-coding DNA. </w:t>
      </w:r>
      <w:r w:rsidRPr="00E64425">
        <w:rPr>
          <w:rFonts w:cs="Times New Roman"/>
          <w:i/>
          <w:iCs/>
          <w:noProof/>
        </w:rPr>
        <w:t>F1000Research</w:t>
      </w:r>
      <w:r w:rsidRPr="00E64425">
        <w:rPr>
          <w:rFonts w:cs="Times New Roman"/>
          <w:noProof/>
        </w:rPr>
        <w:t xml:space="preserve">, </w:t>
      </w:r>
      <w:r w:rsidRPr="00E64425">
        <w:rPr>
          <w:rFonts w:cs="Times New Roman"/>
          <w:i/>
          <w:iCs/>
          <w:noProof/>
        </w:rPr>
        <w:t>6</w:t>
      </w:r>
      <w:r w:rsidRPr="00E64425">
        <w:rPr>
          <w:rFonts w:cs="Times New Roman"/>
          <w:noProof/>
        </w:rPr>
        <w:t>(0), 57. https://doi.org/10.12688/f1000research.10079.1</w:t>
      </w:r>
    </w:p>
    <w:p w14:paraId="4CE41773"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Schmitz, J., Ullrich, K., &amp; Bornberg-bauer, E. (2017). De Novo Genes are " Frozen Accidents " which Escaped Rapid Turnover of Pervasively Transcribed ORFs, (Saibil 2013).</w:t>
      </w:r>
    </w:p>
    <w:p w14:paraId="65647CE7"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Seetharam, A., Singh, U., Li, J., Bhandary, P., Arendsee, Z., &amp; Wurtele, E. S. (2019). Maximizing prediction of orphan genes in assembled genomes. </w:t>
      </w:r>
      <w:r w:rsidRPr="00E64425">
        <w:rPr>
          <w:rFonts w:cs="Times New Roman"/>
          <w:i/>
          <w:iCs/>
          <w:noProof/>
        </w:rPr>
        <w:t>BioRxiv</w:t>
      </w:r>
      <w:r w:rsidRPr="00E64425">
        <w:rPr>
          <w:rFonts w:cs="Times New Roman"/>
          <w:noProof/>
        </w:rPr>
        <w:t>, 37–39. https://doi.org/10.1101/2019.12.17.880294</w:t>
      </w:r>
    </w:p>
    <w:p w14:paraId="5B1899DC"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Shi, L., Chen, H., Jiang, M., Wang, L., Wu, X., Huang, L., &amp; Liu, C. (2019). CPGAVAS2, an integrated plastome sequence annotator and analyzer. </w:t>
      </w:r>
      <w:r w:rsidRPr="00E64425">
        <w:rPr>
          <w:rFonts w:cs="Times New Roman"/>
          <w:i/>
          <w:iCs/>
          <w:noProof/>
        </w:rPr>
        <w:t>Nucleic Acids Research</w:t>
      </w:r>
      <w:r w:rsidRPr="00E64425">
        <w:rPr>
          <w:rFonts w:cs="Times New Roman"/>
          <w:noProof/>
        </w:rPr>
        <w:t xml:space="preserve">, </w:t>
      </w:r>
      <w:r w:rsidRPr="00E64425">
        <w:rPr>
          <w:rFonts w:cs="Times New Roman"/>
          <w:i/>
          <w:iCs/>
          <w:noProof/>
        </w:rPr>
        <w:t>47</w:t>
      </w:r>
      <w:r w:rsidRPr="00E64425">
        <w:rPr>
          <w:rFonts w:cs="Times New Roman"/>
          <w:noProof/>
        </w:rPr>
        <w:t>(W1), W65–W73. https://doi.org/10.1093/nar/gkz345</w:t>
      </w:r>
    </w:p>
    <w:p w14:paraId="59D374FF"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Shinozaki, K., Ohme, M., Tanaka, M., Wakasugi, T., Hayashida, N., Matsubayashi, T., … Sugiura, M. (1986). The complete nucleotide sequence of the tobacco chloroplast genome: Its gene organization and expression. </w:t>
      </w:r>
      <w:r w:rsidRPr="00E64425">
        <w:rPr>
          <w:rFonts w:cs="Times New Roman"/>
          <w:i/>
          <w:iCs/>
          <w:noProof/>
        </w:rPr>
        <w:t>EMBO Journal</w:t>
      </w:r>
      <w:r w:rsidRPr="00E64425">
        <w:rPr>
          <w:rFonts w:cs="Times New Roman"/>
          <w:noProof/>
        </w:rPr>
        <w:t xml:space="preserve">, </w:t>
      </w:r>
      <w:r w:rsidRPr="00E64425">
        <w:rPr>
          <w:rFonts w:cs="Times New Roman"/>
          <w:i/>
          <w:iCs/>
          <w:noProof/>
        </w:rPr>
        <w:t>5</w:t>
      </w:r>
      <w:r w:rsidRPr="00E64425">
        <w:rPr>
          <w:rFonts w:cs="Times New Roman"/>
          <w:noProof/>
        </w:rPr>
        <w:t>(9), 2043–2049. https://doi.org/10.1002/j.1460-2075.1986.tb04464.x</w:t>
      </w:r>
    </w:p>
    <w:p w14:paraId="203C3FF1"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lastRenderedPageBreak/>
        <w:t xml:space="preserve">Siekevitz, P. (1957). Powerhouse of the Cell. </w:t>
      </w:r>
      <w:r w:rsidRPr="00E64425">
        <w:rPr>
          <w:rFonts w:cs="Times New Roman"/>
          <w:i/>
          <w:iCs/>
          <w:noProof/>
        </w:rPr>
        <w:t>Scientific American</w:t>
      </w:r>
      <w:r w:rsidRPr="00E64425">
        <w:rPr>
          <w:rFonts w:cs="Times New Roman"/>
          <w:noProof/>
        </w:rPr>
        <w:t xml:space="preserve">, </w:t>
      </w:r>
      <w:r w:rsidRPr="00E64425">
        <w:rPr>
          <w:rFonts w:cs="Times New Roman"/>
          <w:i/>
          <w:iCs/>
          <w:noProof/>
        </w:rPr>
        <w:t>197</w:t>
      </w:r>
      <w:r w:rsidRPr="00E64425">
        <w:rPr>
          <w:rFonts w:cs="Times New Roman"/>
          <w:noProof/>
        </w:rPr>
        <w:t>(1), 131–144. https://doi.org/10.1038/scientificamerican0757-131</w:t>
      </w:r>
    </w:p>
    <w:p w14:paraId="426DCA35"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Skippingtona, E., Barkmanb, T. J., Ricea, D. W., &amp; Palmera, J. D. (2015). Miniaturized mitogenome of the parasitic plant viscum scurruloideum is extremely divergent and dynamic and has lost all nad genes. </w:t>
      </w:r>
      <w:r w:rsidRPr="00E64425">
        <w:rPr>
          <w:rFonts w:cs="Times New Roman"/>
          <w:i/>
          <w:iCs/>
          <w:noProof/>
        </w:rPr>
        <w:t>Proceedings of the National Academy of Sciences of the United States of America</w:t>
      </w:r>
      <w:r w:rsidRPr="00E64425">
        <w:rPr>
          <w:rFonts w:cs="Times New Roman"/>
          <w:noProof/>
        </w:rPr>
        <w:t xml:space="preserve">, </w:t>
      </w:r>
      <w:r w:rsidRPr="00E64425">
        <w:rPr>
          <w:rFonts w:cs="Times New Roman"/>
          <w:i/>
          <w:iCs/>
          <w:noProof/>
        </w:rPr>
        <w:t>112</w:t>
      </w:r>
      <w:r w:rsidRPr="00E64425">
        <w:rPr>
          <w:rFonts w:cs="Times New Roman"/>
          <w:noProof/>
        </w:rPr>
        <w:t>(27), E3515–E3524. https://doi.org/10.1073/pnas.1504491112</w:t>
      </w:r>
    </w:p>
    <w:p w14:paraId="08F31BF0"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Sloan, D. B. (2013). One ring to rule them all? Genome sequencing provides new insights into the “master circle” model of plant mitochondrial DNA structure. </w:t>
      </w:r>
      <w:r w:rsidRPr="00E64425">
        <w:rPr>
          <w:rFonts w:cs="Times New Roman"/>
          <w:i/>
          <w:iCs/>
          <w:noProof/>
        </w:rPr>
        <w:t>New Phytologist</w:t>
      </w:r>
      <w:r w:rsidRPr="00E64425">
        <w:rPr>
          <w:rFonts w:cs="Times New Roman"/>
          <w:noProof/>
        </w:rPr>
        <w:t xml:space="preserve">, </w:t>
      </w:r>
      <w:r w:rsidRPr="00E64425">
        <w:rPr>
          <w:rFonts w:cs="Times New Roman"/>
          <w:i/>
          <w:iCs/>
          <w:noProof/>
        </w:rPr>
        <w:t>200</w:t>
      </w:r>
      <w:r w:rsidRPr="00E64425">
        <w:rPr>
          <w:rFonts w:cs="Times New Roman"/>
          <w:noProof/>
        </w:rPr>
        <w:t>(4), 978–985. https://doi.org/10.1111/nph.12395</w:t>
      </w:r>
    </w:p>
    <w:p w14:paraId="71838101"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Sloan, D. B., Alverson, A. J., Chuckalovcak, J. P., Wu, M., McCauley, D. E., Palmer, J. D., &amp; Taylor, D. R. (2012). Rapid evolution of enormous, multichromosomal genomes in flowering plant mitochondria with exceptionally high mutation rates. </w:t>
      </w:r>
      <w:r w:rsidRPr="00E64425">
        <w:rPr>
          <w:rFonts w:cs="Times New Roman"/>
          <w:i/>
          <w:iCs/>
          <w:noProof/>
        </w:rPr>
        <w:t>PLoS Biology</w:t>
      </w:r>
      <w:r w:rsidRPr="00E64425">
        <w:rPr>
          <w:rFonts w:cs="Times New Roman"/>
          <w:noProof/>
        </w:rPr>
        <w:t xml:space="preserve">, </w:t>
      </w:r>
      <w:r w:rsidRPr="00E64425">
        <w:rPr>
          <w:rFonts w:cs="Times New Roman"/>
          <w:i/>
          <w:iCs/>
          <w:noProof/>
        </w:rPr>
        <w:t>10</w:t>
      </w:r>
      <w:r w:rsidRPr="00E64425">
        <w:rPr>
          <w:rFonts w:cs="Times New Roman"/>
          <w:noProof/>
        </w:rPr>
        <w:t>(1). https://doi.org/10.1371/journal.pbio.1001241</w:t>
      </w:r>
    </w:p>
    <w:p w14:paraId="5CF8F3C1"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Sloan, D. B., Alverson, A. J., Štorchová, H., Palmer, J. D., &amp; Taylor, D. R. (2010). Extensive loss of translational genes in the structurally dynamic mitochondrial genome of the angiosperm Silene latifolia. </w:t>
      </w:r>
      <w:r w:rsidRPr="00E64425">
        <w:rPr>
          <w:rFonts w:cs="Times New Roman"/>
          <w:i/>
          <w:iCs/>
          <w:noProof/>
        </w:rPr>
        <w:t>BMC Evolutionary Biology</w:t>
      </w:r>
      <w:r w:rsidRPr="00E64425">
        <w:rPr>
          <w:rFonts w:cs="Times New Roman"/>
          <w:noProof/>
        </w:rPr>
        <w:t xml:space="preserve">, </w:t>
      </w:r>
      <w:r w:rsidRPr="00E64425">
        <w:rPr>
          <w:rFonts w:cs="Times New Roman"/>
          <w:i/>
          <w:iCs/>
          <w:noProof/>
        </w:rPr>
        <w:t>10</w:t>
      </w:r>
      <w:r w:rsidRPr="00E64425">
        <w:rPr>
          <w:rFonts w:cs="Times New Roman"/>
          <w:noProof/>
        </w:rPr>
        <w:t>(1). https://doi.org/10.1186/1471-2148-10-274</w:t>
      </w:r>
    </w:p>
    <w:p w14:paraId="55AC1EA2"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Smith, D. R., Crosby, K., &amp; Lee, R. W. (2011). Correlation between nuclear plastid DNA abundance and plastid number supports the limited transfer window hypothesis. </w:t>
      </w:r>
      <w:r w:rsidRPr="00E64425">
        <w:rPr>
          <w:rFonts w:cs="Times New Roman"/>
          <w:i/>
          <w:iCs/>
          <w:noProof/>
        </w:rPr>
        <w:t>Genome Biology and Evolution</w:t>
      </w:r>
      <w:r w:rsidRPr="00E64425">
        <w:rPr>
          <w:rFonts w:cs="Times New Roman"/>
          <w:noProof/>
        </w:rPr>
        <w:t xml:space="preserve">, </w:t>
      </w:r>
      <w:r w:rsidRPr="00E64425">
        <w:rPr>
          <w:rFonts w:cs="Times New Roman"/>
          <w:i/>
          <w:iCs/>
          <w:noProof/>
        </w:rPr>
        <w:t>3</w:t>
      </w:r>
      <w:r w:rsidRPr="00E64425">
        <w:rPr>
          <w:rFonts w:cs="Times New Roman"/>
          <w:noProof/>
        </w:rPr>
        <w:t>(1), 365–371. https://doi.org/10.1093/gbe/evr001</w:t>
      </w:r>
    </w:p>
    <w:p w14:paraId="47201FCB"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Soderlund, C., Bomhoff, M., &amp; Nelson, W. M. (2011). SyMAP v3.4: A turnkey synteny system with application to plant genomes. </w:t>
      </w:r>
      <w:r w:rsidRPr="00E64425">
        <w:rPr>
          <w:rFonts w:cs="Times New Roman"/>
          <w:i/>
          <w:iCs/>
          <w:noProof/>
        </w:rPr>
        <w:t>Nucleic Acids Research</w:t>
      </w:r>
      <w:r w:rsidRPr="00E64425">
        <w:rPr>
          <w:rFonts w:cs="Times New Roman"/>
          <w:noProof/>
        </w:rPr>
        <w:t xml:space="preserve">, </w:t>
      </w:r>
      <w:r w:rsidRPr="00E64425">
        <w:rPr>
          <w:rFonts w:cs="Times New Roman"/>
          <w:i/>
          <w:iCs/>
          <w:noProof/>
        </w:rPr>
        <w:t>39</w:t>
      </w:r>
      <w:r w:rsidRPr="00E64425">
        <w:rPr>
          <w:rFonts w:cs="Times New Roman"/>
          <w:noProof/>
        </w:rPr>
        <w:t>(10). https://doi.org/10.1093/nar/gkr123</w:t>
      </w:r>
    </w:p>
    <w:p w14:paraId="36707AA6"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Soumillon, M., Necsulea, A., Weier, M., Brawand, D., Zhang, X., Gu, H., … Kaessmann, H. (2013). Cellular Source and Mechanisms of High Transcriptome Complexity in the Mammalian Testis. </w:t>
      </w:r>
      <w:r w:rsidRPr="00E64425">
        <w:rPr>
          <w:rFonts w:cs="Times New Roman"/>
          <w:i/>
          <w:iCs/>
          <w:noProof/>
        </w:rPr>
        <w:t>Cell Reports</w:t>
      </w:r>
      <w:r w:rsidRPr="00E64425">
        <w:rPr>
          <w:rFonts w:cs="Times New Roman"/>
          <w:noProof/>
        </w:rPr>
        <w:t xml:space="preserve">, </w:t>
      </w:r>
      <w:r w:rsidRPr="00E64425">
        <w:rPr>
          <w:rFonts w:cs="Times New Roman"/>
          <w:i/>
          <w:iCs/>
          <w:noProof/>
        </w:rPr>
        <w:t>3</w:t>
      </w:r>
      <w:r w:rsidRPr="00E64425">
        <w:rPr>
          <w:rFonts w:cs="Times New Roman"/>
          <w:noProof/>
        </w:rPr>
        <w:t>(6), 2179–2190. https://doi.org/10.1016/j.celrep.2013.05.031</w:t>
      </w:r>
    </w:p>
    <w:p w14:paraId="141E0C39"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Stanton, B. J., Serapiglia, M. J., Smart, L. B., &amp; others. (2014). The domestication and conservation of Populus and Salix genetic resources. </w:t>
      </w:r>
      <w:r w:rsidRPr="00E64425">
        <w:rPr>
          <w:rFonts w:cs="Times New Roman"/>
          <w:i/>
          <w:iCs/>
          <w:noProof/>
        </w:rPr>
        <w:t>Poplars and Willows: Trees for Society and the Environment. Wallingford, UK: CAB International</w:t>
      </w:r>
      <w:r w:rsidRPr="00E64425">
        <w:rPr>
          <w:rFonts w:cs="Times New Roman"/>
          <w:noProof/>
        </w:rPr>
        <w:t>, 124–199.</w:t>
      </w:r>
    </w:p>
    <w:p w14:paraId="5FC798FB"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Tang, H., Bowers, J. E., Wang, X., Ming, R., Alam, M., &amp; Paterson, A. H. (2008). Synteny and Collinearity in Plant Genomes. </w:t>
      </w:r>
      <w:r w:rsidRPr="00E64425">
        <w:rPr>
          <w:rFonts w:cs="Times New Roman"/>
          <w:i/>
          <w:iCs/>
          <w:noProof/>
        </w:rPr>
        <w:t>Science</w:t>
      </w:r>
      <w:r w:rsidRPr="00E64425">
        <w:rPr>
          <w:rFonts w:cs="Times New Roman"/>
          <w:noProof/>
        </w:rPr>
        <w:t xml:space="preserve">, </w:t>
      </w:r>
      <w:r w:rsidRPr="00E64425">
        <w:rPr>
          <w:rFonts w:cs="Times New Roman"/>
          <w:i/>
          <w:iCs/>
          <w:noProof/>
        </w:rPr>
        <w:t>320</w:t>
      </w:r>
      <w:r w:rsidRPr="00E64425">
        <w:rPr>
          <w:rFonts w:cs="Times New Roman"/>
          <w:noProof/>
        </w:rPr>
        <w:t>(5875), 486–488. https://doi.org/10.1126/science.1153917</w:t>
      </w:r>
    </w:p>
    <w:p w14:paraId="0744D0D2"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Thorsness, P., &amp; Fox, T. (1990). Escape of DNA from mitochondria to the nucleus in Saccharomyces cerevisiae. </w:t>
      </w:r>
      <w:r w:rsidRPr="00E64425">
        <w:rPr>
          <w:rFonts w:cs="Times New Roman"/>
          <w:i/>
          <w:iCs/>
          <w:noProof/>
        </w:rPr>
        <w:t>Nature</w:t>
      </w:r>
      <w:r w:rsidRPr="00E64425">
        <w:rPr>
          <w:rFonts w:cs="Times New Roman"/>
          <w:noProof/>
        </w:rPr>
        <w:t xml:space="preserve">, </w:t>
      </w:r>
      <w:r w:rsidRPr="00E64425">
        <w:rPr>
          <w:rFonts w:cs="Times New Roman"/>
          <w:i/>
          <w:iCs/>
          <w:noProof/>
        </w:rPr>
        <w:t>346</w:t>
      </w:r>
      <w:r w:rsidRPr="00E64425">
        <w:rPr>
          <w:rFonts w:cs="Times New Roman"/>
          <w:noProof/>
        </w:rPr>
        <w:t>(4), 376–379. https://doi.org/10.1134/s032097251904002x</w:t>
      </w:r>
    </w:p>
    <w:p w14:paraId="760BB086"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Tillich, M., Lehwark, P., Pellizzer, T., Ulbricht-Jones, E. S., Fischer, A., Bock, R., &amp; Greiner, S. (2017). GeSeq - Versatile and accurate annotation of organelle genomes. </w:t>
      </w:r>
      <w:r w:rsidRPr="00E64425">
        <w:rPr>
          <w:rFonts w:cs="Times New Roman"/>
          <w:i/>
          <w:iCs/>
          <w:noProof/>
        </w:rPr>
        <w:t>Nucleic Acids Research</w:t>
      </w:r>
      <w:r w:rsidRPr="00E64425">
        <w:rPr>
          <w:rFonts w:cs="Times New Roman"/>
          <w:noProof/>
        </w:rPr>
        <w:t xml:space="preserve">, </w:t>
      </w:r>
      <w:r w:rsidRPr="00E64425">
        <w:rPr>
          <w:rFonts w:cs="Times New Roman"/>
          <w:i/>
          <w:iCs/>
          <w:noProof/>
        </w:rPr>
        <w:t>45</w:t>
      </w:r>
      <w:r w:rsidRPr="00E64425">
        <w:rPr>
          <w:rFonts w:cs="Times New Roman"/>
          <w:noProof/>
        </w:rPr>
        <w:t>(W1), W6–W11. https://doi.org/10.1093/nar/gkx391</w:t>
      </w:r>
    </w:p>
    <w:p w14:paraId="397FF346"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Timmis, J. N., Ayliff, M. A., Huang, C. Y., &amp; Martin, W. (2004). Endosymbiotic gene transfer: Organelle genomes forge eukaryotic chromosomes. </w:t>
      </w:r>
      <w:r w:rsidRPr="00E64425">
        <w:rPr>
          <w:rFonts w:cs="Times New Roman"/>
          <w:i/>
          <w:iCs/>
          <w:noProof/>
        </w:rPr>
        <w:t>Nature Reviews Genetics</w:t>
      </w:r>
      <w:r w:rsidRPr="00E64425">
        <w:rPr>
          <w:rFonts w:cs="Times New Roman"/>
          <w:noProof/>
        </w:rPr>
        <w:t xml:space="preserve">, </w:t>
      </w:r>
      <w:r w:rsidRPr="00E64425">
        <w:rPr>
          <w:rFonts w:cs="Times New Roman"/>
          <w:i/>
          <w:iCs/>
          <w:noProof/>
        </w:rPr>
        <w:t>5</w:t>
      </w:r>
      <w:r w:rsidRPr="00E64425">
        <w:rPr>
          <w:rFonts w:cs="Times New Roman"/>
          <w:noProof/>
        </w:rPr>
        <w:t>(2), 123–135. https://doi.org/10.1038/nrg1271</w:t>
      </w:r>
    </w:p>
    <w:p w14:paraId="7CA4A229"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Toll-Riera, M., Bosch, N., Bellora, N., Castelo, R., Armengol, L., Estivill, X., &amp; Mar Albà, M. (2009). Origin of primate orphan genes: A comparative genomics approach. </w:t>
      </w:r>
      <w:r w:rsidRPr="00E64425">
        <w:rPr>
          <w:rFonts w:cs="Times New Roman"/>
          <w:i/>
          <w:iCs/>
          <w:noProof/>
        </w:rPr>
        <w:t>Molecular Biology and Evolution</w:t>
      </w:r>
      <w:r w:rsidRPr="00E64425">
        <w:rPr>
          <w:rFonts w:cs="Times New Roman"/>
          <w:noProof/>
        </w:rPr>
        <w:t xml:space="preserve">, </w:t>
      </w:r>
      <w:r w:rsidRPr="00E64425">
        <w:rPr>
          <w:rFonts w:cs="Times New Roman"/>
          <w:i/>
          <w:iCs/>
          <w:noProof/>
        </w:rPr>
        <w:t>26</w:t>
      </w:r>
      <w:r w:rsidRPr="00E64425">
        <w:rPr>
          <w:rFonts w:cs="Times New Roman"/>
          <w:noProof/>
        </w:rPr>
        <w:t>(3), 603–612. https://doi.org/10.1093/molbev/msn281</w:t>
      </w:r>
    </w:p>
    <w:p w14:paraId="52EE0803"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Tuskan, G. A., &amp; Torr, P. (2007). The Genome of Black Cottonwood ,. </w:t>
      </w:r>
      <w:r w:rsidRPr="00E64425">
        <w:rPr>
          <w:rFonts w:cs="Times New Roman"/>
          <w:i/>
          <w:iCs/>
          <w:noProof/>
        </w:rPr>
        <w:t>Science</w:t>
      </w:r>
      <w:r w:rsidRPr="00E64425">
        <w:rPr>
          <w:rFonts w:cs="Times New Roman"/>
          <w:noProof/>
        </w:rPr>
        <w:t xml:space="preserve">, </w:t>
      </w:r>
      <w:r w:rsidRPr="00E64425">
        <w:rPr>
          <w:rFonts w:cs="Times New Roman"/>
          <w:i/>
          <w:iCs/>
          <w:noProof/>
        </w:rPr>
        <w:t>1596</w:t>
      </w:r>
      <w:r w:rsidRPr="00E64425">
        <w:rPr>
          <w:rFonts w:cs="Times New Roman"/>
          <w:noProof/>
        </w:rPr>
        <w:t xml:space="preserve">(2006), </w:t>
      </w:r>
      <w:r w:rsidRPr="00E64425">
        <w:rPr>
          <w:rFonts w:cs="Times New Roman"/>
          <w:noProof/>
        </w:rPr>
        <w:lastRenderedPageBreak/>
        <w:t>1596–1605. https://doi.org/10.1126/science.1128691</w:t>
      </w:r>
    </w:p>
    <w:p w14:paraId="10B64484"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Unseld, M., Marienfeld, R. J., Brandt, P., &amp; Brennicke, A. (1997). The mitochondrial genome of Arabidopsis thaliana contains 57 genes in 366,924 nucleotides, </w:t>
      </w:r>
      <w:r w:rsidRPr="00E64425">
        <w:rPr>
          <w:rFonts w:cs="Times New Roman"/>
          <w:i/>
          <w:iCs/>
          <w:noProof/>
        </w:rPr>
        <w:t>15</w:t>
      </w:r>
      <w:r w:rsidRPr="00E64425">
        <w:rPr>
          <w:rFonts w:cs="Times New Roman"/>
          <w:noProof/>
        </w:rPr>
        <w:t>, 57–61.</w:t>
      </w:r>
    </w:p>
    <w:p w14:paraId="3B6F453C"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Vakirlis, N., &amp; McLysaght, A. (2019). Computational prediction of De novo emerged protein-coding genes. In </w:t>
      </w:r>
      <w:r w:rsidRPr="00E64425">
        <w:rPr>
          <w:rFonts w:cs="Times New Roman"/>
          <w:i/>
          <w:iCs/>
          <w:noProof/>
        </w:rPr>
        <w:t>Computational Methods in Protein Evolution</w:t>
      </w:r>
      <w:r w:rsidRPr="00E64425">
        <w:rPr>
          <w:rFonts w:cs="Times New Roman"/>
          <w:noProof/>
        </w:rPr>
        <w:t xml:space="preserve"> (pp. 63–81). Springer.</w:t>
      </w:r>
    </w:p>
    <w:p w14:paraId="36BFDB00"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Van de Paer, C., Bouchez, O., &amp; Besnard, G. (2018). Prospects on the evolutionary mitogenomics of plants: A case study on the olive family (Oleaceae). </w:t>
      </w:r>
      <w:r w:rsidRPr="00E64425">
        <w:rPr>
          <w:rFonts w:cs="Times New Roman"/>
          <w:i/>
          <w:iCs/>
          <w:noProof/>
        </w:rPr>
        <w:t>Molecular Ecology Resources</w:t>
      </w:r>
      <w:r w:rsidRPr="00E64425">
        <w:rPr>
          <w:rFonts w:cs="Times New Roman"/>
          <w:noProof/>
        </w:rPr>
        <w:t xml:space="preserve">, </w:t>
      </w:r>
      <w:r w:rsidRPr="00E64425">
        <w:rPr>
          <w:rFonts w:cs="Times New Roman"/>
          <w:i/>
          <w:iCs/>
          <w:noProof/>
        </w:rPr>
        <w:t>18</w:t>
      </w:r>
      <w:r w:rsidRPr="00E64425">
        <w:rPr>
          <w:rFonts w:cs="Times New Roman"/>
          <w:noProof/>
        </w:rPr>
        <w:t>(3), 407–423. https://doi.org/10.1111/1755-0998.12742</w:t>
      </w:r>
    </w:p>
    <w:p w14:paraId="79415E6C"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Van Oss, S. B., &amp; Carvunis, A. R. (2019). De novo gene birth. </w:t>
      </w:r>
      <w:r w:rsidRPr="00E64425">
        <w:rPr>
          <w:rFonts w:cs="Times New Roman"/>
          <w:i/>
          <w:iCs/>
          <w:noProof/>
        </w:rPr>
        <w:t>PLoS Genetics</w:t>
      </w:r>
      <w:r w:rsidRPr="00E64425">
        <w:rPr>
          <w:rFonts w:cs="Times New Roman"/>
          <w:noProof/>
        </w:rPr>
        <w:t xml:space="preserve">, </w:t>
      </w:r>
      <w:r w:rsidRPr="00E64425">
        <w:rPr>
          <w:rFonts w:cs="Times New Roman"/>
          <w:i/>
          <w:iCs/>
          <w:noProof/>
        </w:rPr>
        <w:t>15</w:t>
      </w:r>
      <w:r w:rsidRPr="00E64425">
        <w:rPr>
          <w:rFonts w:cs="Times New Roman"/>
          <w:noProof/>
        </w:rPr>
        <w:t>(5), 1–23. https://doi.org/10.1371/journal.pgen.1008160</w:t>
      </w:r>
    </w:p>
    <w:p w14:paraId="5BD043C1"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Vanburen, R., &amp; Ming, R. (2013). Organelle DNA accumulation in the recently evolved papaya sex chromosomes. </w:t>
      </w:r>
      <w:r w:rsidRPr="00E64425">
        <w:rPr>
          <w:rFonts w:cs="Times New Roman"/>
          <w:i/>
          <w:iCs/>
          <w:noProof/>
        </w:rPr>
        <w:t>Molecular Genetics and Genomics</w:t>
      </w:r>
      <w:r w:rsidRPr="00E64425">
        <w:rPr>
          <w:rFonts w:cs="Times New Roman"/>
          <w:noProof/>
        </w:rPr>
        <w:t xml:space="preserve">, </w:t>
      </w:r>
      <w:r w:rsidRPr="00E64425">
        <w:rPr>
          <w:rFonts w:cs="Times New Roman"/>
          <w:i/>
          <w:iCs/>
          <w:noProof/>
        </w:rPr>
        <w:t>288</w:t>
      </w:r>
      <w:r w:rsidRPr="00E64425">
        <w:rPr>
          <w:rFonts w:cs="Times New Roman"/>
          <w:noProof/>
        </w:rPr>
        <w:t>(5–6), 277–284. https://doi.org/10.1007/s00438-013-0747-7</w:t>
      </w:r>
    </w:p>
    <w:p w14:paraId="5FC419F4"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Vinckenbosch, N., Dupanloup, I., &amp; Kaessmann, H. (2006). Evolutionary fate of retroposed gene copies in the human genome. </w:t>
      </w:r>
      <w:r w:rsidRPr="00E64425">
        <w:rPr>
          <w:rFonts w:cs="Times New Roman"/>
          <w:i/>
          <w:iCs/>
          <w:noProof/>
        </w:rPr>
        <w:t>Proceedings of the National Academy of Sciences of the United States of America</w:t>
      </w:r>
      <w:r w:rsidRPr="00E64425">
        <w:rPr>
          <w:rFonts w:cs="Times New Roman"/>
          <w:noProof/>
        </w:rPr>
        <w:t xml:space="preserve">, </w:t>
      </w:r>
      <w:r w:rsidRPr="00E64425">
        <w:rPr>
          <w:rFonts w:cs="Times New Roman"/>
          <w:i/>
          <w:iCs/>
          <w:noProof/>
        </w:rPr>
        <w:t>103</w:t>
      </w:r>
      <w:r w:rsidRPr="00E64425">
        <w:rPr>
          <w:rFonts w:cs="Times New Roman"/>
          <w:noProof/>
        </w:rPr>
        <w:t>(9), 3220–3225. https://doi.org/10.1073/pnas.0511307103</w:t>
      </w:r>
    </w:p>
    <w:p w14:paraId="0124937D"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Wang, D., Lloyd, A. H., &amp; Timmis, J. N. (2012). Environmental stress increases the entry of cytoplasmic organellar DNA into the nucleus in plants. </w:t>
      </w:r>
      <w:r w:rsidRPr="00E64425">
        <w:rPr>
          <w:rFonts w:cs="Times New Roman"/>
          <w:i/>
          <w:iCs/>
          <w:noProof/>
        </w:rPr>
        <w:t>Proceedings of the National Academy of Sciences of the United States of America</w:t>
      </w:r>
      <w:r w:rsidRPr="00E64425">
        <w:rPr>
          <w:rFonts w:cs="Times New Roman"/>
          <w:noProof/>
        </w:rPr>
        <w:t xml:space="preserve">, </w:t>
      </w:r>
      <w:r w:rsidRPr="00E64425">
        <w:rPr>
          <w:rFonts w:cs="Times New Roman"/>
          <w:i/>
          <w:iCs/>
          <w:noProof/>
        </w:rPr>
        <w:t>109</w:t>
      </w:r>
      <w:r w:rsidRPr="00E64425">
        <w:rPr>
          <w:rFonts w:cs="Times New Roman"/>
          <w:noProof/>
        </w:rPr>
        <w:t>(7), 2444–2448. https://doi.org/10.1073/pnas.1117890109</w:t>
      </w:r>
    </w:p>
    <w:p w14:paraId="733AE0D3"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Wang, D., Qu, Z., Adelson, D. L., Zhu, J. K., &amp; Timmis, J. N. (2014). Transcription of nuclear organellar DNA in a model plant system. </w:t>
      </w:r>
      <w:r w:rsidRPr="00E64425">
        <w:rPr>
          <w:rFonts w:cs="Times New Roman"/>
          <w:i/>
          <w:iCs/>
          <w:noProof/>
        </w:rPr>
        <w:t>Genome Biology and Evolution</w:t>
      </w:r>
      <w:r w:rsidRPr="00E64425">
        <w:rPr>
          <w:rFonts w:cs="Times New Roman"/>
          <w:noProof/>
        </w:rPr>
        <w:t xml:space="preserve">, </w:t>
      </w:r>
      <w:r w:rsidRPr="00E64425">
        <w:rPr>
          <w:rFonts w:cs="Times New Roman"/>
          <w:i/>
          <w:iCs/>
          <w:noProof/>
        </w:rPr>
        <w:t>6</w:t>
      </w:r>
      <w:r w:rsidRPr="00E64425">
        <w:rPr>
          <w:rFonts w:cs="Times New Roman"/>
          <w:noProof/>
        </w:rPr>
        <w:t>(6), 1327–1334. https://doi.org/10.1093/gbe/evu111</w:t>
      </w:r>
    </w:p>
    <w:p w14:paraId="34CFE442"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Wang, D., &amp; Timmis, J. N. (2013). Cytoplasmic organelle DNA preferentially inserts into open chromatin. </w:t>
      </w:r>
      <w:r w:rsidRPr="00E64425">
        <w:rPr>
          <w:rFonts w:cs="Times New Roman"/>
          <w:i/>
          <w:iCs/>
          <w:noProof/>
        </w:rPr>
        <w:t>Genome Biology and Evolution</w:t>
      </w:r>
      <w:r w:rsidRPr="00E64425">
        <w:rPr>
          <w:rFonts w:cs="Times New Roman"/>
          <w:noProof/>
        </w:rPr>
        <w:t xml:space="preserve">, </w:t>
      </w:r>
      <w:r w:rsidRPr="00E64425">
        <w:rPr>
          <w:rFonts w:cs="Times New Roman"/>
          <w:i/>
          <w:iCs/>
          <w:noProof/>
        </w:rPr>
        <w:t>5</w:t>
      </w:r>
      <w:r w:rsidRPr="00E64425">
        <w:rPr>
          <w:rFonts w:cs="Times New Roman"/>
          <w:noProof/>
        </w:rPr>
        <w:t>(6), 1060–1064. https://doi.org/10.1093/gbe/evt070</w:t>
      </w:r>
    </w:p>
    <w:p w14:paraId="267482AF"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Wang, S., Song, Q., Li, S., Hu, Z., Dong, G., Song, C., … Liu, Y. (2018). Assembly of a complete mitogenome of chrysanthemum nankingense using oxford nanopore long reads and the diversity and evolution of asteraceae mitogenomes. </w:t>
      </w:r>
      <w:r w:rsidRPr="00E64425">
        <w:rPr>
          <w:rFonts w:cs="Times New Roman"/>
          <w:i/>
          <w:iCs/>
          <w:noProof/>
        </w:rPr>
        <w:t>Genes</w:t>
      </w:r>
      <w:r w:rsidRPr="00E64425">
        <w:rPr>
          <w:rFonts w:cs="Times New Roman"/>
          <w:noProof/>
        </w:rPr>
        <w:t xml:space="preserve">, </w:t>
      </w:r>
      <w:r w:rsidRPr="00E64425">
        <w:rPr>
          <w:rFonts w:cs="Times New Roman"/>
          <w:i/>
          <w:iCs/>
          <w:noProof/>
        </w:rPr>
        <w:t>9</w:t>
      </w:r>
      <w:r w:rsidRPr="00E64425">
        <w:rPr>
          <w:rFonts w:cs="Times New Roman"/>
          <w:noProof/>
        </w:rPr>
        <w:t>(11). https://doi.org/10.3390/genes9110547</w:t>
      </w:r>
    </w:p>
    <w:p w14:paraId="5EC62AB8"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Wang, X., Cheng, F., Rohlsen, D., Bi, C., Wang, C., Xu, Y., … Ye, N. (2018). Organellar genome assembly methods and comparative analysis of horticultural plants. </w:t>
      </w:r>
      <w:r w:rsidRPr="00E64425">
        <w:rPr>
          <w:rFonts w:cs="Times New Roman"/>
          <w:i/>
          <w:iCs/>
          <w:noProof/>
        </w:rPr>
        <w:t>Horticulture Research</w:t>
      </w:r>
      <w:r w:rsidRPr="00E64425">
        <w:rPr>
          <w:rFonts w:cs="Times New Roman"/>
          <w:noProof/>
        </w:rPr>
        <w:t xml:space="preserve">, </w:t>
      </w:r>
      <w:r w:rsidRPr="00E64425">
        <w:rPr>
          <w:rFonts w:cs="Times New Roman"/>
          <w:i/>
          <w:iCs/>
          <w:noProof/>
        </w:rPr>
        <w:t>5</w:t>
      </w:r>
      <w:r w:rsidRPr="00E64425">
        <w:rPr>
          <w:rFonts w:cs="Times New Roman"/>
          <w:noProof/>
        </w:rPr>
        <w:t>(1), 1–13. https://doi.org/10.1038/s41438-017-0002-1</w:t>
      </w:r>
    </w:p>
    <w:p w14:paraId="7361C90E"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Wang, Y., Tang, H., Debarry, J. D., Tan, X., Li, J., Wang, X., … Paterson, A. H. (2012). MCScanX: A toolkit for detection and evolutionary analysis of gene synteny and collinearity. </w:t>
      </w:r>
      <w:r w:rsidRPr="00E64425">
        <w:rPr>
          <w:rFonts w:cs="Times New Roman"/>
          <w:i/>
          <w:iCs/>
          <w:noProof/>
        </w:rPr>
        <w:t>Nucleic Acids Research</w:t>
      </w:r>
      <w:r w:rsidRPr="00E64425">
        <w:rPr>
          <w:rFonts w:cs="Times New Roman"/>
          <w:noProof/>
        </w:rPr>
        <w:t xml:space="preserve">, </w:t>
      </w:r>
      <w:r w:rsidRPr="00E64425">
        <w:rPr>
          <w:rFonts w:cs="Times New Roman"/>
          <w:i/>
          <w:iCs/>
          <w:noProof/>
        </w:rPr>
        <w:t>40</w:t>
      </w:r>
      <w:r w:rsidRPr="00E64425">
        <w:rPr>
          <w:rFonts w:cs="Times New Roman"/>
          <w:noProof/>
        </w:rPr>
        <w:t>(7). https://doi.org/10.1093/nar/gkr1293</w:t>
      </w:r>
    </w:p>
    <w:p w14:paraId="096B13BA"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Werner, M. S., Sieriebriennikov, B., Prabh, N., Loschko, T., Lanz, C., &amp; Sommer, R. J. (2018). Young genes have distinct gene structure, epigenetic profiles, and transcriptional regulation. </w:t>
      </w:r>
      <w:r w:rsidRPr="00E64425">
        <w:rPr>
          <w:rFonts w:cs="Times New Roman"/>
          <w:i/>
          <w:iCs/>
          <w:noProof/>
        </w:rPr>
        <w:t>Genome Research</w:t>
      </w:r>
      <w:r w:rsidRPr="00E64425">
        <w:rPr>
          <w:rFonts w:cs="Times New Roman"/>
          <w:noProof/>
        </w:rPr>
        <w:t xml:space="preserve">, </w:t>
      </w:r>
      <w:r w:rsidRPr="00E64425">
        <w:rPr>
          <w:rFonts w:cs="Times New Roman"/>
          <w:i/>
          <w:iCs/>
          <w:noProof/>
        </w:rPr>
        <w:t>28</w:t>
      </w:r>
      <w:r w:rsidRPr="00E64425">
        <w:rPr>
          <w:rFonts w:cs="Times New Roman"/>
          <w:noProof/>
        </w:rPr>
        <w:t>(11), 1675–1687. https://doi.org/10.1101/gr.234872.118</w:t>
      </w:r>
    </w:p>
    <w:p w14:paraId="6BE080F0"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Wick, R. R., Judd, L. M., Gorrie, C. L., &amp; Holt, K. E. (2017). Unicycler: Resolving bacterial genome assemblies from short and long sequencing reads. </w:t>
      </w:r>
      <w:r w:rsidRPr="00E64425">
        <w:rPr>
          <w:rFonts w:cs="Times New Roman"/>
          <w:i/>
          <w:iCs/>
          <w:noProof/>
        </w:rPr>
        <w:t>PLoS Computational Biology</w:t>
      </w:r>
      <w:r w:rsidRPr="00E64425">
        <w:rPr>
          <w:rFonts w:cs="Times New Roman"/>
          <w:noProof/>
        </w:rPr>
        <w:t xml:space="preserve">, </w:t>
      </w:r>
      <w:r w:rsidRPr="00E64425">
        <w:rPr>
          <w:rFonts w:cs="Times New Roman"/>
          <w:i/>
          <w:iCs/>
          <w:noProof/>
        </w:rPr>
        <w:t>13</w:t>
      </w:r>
      <w:r w:rsidRPr="00E64425">
        <w:rPr>
          <w:rFonts w:cs="Times New Roman"/>
          <w:noProof/>
        </w:rPr>
        <w:t>(6), 1–22. https://doi.org/10.1371/journal.pcbi.1005595</w:t>
      </w:r>
    </w:p>
    <w:p w14:paraId="1EBF6423"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Wilson, B. A., Foy, S. G., Neme, R., &amp; Masel, J. (n.d.). Young genes are highly disordered as predicted by the preadaptation hypothesis of de novo gene birth. </w:t>
      </w:r>
      <w:r w:rsidRPr="00E64425">
        <w:rPr>
          <w:rFonts w:cs="Times New Roman"/>
          <w:i/>
          <w:iCs/>
          <w:noProof/>
        </w:rPr>
        <w:t>Nature Ecology &amp; Evolution</w:t>
      </w:r>
      <w:r w:rsidRPr="00E64425">
        <w:rPr>
          <w:rFonts w:cs="Times New Roman"/>
          <w:noProof/>
        </w:rPr>
        <w:t xml:space="preserve">, </w:t>
      </w:r>
      <w:r w:rsidRPr="00E64425">
        <w:rPr>
          <w:rFonts w:cs="Times New Roman"/>
          <w:i/>
          <w:iCs/>
          <w:noProof/>
        </w:rPr>
        <w:t>1</w:t>
      </w:r>
      <w:r w:rsidRPr="00E64425">
        <w:rPr>
          <w:rFonts w:cs="Times New Roman"/>
          <w:noProof/>
        </w:rPr>
        <w:t>(6), 0146. https://doi.org/10.1038/s41559-017-0146</w:t>
      </w:r>
    </w:p>
    <w:p w14:paraId="2F714A63"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Woischnik, M., &amp; Moraes, C. T. (2002). Pattern of Organization of Human Mitochondrial </w:t>
      </w:r>
      <w:r w:rsidRPr="00E64425">
        <w:rPr>
          <w:rFonts w:cs="Times New Roman"/>
          <w:noProof/>
        </w:rPr>
        <w:lastRenderedPageBreak/>
        <w:t xml:space="preserve">Pseudogenes in the Nuclear Genome. </w:t>
      </w:r>
      <w:r w:rsidRPr="00E64425">
        <w:rPr>
          <w:rFonts w:cs="Times New Roman"/>
          <w:i/>
          <w:iCs/>
          <w:noProof/>
        </w:rPr>
        <w:t>Genome Research</w:t>
      </w:r>
      <w:r w:rsidRPr="00E64425">
        <w:rPr>
          <w:rFonts w:cs="Times New Roman"/>
          <w:noProof/>
        </w:rPr>
        <w:t xml:space="preserve">, </w:t>
      </w:r>
      <w:r w:rsidRPr="00E64425">
        <w:rPr>
          <w:rFonts w:cs="Times New Roman"/>
          <w:i/>
          <w:iCs/>
          <w:noProof/>
        </w:rPr>
        <w:t>12</w:t>
      </w:r>
      <w:r w:rsidRPr="00E64425">
        <w:rPr>
          <w:rFonts w:cs="Times New Roman"/>
          <w:noProof/>
        </w:rPr>
        <w:t>(6), 885–893. https://doi.org/10.1101/gr.227202</w:t>
      </w:r>
    </w:p>
    <w:p w14:paraId="283F903B"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Wu, J., Liu, B., Cheng, F., Ramchiary, N., Choi, S. R., Lim, Y. P., &amp; Wang, X. W. (2012). Sequencing of chloroplast genome using whole cellular DNA and Solexa sequencing technology. </w:t>
      </w:r>
      <w:r w:rsidRPr="00E64425">
        <w:rPr>
          <w:rFonts w:cs="Times New Roman"/>
          <w:i/>
          <w:iCs/>
          <w:noProof/>
        </w:rPr>
        <w:t>Frontiers in Plant Science</w:t>
      </w:r>
      <w:r w:rsidRPr="00E64425">
        <w:rPr>
          <w:rFonts w:cs="Times New Roman"/>
          <w:noProof/>
        </w:rPr>
        <w:t xml:space="preserve">, </w:t>
      </w:r>
      <w:r w:rsidRPr="00E64425">
        <w:rPr>
          <w:rFonts w:cs="Times New Roman"/>
          <w:i/>
          <w:iCs/>
          <w:noProof/>
        </w:rPr>
        <w:t>3</w:t>
      </w:r>
      <w:r w:rsidRPr="00E64425">
        <w:rPr>
          <w:rFonts w:cs="Times New Roman"/>
          <w:noProof/>
        </w:rPr>
        <w:t>(NOV), 1–7. https://doi.org/10.3389/fpls.2012.00243</w:t>
      </w:r>
    </w:p>
    <w:p w14:paraId="298D003A"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Wu, X., &amp; Sharp, P. A. (2013). Divergent transcription: A driving force for new gene origination? </w:t>
      </w:r>
      <w:r w:rsidRPr="00E64425">
        <w:rPr>
          <w:rFonts w:cs="Times New Roman"/>
          <w:i/>
          <w:iCs/>
          <w:noProof/>
        </w:rPr>
        <w:t>Cell</w:t>
      </w:r>
      <w:r w:rsidRPr="00E64425">
        <w:rPr>
          <w:rFonts w:cs="Times New Roman"/>
          <w:noProof/>
        </w:rPr>
        <w:t xml:space="preserve">, </w:t>
      </w:r>
      <w:r w:rsidRPr="00E64425">
        <w:rPr>
          <w:rFonts w:cs="Times New Roman"/>
          <w:i/>
          <w:iCs/>
          <w:noProof/>
        </w:rPr>
        <w:t>155</w:t>
      </w:r>
      <w:r w:rsidRPr="00E64425">
        <w:rPr>
          <w:rFonts w:cs="Times New Roman"/>
          <w:noProof/>
        </w:rPr>
        <w:t>(5), 990–996. https://doi.org/10.1016/j.cell.2013.10.048</w:t>
      </w:r>
    </w:p>
    <w:p w14:paraId="214E6DEA"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Xiao, W., Liu, H., Li, Y., Li, X., Xu, C., Long, M., &amp; Wang, S. (2009). A rice gene of de novo origin negatively regulates pathogen-induced defense response. </w:t>
      </w:r>
      <w:r w:rsidRPr="00E64425">
        <w:rPr>
          <w:rFonts w:cs="Times New Roman"/>
          <w:i/>
          <w:iCs/>
          <w:noProof/>
        </w:rPr>
        <w:t>PLoS ONE</w:t>
      </w:r>
      <w:r w:rsidRPr="00E64425">
        <w:rPr>
          <w:rFonts w:cs="Times New Roman"/>
          <w:noProof/>
        </w:rPr>
        <w:t xml:space="preserve">, </w:t>
      </w:r>
      <w:r w:rsidRPr="00E64425">
        <w:rPr>
          <w:rFonts w:cs="Times New Roman"/>
          <w:i/>
          <w:iCs/>
          <w:noProof/>
        </w:rPr>
        <w:t>4</w:t>
      </w:r>
      <w:r w:rsidRPr="00E64425">
        <w:rPr>
          <w:rFonts w:cs="Times New Roman"/>
          <w:noProof/>
        </w:rPr>
        <w:t>(2), 1–12. https://doi.org/10.1371/journal.pone.0004603</w:t>
      </w:r>
    </w:p>
    <w:p w14:paraId="58DB705D"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Yadeta, K. A., Valkenburg, D. J., Hanemian, M., Marco, Y., &amp; Thomma, B. P. H. J. (2014). The Brassicaceae-specific EWR1 gene provides resistance to vascular wilt pathogens. </w:t>
      </w:r>
      <w:r w:rsidRPr="00E64425">
        <w:rPr>
          <w:rFonts w:cs="Times New Roman"/>
          <w:i/>
          <w:iCs/>
          <w:noProof/>
        </w:rPr>
        <w:t>PLoS ONE</w:t>
      </w:r>
      <w:r w:rsidRPr="00E64425">
        <w:rPr>
          <w:rFonts w:cs="Times New Roman"/>
          <w:noProof/>
        </w:rPr>
        <w:t xml:space="preserve">, </w:t>
      </w:r>
      <w:r w:rsidRPr="00E64425">
        <w:rPr>
          <w:rFonts w:cs="Times New Roman"/>
          <w:i/>
          <w:iCs/>
          <w:noProof/>
        </w:rPr>
        <w:t>9</w:t>
      </w:r>
      <w:r w:rsidRPr="00E64425">
        <w:rPr>
          <w:rFonts w:cs="Times New Roman"/>
          <w:noProof/>
        </w:rPr>
        <w:t>(2). https://doi.org/10.1371/journal.pone.0088230</w:t>
      </w:r>
    </w:p>
    <w:p w14:paraId="75728F20"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Yoshida, T., Furihata, H. Y., To, T. K., Kakutani, T., &amp; Kawabe, A. (2019). Genome defense against integrated organellar DNA fragments from plastids into plant nuclear genomes through DNA methylation. </w:t>
      </w:r>
      <w:r w:rsidRPr="00E64425">
        <w:rPr>
          <w:rFonts w:cs="Times New Roman"/>
          <w:i/>
          <w:iCs/>
          <w:noProof/>
        </w:rPr>
        <w:t>Scientific Reports</w:t>
      </w:r>
      <w:r w:rsidRPr="00E64425">
        <w:rPr>
          <w:rFonts w:cs="Times New Roman"/>
          <w:noProof/>
        </w:rPr>
        <w:t xml:space="preserve">, </w:t>
      </w:r>
      <w:r w:rsidRPr="00E64425">
        <w:rPr>
          <w:rFonts w:cs="Times New Roman"/>
          <w:i/>
          <w:iCs/>
          <w:noProof/>
        </w:rPr>
        <w:t>9</w:t>
      </w:r>
      <w:r w:rsidRPr="00E64425">
        <w:rPr>
          <w:rFonts w:cs="Times New Roman"/>
          <w:noProof/>
        </w:rPr>
        <w:t>(1), 1–11. https://doi.org/10.1038/s41598-019-38607-6</w:t>
      </w:r>
    </w:p>
    <w:p w14:paraId="46E9BBAE"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Zhang, G. J., Dong, R., Lan, L. N., Li, S. F., Gao, W. J., &amp; Niu, H. X. (2020). Nuclear integrants of organellar DNA contribute to genome structure and evolution in plants. </w:t>
      </w:r>
      <w:r w:rsidRPr="00E64425">
        <w:rPr>
          <w:rFonts w:cs="Times New Roman"/>
          <w:i/>
          <w:iCs/>
          <w:noProof/>
        </w:rPr>
        <w:t>International Journal of Molecular Sciences</w:t>
      </w:r>
      <w:r w:rsidRPr="00E64425">
        <w:rPr>
          <w:rFonts w:cs="Times New Roman"/>
          <w:noProof/>
        </w:rPr>
        <w:t xml:space="preserve">, </w:t>
      </w:r>
      <w:r w:rsidRPr="00E64425">
        <w:rPr>
          <w:rFonts w:cs="Times New Roman"/>
          <w:i/>
          <w:iCs/>
          <w:noProof/>
        </w:rPr>
        <w:t>21</w:t>
      </w:r>
      <w:r w:rsidRPr="00E64425">
        <w:rPr>
          <w:rFonts w:cs="Times New Roman"/>
          <w:noProof/>
        </w:rPr>
        <w:t>(3). https://doi.org/10.3390/ijms21030707</w:t>
      </w:r>
    </w:p>
    <w:p w14:paraId="0FD1E233"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Zhou, R., Macaya-Sanz, D., Carlson, C. H., Schmutz, J., Jenkins, J. W., Kudrna, D., … Difazio, S. P. (2020). A willow sex chromosome reveals convergent evolution of complex palindromic repeats. </w:t>
      </w:r>
      <w:r w:rsidRPr="00E64425">
        <w:rPr>
          <w:rFonts w:cs="Times New Roman"/>
          <w:i/>
          <w:iCs/>
          <w:noProof/>
        </w:rPr>
        <w:t>Genome Biology</w:t>
      </w:r>
      <w:r w:rsidRPr="00E64425">
        <w:rPr>
          <w:rFonts w:cs="Times New Roman"/>
          <w:noProof/>
        </w:rPr>
        <w:t xml:space="preserve">, </w:t>
      </w:r>
      <w:r w:rsidRPr="00E64425">
        <w:rPr>
          <w:rFonts w:cs="Times New Roman"/>
          <w:i/>
          <w:iCs/>
          <w:noProof/>
        </w:rPr>
        <w:t>21</w:t>
      </w:r>
      <w:r w:rsidRPr="00E64425">
        <w:rPr>
          <w:rFonts w:cs="Times New Roman"/>
          <w:noProof/>
        </w:rPr>
        <w:t>(1), 1–19. https://doi.org/10.1186/s13059-020-1952-4</w:t>
      </w:r>
    </w:p>
    <w:p w14:paraId="01DF65CB" w14:textId="77777777" w:rsidR="00636B5B" w:rsidRPr="00E64425" w:rsidRDefault="00636B5B" w:rsidP="00E64425">
      <w:pPr>
        <w:widowControl w:val="0"/>
        <w:autoSpaceDE w:val="0"/>
        <w:autoSpaceDN w:val="0"/>
        <w:adjustRightInd w:val="0"/>
        <w:ind w:left="480" w:hanging="480"/>
        <w:rPr>
          <w:rFonts w:cs="Times New Roman"/>
          <w:noProof/>
        </w:rPr>
      </w:pPr>
      <w:r w:rsidRPr="00E64425">
        <w:rPr>
          <w:rFonts w:cs="Times New Roman"/>
          <w:noProof/>
        </w:rPr>
        <w:t xml:space="preserve">Zoschke, R., &amp; Bock, R. (2018). Chloroplast translation: Structural and functional organization, operational control, and regulation. </w:t>
      </w:r>
      <w:r w:rsidRPr="00E64425">
        <w:rPr>
          <w:rFonts w:cs="Times New Roman"/>
          <w:i/>
          <w:iCs/>
          <w:noProof/>
        </w:rPr>
        <w:t>Plant Cell</w:t>
      </w:r>
      <w:r w:rsidRPr="00E64425">
        <w:rPr>
          <w:rFonts w:cs="Times New Roman"/>
          <w:noProof/>
        </w:rPr>
        <w:t xml:space="preserve">, </w:t>
      </w:r>
      <w:r w:rsidRPr="00E64425">
        <w:rPr>
          <w:rFonts w:cs="Times New Roman"/>
          <w:i/>
          <w:iCs/>
          <w:noProof/>
        </w:rPr>
        <w:t>30</w:t>
      </w:r>
      <w:r w:rsidRPr="00E64425">
        <w:rPr>
          <w:rFonts w:cs="Times New Roman"/>
          <w:noProof/>
        </w:rPr>
        <w:t>(4), 745–770. https://doi.org/10.1105/tpc.18.00016</w:t>
      </w:r>
    </w:p>
    <w:p w14:paraId="7250D71D" w14:textId="77777777" w:rsidR="00636B5B" w:rsidRPr="00E64425" w:rsidRDefault="00636B5B" w:rsidP="00E64425">
      <w:pPr>
        <w:widowControl w:val="0"/>
        <w:autoSpaceDE w:val="0"/>
        <w:autoSpaceDN w:val="0"/>
        <w:adjustRightInd w:val="0"/>
        <w:rPr>
          <w:b/>
          <w:bCs/>
        </w:rPr>
      </w:pPr>
      <w:r>
        <w:rPr>
          <w:b/>
          <w:bCs/>
        </w:rPr>
        <w:fldChar w:fldCharType="end"/>
      </w:r>
    </w:p>
    <w:p w14:paraId="32BFC86D" w14:textId="11FF63D2" w:rsidR="00636B5B" w:rsidRDefault="00636B5B"/>
    <w:p w14:paraId="0DA534AD" w14:textId="15E28BF8" w:rsidR="00636B5B" w:rsidRDefault="00636B5B"/>
    <w:p w14:paraId="2F2068A2" w14:textId="095AE9E5" w:rsidR="00636B5B" w:rsidRDefault="00636B5B"/>
    <w:p w14:paraId="7FCB9DE6" w14:textId="41758B19" w:rsidR="00636B5B" w:rsidRDefault="00636B5B"/>
    <w:p w14:paraId="55661260" w14:textId="47DBD3FA" w:rsidR="00636B5B" w:rsidRDefault="00636B5B"/>
    <w:p w14:paraId="575FF543" w14:textId="1750E435" w:rsidR="00636B5B" w:rsidRDefault="00636B5B"/>
    <w:p w14:paraId="154F8911" w14:textId="274A136A" w:rsidR="00636B5B" w:rsidRDefault="00636B5B"/>
    <w:p w14:paraId="5FD792DC" w14:textId="6C29FB74" w:rsidR="00636B5B" w:rsidRDefault="00636B5B"/>
    <w:p w14:paraId="0960C50E" w14:textId="6074668D" w:rsidR="00636B5B" w:rsidRDefault="00636B5B"/>
    <w:p w14:paraId="1B47B9D4" w14:textId="77777777" w:rsidR="007768FC" w:rsidRDefault="007768FC" w:rsidP="00CE7936">
      <w:pPr>
        <w:jc w:val="center"/>
        <w:rPr>
          <w:b/>
          <w:bCs/>
          <w:sz w:val="28"/>
          <w:szCs w:val="26"/>
        </w:rPr>
      </w:pPr>
    </w:p>
    <w:p w14:paraId="79CBAEA4" w14:textId="77777777" w:rsidR="007768FC" w:rsidRDefault="007768FC" w:rsidP="00CE7936">
      <w:pPr>
        <w:jc w:val="center"/>
        <w:rPr>
          <w:b/>
          <w:bCs/>
          <w:sz w:val="28"/>
          <w:szCs w:val="26"/>
        </w:rPr>
      </w:pPr>
    </w:p>
    <w:p w14:paraId="5CF3BB9D" w14:textId="77777777" w:rsidR="007768FC" w:rsidRDefault="007768FC" w:rsidP="00CE7936">
      <w:pPr>
        <w:jc w:val="center"/>
        <w:rPr>
          <w:b/>
          <w:bCs/>
          <w:sz w:val="28"/>
          <w:szCs w:val="26"/>
        </w:rPr>
      </w:pPr>
    </w:p>
    <w:p w14:paraId="502EA93E" w14:textId="77777777" w:rsidR="007768FC" w:rsidRDefault="007768FC" w:rsidP="00CE7936">
      <w:pPr>
        <w:jc w:val="center"/>
        <w:rPr>
          <w:b/>
          <w:bCs/>
          <w:sz w:val="28"/>
          <w:szCs w:val="26"/>
        </w:rPr>
      </w:pPr>
    </w:p>
    <w:p w14:paraId="3BEDCF0D" w14:textId="77777777" w:rsidR="007768FC" w:rsidRDefault="007768FC" w:rsidP="00CE7936">
      <w:pPr>
        <w:jc w:val="center"/>
        <w:rPr>
          <w:b/>
          <w:bCs/>
          <w:sz w:val="28"/>
          <w:szCs w:val="26"/>
        </w:rPr>
      </w:pPr>
    </w:p>
    <w:p w14:paraId="2FB7471E" w14:textId="77777777" w:rsidR="007768FC" w:rsidRDefault="007768FC" w:rsidP="00CE7936">
      <w:pPr>
        <w:jc w:val="center"/>
        <w:rPr>
          <w:b/>
          <w:bCs/>
          <w:sz w:val="28"/>
          <w:szCs w:val="26"/>
        </w:rPr>
      </w:pPr>
    </w:p>
    <w:p w14:paraId="42F1BA2B" w14:textId="77777777" w:rsidR="007768FC" w:rsidRDefault="007768FC" w:rsidP="00CE7936">
      <w:pPr>
        <w:jc w:val="center"/>
        <w:rPr>
          <w:b/>
          <w:bCs/>
          <w:sz w:val="28"/>
          <w:szCs w:val="26"/>
        </w:rPr>
      </w:pPr>
    </w:p>
    <w:p w14:paraId="2FC2E12A" w14:textId="2530246A" w:rsidR="00636B5B" w:rsidRDefault="00636B5B" w:rsidP="00CE7936">
      <w:pPr>
        <w:jc w:val="center"/>
        <w:rPr>
          <w:b/>
          <w:bCs/>
          <w:sz w:val="28"/>
          <w:szCs w:val="26"/>
        </w:rPr>
      </w:pPr>
      <w:r>
        <w:rPr>
          <w:b/>
          <w:bCs/>
          <w:sz w:val="28"/>
          <w:szCs w:val="26"/>
        </w:rPr>
        <w:lastRenderedPageBreak/>
        <w:t>CHAPTER II</w:t>
      </w:r>
    </w:p>
    <w:p w14:paraId="6244D1B0" w14:textId="77777777" w:rsidR="00636B5B" w:rsidRDefault="00636B5B" w:rsidP="00CE7936">
      <w:pPr>
        <w:jc w:val="center"/>
        <w:rPr>
          <w:b/>
          <w:sz w:val="32"/>
          <w:szCs w:val="32"/>
        </w:rPr>
      </w:pPr>
      <w:r>
        <w:rPr>
          <w:b/>
          <w:sz w:val="32"/>
          <w:szCs w:val="32"/>
        </w:rPr>
        <w:t xml:space="preserve">The ancient </w:t>
      </w:r>
      <w:proofErr w:type="spellStart"/>
      <w:r>
        <w:rPr>
          <w:b/>
          <w:sz w:val="32"/>
          <w:szCs w:val="32"/>
        </w:rPr>
        <w:t>Salicoid</w:t>
      </w:r>
      <w:proofErr w:type="spellEnd"/>
      <w:r>
        <w:rPr>
          <w:b/>
          <w:sz w:val="32"/>
          <w:szCs w:val="32"/>
        </w:rPr>
        <w:t xml:space="preserve"> genome duplication event: A platform for reconstruction of </w:t>
      </w:r>
      <w:r w:rsidRPr="00C71C0D">
        <w:rPr>
          <w:b/>
          <w:i/>
          <w:sz w:val="32"/>
          <w:szCs w:val="32"/>
        </w:rPr>
        <w:t>de novo</w:t>
      </w:r>
      <w:r>
        <w:rPr>
          <w:b/>
          <w:sz w:val="32"/>
          <w:szCs w:val="32"/>
        </w:rPr>
        <w:t xml:space="preserve"> gene evolution in </w:t>
      </w:r>
      <w:r>
        <w:rPr>
          <w:b/>
          <w:i/>
          <w:sz w:val="32"/>
          <w:szCs w:val="32"/>
        </w:rPr>
        <w:t xml:space="preserve">Populus </w:t>
      </w:r>
      <w:proofErr w:type="spellStart"/>
      <w:r>
        <w:rPr>
          <w:b/>
          <w:i/>
          <w:sz w:val="32"/>
          <w:szCs w:val="32"/>
        </w:rPr>
        <w:t>trichocarpa</w:t>
      </w:r>
      <w:proofErr w:type="spellEnd"/>
    </w:p>
    <w:p w14:paraId="052D2715" w14:textId="77777777" w:rsidR="00636B5B" w:rsidRDefault="00636B5B" w:rsidP="00CE7936">
      <w:pPr>
        <w:jc w:val="center"/>
      </w:pPr>
    </w:p>
    <w:p w14:paraId="3040F173" w14:textId="77777777" w:rsidR="00636B5B" w:rsidRDefault="00636B5B" w:rsidP="00CE7936">
      <w:pPr>
        <w:jc w:val="center"/>
      </w:pPr>
    </w:p>
    <w:p w14:paraId="467B91AF" w14:textId="77777777" w:rsidR="00636B5B" w:rsidRDefault="00636B5B" w:rsidP="00CE7936">
      <w:pPr>
        <w:jc w:val="center"/>
      </w:pPr>
    </w:p>
    <w:p w14:paraId="0D90B64D" w14:textId="77777777" w:rsidR="00636B5B" w:rsidRDefault="00636B5B" w:rsidP="00CE7936">
      <w:pPr>
        <w:jc w:val="center"/>
      </w:pPr>
    </w:p>
    <w:p w14:paraId="03AE65A5" w14:textId="77777777" w:rsidR="00636B5B" w:rsidRDefault="00636B5B" w:rsidP="00CE7936">
      <w:pPr>
        <w:jc w:val="center"/>
      </w:pPr>
    </w:p>
    <w:p w14:paraId="547E0ADC" w14:textId="77777777" w:rsidR="00636B5B" w:rsidRDefault="00636B5B" w:rsidP="00CE7936">
      <w:pPr>
        <w:jc w:val="center"/>
      </w:pPr>
    </w:p>
    <w:p w14:paraId="0273824D" w14:textId="77777777" w:rsidR="00636B5B" w:rsidRDefault="00636B5B" w:rsidP="00CE7936">
      <w:pPr>
        <w:jc w:val="center"/>
      </w:pPr>
    </w:p>
    <w:p w14:paraId="245A786D" w14:textId="77777777" w:rsidR="00636B5B" w:rsidRDefault="00636B5B" w:rsidP="00CE7936">
      <w:pPr>
        <w:jc w:val="center"/>
      </w:pPr>
    </w:p>
    <w:p w14:paraId="3DCAA6C5" w14:textId="77777777" w:rsidR="00636B5B" w:rsidRDefault="00636B5B" w:rsidP="00CE7936">
      <w:pPr>
        <w:jc w:val="center"/>
      </w:pPr>
    </w:p>
    <w:p w14:paraId="226CB4C0" w14:textId="77777777" w:rsidR="00636B5B" w:rsidRDefault="00636B5B" w:rsidP="00CE7936">
      <w:pPr>
        <w:jc w:val="center"/>
      </w:pPr>
    </w:p>
    <w:p w14:paraId="3F5EF3C8" w14:textId="77777777" w:rsidR="00636B5B" w:rsidRDefault="00636B5B" w:rsidP="00CE7936">
      <w:pPr>
        <w:jc w:val="center"/>
      </w:pPr>
    </w:p>
    <w:p w14:paraId="38BB04D1" w14:textId="77777777" w:rsidR="00636B5B" w:rsidRDefault="00636B5B" w:rsidP="00CE7936">
      <w:pPr>
        <w:jc w:val="center"/>
      </w:pPr>
    </w:p>
    <w:p w14:paraId="79B49280" w14:textId="77777777" w:rsidR="00636B5B" w:rsidRDefault="00636B5B" w:rsidP="00CE7936">
      <w:pPr>
        <w:jc w:val="center"/>
      </w:pPr>
    </w:p>
    <w:p w14:paraId="1F652AC5" w14:textId="77777777" w:rsidR="00636B5B" w:rsidRDefault="00636B5B" w:rsidP="00CE7936">
      <w:pPr>
        <w:jc w:val="center"/>
      </w:pPr>
    </w:p>
    <w:p w14:paraId="07267B32" w14:textId="77777777" w:rsidR="00636B5B" w:rsidRDefault="00636B5B" w:rsidP="00CE7936">
      <w:pPr>
        <w:jc w:val="center"/>
      </w:pPr>
    </w:p>
    <w:p w14:paraId="6A50E668" w14:textId="77777777" w:rsidR="00636B5B" w:rsidRDefault="00636B5B" w:rsidP="00CE7936">
      <w:pPr>
        <w:jc w:val="center"/>
      </w:pPr>
    </w:p>
    <w:p w14:paraId="3CA41B4B" w14:textId="77777777" w:rsidR="00636B5B" w:rsidRDefault="00636B5B" w:rsidP="00CE7936">
      <w:pPr>
        <w:jc w:val="center"/>
      </w:pPr>
    </w:p>
    <w:p w14:paraId="7EB7DB38" w14:textId="77777777" w:rsidR="00636B5B" w:rsidRDefault="00636B5B" w:rsidP="00CE7936">
      <w:pPr>
        <w:jc w:val="center"/>
      </w:pPr>
    </w:p>
    <w:p w14:paraId="6E61DE6A" w14:textId="77777777" w:rsidR="00636B5B" w:rsidRDefault="00636B5B" w:rsidP="00CE7936">
      <w:pPr>
        <w:jc w:val="center"/>
      </w:pPr>
    </w:p>
    <w:p w14:paraId="3B9E7814" w14:textId="77777777" w:rsidR="00636B5B" w:rsidRDefault="00636B5B" w:rsidP="00CE7936">
      <w:pPr>
        <w:jc w:val="center"/>
      </w:pPr>
    </w:p>
    <w:p w14:paraId="49715C93" w14:textId="77777777" w:rsidR="00636B5B" w:rsidRDefault="00636B5B" w:rsidP="00CE7936">
      <w:pPr>
        <w:jc w:val="center"/>
      </w:pPr>
    </w:p>
    <w:p w14:paraId="1CF94DEB" w14:textId="77777777" w:rsidR="00636B5B" w:rsidRDefault="00636B5B" w:rsidP="00CE7936">
      <w:pPr>
        <w:jc w:val="center"/>
      </w:pPr>
    </w:p>
    <w:p w14:paraId="232EF409" w14:textId="77777777" w:rsidR="00636B5B" w:rsidRDefault="00636B5B" w:rsidP="00CE7936">
      <w:pPr>
        <w:jc w:val="center"/>
      </w:pPr>
    </w:p>
    <w:p w14:paraId="5B54B191" w14:textId="77777777" w:rsidR="00636B5B" w:rsidRDefault="00636B5B" w:rsidP="00CE7936">
      <w:pPr>
        <w:jc w:val="center"/>
      </w:pPr>
    </w:p>
    <w:p w14:paraId="5B2CFFA2" w14:textId="77777777" w:rsidR="00636B5B" w:rsidRDefault="00636B5B" w:rsidP="00CE7936">
      <w:pPr>
        <w:jc w:val="center"/>
      </w:pPr>
    </w:p>
    <w:p w14:paraId="6857E2A2" w14:textId="77777777" w:rsidR="00636B5B" w:rsidRDefault="00636B5B" w:rsidP="00CE7936">
      <w:pPr>
        <w:jc w:val="center"/>
      </w:pPr>
    </w:p>
    <w:p w14:paraId="0E9E5990" w14:textId="77777777" w:rsidR="00636B5B" w:rsidRDefault="00636B5B" w:rsidP="00CE7936">
      <w:pPr>
        <w:jc w:val="center"/>
      </w:pPr>
    </w:p>
    <w:p w14:paraId="6BDEB4B0" w14:textId="77777777" w:rsidR="00636B5B" w:rsidRDefault="00636B5B" w:rsidP="00CE7936">
      <w:pPr>
        <w:jc w:val="center"/>
      </w:pPr>
    </w:p>
    <w:p w14:paraId="59C6B9CC" w14:textId="77777777" w:rsidR="00636B5B" w:rsidRDefault="00636B5B" w:rsidP="00CE7936">
      <w:pPr>
        <w:jc w:val="center"/>
      </w:pPr>
    </w:p>
    <w:p w14:paraId="37D2BCAC" w14:textId="77777777" w:rsidR="00636B5B" w:rsidRDefault="00636B5B" w:rsidP="00CE7936">
      <w:pPr>
        <w:jc w:val="center"/>
      </w:pPr>
    </w:p>
    <w:p w14:paraId="2A9CEC1A" w14:textId="77777777" w:rsidR="00636B5B" w:rsidRDefault="00636B5B" w:rsidP="00CE7936">
      <w:pPr>
        <w:jc w:val="center"/>
      </w:pPr>
    </w:p>
    <w:p w14:paraId="611A5E36" w14:textId="77777777" w:rsidR="00636B5B" w:rsidRDefault="00636B5B" w:rsidP="00CE7936">
      <w:pPr>
        <w:jc w:val="center"/>
      </w:pPr>
    </w:p>
    <w:p w14:paraId="4B9D235F" w14:textId="77777777" w:rsidR="00636B5B" w:rsidRDefault="00636B5B" w:rsidP="00CE7936">
      <w:pPr>
        <w:jc w:val="center"/>
      </w:pPr>
    </w:p>
    <w:p w14:paraId="6662C09C" w14:textId="77777777" w:rsidR="00636B5B" w:rsidRDefault="00636B5B" w:rsidP="00CE7936">
      <w:pPr>
        <w:jc w:val="center"/>
      </w:pPr>
    </w:p>
    <w:p w14:paraId="75841D59" w14:textId="77777777" w:rsidR="00636B5B" w:rsidRDefault="00636B5B" w:rsidP="00CE7936">
      <w:pPr>
        <w:jc w:val="center"/>
      </w:pPr>
    </w:p>
    <w:p w14:paraId="6866E91F" w14:textId="77777777" w:rsidR="00636B5B" w:rsidRDefault="00636B5B" w:rsidP="00CE7936">
      <w:pPr>
        <w:jc w:val="center"/>
      </w:pPr>
    </w:p>
    <w:p w14:paraId="4F0A4BF6" w14:textId="77777777" w:rsidR="00636B5B" w:rsidRDefault="00636B5B" w:rsidP="00CE7936">
      <w:pPr>
        <w:jc w:val="center"/>
      </w:pPr>
    </w:p>
    <w:p w14:paraId="59110651" w14:textId="77777777" w:rsidR="00636B5B" w:rsidRDefault="00636B5B" w:rsidP="00CE7936">
      <w:pPr>
        <w:jc w:val="center"/>
      </w:pPr>
    </w:p>
    <w:p w14:paraId="7D2C251E" w14:textId="77777777" w:rsidR="00636B5B" w:rsidRDefault="00636B5B" w:rsidP="00CE7936">
      <w:pPr>
        <w:jc w:val="center"/>
      </w:pPr>
    </w:p>
    <w:p w14:paraId="2198EBFB" w14:textId="77777777" w:rsidR="00636B5B" w:rsidRDefault="00636B5B" w:rsidP="00CE7936">
      <w:pPr>
        <w:jc w:val="center"/>
      </w:pPr>
    </w:p>
    <w:p w14:paraId="02A1CE3C" w14:textId="77777777" w:rsidR="00636B5B" w:rsidRDefault="00636B5B" w:rsidP="00CE7936">
      <w:pPr>
        <w:jc w:val="center"/>
      </w:pPr>
    </w:p>
    <w:p w14:paraId="1471834E" w14:textId="77777777" w:rsidR="00636B5B" w:rsidRDefault="00636B5B" w:rsidP="00CE7936">
      <w:pPr>
        <w:jc w:val="center"/>
      </w:pPr>
    </w:p>
    <w:p w14:paraId="61C700F5" w14:textId="77777777" w:rsidR="00636B5B" w:rsidRDefault="00636B5B" w:rsidP="00CE7936">
      <w:pPr>
        <w:jc w:val="center"/>
      </w:pPr>
    </w:p>
    <w:p w14:paraId="2A7C9BA2" w14:textId="77777777" w:rsidR="00636B5B" w:rsidRDefault="00636B5B" w:rsidP="00CE7936">
      <w:r>
        <w:lastRenderedPageBreak/>
        <w:t>This chapter has been previously published and contains contributions from multiple authors:</w:t>
      </w:r>
    </w:p>
    <w:p w14:paraId="096B6D85" w14:textId="77777777" w:rsidR="00636B5B" w:rsidRDefault="00636B5B" w:rsidP="00CE7936">
      <w:pPr>
        <w:widowControl w:val="0"/>
        <w:autoSpaceDE w:val="0"/>
        <w:autoSpaceDN w:val="0"/>
        <w:adjustRightInd w:val="0"/>
      </w:pPr>
    </w:p>
    <w:p w14:paraId="79554EB8" w14:textId="77777777" w:rsidR="00636B5B" w:rsidRDefault="00636B5B" w:rsidP="00CE7936">
      <w:pPr>
        <w:widowControl w:val="0"/>
        <w:autoSpaceDE w:val="0"/>
        <w:autoSpaceDN w:val="0"/>
        <w:adjustRightInd w:val="0"/>
        <w:spacing w:line="360" w:lineRule="auto"/>
      </w:pPr>
      <w:r w:rsidRPr="00291637">
        <w:t xml:space="preserve">Timothy B Yates, Kai Feng, </w:t>
      </w:r>
      <w:proofErr w:type="spellStart"/>
      <w:r w:rsidRPr="00291637">
        <w:t>Jin</w:t>
      </w:r>
      <w:proofErr w:type="spellEnd"/>
      <w:r w:rsidRPr="00291637">
        <w:t xml:space="preserve"> Zhang, Vasanth </w:t>
      </w:r>
      <w:proofErr w:type="spellStart"/>
      <w:r w:rsidRPr="00291637">
        <w:t>Singan</w:t>
      </w:r>
      <w:proofErr w:type="spellEnd"/>
      <w:r w:rsidRPr="00291637">
        <w:t xml:space="preserve">, Sara S </w:t>
      </w:r>
      <w:proofErr w:type="spellStart"/>
      <w:r w:rsidRPr="00291637">
        <w:t>Jawdy</w:t>
      </w:r>
      <w:proofErr w:type="spellEnd"/>
      <w:r w:rsidRPr="00291637">
        <w:t xml:space="preserve">, Priya Ranjan, Paul E Abraham, Kerrie Barry, Anna </w:t>
      </w:r>
      <w:proofErr w:type="spellStart"/>
      <w:r w:rsidRPr="00291637">
        <w:t>Lipzen</w:t>
      </w:r>
      <w:proofErr w:type="spellEnd"/>
      <w:r w:rsidRPr="00291637">
        <w:t xml:space="preserve">, </w:t>
      </w:r>
      <w:proofErr w:type="spellStart"/>
      <w:r w:rsidRPr="00291637">
        <w:t>Chongle</w:t>
      </w:r>
      <w:proofErr w:type="spellEnd"/>
      <w:r w:rsidRPr="00291637">
        <w:t xml:space="preserve"> Pan, Jeremy Schmutz, </w:t>
      </w:r>
      <w:proofErr w:type="spellStart"/>
      <w:r w:rsidRPr="00291637">
        <w:t>Jin-Gui</w:t>
      </w:r>
      <w:proofErr w:type="spellEnd"/>
      <w:r w:rsidRPr="00291637">
        <w:t xml:space="preserve"> Chen, Gerald A </w:t>
      </w:r>
      <w:proofErr w:type="spellStart"/>
      <w:r w:rsidRPr="00291637">
        <w:t>Tuskan</w:t>
      </w:r>
      <w:proofErr w:type="spellEnd"/>
      <w:r w:rsidRPr="00291637">
        <w:t xml:space="preserve">, Wellington </w:t>
      </w:r>
      <w:proofErr w:type="spellStart"/>
      <w:r w:rsidRPr="00291637">
        <w:t>Muchero</w:t>
      </w:r>
      <w:proofErr w:type="spellEnd"/>
      <w:r w:rsidRPr="00291637">
        <w:t xml:space="preserve">, The Ancient </w:t>
      </w:r>
      <w:proofErr w:type="spellStart"/>
      <w:r w:rsidRPr="00291637">
        <w:t>Salicoid</w:t>
      </w:r>
      <w:proofErr w:type="spellEnd"/>
      <w:r w:rsidRPr="00291637">
        <w:t xml:space="preserve"> Genome Duplication Event: A Platform for Reconstruction of De Novo Gene Evolution in Populus </w:t>
      </w:r>
      <w:proofErr w:type="spellStart"/>
      <w:r w:rsidRPr="00291637">
        <w:t>trichocarpa</w:t>
      </w:r>
      <w:proofErr w:type="spellEnd"/>
      <w:r w:rsidRPr="00291637">
        <w:t xml:space="preserve">, Genome Biology and Evolution, Volume 13, Issue 9, September 2021, evab198, </w:t>
      </w:r>
      <w:hyperlink r:id="rId11" w:history="1">
        <w:r w:rsidRPr="00A75D7B">
          <w:rPr>
            <w:rStyle w:val="Hyperlink"/>
          </w:rPr>
          <w:t>https://doi.org/10.1093/gbe/evab198</w:t>
        </w:r>
      </w:hyperlink>
    </w:p>
    <w:p w14:paraId="58B9ED04" w14:textId="77777777" w:rsidR="00636B5B" w:rsidRDefault="00636B5B" w:rsidP="00CE7936">
      <w:pPr>
        <w:widowControl w:val="0"/>
        <w:autoSpaceDE w:val="0"/>
        <w:autoSpaceDN w:val="0"/>
        <w:adjustRightInd w:val="0"/>
        <w:spacing w:line="360" w:lineRule="auto"/>
      </w:pPr>
    </w:p>
    <w:p w14:paraId="6FC69C2D" w14:textId="77777777" w:rsidR="00636B5B" w:rsidRDefault="00636B5B" w:rsidP="00CE7936">
      <w:pPr>
        <w:widowControl w:val="0"/>
        <w:autoSpaceDE w:val="0"/>
        <w:autoSpaceDN w:val="0"/>
        <w:adjustRightInd w:val="0"/>
        <w:spacing w:line="360" w:lineRule="auto"/>
      </w:pPr>
      <w:r w:rsidRPr="006D5D0D">
        <w:rPr>
          <w:b/>
          <w:bCs/>
        </w:rPr>
        <w:t>Author contributions:</w:t>
      </w:r>
      <w:r>
        <w:t xml:space="preserve"> </w:t>
      </w:r>
      <w:r w:rsidRPr="00291637">
        <w:t xml:space="preserve">T.B.Y. and W.M. designed this study. T.B.Y conducted data analysis and wrote the manuscript. V.S., K.B., and A.L. analyzed and curated the RNA-Seq and WGS data. S.J.S. and L.G. generated data. K.F. performed variant calling and performed data analysis. T.B.Y and J.Z. performed </w:t>
      </w:r>
      <w:proofErr w:type="spellStart"/>
      <w:r w:rsidRPr="00291637">
        <w:t>eQTL</w:t>
      </w:r>
      <w:proofErr w:type="spellEnd"/>
      <w:r w:rsidRPr="00291637">
        <w:t xml:space="preserve"> analysis. C.P. and P.R. contributed to data analysis. P.E.A. generated and analyzed proteomic data. T.B.Y, P.E.A., J.S., J.-G.C, G.A.T., and W.M. revised the manuscript.</w:t>
      </w:r>
    </w:p>
    <w:p w14:paraId="31624F81" w14:textId="77777777" w:rsidR="00636B5B" w:rsidRDefault="00636B5B" w:rsidP="00CE7936">
      <w:pPr>
        <w:widowControl w:val="0"/>
        <w:autoSpaceDE w:val="0"/>
        <w:autoSpaceDN w:val="0"/>
        <w:adjustRightInd w:val="0"/>
      </w:pPr>
    </w:p>
    <w:p w14:paraId="2390C3BC" w14:textId="77777777" w:rsidR="00636B5B" w:rsidRDefault="00636B5B" w:rsidP="00CE7936">
      <w:pPr>
        <w:widowControl w:val="0"/>
        <w:autoSpaceDE w:val="0"/>
        <w:autoSpaceDN w:val="0"/>
        <w:adjustRightInd w:val="0"/>
      </w:pPr>
    </w:p>
    <w:p w14:paraId="03B1BBCC" w14:textId="77777777" w:rsidR="00636B5B" w:rsidRDefault="00636B5B" w:rsidP="00CE7936">
      <w:pPr>
        <w:widowControl w:val="0"/>
        <w:autoSpaceDE w:val="0"/>
        <w:autoSpaceDN w:val="0"/>
        <w:adjustRightInd w:val="0"/>
      </w:pPr>
    </w:p>
    <w:p w14:paraId="547E32F0" w14:textId="77777777" w:rsidR="00636B5B" w:rsidRDefault="00636B5B" w:rsidP="00CE7936">
      <w:pPr>
        <w:widowControl w:val="0"/>
        <w:autoSpaceDE w:val="0"/>
        <w:autoSpaceDN w:val="0"/>
        <w:adjustRightInd w:val="0"/>
      </w:pPr>
    </w:p>
    <w:p w14:paraId="0874F303" w14:textId="77777777" w:rsidR="00636B5B" w:rsidRDefault="00636B5B" w:rsidP="00CE7936">
      <w:pPr>
        <w:widowControl w:val="0"/>
        <w:autoSpaceDE w:val="0"/>
        <w:autoSpaceDN w:val="0"/>
        <w:adjustRightInd w:val="0"/>
      </w:pPr>
    </w:p>
    <w:p w14:paraId="099B7B0E" w14:textId="77777777" w:rsidR="00636B5B" w:rsidRDefault="00636B5B" w:rsidP="00CE7936">
      <w:pPr>
        <w:widowControl w:val="0"/>
        <w:autoSpaceDE w:val="0"/>
        <w:autoSpaceDN w:val="0"/>
        <w:adjustRightInd w:val="0"/>
      </w:pPr>
    </w:p>
    <w:p w14:paraId="2CCC8E12" w14:textId="77777777" w:rsidR="00636B5B" w:rsidRDefault="00636B5B" w:rsidP="00CE7936">
      <w:pPr>
        <w:widowControl w:val="0"/>
        <w:autoSpaceDE w:val="0"/>
        <w:autoSpaceDN w:val="0"/>
        <w:adjustRightInd w:val="0"/>
      </w:pPr>
    </w:p>
    <w:p w14:paraId="3E73150B" w14:textId="77777777" w:rsidR="00636B5B" w:rsidRDefault="00636B5B" w:rsidP="00CE7936">
      <w:pPr>
        <w:widowControl w:val="0"/>
        <w:autoSpaceDE w:val="0"/>
        <w:autoSpaceDN w:val="0"/>
        <w:adjustRightInd w:val="0"/>
      </w:pPr>
    </w:p>
    <w:p w14:paraId="5FFB0BEE" w14:textId="77777777" w:rsidR="00636B5B" w:rsidRDefault="00636B5B" w:rsidP="00CE7936">
      <w:pPr>
        <w:widowControl w:val="0"/>
        <w:autoSpaceDE w:val="0"/>
        <w:autoSpaceDN w:val="0"/>
        <w:adjustRightInd w:val="0"/>
      </w:pPr>
    </w:p>
    <w:p w14:paraId="3D05877F" w14:textId="77777777" w:rsidR="00636B5B" w:rsidRDefault="00636B5B" w:rsidP="00CE7936">
      <w:pPr>
        <w:widowControl w:val="0"/>
        <w:autoSpaceDE w:val="0"/>
        <w:autoSpaceDN w:val="0"/>
        <w:adjustRightInd w:val="0"/>
      </w:pPr>
    </w:p>
    <w:p w14:paraId="182BEB68" w14:textId="77777777" w:rsidR="00636B5B" w:rsidRDefault="00636B5B" w:rsidP="00CE7936">
      <w:pPr>
        <w:widowControl w:val="0"/>
        <w:autoSpaceDE w:val="0"/>
        <w:autoSpaceDN w:val="0"/>
        <w:adjustRightInd w:val="0"/>
      </w:pPr>
    </w:p>
    <w:p w14:paraId="67F2A735" w14:textId="77777777" w:rsidR="00636B5B" w:rsidRDefault="00636B5B" w:rsidP="00CE7936">
      <w:pPr>
        <w:widowControl w:val="0"/>
        <w:autoSpaceDE w:val="0"/>
        <w:autoSpaceDN w:val="0"/>
        <w:adjustRightInd w:val="0"/>
      </w:pPr>
    </w:p>
    <w:p w14:paraId="63057F75" w14:textId="77777777" w:rsidR="00636B5B" w:rsidRDefault="00636B5B" w:rsidP="00CE7936">
      <w:pPr>
        <w:widowControl w:val="0"/>
        <w:autoSpaceDE w:val="0"/>
        <w:autoSpaceDN w:val="0"/>
        <w:adjustRightInd w:val="0"/>
      </w:pPr>
    </w:p>
    <w:p w14:paraId="64F79839" w14:textId="77777777" w:rsidR="00636B5B" w:rsidRDefault="00636B5B" w:rsidP="00CE7936">
      <w:pPr>
        <w:widowControl w:val="0"/>
        <w:autoSpaceDE w:val="0"/>
        <w:autoSpaceDN w:val="0"/>
        <w:adjustRightInd w:val="0"/>
      </w:pPr>
    </w:p>
    <w:p w14:paraId="0997B20E" w14:textId="77777777" w:rsidR="00636B5B" w:rsidRDefault="00636B5B" w:rsidP="00CE7936">
      <w:pPr>
        <w:widowControl w:val="0"/>
        <w:autoSpaceDE w:val="0"/>
        <w:autoSpaceDN w:val="0"/>
        <w:adjustRightInd w:val="0"/>
      </w:pPr>
    </w:p>
    <w:p w14:paraId="1B96736B" w14:textId="77777777" w:rsidR="00636B5B" w:rsidRDefault="00636B5B" w:rsidP="00CE7936">
      <w:pPr>
        <w:widowControl w:val="0"/>
        <w:autoSpaceDE w:val="0"/>
        <w:autoSpaceDN w:val="0"/>
        <w:adjustRightInd w:val="0"/>
      </w:pPr>
    </w:p>
    <w:p w14:paraId="75D6896A" w14:textId="77777777" w:rsidR="00636B5B" w:rsidRDefault="00636B5B" w:rsidP="00CE7936">
      <w:pPr>
        <w:widowControl w:val="0"/>
        <w:autoSpaceDE w:val="0"/>
        <w:autoSpaceDN w:val="0"/>
        <w:adjustRightInd w:val="0"/>
      </w:pPr>
    </w:p>
    <w:p w14:paraId="42629487" w14:textId="77777777" w:rsidR="00636B5B" w:rsidRDefault="00636B5B" w:rsidP="00CE7936">
      <w:pPr>
        <w:widowControl w:val="0"/>
        <w:autoSpaceDE w:val="0"/>
        <w:autoSpaceDN w:val="0"/>
        <w:adjustRightInd w:val="0"/>
      </w:pPr>
    </w:p>
    <w:p w14:paraId="5AE8E3F8" w14:textId="77777777" w:rsidR="00636B5B" w:rsidRDefault="00636B5B" w:rsidP="00CE7936">
      <w:pPr>
        <w:widowControl w:val="0"/>
        <w:autoSpaceDE w:val="0"/>
        <w:autoSpaceDN w:val="0"/>
        <w:adjustRightInd w:val="0"/>
      </w:pPr>
    </w:p>
    <w:p w14:paraId="337E94A2" w14:textId="77777777" w:rsidR="00636B5B" w:rsidRDefault="00636B5B" w:rsidP="00CE7936">
      <w:pPr>
        <w:widowControl w:val="0"/>
        <w:autoSpaceDE w:val="0"/>
        <w:autoSpaceDN w:val="0"/>
        <w:adjustRightInd w:val="0"/>
      </w:pPr>
    </w:p>
    <w:p w14:paraId="1A18E824" w14:textId="77777777" w:rsidR="00636B5B" w:rsidRDefault="00636B5B" w:rsidP="00CE7936">
      <w:pPr>
        <w:widowControl w:val="0"/>
        <w:autoSpaceDE w:val="0"/>
        <w:autoSpaceDN w:val="0"/>
        <w:adjustRightInd w:val="0"/>
      </w:pPr>
    </w:p>
    <w:p w14:paraId="488E6606" w14:textId="77777777" w:rsidR="00636B5B" w:rsidRDefault="00636B5B" w:rsidP="00CE7936">
      <w:pPr>
        <w:widowControl w:val="0"/>
        <w:autoSpaceDE w:val="0"/>
        <w:autoSpaceDN w:val="0"/>
        <w:adjustRightInd w:val="0"/>
      </w:pPr>
    </w:p>
    <w:p w14:paraId="19ECCFD2" w14:textId="77777777" w:rsidR="00636B5B" w:rsidRDefault="00636B5B" w:rsidP="00CE7936">
      <w:pPr>
        <w:widowControl w:val="0"/>
        <w:autoSpaceDE w:val="0"/>
        <w:autoSpaceDN w:val="0"/>
        <w:adjustRightInd w:val="0"/>
      </w:pPr>
    </w:p>
    <w:p w14:paraId="2CED6463" w14:textId="77777777" w:rsidR="00636B5B" w:rsidRDefault="00636B5B" w:rsidP="00CE7936">
      <w:pPr>
        <w:widowControl w:val="0"/>
        <w:autoSpaceDE w:val="0"/>
        <w:autoSpaceDN w:val="0"/>
        <w:adjustRightInd w:val="0"/>
      </w:pPr>
    </w:p>
    <w:p w14:paraId="3207AE91" w14:textId="77777777" w:rsidR="00636B5B" w:rsidRDefault="00636B5B" w:rsidP="00CE7936">
      <w:pPr>
        <w:widowControl w:val="0"/>
        <w:autoSpaceDE w:val="0"/>
        <w:autoSpaceDN w:val="0"/>
        <w:adjustRightInd w:val="0"/>
      </w:pPr>
    </w:p>
    <w:p w14:paraId="39A00DD6" w14:textId="77777777" w:rsidR="00D30413" w:rsidRDefault="00D30413" w:rsidP="00CE7936">
      <w:pPr>
        <w:widowControl w:val="0"/>
        <w:autoSpaceDE w:val="0"/>
        <w:autoSpaceDN w:val="0"/>
        <w:adjustRightInd w:val="0"/>
        <w:jc w:val="center"/>
        <w:rPr>
          <w:b/>
          <w:bCs/>
          <w:sz w:val="28"/>
          <w:szCs w:val="26"/>
        </w:rPr>
      </w:pPr>
    </w:p>
    <w:p w14:paraId="6BC0B4A2" w14:textId="6415F68B" w:rsidR="00636B5B" w:rsidRPr="006F508A" w:rsidRDefault="00636B5B" w:rsidP="00CE7936">
      <w:pPr>
        <w:widowControl w:val="0"/>
        <w:autoSpaceDE w:val="0"/>
        <w:autoSpaceDN w:val="0"/>
        <w:adjustRightInd w:val="0"/>
        <w:jc w:val="center"/>
        <w:rPr>
          <w:b/>
          <w:bCs/>
          <w:sz w:val="28"/>
          <w:szCs w:val="26"/>
        </w:rPr>
      </w:pPr>
      <w:r w:rsidRPr="006F508A">
        <w:rPr>
          <w:b/>
          <w:bCs/>
          <w:sz w:val="28"/>
          <w:szCs w:val="26"/>
        </w:rPr>
        <w:lastRenderedPageBreak/>
        <w:t>Abstract</w:t>
      </w:r>
    </w:p>
    <w:p w14:paraId="5ADEA163" w14:textId="77777777" w:rsidR="00636B5B" w:rsidRDefault="00636B5B" w:rsidP="00CE7936">
      <w:pPr>
        <w:widowControl w:val="0"/>
        <w:autoSpaceDE w:val="0"/>
        <w:autoSpaceDN w:val="0"/>
        <w:adjustRightInd w:val="0"/>
        <w:jc w:val="center"/>
        <w:rPr>
          <w:b/>
          <w:bCs/>
        </w:rPr>
      </w:pPr>
    </w:p>
    <w:p w14:paraId="29E23A98" w14:textId="77777777" w:rsidR="00636B5B" w:rsidRPr="009131DB" w:rsidRDefault="00636B5B" w:rsidP="00CE7936">
      <w:pPr>
        <w:spacing w:line="360" w:lineRule="auto"/>
        <w:ind w:firstLine="720"/>
        <w:jc w:val="both"/>
      </w:pPr>
      <w:r w:rsidRPr="009131DB">
        <w:t>Orphan genes</w:t>
      </w:r>
      <w:r>
        <w:t xml:space="preserve"> are characteristic genomic features that have no detectable homology </w:t>
      </w:r>
      <w:r w:rsidRPr="009131DB">
        <w:t xml:space="preserve">to genes in </w:t>
      </w:r>
      <w:r>
        <w:t xml:space="preserve">any </w:t>
      </w:r>
      <w:r w:rsidRPr="009131DB">
        <w:t xml:space="preserve">other species and represent an important </w:t>
      </w:r>
      <w:r>
        <w:t>attribute</w:t>
      </w:r>
      <w:r w:rsidRPr="009131DB">
        <w:t xml:space="preserve"> of genome evolution as source</w:t>
      </w:r>
      <w:r>
        <w:t>s</w:t>
      </w:r>
      <w:r w:rsidRPr="009131DB">
        <w:t xml:space="preserve"> of</w:t>
      </w:r>
      <w:r>
        <w:t xml:space="preserve"> novel</w:t>
      </w:r>
      <w:r w:rsidRPr="009131DB">
        <w:t xml:space="preserve"> genetic </w:t>
      </w:r>
      <w:r>
        <w:t>functions</w:t>
      </w:r>
      <w:r w:rsidRPr="009131DB">
        <w:t xml:space="preserve">. </w:t>
      </w:r>
      <w:r>
        <w:t>Here, w</w:t>
      </w:r>
      <w:r w:rsidRPr="009131DB">
        <w:t>e identif</w:t>
      </w:r>
      <w:r>
        <w:t>ied</w:t>
      </w:r>
      <w:r w:rsidRPr="009131DB">
        <w:t xml:space="preserve"> </w:t>
      </w:r>
      <w:r>
        <w:t>445</w:t>
      </w:r>
      <w:r w:rsidRPr="009131DB">
        <w:t xml:space="preserve"> genes specific to </w:t>
      </w:r>
      <w:r w:rsidRPr="009131DB">
        <w:rPr>
          <w:i/>
        </w:rPr>
        <w:t>P</w:t>
      </w:r>
      <w:r>
        <w:rPr>
          <w:i/>
        </w:rPr>
        <w:t>opulus</w:t>
      </w:r>
      <w:r w:rsidRPr="009131DB">
        <w:rPr>
          <w:i/>
        </w:rPr>
        <w:t xml:space="preserve"> </w:t>
      </w:r>
      <w:proofErr w:type="spellStart"/>
      <w:r w:rsidRPr="009131DB">
        <w:rPr>
          <w:i/>
        </w:rPr>
        <w:t>trichocarpa</w:t>
      </w:r>
      <w:proofErr w:type="spellEnd"/>
      <w:r>
        <w:rPr>
          <w:i/>
        </w:rPr>
        <w:t xml:space="preserve">. </w:t>
      </w:r>
      <w:r>
        <w:t>Of these, we performed deeper reconstruction of</w:t>
      </w:r>
      <w:r w:rsidRPr="009131DB">
        <w:t xml:space="preserve"> </w:t>
      </w:r>
      <w:r>
        <w:t>13</w:t>
      </w:r>
      <w:r w:rsidRPr="009131DB">
        <w:t xml:space="preserve"> </w:t>
      </w:r>
      <w:r>
        <w:t>orphan genes to provide</w:t>
      </w:r>
      <w:r w:rsidRPr="009131DB">
        <w:t xml:space="preserve"> evidence of </w:t>
      </w:r>
      <w:r w:rsidRPr="009131DB">
        <w:rPr>
          <w:i/>
        </w:rPr>
        <w:t xml:space="preserve">de novo </w:t>
      </w:r>
      <w:r w:rsidRPr="009131DB">
        <w:t xml:space="preserve">gene evolution. </w:t>
      </w:r>
      <w:r w:rsidRPr="009131DB">
        <w:rPr>
          <w:i/>
        </w:rPr>
        <w:t xml:space="preserve">Populus </w:t>
      </w:r>
      <w:r w:rsidRPr="009131DB">
        <w:t xml:space="preserve">and its sister genera </w:t>
      </w:r>
      <w:r w:rsidRPr="009131DB">
        <w:rPr>
          <w:i/>
        </w:rPr>
        <w:t xml:space="preserve">Salix </w:t>
      </w:r>
      <w:r w:rsidRPr="009131DB">
        <w:t xml:space="preserve">are particularly well suited for the study of orphan gene evolution because of the </w:t>
      </w:r>
      <w:proofErr w:type="spellStart"/>
      <w:r w:rsidRPr="009131DB">
        <w:t>Salicoid</w:t>
      </w:r>
      <w:proofErr w:type="spellEnd"/>
      <w:r w:rsidRPr="009131DB">
        <w:t xml:space="preserve"> whole</w:t>
      </w:r>
      <w:r>
        <w:t>-</w:t>
      </w:r>
      <w:r w:rsidRPr="009131DB">
        <w:t>genome duplication</w:t>
      </w:r>
      <w:r>
        <w:t xml:space="preserve"> event</w:t>
      </w:r>
      <w:r w:rsidRPr="009131DB">
        <w:t xml:space="preserve"> (WGD) which resulted in highly syntenic sister chromosomal segments across the Salicaceae. We leverage</w:t>
      </w:r>
      <w:r>
        <w:t>d</w:t>
      </w:r>
      <w:r w:rsidRPr="009131DB">
        <w:t xml:space="preserve"> this genomic feature to reconstruct </w:t>
      </w:r>
      <w:r w:rsidRPr="009131DB">
        <w:rPr>
          <w:i/>
        </w:rPr>
        <w:t xml:space="preserve">de novo </w:t>
      </w:r>
      <w:r w:rsidRPr="009131DB">
        <w:t xml:space="preserve">gene evolution from inter-genera, inter-species, and intra-genomic perspectives by comparing the syntenic regions within the </w:t>
      </w:r>
      <w:r w:rsidRPr="00333E28">
        <w:rPr>
          <w:i/>
        </w:rPr>
        <w:t xml:space="preserve">P. </w:t>
      </w:r>
      <w:proofErr w:type="spellStart"/>
      <w:r w:rsidRPr="00333E28">
        <w:rPr>
          <w:i/>
        </w:rPr>
        <w:t>trichocarpa</w:t>
      </w:r>
      <w:proofErr w:type="spellEnd"/>
      <w:r w:rsidRPr="009131DB">
        <w:rPr>
          <w:i/>
        </w:rPr>
        <w:t xml:space="preserve"> </w:t>
      </w:r>
      <w:r w:rsidRPr="009131DB">
        <w:t xml:space="preserve">reference, then </w:t>
      </w:r>
      <w:r w:rsidRPr="00333E28">
        <w:rPr>
          <w:i/>
        </w:rPr>
        <w:t xml:space="preserve">P. </w:t>
      </w:r>
      <w:proofErr w:type="spellStart"/>
      <w:r w:rsidRPr="00333E28">
        <w:rPr>
          <w:i/>
        </w:rPr>
        <w:t>deltoides</w:t>
      </w:r>
      <w:proofErr w:type="spellEnd"/>
      <w:r w:rsidRPr="009131DB">
        <w:rPr>
          <w:i/>
        </w:rPr>
        <w:t xml:space="preserve">, </w:t>
      </w:r>
      <w:r w:rsidRPr="009131DB">
        <w:t xml:space="preserve">and finally </w:t>
      </w:r>
      <w:r w:rsidRPr="009131DB">
        <w:rPr>
          <w:i/>
        </w:rPr>
        <w:t>Salix purpurea.</w:t>
      </w:r>
      <w:r w:rsidRPr="001435F5">
        <w:t xml:space="preserve"> Furthermore, we demonstrated that </w:t>
      </w:r>
      <w:r>
        <w:t>86.5</w:t>
      </w:r>
      <w:r w:rsidRPr="001435F5">
        <w:t>% of the putative orphan genes had evidence of transcription</w:t>
      </w:r>
      <w:r>
        <w:t>.</w:t>
      </w:r>
      <w:r w:rsidRPr="001435F5">
        <w:rPr>
          <w:i/>
        </w:rPr>
        <w:t xml:space="preserve"> </w:t>
      </w:r>
      <w:r w:rsidRPr="009131DB">
        <w:t xml:space="preserve"> Additionally, we also utilize</w:t>
      </w:r>
      <w:r>
        <w:t>d</w:t>
      </w:r>
      <w:r w:rsidRPr="009131DB">
        <w:t xml:space="preserve"> the </w:t>
      </w:r>
      <w:r w:rsidRPr="009131DB">
        <w:rPr>
          <w:i/>
        </w:rPr>
        <w:t>Populus</w:t>
      </w:r>
      <w:r w:rsidRPr="009131DB">
        <w:t xml:space="preserve"> </w:t>
      </w:r>
      <w:r>
        <w:t>g</w:t>
      </w:r>
      <w:r w:rsidRPr="009131DB">
        <w:t xml:space="preserve">enome-wide association mapping panel (GWAS), a collection of 1,084 undomesticated </w:t>
      </w:r>
      <w:r w:rsidRPr="00333E28">
        <w:rPr>
          <w:i/>
          <w:iCs/>
        </w:rPr>
        <w:t xml:space="preserve">P. </w:t>
      </w:r>
      <w:proofErr w:type="spellStart"/>
      <w:r w:rsidRPr="00333E28">
        <w:rPr>
          <w:i/>
          <w:iCs/>
        </w:rPr>
        <w:t>trichocarpa</w:t>
      </w:r>
      <w:proofErr w:type="spellEnd"/>
      <w:r>
        <w:rPr>
          <w:i/>
          <w:iCs/>
        </w:rPr>
        <w:t xml:space="preserve"> </w:t>
      </w:r>
      <w:r w:rsidRPr="009131DB">
        <w:t xml:space="preserve">genotypes to further </w:t>
      </w:r>
      <w:r>
        <w:t>determine putative regulatory networks of orphan genes using expression quantitative trait loci (</w:t>
      </w:r>
      <w:proofErr w:type="spellStart"/>
      <w:r>
        <w:t>eQTL</w:t>
      </w:r>
      <w:proofErr w:type="spellEnd"/>
      <w:r>
        <w:t xml:space="preserve">) mapping. Functional enrichment of these </w:t>
      </w:r>
      <w:proofErr w:type="spellStart"/>
      <w:r>
        <w:t>eQTL</w:t>
      </w:r>
      <w:proofErr w:type="spellEnd"/>
      <w:r>
        <w:t xml:space="preserve"> subnetworks identified common biological themes associated with orphan genes such as response to stress and defense response. We also identify a putative </w:t>
      </w:r>
      <w:proofErr w:type="gramStart"/>
      <w:r>
        <w:rPr>
          <w:i/>
          <w:iCs/>
        </w:rPr>
        <w:t>cis-</w:t>
      </w:r>
      <w:r>
        <w:t>element</w:t>
      </w:r>
      <w:proofErr w:type="gramEnd"/>
      <w:r>
        <w:t xml:space="preserve"> for a </w:t>
      </w:r>
      <w:r>
        <w:rPr>
          <w:i/>
          <w:iCs/>
        </w:rPr>
        <w:t xml:space="preserve">de novo </w:t>
      </w:r>
      <w:r>
        <w:t xml:space="preserve">gene and leverage conserved synteny to describe evolution of a putative transcription factor binding site. Overall, 45% of orphan genes were captured in </w:t>
      </w:r>
      <w:r>
        <w:rPr>
          <w:i/>
          <w:iCs/>
        </w:rPr>
        <w:t>trans-</w:t>
      </w:r>
      <w:proofErr w:type="spellStart"/>
      <w:r>
        <w:t>eQTL</w:t>
      </w:r>
      <w:proofErr w:type="spellEnd"/>
      <w:r>
        <w:t xml:space="preserve"> networks. </w:t>
      </w:r>
    </w:p>
    <w:p w14:paraId="66EE94B6" w14:textId="77777777" w:rsidR="00636B5B" w:rsidRDefault="00636B5B" w:rsidP="00CE7936">
      <w:pPr>
        <w:widowControl w:val="0"/>
        <w:autoSpaceDE w:val="0"/>
        <w:autoSpaceDN w:val="0"/>
        <w:adjustRightInd w:val="0"/>
        <w:rPr>
          <w:b/>
          <w:bCs/>
        </w:rPr>
      </w:pPr>
    </w:p>
    <w:p w14:paraId="69CBEC7F" w14:textId="77777777" w:rsidR="00636B5B" w:rsidRDefault="00636B5B" w:rsidP="00CE7936">
      <w:pPr>
        <w:widowControl w:val="0"/>
        <w:autoSpaceDE w:val="0"/>
        <w:autoSpaceDN w:val="0"/>
        <w:adjustRightInd w:val="0"/>
        <w:rPr>
          <w:b/>
          <w:bCs/>
        </w:rPr>
      </w:pPr>
    </w:p>
    <w:p w14:paraId="4F3CB0EF" w14:textId="77777777" w:rsidR="00636B5B" w:rsidRDefault="00636B5B" w:rsidP="00CE7936">
      <w:pPr>
        <w:widowControl w:val="0"/>
        <w:autoSpaceDE w:val="0"/>
        <w:autoSpaceDN w:val="0"/>
        <w:adjustRightInd w:val="0"/>
        <w:rPr>
          <w:b/>
          <w:bCs/>
        </w:rPr>
      </w:pPr>
    </w:p>
    <w:p w14:paraId="665C90C5" w14:textId="77777777" w:rsidR="00636B5B" w:rsidRDefault="00636B5B" w:rsidP="00CE7936">
      <w:pPr>
        <w:widowControl w:val="0"/>
        <w:autoSpaceDE w:val="0"/>
        <w:autoSpaceDN w:val="0"/>
        <w:adjustRightInd w:val="0"/>
        <w:rPr>
          <w:b/>
          <w:bCs/>
        </w:rPr>
      </w:pPr>
    </w:p>
    <w:p w14:paraId="082ACE81" w14:textId="77777777" w:rsidR="00636B5B" w:rsidRDefault="00636B5B" w:rsidP="00CE7936">
      <w:pPr>
        <w:widowControl w:val="0"/>
        <w:autoSpaceDE w:val="0"/>
        <w:autoSpaceDN w:val="0"/>
        <w:adjustRightInd w:val="0"/>
        <w:rPr>
          <w:b/>
          <w:bCs/>
        </w:rPr>
      </w:pPr>
    </w:p>
    <w:p w14:paraId="6D40E4C8" w14:textId="77777777" w:rsidR="00636B5B" w:rsidRDefault="00636B5B" w:rsidP="00CE7936">
      <w:pPr>
        <w:widowControl w:val="0"/>
        <w:autoSpaceDE w:val="0"/>
        <w:autoSpaceDN w:val="0"/>
        <w:adjustRightInd w:val="0"/>
        <w:rPr>
          <w:b/>
          <w:bCs/>
        </w:rPr>
      </w:pPr>
    </w:p>
    <w:p w14:paraId="6D95B627" w14:textId="77777777" w:rsidR="00636B5B" w:rsidRDefault="00636B5B" w:rsidP="00CE7936">
      <w:pPr>
        <w:widowControl w:val="0"/>
        <w:autoSpaceDE w:val="0"/>
        <w:autoSpaceDN w:val="0"/>
        <w:adjustRightInd w:val="0"/>
        <w:rPr>
          <w:b/>
          <w:bCs/>
        </w:rPr>
      </w:pPr>
    </w:p>
    <w:p w14:paraId="2379ECC8" w14:textId="77777777" w:rsidR="00636B5B" w:rsidRDefault="00636B5B" w:rsidP="00CE7936">
      <w:pPr>
        <w:widowControl w:val="0"/>
        <w:autoSpaceDE w:val="0"/>
        <w:autoSpaceDN w:val="0"/>
        <w:adjustRightInd w:val="0"/>
        <w:rPr>
          <w:b/>
          <w:bCs/>
        </w:rPr>
      </w:pPr>
    </w:p>
    <w:p w14:paraId="177D7CD1" w14:textId="77777777" w:rsidR="00636B5B" w:rsidRDefault="00636B5B" w:rsidP="00CE7936">
      <w:pPr>
        <w:widowControl w:val="0"/>
        <w:autoSpaceDE w:val="0"/>
        <w:autoSpaceDN w:val="0"/>
        <w:adjustRightInd w:val="0"/>
        <w:rPr>
          <w:b/>
          <w:bCs/>
        </w:rPr>
      </w:pPr>
    </w:p>
    <w:p w14:paraId="442A0E54" w14:textId="77777777" w:rsidR="00636B5B" w:rsidRDefault="00636B5B" w:rsidP="00CE7936">
      <w:pPr>
        <w:widowControl w:val="0"/>
        <w:autoSpaceDE w:val="0"/>
        <w:autoSpaceDN w:val="0"/>
        <w:adjustRightInd w:val="0"/>
        <w:rPr>
          <w:b/>
          <w:bCs/>
        </w:rPr>
      </w:pPr>
    </w:p>
    <w:p w14:paraId="1C749365" w14:textId="77777777" w:rsidR="00636B5B" w:rsidRDefault="00636B5B" w:rsidP="00CE7936">
      <w:pPr>
        <w:widowControl w:val="0"/>
        <w:autoSpaceDE w:val="0"/>
        <w:autoSpaceDN w:val="0"/>
        <w:adjustRightInd w:val="0"/>
        <w:rPr>
          <w:b/>
          <w:bCs/>
        </w:rPr>
      </w:pPr>
    </w:p>
    <w:p w14:paraId="3F474C3A" w14:textId="77777777" w:rsidR="00636B5B" w:rsidRDefault="00636B5B" w:rsidP="00CE7936">
      <w:pPr>
        <w:widowControl w:val="0"/>
        <w:autoSpaceDE w:val="0"/>
        <w:autoSpaceDN w:val="0"/>
        <w:adjustRightInd w:val="0"/>
        <w:rPr>
          <w:b/>
          <w:bCs/>
        </w:rPr>
      </w:pPr>
    </w:p>
    <w:p w14:paraId="2D44324D" w14:textId="77777777" w:rsidR="00636B5B" w:rsidRDefault="00636B5B" w:rsidP="00CE7936">
      <w:pPr>
        <w:widowControl w:val="0"/>
        <w:autoSpaceDE w:val="0"/>
        <w:autoSpaceDN w:val="0"/>
        <w:adjustRightInd w:val="0"/>
        <w:rPr>
          <w:b/>
          <w:bCs/>
        </w:rPr>
      </w:pPr>
    </w:p>
    <w:p w14:paraId="2C4A76A9" w14:textId="77777777" w:rsidR="00636B5B" w:rsidRDefault="00636B5B" w:rsidP="00CE7936">
      <w:pPr>
        <w:widowControl w:val="0"/>
        <w:autoSpaceDE w:val="0"/>
        <w:autoSpaceDN w:val="0"/>
        <w:adjustRightInd w:val="0"/>
        <w:rPr>
          <w:b/>
          <w:bCs/>
        </w:rPr>
      </w:pPr>
    </w:p>
    <w:p w14:paraId="3FB6FE32" w14:textId="77777777" w:rsidR="00636B5B" w:rsidRDefault="00636B5B" w:rsidP="00CE7936">
      <w:pPr>
        <w:widowControl w:val="0"/>
        <w:autoSpaceDE w:val="0"/>
        <w:autoSpaceDN w:val="0"/>
        <w:adjustRightInd w:val="0"/>
        <w:rPr>
          <w:b/>
          <w:bCs/>
        </w:rPr>
      </w:pPr>
    </w:p>
    <w:p w14:paraId="6A42A4F8" w14:textId="77777777" w:rsidR="00636B5B" w:rsidRDefault="00636B5B" w:rsidP="00CE7936">
      <w:pPr>
        <w:widowControl w:val="0"/>
        <w:autoSpaceDE w:val="0"/>
        <w:autoSpaceDN w:val="0"/>
        <w:adjustRightInd w:val="0"/>
        <w:rPr>
          <w:b/>
          <w:bCs/>
        </w:rPr>
      </w:pPr>
    </w:p>
    <w:p w14:paraId="19BFB203" w14:textId="77777777" w:rsidR="00636B5B" w:rsidRDefault="00636B5B" w:rsidP="00CE7936">
      <w:pPr>
        <w:widowControl w:val="0"/>
        <w:autoSpaceDE w:val="0"/>
        <w:autoSpaceDN w:val="0"/>
        <w:adjustRightInd w:val="0"/>
        <w:rPr>
          <w:b/>
          <w:bCs/>
        </w:rPr>
      </w:pPr>
    </w:p>
    <w:p w14:paraId="6A1CD07D" w14:textId="77777777" w:rsidR="00636B5B" w:rsidRPr="006F508A" w:rsidRDefault="00636B5B" w:rsidP="00CE7936">
      <w:pPr>
        <w:widowControl w:val="0"/>
        <w:autoSpaceDE w:val="0"/>
        <w:autoSpaceDN w:val="0"/>
        <w:adjustRightInd w:val="0"/>
        <w:jc w:val="center"/>
        <w:rPr>
          <w:b/>
          <w:bCs/>
          <w:sz w:val="28"/>
          <w:szCs w:val="26"/>
        </w:rPr>
      </w:pPr>
      <w:r w:rsidRPr="006F508A">
        <w:rPr>
          <w:b/>
          <w:bCs/>
          <w:sz w:val="28"/>
          <w:szCs w:val="26"/>
        </w:rPr>
        <w:lastRenderedPageBreak/>
        <w:t>Introduction</w:t>
      </w:r>
    </w:p>
    <w:p w14:paraId="6E773C79" w14:textId="77777777" w:rsidR="00636B5B" w:rsidRDefault="00636B5B" w:rsidP="00CE7936">
      <w:pPr>
        <w:widowControl w:val="0"/>
        <w:autoSpaceDE w:val="0"/>
        <w:autoSpaceDN w:val="0"/>
        <w:adjustRightInd w:val="0"/>
        <w:rPr>
          <w:b/>
          <w:bCs/>
        </w:rPr>
      </w:pPr>
    </w:p>
    <w:p w14:paraId="6F57F1D4" w14:textId="77777777" w:rsidR="00636B5B" w:rsidRPr="009131DB" w:rsidRDefault="00636B5B" w:rsidP="00CE7936">
      <w:pPr>
        <w:spacing w:line="360" w:lineRule="auto"/>
        <w:ind w:firstLine="720"/>
        <w:jc w:val="both"/>
      </w:pPr>
      <w:r>
        <w:t>To date, each new species sequenced has contained</w:t>
      </w:r>
      <w:r w:rsidRPr="009131DB">
        <w:t xml:space="preserve"> a cadre of orphan genes </w:t>
      </w:r>
      <w:r>
        <w:fldChar w:fldCharType="begin" w:fldLock="1"/>
      </w:r>
      <w:r>
        <w:instrText>ADDIN CSL_CITATION {"citationItems":[{"id":"ITEM-1","itemData":{"DOI":"10.1038/nrg3053","ISBN":"1471-0064 (Electronic)\\r1471-0056 (Linking)","ISSN":"1471-0056","PMID":"21878963","abstract":"Gene evolution has long been thought to be primarily driven by duplication and rearrangement mechanisms. However, every evolutionary lineage harbours orphan genes that lack homologues in other lineages and whose evolutionary origin is only poorly understood. Orphan genes might arise from duplication and rearrangement processes followed by fast divergence; however, de novo evolution out of non-coding genomic regions is emerging as an important additional mechanism. This process appears to provide raw material continuously for the evolution of new gene functions, which can become relevant for lineage-specific adaptations.","author":[{"dropping-particle":"","family":"Tautz","given":"Diethard","non-dropping-particle":"","parse-names":false,"suffix":""},{"dropping-particle":"","family":"Domazet-Lošo","given":"Tomislav","non-dropping-particle":"","parse-names":false,"suffix":""}],"container-title":"Nature Reviews Genetics","id":"ITEM-1","issue":"10","issued":{"date-parts":[["2011"]]},"page":"692-702","publisher":"Nature Publishing Group","title":"The evolutionary origin of orphan genes","type":"article-journal","volume":"12"},"uris":["http://www.mendeley.com/documents/?uuid=8917bb25-3b15-4e77-8e1f-50b287a7db3b"]}],"mendeley":{"formattedCitation":"(Tautz &amp; Domazet-Lošo, 2011)","plainTextFormattedCitation":"(Tautz &amp; Domazet-Lošo, 2011)","previouslyFormattedCitation":"(Tautz &amp; Domazet-Lošo 2011)"},"properties":{"noteIndex":0},"schema":"https://github.com/citation-style-language/schema/raw/master/csl-citation.json"}</w:instrText>
      </w:r>
      <w:r>
        <w:fldChar w:fldCharType="separate"/>
      </w:r>
      <w:r w:rsidRPr="00CE7936">
        <w:rPr>
          <w:noProof/>
        </w:rPr>
        <w:t>(Tautz &amp; Domazet-Lošo, 2011)</w:t>
      </w:r>
      <w:r>
        <w:fldChar w:fldCharType="end"/>
      </w:r>
      <w:r w:rsidRPr="009131DB">
        <w:t>.</w:t>
      </w:r>
      <w:r>
        <w:t xml:space="preserve"> Although detection of orphan genes is highly dependent on the group of species being searched against, they can be defined as any gene that lacks identifiable homologs in any other species. Additionally, some orphan genes when examined in the context of closely related species may show evidence of </w:t>
      </w:r>
      <w:r>
        <w:rPr>
          <w:i/>
          <w:iCs/>
        </w:rPr>
        <w:t xml:space="preserve">de novo </w:t>
      </w:r>
      <w:r>
        <w:t xml:space="preserve">evolution. </w:t>
      </w:r>
      <w:r>
        <w:rPr>
          <w:i/>
        </w:rPr>
        <w:t>D</w:t>
      </w:r>
      <w:r w:rsidRPr="009131DB">
        <w:rPr>
          <w:i/>
        </w:rPr>
        <w:t>e novo</w:t>
      </w:r>
      <w:r>
        <w:rPr>
          <w:i/>
        </w:rPr>
        <w:t xml:space="preserve"> </w:t>
      </w:r>
      <w:r w:rsidRPr="00F97756">
        <w:rPr>
          <w:iCs/>
        </w:rPr>
        <w:t>genes</w:t>
      </w:r>
      <w:r w:rsidRPr="009131DB">
        <w:t xml:space="preserve"> must arise from noncoding </w:t>
      </w:r>
      <w:r>
        <w:t xml:space="preserve">ancestrally noncoding sequence </w:t>
      </w:r>
      <w:r>
        <w:fldChar w:fldCharType="begin" w:fldLock="1"/>
      </w:r>
      <w:r>
        <w:instrText>ADDIN CSL_CITATION {"citationItems":[{"id":"ITEM-1","itemData":{"DOI":"10.1016/j.tplants.2014.07.003","ISBN":"1360-1385","ISSN":"13601385","PMID":"25151064","abstract":"Sizable minorities of protein-coding genes from every sequenced eukaryotic and prokaryotic genome are unique to the species. These so-called 'orphan genes' may evolve de novo from non-coding sequence or be derived from older coding material. They are often associated with environmental stress responses and species-specific traits or regulatory patterns. However, difficulties in studying genes where comparative analysis is impossible, and a bias towards broadly conserved genes, have resulted in underappreciation of their importance. We review here the identification, possible origins, evolutionary trends, and functions of orphans with an emphasis on their role in plant biology. We exemplify several evolutionary trends with an analysis of Arabidopsis thaliana and present QQS as a model orphan gene.","author":[{"dropping-particle":"","family":"Arendsee","given":"Zebulun W.","non-dropping-particle":"","parse-names":false,"suffix":""},{"dropping-particle":"","family":"Li","given":"Ling","non-dropping-particle":"","parse-names":false,"suffix":""},{"dropping-particle":"","family":"Wurtele","given":"Eve Syrkin","non-dropping-particle":"","parse-names":false,"suffix":""}],"container-title":"Trends in Plant Science","id":"ITEM-1","issue":"11","issued":{"date-parts":[["2014"]]},"page":"698-708","publisher":"Elsevier Ltd","title":"Coming of age: Orphan genes in plants","type":"article-journal","volume":"19"},"uris":["http://www.mendeley.com/documents/?uuid=f4b04975-d61a-4c1d-91ad-0fa62e25ecdd"]}],"mendeley":{"formattedCitation":"(Z. W. Arendsee, Li, &amp; Wurtele, 2014)","manualFormatting":"(Arendsee et al., 2014)","plainTextFormattedCitation":"(Z. W. Arendsee, Li, &amp; Wurtele, 2014)","previouslyFormattedCitation":"(Arendsee et al. 2014)"},"properties":{"noteIndex":0},"schema":"https://github.com/citation-style-language/schema/raw/master/csl-citation.json"}</w:instrText>
      </w:r>
      <w:r>
        <w:fldChar w:fldCharType="separate"/>
      </w:r>
      <w:r w:rsidRPr="00AD3C02">
        <w:rPr>
          <w:noProof/>
        </w:rPr>
        <w:t>(Arendsee et al., 2014)</w:t>
      </w:r>
      <w:r>
        <w:fldChar w:fldCharType="end"/>
      </w:r>
      <w:r w:rsidRPr="009131DB">
        <w:t xml:space="preserve">. </w:t>
      </w:r>
    </w:p>
    <w:p w14:paraId="1BE5463B" w14:textId="77777777" w:rsidR="00636B5B" w:rsidRPr="000E7C60" w:rsidRDefault="00636B5B" w:rsidP="00CE7936">
      <w:pPr>
        <w:spacing w:line="360" w:lineRule="auto"/>
        <w:ind w:firstLine="720"/>
        <w:jc w:val="both"/>
      </w:pPr>
      <w:r w:rsidRPr="009131DB">
        <w:t xml:space="preserve">Initially, there was considerable speculation surrounding the possibility of </w:t>
      </w:r>
      <w:r w:rsidRPr="009131DB">
        <w:rPr>
          <w:i/>
        </w:rPr>
        <w:t>de novo</w:t>
      </w:r>
      <w:r w:rsidRPr="009131DB">
        <w:t xml:space="preserve"> gene evolution. Both Susumu Ohno and François Jacob supported the duplication</w:t>
      </w:r>
      <w:r>
        <w:t xml:space="preserve"> and </w:t>
      </w:r>
      <w:r w:rsidRPr="009131DB">
        <w:t>divergence model and thought</w:t>
      </w:r>
      <w:r>
        <w:t xml:space="preserve"> </w:t>
      </w:r>
      <w:r w:rsidRPr="009131DB">
        <w:rPr>
          <w:i/>
        </w:rPr>
        <w:t>de novo</w:t>
      </w:r>
      <w:r w:rsidRPr="009131DB">
        <w:t xml:space="preserve"> gene origination from noncoding sequence was highly unlikely, if not impossible </w:t>
      </w:r>
      <w:r>
        <w:fldChar w:fldCharType="begin" w:fldLock="1"/>
      </w:r>
      <w:r>
        <w:instrText>ADDIN CSL_CITATION {"citationItems":[{"id":"ITEM-1","itemData":{"author":[{"dropping-particle":"","family":"Ohno","given":"Susumu","non-dropping-particle":"","parse-names":false,"suffix":""}],"container-title":"Transactions of the American Fisheries Society","id":"ITEM-1","issued":{"date-parts":[["1970"]]},"page":"120-130","title":"The enormous diversity in genome sizes of fish as a reflection of nature's extensive experiments with gene duplication","type":"article-journal"},"uris":["http://www.mendeley.com/documents/?uuid=44e8a01b-b805-4176-90bf-3258d85eb312"]},{"id":"ITEM-2","itemData":{"DOI":"10.1210/jcem-10-10-1361","ISSN":"19457197","abstract":"The 117th Meeting of the American Association for the Advancement of Science, the annual meeting for the year 1950, will be a full-scale meeting—with programs in every principal field of science. All 17 of the Association’s sections and subsections, and more than 40 participating societies and organizations, are completing plans for an aggregate of more than 200 sessions. © 1950 by The Endocrine Society.","author":[{"dropping-particle":"","family":"Jacob","given":"François","non-dropping-particle":"","parse-names":false,"suffix":""}],"container-title":"Science","id":"ITEM-2","issue":"4295","issued":{"date-parts":[["1977"]]},"page":"1161-1166","title":"Evolution and Tinkering","type":"article-journal","volume":"196"},"uris":["http://www.mendeley.com/documents/?uuid=f4dc6e27-aec8-4c76-8bdf-7e4701beed72"]}],"mendeley":{"formattedCitation":"(Jacob, 1977; Ohno, 1970)","plainTextFormattedCitation":"(Jacob, 1977; Ohno, 1970)","previouslyFormattedCitation":"(Ohno 1970b; Jacob 1977)"},"properties":{"noteIndex":0},"schema":"https://github.com/citation-style-language/schema/raw/master/csl-citation.json"}</w:instrText>
      </w:r>
      <w:r>
        <w:fldChar w:fldCharType="separate"/>
      </w:r>
      <w:r w:rsidRPr="00CE7936">
        <w:rPr>
          <w:noProof/>
        </w:rPr>
        <w:t>(Jacob, 1977; Ohno, 1970)</w:t>
      </w:r>
      <w:r>
        <w:fldChar w:fldCharType="end"/>
      </w:r>
      <w:r w:rsidRPr="009131DB">
        <w:t xml:space="preserve">. It was not until the early-2000s when empirical evidence for </w:t>
      </w:r>
      <w:r w:rsidRPr="009131DB">
        <w:rPr>
          <w:i/>
        </w:rPr>
        <w:t>de novo</w:t>
      </w:r>
      <w:r w:rsidRPr="009131DB">
        <w:t xml:space="preserve"> evolved genes was available. The first example being five genes that evolved from noncoding sequence in </w:t>
      </w:r>
      <w:r w:rsidRPr="009131DB">
        <w:rPr>
          <w:i/>
        </w:rPr>
        <w:t>Drosophila</w:t>
      </w:r>
      <w:r w:rsidRPr="009131DB">
        <w:t xml:space="preserve"> </w:t>
      </w:r>
      <w:r>
        <w:fldChar w:fldCharType="begin" w:fldLock="1"/>
      </w:r>
      <w:r>
        <w:instrText>ADDIN CSL_CITATION {"citationItems":[{"id":"ITEM-1","itemData":{"DOI":"10.1073/pnas.0509809103","ISBN":"0509809103","ISSN":"0027-8424","PMID":"16777968","abstract":"Descriptions of recently evolved genes suggest several mechanisms of origin including exon shuffling, gene fission/fusion, retrotransposition, duplication-divergence, and lateral gene transfer, all of which involve recruitment of preexisting genes or genetic elements into new function. The importance of noncoding DNA in the origin of novel genes remains an open question. We used the well annotated genome of the genetic model system Drosophila melanogaster and genome sequences of related species to carry out a whole-genome search for new D. melanogaster genes that are derived from noncoding DNA. Here, we describe five such genes, four of which are X-linked. Our RT-PCR experiments show that all five putative novel genes are expressed predominantly in testes. These data support the idea that these novel genes are derived from ancestral noncoding sequence and that new, favored genes are likely to invade populations under selective pressures relating to male reproduction.","author":[{"dropping-particle":"","family":"Levine","given":"Mia T","non-dropping-particle":"","parse-names":false,"suffix":""},{"dropping-particle":"","family":"Jones","given":"Corbin D","non-dropping-particle":"","parse-names":false,"suffix":""},{"dropping-particle":"","family":"Kern","given":"Andrew D","non-dropping-particle":"","parse-names":false,"suffix":""},{"dropping-particle":"","family":"Lindfors","given":"Heather A","non-dropping-particle":"","parse-names":false,"suffix":""},{"dropping-particle":"","family":"Begun","given":"David J","non-dropping-particle":"","parse-names":false,"suffix":""}],"container-title":"Proceedings of the National Academy of Sciences of the United States of America","id":"ITEM-1","issue":"26","issued":{"date-parts":[["2006"]]},"page":"9935-9","title":"Novel genes derived from noncoding DNA in Drosophila melanogaster are frequently X-linked and exhibit testis-biased expression.","type":"article-journal","volume":"103"},"uris":["http://www.mendeley.com/documents/?uuid=4b7aab03-403b-49d1-98c4-72f0c593b24d"]}],"mendeley":{"formattedCitation":"(Levine, Jones, Kern, Lindfors, &amp; Begun, 2006)","manualFormatting":"(Levine et al., 2006)","plainTextFormattedCitation":"(Levine, Jones, Kern, Lindfors, &amp; Begun, 2006)","previouslyFormattedCitation":"(Levine et al. 2006)"},"properties":{"noteIndex":0},"schema":"https://github.com/citation-style-language/schema/raw/master/csl-citation.json"}</w:instrText>
      </w:r>
      <w:r>
        <w:fldChar w:fldCharType="separate"/>
      </w:r>
      <w:r w:rsidRPr="00390118">
        <w:rPr>
          <w:noProof/>
        </w:rPr>
        <w:t>(Levine</w:t>
      </w:r>
      <w:r>
        <w:rPr>
          <w:noProof/>
        </w:rPr>
        <w:t xml:space="preserve"> et al.</w:t>
      </w:r>
      <w:r w:rsidRPr="00390118">
        <w:rPr>
          <w:noProof/>
        </w:rPr>
        <w:t>, 2006)</w:t>
      </w:r>
      <w:r>
        <w:fldChar w:fldCharType="end"/>
      </w:r>
      <w:r w:rsidRPr="009131DB">
        <w:t xml:space="preserve">. Following this study, several additional examples of </w:t>
      </w:r>
      <w:r w:rsidRPr="009131DB">
        <w:rPr>
          <w:i/>
        </w:rPr>
        <w:t>de novo</w:t>
      </w:r>
      <w:r w:rsidRPr="009131DB">
        <w:t xml:space="preserve"> genes were described in humans, plants</w:t>
      </w:r>
      <w:r>
        <w:t xml:space="preserve">, and primates </w:t>
      </w:r>
      <w:r>
        <w:fldChar w:fldCharType="begin" w:fldLock="1"/>
      </w:r>
      <w:r>
        <w:instrText>ADDIN CSL_CITATION {"citationItems":[{"id":"ITEM-1","itemData":{"DOI":"10.1101/gr.095026.109","ISBN":"1549-5469 (Electronic)\\n1088-9051 (Linking)","ISSN":"10889051","PMID":"19726446","author":[{"dropping-particle":"","family":"Knowles","given":"David G","non-dropping-particle":"","parse-names":false,"suffix":""},{"dropping-particle":"","family":"Mclysaght","given":"Aoife","non-dropping-particle":"","parse-names":false,"suffix":""},{"dropping-particle":"","family":"Knowles","given":"David G","non-dropping-particle":"","parse-names":false,"suffix":""},{"dropping-particle":"","family":"Mclysaght","given":"Aoife","non-dropping-particle":"","parse-names":false,"suffix":""}],"container-title":"Genome Research","id":"ITEM-1","issued":{"date-parts":[["2009"]]},"page":"1-9","title":"Recent de novo origin of human protein-coding genes","type":"article-journal","volume":"19"},"uris":["http://www.mendeley.com/documents/?uuid=d71c79d2-3f0f-4157-b522-eed969fe190b"]},{"id":"ITEM-2","itemData":{"DOI":"10.1371/journal.pone.0004603","ISBN":"1932-6203 (Electronic)","ISSN":"19326203","PMID":"19240804","abstract":"How defense genes originated with the evolution of their specific pathogen-responsive traits remains an important problem. It is generally known that a form of duplication can generate new genes, suggesting that a new gene usually evolves from an ancestral gene. However, we show that a new defense gene in plants may evolve by de novo origination, resulting in sophisticated disease-resistant functions in rice. Analyses of gene evolution showed that this new gene, OsDR10, had homologs only in the closest relative, Leersia genus, but not other subfamilies of the grass family; therefore, it is a rice tribe-specific gene that may have originated de novo in the tribe. We further show that this gene may evolve a highly conservative rice-specific function that contributes to the regulation difference between rice and other plant species in response to pathogen infections. Biologic analyses including gene silencing, pathologic analysis, and mutant characterization by transformation showed that the OsDR10-suppressed plants enhanced resistance to a broad spectrum of Xanthomonas oryzae pv. oryzae strains, which cause bacterial blight disease. This enhanced disease resistance was accompanied by increased accumulation of endogenous salicylic acid (SA) and suppressed accumulation of endogenous jasmonic acid (JA) as well as modified expression of a subset of defense-responsive genes functioning both upstream and downstream of SA and JA. These data and analyses provide fresh insights into the new biologic and evolutionary processes of a de novo gene recruited rapidly.","author":[{"dropping-particle":"","family":"Xiao","given":"Wenfei","non-dropping-particle":"","parse-names":false,"suffix":""},{"dropping-particle":"","family":"Liu","given":"Hongbo","non-dropping-particle":"","parse-names":false,"suffix":""},{"dropping-particle":"","family":"Li","given":"Yu","non-dropping-particle":"","parse-names":false,"suffix":""},{"dropping-particle":"","family":"Li","given":"Xianghua","non-dropping-particle":"","parse-names":false,"suffix":""},{"dropping-particle":"","family":"Xu","given":"Caiguo","non-dropping-particle":"","parse-names":false,"suffix":""},{"dropping-particle":"","family":"Long","given":"Manyuan","non-dropping-particle":"","parse-names":false,"suffix":""},{"dropping-particle":"","family":"Wang","given":"Shiping","non-dropping-particle":"","parse-names":false,"suffix":""}],"container-title":"PLoS ONE","id":"ITEM-2","issue":"2","issued":{"date-parts":[["2009"]]},"page":"1-12","title":"A rice gene of de novo origin negatively regulates pathogen-induced defense response","type":"article-journal","volume":"4"},"uris":["http://www.mendeley.com/documents/?uuid=f624d351-2b59-455a-8ebf-daf609a831c0"]},{"id":"ITEM-3","itemData":{"DOI":"10.1093/molbev/msn281","ISBN":"0737-4038","ISSN":"07374038","PMID":"19064677","abstract":"Genomes contain a large number of genes that do not have recognizable homologues in other species and that are likely to be involved in important species-specific adaptive processes. The origin of many such \"orphan\" genes remains unknown. Here we present the first systematic study of the characteristics and mechanisms of formation of primate-specific orphan genes. We determine that codon usage values for most orphan genes fall within the bulk of the codon usage distribution of bona fide human proteins, supporting their current protein-coding annotation. We also show that primate orphan genes display distinctive features in relation to genes of wider phylogenetic distribution: higher tissue specificity, more rapid evolution, and shorter peptide size. We estimate that around 24% are highly divergent members of mammalian protein families. Interestingly, around 53% of the orphan genes contain sequences derived from transposable elements (TEs) and are mostly located in primate-specific genomic regions. This indicates frequent recruitment of TEs as part of novel genes. Finally, we also obtain evidence that a small fraction of primate orphan genes, around 5.5%, might have originated de novo from mammalian noncoding genomic regions.","author":[{"dropping-particle":"","family":"Toll-Riera","given":"MacArena","non-dropping-particle":"","parse-names":false,"suffix":""},{"dropping-particle":"","family":"Bosch","given":"Nina","non-dropping-particle":"","parse-names":false,"suffix":""},{"dropping-particle":"","family":"Bellora","given":"Nicolás","non-dropping-particle":"","parse-names":false,"suffix":""},{"dropping-particle":"","family":"Castelo","given":"Robert","non-dropping-particle":"","parse-names":false,"suffix":""},{"dropping-particle":"","family":"Armengol","given":"Lluis","non-dropping-particle":"","parse-names":false,"suffix":""},{"dropping-particle":"","family":"Estivill","given":"Xavier","non-dropping-particle":"","parse-names":false,"suffix":""},{"dropping-particle":"","family":"Mar Albà","given":"M.","non-dropping-particle":"","parse-names":false,"suffix":""}],"container-title":"Molecular Biology and Evolution","id":"ITEM-3","issue":"3","issued":{"date-parts":[["2009"]]},"page":"603-612","title":"Origin of primate orphan genes: A comparative genomics approach","type":"article-journal","volume":"26"},"uris":["http://www.mendeley.com/documents/?uuid=db5dd314-c7fe-4f3a-835a-a3c90eaf9e97"]}],"mendeley":{"formattedCitation":"(Knowles, Mclysaght, Knowles, &amp; Mclysaght, 2009; Toll-Riera et al., 2009; Xiao et al., 2009)","manualFormatting":"(Knowles, &amp; Mclysaght, 2009; Toll-Riera et al., 2009; Xiao et al., 2009)","plainTextFormattedCitation":"(Knowles, Mclysaght, Knowles, &amp; Mclysaght, 2009; Toll-Riera et al., 2009; Xiao et al., 2009)","previouslyFormattedCitation":"(Knowles et al. 2009; Xiao et al. 2009; Toll-Riera et al. 2009)"},"properties":{"noteIndex":0},"schema":"https://github.com/citation-style-language/schema/raw/master/csl-citation.json"}</w:instrText>
      </w:r>
      <w:r>
        <w:fldChar w:fldCharType="separate"/>
      </w:r>
      <w:r w:rsidRPr="00A647FC">
        <w:rPr>
          <w:noProof/>
        </w:rPr>
        <w:t>(Knowles, &amp; Mclysaght, 2009; Toll-Riera et al., 2009; Xiao et al., 2009)</w:t>
      </w:r>
      <w:r>
        <w:fldChar w:fldCharType="end"/>
      </w:r>
      <w:r w:rsidRPr="009131DB">
        <w:t xml:space="preserve">. </w:t>
      </w:r>
    </w:p>
    <w:p w14:paraId="45C414C8" w14:textId="77777777" w:rsidR="00636B5B" w:rsidRPr="009131DB" w:rsidRDefault="00636B5B" w:rsidP="00CE7936">
      <w:pPr>
        <w:spacing w:line="360" w:lineRule="auto"/>
        <w:jc w:val="both"/>
      </w:pPr>
      <w:bookmarkStart w:id="0" w:name="_gjdgxs" w:colFirst="0" w:colLast="0"/>
      <w:bookmarkEnd w:id="0"/>
      <w:r w:rsidRPr="009131DB">
        <w:tab/>
      </w:r>
      <w:r w:rsidRPr="009131DB">
        <w:rPr>
          <w:i/>
        </w:rPr>
        <w:t xml:space="preserve"> </w:t>
      </w:r>
      <w:r w:rsidRPr="0002683E">
        <w:rPr>
          <w:iCs/>
        </w:rPr>
        <w:t>Here</w:t>
      </w:r>
      <w:r w:rsidRPr="009131DB">
        <w:t xml:space="preserve">, we provide evidence of </w:t>
      </w:r>
      <w:r w:rsidRPr="009131DB">
        <w:rPr>
          <w:i/>
        </w:rPr>
        <w:t>de novo</w:t>
      </w:r>
      <w:r w:rsidRPr="009131DB">
        <w:t xml:space="preserve">-evolved orphan genes in </w:t>
      </w:r>
      <w:r w:rsidRPr="009131DB">
        <w:rPr>
          <w:i/>
        </w:rPr>
        <w:t xml:space="preserve">Populus </w:t>
      </w:r>
      <w:proofErr w:type="spellStart"/>
      <w:r w:rsidRPr="009131DB">
        <w:rPr>
          <w:i/>
        </w:rPr>
        <w:t>trichocarpa</w:t>
      </w:r>
      <w:proofErr w:type="spellEnd"/>
      <w:r w:rsidRPr="009131DB">
        <w:t xml:space="preserve"> via intra-genomic, inter-specific, and inter-genera syntenic analys</w:t>
      </w:r>
      <w:r>
        <w:t>e</w:t>
      </w:r>
      <w:r w:rsidRPr="009131DB">
        <w:t xml:space="preserve">s. This novel analysis is possible as a result of the </w:t>
      </w:r>
      <w:proofErr w:type="spellStart"/>
      <w:r w:rsidRPr="009131DB">
        <w:t>Salicoid</w:t>
      </w:r>
      <w:proofErr w:type="spellEnd"/>
      <w:r w:rsidRPr="009131DB">
        <w:t xml:space="preserve"> whole</w:t>
      </w:r>
      <w:r>
        <w:t>-</w:t>
      </w:r>
      <w:r w:rsidRPr="009131DB">
        <w:t>genome duplication (WGD) event</w:t>
      </w:r>
      <w:r>
        <w:t xml:space="preserve"> that</w:t>
      </w:r>
      <w:r w:rsidRPr="009131DB">
        <w:t xml:space="preserve"> all members of the Salicaceae</w:t>
      </w:r>
      <w:r>
        <w:t xml:space="preserve"> family</w:t>
      </w:r>
      <w:r w:rsidRPr="009131DB">
        <w:t xml:space="preserve"> share </w:t>
      </w:r>
      <w:r>
        <w:fldChar w:fldCharType="begin" w:fldLock="1"/>
      </w:r>
      <w:r>
        <w:instrText>ADDIN CSL_CITATION {"citationItems":[{"id":"ITEM-1","itemData":{"DOI":"10.1038/cr.2014.83","ISBN":"1748-7838 (Electronic)\\r1001-0602 (Linking)","ISSN":"1748-7838","PMID":"24980958","abstract":"\\nSupplementary information available for this article at http://www.nature.com/cr/journal/v24/n10/suppinfo/cr201483s1.html","author":[{"dropping-particle":"","family":"Dai","given":"Xiaogang","non-dropping-particle":"","parse-names":false,"suffix":""},{"dropping-particle":"","family":"Hu","given":"Quanjun","non-dropping-particle":"","parse-names":false,"suffix":""},{"dropping-particle":"","family":"Cai","given":"Qingle","non-dropping-particle":"","parse-names":false,"suffix":""},{"dropping-particle":"","family":"Feng","given":"Kai","non-dropping-particle":"","parse-names":false,"suffix":""},{"dropping-particle":"","family":"Ye","given":"Ning","non-dropping-particle":"","parse-names":false,"suffix":""},{"dropping-particle":"","family":"Tuskan","given":"Gerald A","non-dropping-particle":"","parse-names":false,"suffix":""},{"dropping-particle":"","family":"Milne","given":"Richard","non-dropping-particle":"","parse-names":false,"suffix":""},{"dropping-particle":"","family":"Chen","given":"Yingnan","non-dropping-particle":"","parse-names":false,"suffix":""},{"dropping-particle":"","family":"Wan","given":"Zhibing","non-dropping-particle":"","parse-names":false,"suffix":""},{"dropping-particle":"","family":"Wang","given":"Zefu","non-dropping-particle":"","parse-names":false,"suffix":""},{"dropping-particle":"","family":"Luo","given":"Wenchun","non-dropping-particle":"","parse-names":false,"suffix":""},{"dropping-particle":"","family":"Wang","given":"Kun","non-dropping-particle":"","parse-names":false,"suffix":""},{"dropping-particle":"","family":"Wan","given":"Dongshi","non-dropping-particle":"","parse-names":false,"suffix":""},{"dropping-particle":"","family":"Wang","given":"Mingxiu","non-dropping-particle":"","parse-names":false,"suffix":""},{"dropping-particle":"","family":"Wang","given":"Jun","non-dropping-particle":"","parse-names":false,"suffix":""},{"dropping-particle":"","family":"Liu","given":"Jianquan","non-dropping-particle":"","parse-names":false,"suffix":""},{"dropping-particle":"","family":"Yin","given":"Tongming","non-dropping-particle":"","parse-names":false,"suffix":""}],"container-title":"Cell research","id":"ITEM-1","issue":"10","issued":{"date-parts":[["2014"]]},"page":"1274-1277","title":"The willow genome and divergent evolution from poplar after the common genome duplication.","type":"article-journal","volume":"24"},"uris":["http://www.mendeley.com/documents/?uuid=3bc29b77-8ec8-46b0-b497-e078d08e0308"]},{"id":"ITEM-2","itemData":{"DOI":"10.1126/science.1128691","author":[{"dropping-particle":"","family":"Tuskan","given":"G A","non-dropping-particle":"","parse-names":false,"suffix":""},{"dropping-particle":"","family":"Torr","given":"Populus","non-dropping-particle":"","parse-names":false,"suffix":""}],"container-title":"Science","id":"ITEM-2","issue":"2006","issued":{"date-parts":[["2007"]]},"page":"1596-1605","title":"The Genome of Black Cottonwood ,","type":"article-journal","volume":"1596"},"uris":["http://www.mendeley.com/documents/?uuid=a9bf3acc-cc8e-4289-84b0-536be849cffe"]}],"mendeley":{"formattedCitation":"(Dai et al., 2014; Tuskan &amp; Torr, 2007)","manualFormatting":"(Dai et al., 2014; Tuskan et al., 2007)","plainTextFormattedCitation":"(Dai et al., 2014; Tuskan &amp; Torr, 2007)","previouslyFormattedCitation":"(Dai et al. 2014; Tuskan &amp; Torr 2007)"},"properties":{"noteIndex":0},"schema":"https://github.com/citation-style-language/schema/raw/master/csl-citation.json"}</w:instrText>
      </w:r>
      <w:r>
        <w:fldChar w:fldCharType="separate"/>
      </w:r>
      <w:r w:rsidRPr="00632D11">
        <w:rPr>
          <w:noProof/>
        </w:rPr>
        <w:t>(Dai et al., 2014; Tuskan</w:t>
      </w:r>
      <w:r>
        <w:rPr>
          <w:noProof/>
        </w:rPr>
        <w:t xml:space="preserve"> et al.</w:t>
      </w:r>
      <w:r w:rsidRPr="00632D11">
        <w:rPr>
          <w:noProof/>
        </w:rPr>
        <w:t>, 2007)</w:t>
      </w:r>
      <w:r>
        <w:fldChar w:fldCharType="end"/>
      </w:r>
      <w:r w:rsidRPr="009131DB">
        <w:t xml:space="preserve">. The </w:t>
      </w:r>
      <w:proofErr w:type="spellStart"/>
      <w:r w:rsidRPr="009131DB">
        <w:t>Salicoid</w:t>
      </w:r>
      <w:proofErr w:type="spellEnd"/>
      <w:r w:rsidRPr="009131DB">
        <w:t xml:space="preserve"> WGD occurred 58 million years ago in the ancestor of </w:t>
      </w:r>
      <w:r w:rsidRPr="009131DB">
        <w:rPr>
          <w:i/>
        </w:rPr>
        <w:t xml:space="preserve">Populus </w:t>
      </w:r>
      <w:r w:rsidRPr="009131DB">
        <w:t xml:space="preserve">and </w:t>
      </w:r>
      <w:r w:rsidRPr="009131DB">
        <w:rPr>
          <w:i/>
        </w:rPr>
        <w:t>Salix</w:t>
      </w:r>
      <w:r>
        <w:t xml:space="preserve">, which was followed by the divergence of </w:t>
      </w:r>
      <w:r w:rsidRPr="009131DB">
        <w:rPr>
          <w:i/>
        </w:rPr>
        <w:t xml:space="preserve">Populus </w:t>
      </w:r>
      <w:r w:rsidRPr="009131DB">
        <w:t xml:space="preserve">and </w:t>
      </w:r>
      <w:r w:rsidRPr="009131DB">
        <w:rPr>
          <w:i/>
        </w:rPr>
        <w:t xml:space="preserve">Salix </w:t>
      </w:r>
      <w:r w:rsidRPr="009131DB">
        <w:t>6 million years after this WGD event</w:t>
      </w:r>
      <w:r>
        <w:t xml:space="preserve"> </w:t>
      </w:r>
      <w:r>
        <w:fldChar w:fldCharType="begin" w:fldLock="1"/>
      </w:r>
      <w:r>
        <w:instrText>ADDIN CSL_CITATION {"citationItems":[{"id":"ITEM-1","itemData":{"DOI":"10.1038/cr.2014.83","ISBN":"1748-7838 (Electronic)\\r1001-0602 (Linking)","ISSN":"1748-7838","PMID":"24980958","abstract":"\\nSupplementary information available for this article at http://www.nature.com/cr/journal/v24/n10/suppinfo/cr201483s1.html","author":[{"dropping-particle":"","family":"Dai","given":"Xiaogang","non-dropping-particle":"","parse-names":false,"suffix":""},{"dropping-particle":"","family":"Hu","given":"Quanjun","non-dropping-particle":"","parse-names":false,"suffix":""},{"dropping-particle":"","family":"Cai","given":"Qingle","non-dropping-particle":"","parse-names":false,"suffix":""},{"dropping-particle":"","family":"Feng","given":"Kai","non-dropping-particle":"","parse-names":false,"suffix":""},{"dropping-particle":"","family":"Ye","given":"Ning","non-dropping-particle":"","parse-names":false,"suffix":""},{"dropping-particle":"","family":"Tuskan","given":"Gerald A","non-dropping-particle":"","parse-names":false,"suffix":""},{"dropping-particle":"","family":"Milne","given":"Richard","non-dropping-particle":"","parse-names":false,"suffix":""},{"dropping-particle":"","family":"Chen","given":"Yingnan","non-dropping-particle":"","parse-names":false,"suffix":""},{"dropping-particle":"","family":"Wan","given":"Zhibing","non-dropping-particle":"","parse-names":false,"suffix":""},{"dropping-particle":"","family":"Wang","given":"Zefu","non-dropping-particle":"","parse-names":false,"suffix":""},{"dropping-particle":"","family":"Luo","given":"Wenchun","non-dropping-particle":"","parse-names":false,"suffix":""},{"dropping-particle":"","family":"Wang","given":"Kun","non-dropping-particle":"","parse-names":false,"suffix":""},{"dropping-particle":"","family":"Wan","given":"Dongshi","non-dropping-particle":"","parse-names":false,"suffix":""},{"dropping-particle":"","family":"Wang","given":"Mingxiu","non-dropping-particle":"","parse-names":false,"suffix":""},{"dropping-particle":"","family":"Wang","given":"Jun","non-dropping-particle":"","parse-names":false,"suffix":""},{"dropping-particle":"","family":"Liu","given":"Jianquan","non-dropping-particle":"","parse-names":false,"suffix":""},{"dropping-particle":"","family":"Yin","given":"Tongming","non-dropping-particle":"","parse-names":false,"suffix":""}],"container-title":"Cell research","id":"ITEM-1","issue":"10","issued":{"date-parts":[["2014"]]},"page":"1274-1277","title":"The willow genome and divergent evolution from poplar after the common genome duplication.","type":"article-journal","volume":"24"},"uris":["http://www.mendeley.com/documents/?uuid=3bc29b77-8ec8-46b0-b497-e078d08e0308"]}],"mendeley":{"formattedCitation":"(Dai et al., 2014)","plainTextFormattedCitation":"(Dai et al., 2014)","previouslyFormattedCitation":"(Dai et al. 2014)"},"properties":{"noteIndex":0},"schema":"https://github.com/citation-style-language/schema/raw/master/csl-citation.json"}</w:instrText>
      </w:r>
      <w:r>
        <w:fldChar w:fldCharType="separate"/>
      </w:r>
      <w:r w:rsidRPr="00CE7936">
        <w:rPr>
          <w:noProof/>
        </w:rPr>
        <w:t>(Dai et al., 2014)</w:t>
      </w:r>
      <w:r>
        <w:fldChar w:fldCharType="end"/>
      </w:r>
      <w:r w:rsidRPr="009131DB">
        <w:t>.  Additionally, we use</w:t>
      </w:r>
      <w:r>
        <w:t>d</w:t>
      </w:r>
      <w:r w:rsidRPr="009131DB">
        <w:t xml:space="preserve"> transcriptomic and proteomic analysis across multiple </w:t>
      </w:r>
      <w:r>
        <w:t xml:space="preserve">experiments and </w:t>
      </w:r>
      <w:r w:rsidRPr="009131DB">
        <w:t>tissue</w:t>
      </w:r>
      <w:r>
        <w:t xml:space="preserve"> types </w:t>
      </w:r>
      <w:r w:rsidRPr="009131DB">
        <w:t xml:space="preserve">to </w:t>
      </w:r>
      <w:r>
        <w:t>provide evidence of functionality</w:t>
      </w:r>
      <w:r w:rsidRPr="009131DB">
        <w:t>.</w:t>
      </w:r>
      <w:r>
        <w:t xml:space="preserve"> W</w:t>
      </w:r>
      <w:r w:rsidRPr="009131DB">
        <w:t>e</w:t>
      </w:r>
      <w:r>
        <w:t xml:space="preserve"> also</w:t>
      </w:r>
      <w:r w:rsidRPr="009131DB">
        <w:t xml:space="preserve"> analyze</w:t>
      </w:r>
      <w:r>
        <w:t>d polymorphism of</w:t>
      </w:r>
      <w:r w:rsidRPr="009131DB">
        <w:t xml:space="preserve"> orphan genes throughout the </w:t>
      </w:r>
      <w:r w:rsidRPr="009131DB">
        <w:rPr>
          <w:i/>
        </w:rPr>
        <w:t xml:space="preserve">Populus </w:t>
      </w:r>
      <w:r w:rsidRPr="009131DB">
        <w:t xml:space="preserve">GWAS </w:t>
      </w:r>
      <w:r>
        <w:t xml:space="preserve">mapping </w:t>
      </w:r>
      <w:r w:rsidRPr="009131DB">
        <w:t>populatio</w:t>
      </w:r>
      <w:r>
        <w:t xml:space="preserve">n and provide range-wide features of </w:t>
      </w:r>
      <w:r w:rsidRPr="00333E28">
        <w:rPr>
          <w:i/>
        </w:rPr>
        <w:t xml:space="preserve">P. </w:t>
      </w:r>
      <w:proofErr w:type="spellStart"/>
      <w:r w:rsidRPr="00333E28">
        <w:rPr>
          <w:i/>
        </w:rPr>
        <w:t>trichocarpa</w:t>
      </w:r>
      <w:proofErr w:type="spellEnd"/>
      <w:r>
        <w:rPr>
          <w:i/>
        </w:rPr>
        <w:t xml:space="preserve"> </w:t>
      </w:r>
      <w:r>
        <w:t xml:space="preserve">orphan genes. Lastly, we performed </w:t>
      </w:r>
      <w:proofErr w:type="spellStart"/>
      <w:r>
        <w:t>eQTL</w:t>
      </w:r>
      <w:proofErr w:type="spellEnd"/>
      <w:r>
        <w:t xml:space="preserve"> mapping to identify putative regulatory networks surrounding orphan genes.</w:t>
      </w:r>
      <w:r w:rsidRPr="009131DB">
        <w:t xml:space="preserve"> </w:t>
      </w:r>
      <w:r>
        <w:t>From t</w:t>
      </w:r>
      <w:r w:rsidRPr="009131DB">
        <w:t xml:space="preserve">hese analyses, </w:t>
      </w:r>
      <w:r>
        <w:t>we propose</w:t>
      </w:r>
      <w:r w:rsidRPr="009131DB">
        <w:t xml:space="preserve"> novel insights into the mechanisms of </w:t>
      </w:r>
      <w:r w:rsidRPr="009131DB">
        <w:rPr>
          <w:i/>
        </w:rPr>
        <w:t xml:space="preserve">de novo </w:t>
      </w:r>
      <w:r w:rsidRPr="009131DB">
        <w:t xml:space="preserve">gene evolution, evidence of functionality, and characterization </w:t>
      </w:r>
      <w:r>
        <w:t>at</w:t>
      </w:r>
      <w:r w:rsidRPr="009131DB">
        <w:t xml:space="preserve"> the population scale.  </w:t>
      </w:r>
    </w:p>
    <w:p w14:paraId="0E5E2436" w14:textId="77777777" w:rsidR="00636B5B" w:rsidRPr="006F508A" w:rsidRDefault="00636B5B" w:rsidP="00CE7936">
      <w:pPr>
        <w:widowControl w:val="0"/>
        <w:autoSpaceDE w:val="0"/>
        <w:autoSpaceDN w:val="0"/>
        <w:adjustRightInd w:val="0"/>
        <w:rPr>
          <w:b/>
          <w:bCs/>
        </w:rPr>
      </w:pPr>
    </w:p>
    <w:p w14:paraId="103C3025" w14:textId="77777777" w:rsidR="00752AE5" w:rsidRDefault="00752AE5" w:rsidP="00CE7936">
      <w:pPr>
        <w:widowControl w:val="0"/>
        <w:autoSpaceDE w:val="0"/>
        <w:autoSpaceDN w:val="0"/>
        <w:adjustRightInd w:val="0"/>
        <w:jc w:val="center"/>
        <w:rPr>
          <w:b/>
          <w:bCs/>
          <w:sz w:val="28"/>
          <w:szCs w:val="26"/>
        </w:rPr>
      </w:pPr>
    </w:p>
    <w:p w14:paraId="261AAF02" w14:textId="77777777" w:rsidR="00752AE5" w:rsidRDefault="00752AE5" w:rsidP="00CE7936">
      <w:pPr>
        <w:widowControl w:val="0"/>
        <w:autoSpaceDE w:val="0"/>
        <w:autoSpaceDN w:val="0"/>
        <w:adjustRightInd w:val="0"/>
        <w:jc w:val="center"/>
        <w:rPr>
          <w:b/>
          <w:bCs/>
          <w:sz w:val="28"/>
          <w:szCs w:val="26"/>
        </w:rPr>
      </w:pPr>
    </w:p>
    <w:p w14:paraId="0FD0D714" w14:textId="77777777" w:rsidR="00752AE5" w:rsidRDefault="00752AE5" w:rsidP="00CE7936">
      <w:pPr>
        <w:widowControl w:val="0"/>
        <w:autoSpaceDE w:val="0"/>
        <w:autoSpaceDN w:val="0"/>
        <w:adjustRightInd w:val="0"/>
        <w:jc w:val="center"/>
        <w:rPr>
          <w:b/>
          <w:bCs/>
          <w:sz w:val="28"/>
          <w:szCs w:val="26"/>
        </w:rPr>
      </w:pPr>
    </w:p>
    <w:p w14:paraId="4730815E" w14:textId="77777777" w:rsidR="00752AE5" w:rsidRDefault="00752AE5" w:rsidP="00CE7936">
      <w:pPr>
        <w:widowControl w:val="0"/>
        <w:autoSpaceDE w:val="0"/>
        <w:autoSpaceDN w:val="0"/>
        <w:adjustRightInd w:val="0"/>
        <w:jc w:val="center"/>
        <w:rPr>
          <w:b/>
          <w:bCs/>
          <w:sz w:val="28"/>
          <w:szCs w:val="26"/>
        </w:rPr>
      </w:pPr>
    </w:p>
    <w:p w14:paraId="4C9FE024" w14:textId="59D7CF17" w:rsidR="00636B5B" w:rsidRDefault="00636B5B" w:rsidP="00CE7936">
      <w:pPr>
        <w:widowControl w:val="0"/>
        <w:autoSpaceDE w:val="0"/>
        <w:autoSpaceDN w:val="0"/>
        <w:adjustRightInd w:val="0"/>
        <w:jc w:val="center"/>
        <w:rPr>
          <w:b/>
          <w:bCs/>
          <w:sz w:val="28"/>
          <w:szCs w:val="26"/>
        </w:rPr>
      </w:pPr>
      <w:r w:rsidRPr="006F508A">
        <w:rPr>
          <w:b/>
          <w:bCs/>
          <w:sz w:val="28"/>
          <w:szCs w:val="26"/>
        </w:rPr>
        <w:lastRenderedPageBreak/>
        <w:t>Results</w:t>
      </w:r>
    </w:p>
    <w:p w14:paraId="2C66AB95" w14:textId="77777777" w:rsidR="00636B5B" w:rsidRPr="006F508A" w:rsidRDefault="00636B5B" w:rsidP="00CE7936">
      <w:pPr>
        <w:widowControl w:val="0"/>
        <w:autoSpaceDE w:val="0"/>
        <w:autoSpaceDN w:val="0"/>
        <w:adjustRightInd w:val="0"/>
        <w:jc w:val="center"/>
        <w:rPr>
          <w:b/>
          <w:bCs/>
          <w:sz w:val="28"/>
          <w:szCs w:val="26"/>
        </w:rPr>
      </w:pPr>
    </w:p>
    <w:p w14:paraId="79D1392F" w14:textId="77777777" w:rsidR="00636B5B" w:rsidRDefault="00636B5B" w:rsidP="00CE7936">
      <w:pPr>
        <w:widowControl w:val="0"/>
        <w:autoSpaceDE w:val="0"/>
        <w:autoSpaceDN w:val="0"/>
        <w:adjustRightInd w:val="0"/>
        <w:rPr>
          <w:b/>
          <w:i/>
        </w:rPr>
      </w:pPr>
      <w:r w:rsidRPr="00B45C89">
        <w:rPr>
          <w:b/>
        </w:rPr>
        <w:t xml:space="preserve">Identification and curation of </w:t>
      </w:r>
      <w:r w:rsidRPr="00B45C89">
        <w:rPr>
          <w:b/>
          <w:i/>
        </w:rPr>
        <w:t xml:space="preserve">de novo </w:t>
      </w:r>
      <w:r w:rsidRPr="00B45C89">
        <w:rPr>
          <w:b/>
        </w:rPr>
        <w:t xml:space="preserve">genes in </w:t>
      </w:r>
      <w:r w:rsidRPr="00333E28">
        <w:rPr>
          <w:b/>
          <w:i/>
        </w:rPr>
        <w:t xml:space="preserve">P. </w:t>
      </w:r>
      <w:proofErr w:type="spellStart"/>
      <w:r w:rsidRPr="00333E28">
        <w:rPr>
          <w:b/>
          <w:i/>
        </w:rPr>
        <w:t>trichocarpa</w:t>
      </w:r>
      <w:proofErr w:type="spellEnd"/>
    </w:p>
    <w:p w14:paraId="6A8BB9E8" w14:textId="77777777" w:rsidR="00636B5B" w:rsidRDefault="00636B5B" w:rsidP="00CE7936">
      <w:pPr>
        <w:widowControl w:val="0"/>
        <w:autoSpaceDE w:val="0"/>
        <w:autoSpaceDN w:val="0"/>
        <w:adjustRightInd w:val="0"/>
        <w:spacing w:line="360" w:lineRule="auto"/>
        <w:ind w:firstLine="720"/>
      </w:pPr>
    </w:p>
    <w:p w14:paraId="0D67E09C" w14:textId="77777777" w:rsidR="00636B5B" w:rsidRPr="0065685F" w:rsidRDefault="00636B5B" w:rsidP="00CE7936">
      <w:pPr>
        <w:widowControl w:val="0"/>
        <w:autoSpaceDE w:val="0"/>
        <w:autoSpaceDN w:val="0"/>
        <w:adjustRightInd w:val="0"/>
        <w:spacing w:line="360" w:lineRule="auto"/>
        <w:ind w:firstLine="720"/>
        <w:rPr>
          <w:b/>
          <w:iCs/>
        </w:rPr>
      </w:pPr>
      <w:r>
        <w:t>Orphan</w:t>
      </w:r>
      <w:r>
        <w:rPr>
          <w:i/>
        </w:rPr>
        <w:t xml:space="preserve"> </w:t>
      </w:r>
      <w:r w:rsidRPr="009131DB">
        <w:t xml:space="preserve">genes represent an important aspect of genome </w:t>
      </w:r>
      <w:proofErr w:type="gramStart"/>
      <w:r w:rsidRPr="009131DB">
        <w:t>evolution</w:t>
      </w:r>
      <w:proofErr w:type="gramEnd"/>
      <w:r w:rsidRPr="009131DB">
        <w:t xml:space="preserve"> and their accurate identification allows for insights into adaptive processes. </w:t>
      </w:r>
      <w:r>
        <w:t>We first identified</w:t>
      </w:r>
      <w:r w:rsidRPr="009131DB">
        <w:t xml:space="preserve"> </w:t>
      </w:r>
      <w:r>
        <w:t xml:space="preserve">orphan </w:t>
      </w:r>
      <w:r w:rsidRPr="009131DB">
        <w:t xml:space="preserve">genes in </w:t>
      </w:r>
      <w:r w:rsidRPr="00333E28">
        <w:rPr>
          <w:i/>
        </w:rPr>
        <w:t xml:space="preserve">P. </w:t>
      </w:r>
      <w:proofErr w:type="spellStart"/>
      <w:r w:rsidRPr="00333E28">
        <w:rPr>
          <w:i/>
        </w:rPr>
        <w:t>trichocarpa</w:t>
      </w:r>
      <w:proofErr w:type="spellEnd"/>
      <w:r>
        <w:rPr>
          <w:i/>
        </w:rPr>
        <w:t xml:space="preserve"> </w:t>
      </w:r>
      <w:r>
        <w:rPr>
          <w:iCs/>
        </w:rPr>
        <w:t>v3.1 reference genome assembly</w:t>
      </w:r>
      <w:r>
        <w:rPr>
          <w:i/>
        </w:rPr>
        <w:t xml:space="preserve"> </w:t>
      </w:r>
      <w:r>
        <w:t>using</w:t>
      </w:r>
      <w:r w:rsidRPr="009131DB">
        <w:t xml:space="preserve"> several filtering processes, primar</w:t>
      </w:r>
      <w:r>
        <w:t>il</w:t>
      </w:r>
      <w:r w:rsidRPr="009131DB">
        <w:t>y utilizing tools such as BLAST</w:t>
      </w:r>
      <w:r>
        <w:t xml:space="preserve"> </w:t>
      </w:r>
      <w:r>
        <w:fldChar w:fldCharType="begin" w:fldLock="1"/>
      </w:r>
      <w:r>
        <w:instrText>ADDIN CSL_CITATION {"citationItems":[{"id":"ITEM-1","itemData":{"ISSN":"0305-1048","author":[{"dropping-particle":"","family":"Altschul","given":"S","non-dropping-particle":"","parse-names":false,"suffix":""}],"container-title":"Nucleic acids research.","id":"ITEM-1","issue":"17","issued":{"date-parts":[["1977"]]},"page":"3389-3402","publisher":"Oxford University Press","publisher-place":"Oxford :","title":"Gapped BLAST and PSI-BLAST: a new generation of protein database search programs","type":"article-journal","volume":"25"},"uris":["http://www.mendeley.com/documents/?uuid=fb874f9c-cc6a-4d70-bea3-575a4ec9fcc2"]}],"mendeley":{"formattedCitation":"(Altschul, 1977)","manualFormatting":"(Altschul 1997)","plainTextFormattedCitation":"(Altschul, 1977)","previouslyFormattedCitation":"(Altschul 1977)"},"properties":{"noteIndex":0},"schema":"https://github.com/citation-style-language/schema/raw/master/csl-citation.json"}</w:instrText>
      </w:r>
      <w:r>
        <w:fldChar w:fldCharType="separate"/>
      </w:r>
      <w:r w:rsidRPr="009C27E7">
        <w:rPr>
          <w:noProof/>
        </w:rPr>
        <w:t>(Altschul 19</w:t>
      </w:r>
      <w:r>
        <w:rPr>
          <w:noProof/>
        </w:rPr>
        <w:t>9</w:t>
      </w:r>
      <w:r w:rsidRPr="009C27E7">
        <w:rPr>
          <w:noProof/>
        </w:rPr>
        <w:t>7)</w:t>
      </w:r>
      <w:r>
        <w:fldChar w:fldCharType="end"/>
      </w:r>
      <w:r>
        <w:t xml:space="preserve"> to exclude genes with homologs in the NCBI database</w:t>
      </w:r>
      <w:r w:rsidRPr="009131DB">
        <w:t xml:space="preserve">. Following the </w:t>
      </w:r>
      <w:r>
        <w:t xml:space="preserve">steps </w:t>
      </w:r>
      <w:r w:rsidRPr="009131DB">
        <w:t xml:space="preserve">described in </w:t>
      </w:r>
      <w:r>
        <w:t>F</w:t>
      </w:r>
      <w:r w:rsidRPr="009131DB">
        <w:t xml:space="preserve">igure </w:t>
      </w:r>
      <w:r>
        <w:t>II-S</w:t>
      </w:r>
      <w:r w:rsidRPr="009131DB">
        <w:t>1</w:t>
      </w:r>
      <w:r>
        <w:t>,</w:t>
      </w:r>
      <w:r w:rsidRPr="009131DB">
        <w:t xml:space="preserve"> we identified </w:t>
      </w:r>
      <w:r w:rsidRPr="00DD557C">
        <w:t>4</w:t>
      </w:r>
      <w:r>
        <w:t>45</w:t>
      </w:r>
      <w:r w:rsidRPr="009131DB">
        <w:t xml:space="preserve"> </w:t>
      </w:r>
      <w:r>
        <w:t>putative orphan</w:t>
      </w:r>
      <w:r w:rsidRPr="009131DB">
        <w:t xml:space="preserve"> genes in </w:t>
      </w:r>
      <w:r w:rsidRPr="00333E28">
        <w:rPr>
          <w:i/>
        </w:rPr>
        <w:t xml:space="preserve">P. </w:t>
      </w:r>
      <w:proofErr w:type="spellStart"/>
      <w:r w:rsidRPr="00333E28">
        <w:rPr>
          <w:i/>
        </w:rPr>
        <w:t>trichocarpa</w:t>
      </w:r>
      <w:proofErr w:type="spellEnd"/>
      <w:r>
        <w:t xml:space="preserve"> which had no detectable homology to any known genes based on the following analyses</w:t>
      </w:r>
      <w:r w:rsidRPr="009131DB">
        <w:t>. For the initial BLASTP step</w:t>
      </w:r>
      <w:r>
        <w:t>,</w:t>
      </w:r>
      <w:r w:rsidRPr="009131DB">
        <w:t xml:space="preserve"> we used a</w:t>
      </w:r>
      <w:r>
        <w:t xml:space="preserve"> total of</w:t>
      </w:r>
      <w:r w:rsidRPr="009131DB">
        <w:t xml:space="preserve"> 6</w:t>
      </w:r>
      <w:r>
        <w:t>3</w:t>
      </w:r>
      <w:r w:rsidRPr="009131DB">
        <w:t xml:space="preserve"> </w:t>
      </w:r>
      <w:r>
        <w:t xml:space="preserve">plant </w:t>
      </w:r>
      <w:r w:rsidRPr="009131DB">
        <w:t>genomes available on</w:t>
      </w:r>
      <w:r>
        <w:t xml:space="preserve"> the</w:t>
      </w:r>
      <w:r w:rsidRPr="009131DB">
        <w:t xml:space="preserve"> </w:t>
      </w:r>
      <w:proofErr w:type="spellStart"/>
      <w:r w:rsidRPr="009131DB">
        <w:t>Phytozome</w:t>
      </w:r>
      <w:proofErr w:type="spellEnd"/>
      <w:r>
        <w:t xml:space="preserve"> database</w:t>
      </w:r>
      <w:r w:rsidRPr="009131DB">
        <w:t xml:space="preserve"> (Table </w:t>
      </w:r>
      <w:r>
        <w:t>II-</w:t>
      </w:r>
      <w:r w:rsidRPr="009131DB">
        <w:t>S1). Next, we compared the remaining genes against the conserved domain database and the non-redundant protein database (nr database)</w:t>
      </w:r>
      <w:r>
        <w:t xml:space="preserve"> </w:t>
      </w:r>
      <w:r>
        <w:fldChar w:fldCharType="begin" w:fldLock="1"/>
      </w:r>
      <w:r>
        <w:instrText>ADDIN CSL_CITATION {"citationItems":[{"id":"ITEM-1","itemData":{"DOI":"10.1093/nar/gku1221","ISBN":"1362-4962 (Electronic)\\r0305-1048 (Linking)","ISSN":"13624962","PMID":"25414356","abstract":"NCBI's CDD, the Conserved Domain Database, enters its 15(th) year as a public resource for the annotation of proteins with the location of conserved domain footprints. Going forward, we strive to improve the coverage and consistency of domain annotation provided by CDD. We maintain a live search system as well as an archive of pre-computed domain annotation for sequences tracked in NCBI's Entrez protein database, which can be retrieved for single sequences or in bulk. We also maintain import procedures so that CDD contains domain models and domain definitions provided by several collections available in the public domain, as well as those produced by an in-house curation effort. The curation effort aims at increasing coverage and providing finer-grained classifications of common protein domains, for which a wealth of functional and structural data has become available. CDD curation generates alignment models of representative sequence fragments, which are in agreement with domain boundaries as observed in protein 3D structure, and which model the structurally conserved cores of domain families as well as annotate conserved features. CDD can be accessed at http://www.ncbi.nlm.nih.gov/Structure/cdd/cdd.shtml.","author":[{"dropping-particle":"","family":"Marchler-Bauer","given":"Aron","non-dropping-particle":"","parse-names":false,"suffix":""},{"dropping-particle":"","family":"Derbyshire","given":"Myra K.","non-dropping-particle":"","parse-names":false,"suffix":""},{"dropping-particle":"","family":"Gonzales","given":"Noreen R.","non-dropping-particle":"","parse-names":false,"suffix":""},{"dropping-particle":"","family":"Lu","given":"Shennan","non-dropping-particle":"","parse-names":false,"suffix":""},{"dropping-particle":"","family":"Chitsaz","given":"Farideh","non-dropping-particle":"","parse-names":false,"suffix":""},{"dropping-particle":"","family":"Geer","given":"Lewis Y.","non-dropping-particle":"","parse-names":false,"suffix":""},{"dropping-particle":"","family":"Geer","given":"Renata C.","non-dropping-particle":"","parse-names":false,"suffix":""},{"dropping-particle":"","family":"He","given":"Jane","non-dropping-particle":"","parse-names":false,"suffix":""},{"dropping-particle":"","family":"Gwadz","given":"Marc","non-dropping-particle":"","parse-names":false,"suffix":""},{"dropping-particle":"","family":"Hurwitz","given":"David I.","non-dropping-particle":"","parse-names":false,"suffix":""},{"dropping-particle":"","family":"Lanczycki","given":"Christopher J.","non-dropping-particle":"","parse-names":false,"suffix":""},{"dropping-particle":"","family":"Lu","given":"Fu","non-dropping-particle":"","parse-names":false,"suffix":""},{"dropping-particle":"","family":"Marchler","given":"Gabriele H.","non-dropping-particle":"","parse-names":false,"suffix":""},{"dropping-particle":"","family":"Song","given":"James S.","non-dropping-particle":"","parse-names":false,"suffix":""},{"dropping-particle":"","family":"Thanki","given":"Narmada","non-dropping-particle":"","parse-names":false,"suffix":""},{"dropping-particle":"","family":"Wang","given":"Zhouxi","non-dropping-particle":"","parse-names":false,"suffix":""},{"dropping-particle":"","family":"Yamashita","given":"Roxanne A.","non-dropping-particle":"","parse-names":false,"suffix":""},{"dropping-particle":"","family":"Zhang","given":"Dachuan","non-dropping-particle":"","parse-names":false,"suffix":""},{"dropping-particle":"","family":"Zheng","given":"Chanjuan","non-dropping-particle":"","parse-names":false,"suffix":""},{"dropping-particle":"","family":"Bryant","given":"Stephen H.","non-dropping-particle":"","parse-names":false,"suffix":""}],"container-title":"Nucleic Acids Research","id":"ITEM-1","issue":"D1","issued":{"date-parts":[["2015"]]},"page":"D222-D226","title":"CDD: NCBI's conserved domain database","type":"article-journal","volume":"43"},"uris":["http://www.mendeley.com/documents/?uuid=8cd89283-29ef-404a-87b1-7f0b93a944a0"]}],"mendeley":{"formattedCitation":"(Marchler-Bauer et al., 2015)","plainTextFormattedCitation":"(Marchler-Bauer et al., 2015)","previouslyFormattedCitation":"(Marchler-Bauer et al. 2015)"},"properties":{"noteIndex":0},"schema":"https://github.com/citation-style-language/schema/raw/master/csl-citation.json"}</w:instrText>
      </w:r>
      <w:r>
        <w:fldChar w:fldCharType="separate"/>
      </w:r>
      <w:r w:rsidRPr="00CE7936">
        <w:rPr>
          <w:noProof/>
        </w:rPr>
        <w:t>(Marchler-Bauer et al., 2015)</w:t>
      </w:r>
      <w:r>
        <w:fldChar w:fldCharType="end"/>
      </w:r>
      <w:r w:rsidRPr="009131DB">
        <w:t>. Finally, we removed candidates with missing</w:t>
      </w:r>
      <w:r>
        <w:t xml:space="preserve"> open reading frames</w:t>
      </w:r>
      <w:r w:rsidRPr="009131DB">
        <w:t xml:space="preserve"> </w:t>
      </w:r>
      <w:r>
        <w:t>(</w:t>
      </w:r>
      <w:r w:rsidRPr="009131DB">
        <w:t>ORFs</w:t>
      </w:r>
      <w:r>
        <w:t>)</w:t>
      </w:r>
      <w:r w:rsidRPr="009131DB">
        <w:t xml:space="preserve"> </w:t>
      </w:r>
      <w:r>
        <w:t xml:space="preserve">and then removed genes that had a copy number greater than one in </w:t>
      </w:r>
      <w:r w:rsidRPr="00333E28">
        <w:rPr>
          <w:i/>
          <w:iCs/>
        </w:rPr>
        <w:t xml:space="preserve">P. </w:t>
      </w:r>
      <w:proofErr w:type="spellStart"/>
      <w:r w:rsidRPr="00333E28">
        <w:rPr>
          <w:i/>
          <w:iCs/>
        </w:rPr>
        <w:t>trichocarpa</w:t>
      </w:r>
      <w:proofErr w:type="spellEnd"/>
      <w:r>
        <w:t xml:space="preserve"> to simplify downstream syntenic searches. Next, genes that had assigned gene models or transcriptomic evidence in </w:t>
      </w:r>
      <w:r w:rsidRPr="00333E28">
        <w:rPr>
          <w:i/>
        </w:rPr>
        <w:t xml:space="preserve">P. </w:t>
      </w:r>
      <w:proofErr w:type="spellStart"/>
      <w:r w:rsidRPr="00333E28">
        <w:rPr>
          <w:i/>
        </w:rPr>
        <w:t>deltoides</w:t>
      </w:r>
      <w:proofErr w:type="spellEnd"/>
      <w:r>
        <w:t xml:space="preserve"> or </w:t>
      </w:r>
      <w:r w:rsidRPr="00A52643">
        <w:rPr>
          <w:i/>
        </w:rPr>
        <w:t xml:space="preserve">S. purpurea </w:t>
      </w:r>
      <w:r>
        <w:rPr>
          <w:iCs/>
        </w:rPr>
        <w:t>genomes were removed (Table II-S11).</w:t>
      </w:r>
      <w:r w:rsidRPr="009131DB">
        <w:t xml:space="preserve"> </w:t>
      </w:r>
      <w:r>
        <w:t xml:space="preserve">The remaining 445 </w:t>
      </w:r>
      <w:r w:rsidRPr="009131DB">
        <w:t xml:space="preserve">genes were classified as specific to </w:t>
      </w:r>
      <w:r w:rsidRPr="00333E28">
        <w:rPr>
          <w:i/>
        </w:rPr>
        <w:t xml:space="preserve">P. </w:t>
      </w:r>
      <w:proofErr w:type="spellStart"/>
      <w:r w:rsidRPr="00333E28">
        <w:rPr>
          <w:i/>
        </w:rPr>
        <w:t>trichocarpa</w:t>
      </w:r>
      <w:proofErr w:type="spellEnd"/>
      <w:r>
        <w:t xml:space="preserve"> (Table II-S2).</w:t>
      </w:r>
      <w:r w:rsidRPr="009131DB">
        <w:t xml:space="preserve"> </w:t>
      </w:r>
      <w:r>
        <w:t xml:space="preserve">Within </w:t>
      </w:r>
      <w:r w:rsidRPr="009131DB">
        <w:t xml:space="preserve">this </w:t>
      </w:r>
      <w:r>
        <w:t>set</w:t>
      </w:r>
      <w:r w:rsidRPr="009131DB">
        <w:t xml:space="preserve"> of </w:t>
      </w:r>
      <w:r>
        <w:t>445,</w:t>
      </w:r>
      <w:r w:rsidRPr="009131DB">
        <w:t xml:space="preserve"> </w:t>
      </w:r>
      <w:r>
        <w:t>386 (86.5</w:t>
      </w:r>
      <w:r w:rsidRPr="009131DB">
        <w:t>%</w:t>
      </w:r>
      <w:r>
        <w:t>) met our threshold for expression</w:t>
      </w:r>
      <w:r w:rsidRPr="009131DB">
        <w:t xml:space="preserve"> </w:t>
      </w:r>
      <w:r>
        <w:t xml:space="preserve">based on five RNA-Seq datasets. These included 533 </w:t>
      </w:r>
      <w:proofErr w:type="gramStart"/>
      <w:r>
        <w:t>xylem</w:t>
      </w:r>
      <w:proofErr w:type="gramEnd"/>
      <w:r>
        <w:t xml:space="preserve">, 529 root and 470 leaf transcriptomes from the </w:t>
      </w:r>
      <w:r w:rsidRPr="00710B56">
        <w:rPr>
          <w:i/>
        </w:rPr>
        <w:t>Populus</w:t>
      </w:r>
      <w:r>
        <w:t xml:space="preserve"> </w:t>
      </w:r>
      <w:proofErr w:type="spellStart"/>
      <w:r>
        <w:t>Genomewide</w:t>
      </w:r>
      <w:proofErr w:type="spellEnd"/>
      <w:r>
        <w:t xml:space="preserve"> Association Mapping Studies (GWAS) panel, 438 xylem transcriptomes from a </w:t>
      </w:r>
      <w:r w:rsidRPr="00333E28">
        <w:rPr>
          <w:i/>
        </w:rPr>
        <w:t xml:space="preserve">P. </w:t>
      </w:r>
      <w:proofErr w:type="spellStart"/>
      <w:r w:rsidRPr="00333E28">
        <w:rPr>
          <w:i/>
        </w:rPr>
        <w:t>trichocarpa</w:t>
      </w:r>
      <w:proofErr w:type="spellEnd"/>
      <w:r>
        <w:t xml:space="preserve"> x </w:t>
      </w:r>
      <w:r w:rsidRPr="00333E28">
        <w:rPr>
          <w:i/>
        </w:rPr>
        <w:t xml:space="preserve">P. </w:t>
      </w:r>
      <w:proofErr w:type="spellStart"/>
      <w:r w:rsidRPr="00333E28">
        <w:rPr>
          <w:i/>
        </w:rPr>
        <w:t>deltoides</w:t>
      </w:r>
      <w:proofErr w:type="spellEnd"/>
      <w:r>
        <w:t xml:space="preserve"> </w:t>
      </w:r>
      <w:proofErr w:type="spellStart"/>
      <w:r>
        <w:t>pseudobackcross</w:t>
      </w:r>
      <w:proofErr w:type="spellEnd"/>
      <w:r>
        <w:t xml:space="preserve"> mapping population and 37 transcriptomes from the Joint Genome Institute (JGI) Plant Gene Atlas database representing various tissue types (Table II-S3).</w:t>
      </w:r>
      <w:r w:rsidRPr="009131DB">
        <w:t xml:space="preserve"> </w:t>
      </w:r>
      <w:r>
        <w:t>We also found p</w:t>
      </w:r>
      <w:r w:rsidRPr="009131DB">
        <w:t>roteomic evidence for</w:t>
      </w:r>
      <w:r>
        <w:t xml:space="preserve"> </w:t>
      </w:r>
      <w:r w:rsidRPr="00DD557C">
        <w:t>16</w:t>
      </w:r>
      <w:r>
        <w:t xml:space="preserve"> putative orphan genes based on a limited scan of leaf tissue from six </w:t>
      </w:r>
      <w:r w:rsidRPr="00333E28">
        <w:rPr>
          <w:i/>
        </w:rPr>
        <w:t xml:space="preserve">P. </w:t>
      </w:r>
      <w:proofErr w:type="spellStart"/>
      <w:r w:rsidRPr="00333E28">
        <w:rPr>
          <w:i/>
        </w:rPr>
        <w:t>trichocarpa</w:t>
      </w:r>
      <w:proofErr w:type="spellEnd"/>
      <w:r>
        <w:t xml:space="preserve"> genotypes from the GWAS mapping panel </w:t>
      </w:r>
      <w:r>
        <w:fldChar w:fldCharType="begin" w:fldLock="1"/>
      </w:r>
      <w:r>
        <w:instrText>ADDIN CSL_CITATION {"citationItems":[{"id":"ITEM-1","itemData":{"DOI":"10.1111/nph.15297","ISSN":"14698137","abstract":"3-O-caffeoylquinic acid, also known as chlorogenic acid (CGA), functions as an intermediate in lignin biosynthesis in the phenylpropanoid pathway. It is widely distributed among numerous plant species and acts as an antioxidant in both plants and animals. Using GC-MS, we discovered consistent and extreme variation in CGA content across a population of 739 4-yr-old Populus trichocarpa accessions. We performed genome-wide association studies (GWAS) from 917 P. trichocarpa accessions and expression-based quantitative trait loci (eQTL) analyses to identify key regulators. The GWAS and eQTL analyses resolved an overlapped interval encompassing a hydroxycinnamoyl-CoA:shikimate hydroxycinnamoyl transferase 2 (PtHCT2) that was significantly associated with CGA and partially characterized metabolite abundances. PtHCT2 leaf expression was significantly correlated with CGA abundance and it was regulated by cis-eQTLs containing W-box for WRKY binding. Among all nine PtHCT homologs, PtHCT2 is the only one that responds to infection by the fungal pathogen Sphaerulina musiva (a Populus pathogen). Validation using protoplast-based transient expression system suggests that PtHCT2 is regulated by the defense-responsive WRKY. These results are consistent with reports of CGA functioning as an antioxidant in response to biotic stress. This study provides insights into data-driven and omics-based inference of gene function in woody species.","author":[{"dropping-particle":"","family":"Zhang","given":"Jin","non-dropping-particle":"","parse-names":false,"suffix":""},{"dropping-particle":"","family":"Yang","given":"Yongil","non-dropping-particle":"","parse-names":false,"suffix":""},{"dropping-particle":"","family":"Zheng","given":"Kaijie","non-dropping-particle":"","parse-names":false,"suffix":""},{"dropping-particle":"","family":"Xie","given":"Meng","non-dropping-particle":"","parse-names":false,"suffix":""},{"dropping-particle":"","family":"Feng","given":"Kai","non-dropping-particle":"","parse-names":false,"suffix":""},{"dropping-particle":"","family":"Jawdy","given":"Sara S.","non-dropping-particle":"","parse-names":false,"suffix":""},{"dropping-particle":"","family":"Gunter","given":"Lee E.","non-dropping-particle":"","parse-names":false,"suffix":""},{"dropping-particle":"","family":"Ranjan","given":"Priya","non-dropping-particle":"","parse-names":false,"suffix":""},{"dropping-particle":"","family":"Singan","given":"Vasanth R.","non-dropping-particle":"","parse-names":false,"suffix":""},{"dropping-particle":"","family":"Engle","given":"Nancy","non-dropping-particle":"","parse-names":false,"suffix":""},{"dropping-particle":"","family":"Lindquist","given":"Erika","non-dropping-particle":"","parse-names":false,"suffix":""},{"dropping-particle":"","family":"Barry","given":"Kerrie","non-dropping-particle":"","parse-names":false,"suffix":""},{"dropping-particle":"","family":"Schmutz","given":"Jeremy","non-dropping-particle":"","parse-names":false,"suffix":""},{"dropping-particle":"","family":"Zhao","given":"Nan","non-dropping-particle":"","parse-names":false,"suffix":""},{"dropping-particle":"","family":"Tschaplinski","given":"Timothy J.","non-dropping-particle":"","parse-names":false,"suffix":""},{"dropping-particle":"","family":"LeBoldus","given":"Jared","non-dropping-particle":"","parse-names":false,"suffix":""},{"dropping-particle":"","family":"Tuskan","given":"Gerald A.","non-dropping-particle":"","parse-names":false,"suffix":""},{"dropping-particle":"","family":"Chen","given":"Jin Gui","non-dropping-particle":"","parse-names":false,"suffix":""},{"dropping-particle":"","family":"Muchero","given":"Wellington","non-dropping-particle":"","parse-names":false,"suffix":""}],"container-title":"New Phytologist","id":"ITEM-1","issue":"2","issued":{"date-parts":[["2018"]]},"page":"502-516","title":"Genome-wide association studies and expression-based quantitative trait loci analyses reveal roles of HCT2 in caffeoylquinic acid biosynthesis and its regulation by defense-responsive transcription factors in Populus","type":"article-journal","volume":"220"},"uris":["http://www.mendeley.com/documents/?uuid=cc70ae7f-f80e-4bb3-9483-cb80d2aa93d4"]}],"mendeley":{"formattedCitation":"(J. Zhang et al., 2018)","plainTextFormattedCitation":"(J. Zhang et al., 2018)","previouslyFormattedCitation":"(Zhang et al. 2018)"},"properties":{"noteIndex":0},"schema":"https://github.com/citation-style-language/schema/raw/master/csl-citation.json"}</w:instrText>
      </w:r>
      <w:r>
        <w:fldChar w:fldCharType="separate"/>
      </w:r>
      <w:r w:rsidRPr="00CE7936">
        <w:rPr>
          <w:noProof/>
        </w:rPr>
        <w:t>(J. Zhang et al., 2018)</w:t>
      </w:r>
      <w:r>
        <w:fldChar w:fldCharType="end"/>
      </w:r>
      <w:r w:rsidRPr="009131DB">
        <w:t>.</w:t>
      </w:r>
      <w:r>
        <w:t xml:space="preserve"> </w:t>
      </w:r>
      <w:r w:rsidRPr="00DD557C">
        <w:t xml:space="preserve">Next, for each gene, </w:t>
      </w:r>
      <w:r>
        <w:t xml:space="preserve">we attempted to locate the non-genic syntenic sequence in </w:t>
      </w:r>
      <w:r w:rsidRPr="00333E28">
        <w:rPr>
          <w:i/>
          <w:iCs/>
        </w:rPr>
        <w:t xml:space="preserve">P. </w:t>
      </w:r>
      <w:proofErr w:type="spellStart"/>
      <w:r w:rsidRPr="00333E28">
        <w:rPr>
          <w:i/>
          <w:iCs/>
        </w:rPr>
        <w:t>trichocarpa</w:t>
      </w:r>
      <w:proofErr w:type="spellEnd"/>
      <w:r>
        <w:rPr>
          <w:i/>
          <w:iCs/>
        </w:rPr>
        <w:t xml:space="preserve">, </w:t>
      </w:r>
      <w:r w:rsidRPr="00333E28">
        <w:rPr>
          <w:i/>
          <w:iCs/>
        </w:rPr>
        <w:t xml:space="preserve">P. </w:t>
      </w:r>
      <w:proofErr w:type="spellStart"/>
      <w:r w:rsidRPr="00333E28">
        <w:rPr>
          <w:i/>
          <w:iCs/>
        </w:rPr>
        <w:t>deltoides</w:t>
      </w:r>
      <w:proofErr w:type="spellEnd"/>
      <w:r>
        <w:rPr>
          <w:i/>
          <w:iCs/>
        </w:rPr>
        <w:t xml:space="preserve">, and </w:t>
      </w:r>
      <w:r w:rsidRPr="00A52643">
        <w:rPr>
          <w:i/>
          <w:iCs/>
        </w:rPr>
        <w:t xml:space="preserve">S. purpurea </w:t>
      </w:r>
      <w:r>
        <w:t xml:space="preserve">and only retained genes that had alignments to all syntenic regions. From this analysis, we selected 13 genes that had tell-tale evidence of </w:t>
      </w:r>
      <w:r>
        <w:rPr>
          <w:i/>
          <w:iCs/>
        </w:rPr>
        <w:t>de novo</w:t>
      </w:r>
      <w:r>
        <w:t xml:space="preserve"> gene evolution as illustrative cases. All 13 candidates had expression evidence, and two of them had proteomic evidence (Figure II-S2).</w:t>
      </w:r>
    </w:p>
    <w:p w14:paraId="652086A7" w14:textId="77777777" w:rsidR="00636B5B" w:rsidRDefault="00636B5B" w:rsidP="00CE7936">
      <w:pPr>
        <w:widowControl w:val="0"/>
        <w:autoSpaceDE w:val="0"/>
        <w:autoSpaceDN w:val="0"/>
        <w:adjustRightInd w:val="0"/>
        <w:rPr>
          <w:b/>
          <w:color w:val="000000" w:themeColor="text1"/>
        </w:rPr>
      </w:pPr>
    </w:p>
    <w:p w14:paraId="671853F5" w14:textId="77777777" w:rsidR="00752AE5" w:rsidRDefault="00752AE5" w:rsidP="00CE7936">
      <w:pPr>
        <w:widowControl w:val="0"/>
        <w:autoSpaceDE w:val="0"/>
        <w:autoSpaceDN w:val="0"/>
        <w:adjustRightInd w:val="0"/>
        <w:rPr>
          <w:b/>
          <w:color w:val="000000" w:themeColor="text1"/>
        </w:rPr>
      </w:pPr>
    </w:p>
    <w:p w14:paraId="3191AA38" w14:textId="77777777" w:rsidR="00752AE5" w:rsidRDefault="00752AE5" w:rsidP="00CE7936">
      <w:pPr>
        <w:widowControl w:val="0"/>
        <w:autoSpaceDE w:val="0"/>
        <w:autoSpaceDN w:val="0"/>
        <w:adjustRightInd w:val="0"/>
        <w:rPr>
          <w:b/>
          <w:color w:val="000000" w:themeColor="text1"/>
        </w:rPr>
      </w:pPr>
    </w:p>
    <w:p w14:paraId="2BDAA789" w14:textId="2B59DD75" w:rsidR="00636B5B" w:rsidRDefault="00636B5B" w:rsidP="00CE7936">
      <w:pPr>
        <w:widowControl w:val="0"/>
        <w:autoSpaceDE w:val="0"/>
        <w:autoSpaceDN w:val="0"/>
        <w:adjustRightInd w:val="0"/>
        <w:rPr>
          <w:b/>
          <w:iCs/>
        </w:rPr>
      </w:pPr>
      <w:r w:rsidRPr="00B45C89">
        <w:rPr>
          <w:b/>
          <w:color w:val="000000" w:themeColor="text1"/>
        </w:rPr>
        <w:lastRenderedPageBreak/>
        <w:t xml:space="preserve">Reconstruction of </w:t>
      </w:r>
      <w:r w:rsidRPr="00B45C89">
        <w:rPr>
          <w:b/>
          <w:i/>
          <w:color w:val="000000" w:themeColor="text1"/>
        </w:rPr>
        <w:t xml:space="preserve">de novo </w:t>
      </w:r>
      <w:r w:rsidRPr="00B45C89">
        <w:rPr>
          <w:b/>
          <w:color w:val="000000" w:themeColor="text1"/>
        </w:rPr>
        <w:t xml:space="preserve">gene evolution in </w:t>
      </w:r>
      <w:r w:rsidRPr="00333E28">
        <w:rPr>
          <w:b/>
          <w:i/>
          <w:color w:val="000000" w:themeColor="text1"/>
        </w:rPr>
        <w:t xml:space="preserve">P. </w:t>
      </w:r>
      <w:proofErr w:type="spellStart"/>
      <w:r w:rsidRPr="00333E28">
        <w:rPr>
          <w:b/>
          <w:i/>
          <w:color w:val="000000" w:themeColor="text1"/>
        </w:rPr>
        <w:t>trichocarpa</w:t>
      </w:r>
      <w:proofErr w:type="spellEnd"/>
    </w:p>
    <w:p w14:paraId="7E59F7B3" w14:textId="77777777" w:rsidR="00636B5B" w:rsidRDefault="00636B5B" w:rsidP="00CE7936">
      <w:pPr>
        <w:spacing w:line="360" w:lineRule="auto"/>
        <w:ind w:firstLine="720"/>
        <w:jc w:val="both"/>
      </w:pPr>
    </w:p>
    <w:p w14:paraId="5C80926D" w14:textId="77777777" w:rsidR="00636B5B" w:rsidRDefault="00636B5B" w:rsidP="00CE7936">
      <w:pPr>
        <w:spacing w:line="360" w:lineRule="auto"/>
        <w:ind w:firstLine="720"/>
        <w:jc w:val="both"/>
      </w:pPr>
      <w:r>
        <w:t xml:space="preserve">We used the common </w:t>
      </w:r>
      <w:proofErr w:type="spellStart"/>
      <w:r>
        <w:t>Salicoid</w:t>
      </w:r>
      <w:proofErr w:type="spellEnd"/>
      <w:r>
        <w:t xml:space="preserve"> WGD and resulting conserved </w:t>
      </w:r>
      <w:proofErr w:type="spellStart"/>
      <w:r>
        <w:t>macrosynteny</w:t>
      </w:r>
      <w:proofErr w:type="spellEnd"/>
      <w:r>
        <w:t xml:space="preserve"> to explore </w:t>
      </w:r>
      <w:r>
        <w:rPr>
          <w:i/>
          <w:iCs/>
        </w:rPr>
        <w:t>de novo</w:t>
      </w:r>
      <w:r>
        <w:t xml:space="preserve"> gene evolution in the ancestral and extant states in </w:t>
      </w:r>
      <w:r>
        <w:rPr>
          <w:i/>
          <w:iCs/>
        </w:rPr>
        <w:t xml:space="preserve">Populus </w:t>
      </w:r>
      <w:r>
        <w:t xml:space="preserve">and </w:t>
      </w:r>
      <w:r>
        <w:rPr>
          <w:i/>
          <w:iCs/>
        </w:rPr>
        <w:t xml:space="preserve">Salix </w:t>
      </w:r>
      <w:r>
        <w:t xml:space="preserve">(Figure II-1A, II-1B). </w:t>
      </w:r>
      <w:r w:rsidRPr="009131DB">
        <w:rPr>
          <w:i/>
        </w:rPr>
        <w:t xml:space="preserve">De novo </w:t>
      </w:r>
      <w:r w:rsidRPr="009131DB">
        <w:t>gene reconstruction relies on identifying enabling mutations in noncoding sequence leading to the formation of the functional ORF.</w:t>
      </w:r>
      <w:r>
        <w:t xml:space="preserve"> </w:t>
      </w:r>
      <w:r w:rsidRPr="009131DB">
        <w:t xml:space="preserve">For example, </w:t>
      </w:r>
      <w:r>
        <w:t xml:space="preserve">Figure II-1C </w:t>
      </w:r>
      <w:r w:rsidRPr="009131DB">
        <w:t>profiles a</w:t>
      </w:r>
      <w:r>
        <w:t xml:space="preserve"> putative</w:t>
      </w:r>
      <w:r w:rsidRPr="009131DB">
        <w:t xml:space="preserve"> </w:t>
      </w:r>
      <w:r w:rsidRPr="009131DB">
        <w:rPr>
          <w:i/>
        </w:rPr>
        <w:t xml:space="preserve">de novo </w:t>
      </w:r>
      <w:r w:rsidRPr="009131DB">
        <w:t xml:space="preserve">gene on chromosome </w:t>
      </w:r>
      <w:r>
        <w:t>1 (Chr01)</w:t>
      </w:r>
      <w:r w:rsidRPr="009131DB">
        <w:t xml:space="preserve"> of the </w:t>
      </w:r>
      <w:r w:rsidRPr="00333E28">
        <w:rPr>
          <w:i/>
        </w:rPr>
        <w:t xml:space="preserve">P. </w:t>
      </w:r>
      <w:proofErr w:type="spellStart"/>
      <w:r w:rsidRPr="00333E28">
        <w:rPr>
          <w:i/>
        </w:rPr>
        <w:t>trichocarpa</w:t>
      </w:r>
      <w:proofErr w:type="spellEnd"/>
      <w:r w:rsidRPr="009131DB">
        <w:rPr>
          <w:i/>
        </w:rPr>
        <w:t xml:space="preserve"> </w:t>
      </w:r>
      <w:r w:rsidRPr="009131DB">
        <w:t xml:space="preserve">reference genome. Syntenic blocks of genes exist between chromosome </w:t>
      </w:r>
      <w:r>
        <w:t>1</w:t>
      </w:r>
      <w:r w:rsidRPr="009131DB">
        <w:t xml:space="preserve"> and </w:t>
      </w:r>
      <w:r>
        <w:t xml:space="preserve">3 </w:t>
      </w:r>
      <w:r w:rsidRPr="009131DB">
        <w:t xml:space="preserve">and </w:t>
      </w:r>
      <w:r>
        <w:t xml:space="preserve">these syntenic regions </w:t>
      </w:r>
      <w:r w:rsidRPr="009131DB">
        <w:t>were extracted and aligned. Two</w:t>
      </w:r>
      <w:r>
        <w:t xml:space="preserve"> </w:t>
      </w:r>
      <w:r w:rsidRPr="009131DB">
        <w:t>hypotheses ar</w:t>
      </w:r>
      <w:r>
        <w:t>o</w:t>
      </w:r>
      <w:r w:rsidRPr="009131DB">
        <w:t>se from this alignment. The first is that after</w:t>
      </w:r>
      <w:r>
        <w:t xml:space="preserve"> the</w:t>
      </w:r>
      <w:r w:rsidRPr="009131DB">
        <w:t xml:space="preserve"> WGD there were functional open reading frames, and over time the ORFs on the syntenic chromosomes accumulated mutations</w:t>
      </w:r>
      <w:r>
        <w:t xml:space="preserve"> and </w:t>
      </w:r>
      <w:r w:rsidRPr="009131DB">
        <w:t xml:space="preserve">eroded away, rendering </w:t>
      </w:r>
      <w:r>
        <w:t>them</w:t>
      </w:r>
      <w:r w:rsidRPr="009131DB">
        <w:t xml:space="preserve"> non-functional</w:t>
      </w:r>
      <w:r>
        <w:t xml:space="preserve"> pseudogenes</w:t>
      </w:r>
      <w:r w:rsidRPr="009131DB">
        <w:t>. The alternative</w:t>
      </w:r>
      <w:r>
        <w:t>,</w:t>
      </w:r>
      <w:r w:rsidRPr="009131DB">
        <w:t xml:space="preserve"> and more probable hypothesis</w:t>
      </w:r>
      <w:r>
        <w:t>,</w:t>
      </w:r>
      <w:r w:rsidRPr="009131DB">
        <w:t xml:space="preserve"> is that intergenic sequence was duplicated, and</w:t>
      </w:r>
      <w:r>
        <w:t xml:space="preserve"> as such, the multiple sister chromosomes or secondary syntenic</w:t>
      </w:r>
      <w:r w:rsidRPr="009131DB">
        <w:t xml:space="preserve"> </w:t>
      </w:r>
      <w:r>
        <w:t xml:space="preserve">sequences </w:t>
      </w:r>
      <w:r w:rsidRPr="009131DB">
        <w:t xml:space="preserve">represent </w:t>
      </w:r>
      <w:r>
        <w:t xml:space="preserve">noncoding </w:t>
      </w:r>
      <w:r w:rsidRPr="009131DB">
        <w:t>ancestral state</w:t>
      </w:r>
      <w:r>
        <w:t>s and outgroups that</w:t>
      </w:r>
      <w:r w:rsidRPr="009131DB">
        <w:t xml:space="preserve"> allow for a stepwise analysis of the enabling mutations leading to the evolution of a functional </w:t>
      </w:r>
      <w:r w:rsidRPr="009131DB">
        <w:rPr>
          <w:i/>
        </w:rPr>
        <w:t xml:space="preserve">de novo </w:t>
      </w:r>
      <w:r w:rsidRPr="009131DB">
        <w:t>gene.</w:t>
      </w:r>
      <w:r>
        <w:t xml:space="preserve"> That is, the primary syntenic regions to Potri.001G124250 (</w:t>
      </w:r>
      <w:r w:rsidRPr="00333E28">
        <w:rPr>
          <w:i/>
          <w:iCs/>
        </w:rPr>
        <w:t xml:space="preserve">P. </w:t>
      </w:r>
      <w:proofErr w:type="spellStart"/>
      <w:r w:rsidRPr="00333E28">
        <w:rPr>
          <w:i/>
          <w:iCs/>
        </w:rPr>
        <w:t>deltoides</w:t>
      </w:r>
      <w:proofErr w:type="spellEnd"/>
      <w:r>
        <w:rPr>
          <w:i/>
          <w:iCs/>
        </w:rPr>
        <w:t xml:space="preserve"> </w:t>
      </w:r>
      <w:r>
        <w:t xml:space="preserve">Chr01 and </w:t>
      </w:r>
      <w:r w:rsidRPr="00A52643">
        <w:rPr>
          <w:i/>
          <w:iCs/>
        </w:rPr>
        <w:t xml:space="preserve">S. purpurea </w:t>
      </w:r>
      <w:r>
        <w:t xml:space="preserve">Chr01) both have mutations resulting in a non-functional start codon, and all five syntenic regions, including </w:t>
      </w:r>
      <w:r w:rsidRPr="00333E28">
        <w:rPr>
          <w:i/>
          <w:iCs/>
        </w:rPr>
        <w:t xml:space="preserve">P. </w:t>
      </w:r>
      <w:proofErr w:type="spellStart"/>
      <w:r w:rsidRPr="00333E28">
        <w:rPr>
          <w:i/>
          <w:iCs/>
        </w:rPr>
        <w:t>trichocarpa</w:t>
      </w:r>
      <w:proofErr w:type="spellEnd"/>
      <w:r>
        <w:rPr>
          <w:i/>
          <w:iCs/>
        </w:rPr>
        <w:t xml:space="preserve"> </w:t>
      </w:r>
      <w:r>
        <w:t xml:space="preserve">Chr03, </w:t>
      </w:r>
      <w:r w:rsidRPr="00333E28">
        <w:rPr>
          <w:i/>
          <w:iCs/>
        </w:rPr>
        <w:t xml:space="preserve">P. </w:t>
      </w:r>
      <w:proofErr w:type="spellStart"/>
      <w:r w:rsidRPr="00333E28">
        <w:rPr>
          <w:i/>
          <w:iCs/>
        </w:rPr>
        <w:t>deltoides</w:t>
      </w:r>
      <w:proofErr w:type="spellEnd"/>
      <w:r>
        <w:t xml:space="preserve"> Chr03, and </w:t>
      </w:r>
      <w:r w:rsidRPr="00A52643">
        <w:rPr>
          <w:i/>
          <w:iCs/>
        </w:rPr>
        <w:t xml:space="preserve">S. purpurea </w:t>
      </w:r>
      <w:r>
        <w:t>Chr03, have a non-functional stop codon (Figure II-1C).</w:t>
      </w:r>
      <w:r w:rsidRPr="009131DB">
        <w:t xml:space="preserve"> This hypothesis is further supported by </w:t>
      </w:r>
      <w:r>
        <w:t xml:space="preserve">the </w:t>
      </w:r>
      <w:r w:rsidRPr="009131DB">
        <w:t>high number of shared disabling mutations</w:t>
      </w:r>
      <w:r>
        <w:t xml:space="preserve"> near residue 25, residue 62, and residue 89 </w:t>
      </w:r>
      <w:r w:rsidRPr="009131DB">
        <w:t xml:space="preserve">as well as the high level of sequence conservation shared between the sister syntenic chromosomes of </w:t>
      </w:r>
      <w:r w:rsidRPr="00333E28">
        <w:rPr>
          <w:i/>
        </w:rPr>
        <w:t xml:space="preserve">P. </w:t>
      </w:r>
      <w:proofErr w:type="spellStart"/>
      <w:r w:rsidRPr="00333E28">
        <w:rPr>
          <w:i/>
        </w:rPr>
        <w:t>trichocarpa</w:t>
      </w:r>
      <w:proofErr w:type="spellEnd"/>
      <w:r w:rsidRPr="009131DB">
        <w:rPr>
          <w:i/>
        </w:rPr>
        <w:t>,</w:t>
      </w:r>
      <w:r w:rsidRPr="009131DB">
        <w:rPr>
          <w:i/>
          <w:color w:val="000000"/>
        </w:rPr>
        <w:t xml:space="preserve"> </w:t>
      </w:r>
      <w:r w:rsidRPr="00333E28">
        <w:rPr>
          <w:i/>
          <w:color w:val="000000"/>
        </w:rPr>
        <w:t xml:space="preserve">P. </w:t>
      </w:r>
      <w:proofErr w:type="spellStart"/>
      <w:r w:rsidRPr="00333E28">
        <w:rPr>
          <w:i/>
          <w:color w:val="000000"/>
        </w:rPr>
        <w:t>deltoides</w:t>
      </w:r>
      <w:proofErr w:type="spellEnd"/>
      <w:r w:rsidRPr="009131DB">
        <w:rPr>
          <w:color w:val="000000"/>
        </w:rPr>
        <w:t xml:space="preserve">, and </w:t>
      </w:r>
      <w:r w:rsidRPr="00A52643">
        <w:rPr>
          <w:i/>
          <w:color w:val="000000"/>
        </w:rPr>
        <w:t xml:space="preserve">S. purpurea </w:t>
      </w:r>
      <w:r>
        <w:rPr>
          <w:iCs/>
          <w:color w:val="000000"/>
        </w:rPr>
        <w:t>(</w:t>
      </w:r>
      <w:r>
        <w:t>Figure II-1C)</w:t>
      </w:r>
      <w:r w:rsidRPr="009131DB">
        <w:t>.</w:t>
      </w:r>
      <w:r>
        <w:t xml:space="preserve"> </w:t>
      </w:r>
    </w:p>
    <w:p w14:paraId="4B7E37F0" w14:textId="77777777" w:rsidR="00636B5B" w:rsidRDefault="00636B5B" w:rsidP="00CE7936">
      <w:pPr>
        <w:spacing w:line="360" w:lineRule="auto"/>
        <w:ind w:firstLine="720"/>
        <w:jc w:val="both"/>
      </w:pPr>
      <w:r>
        <w:t xml:space="preserve">Figure II-1D profiles another example, Potri.001G400201, and depicts an alternative example where the gain of a start and stop codon can be observed along with a deletion at base 38 that places a potential stop codon out of frame therefore leading to a </w:t>
      </w:r>
      <w:r>
        <w:rPr>
          <w:i/>
          <w:iCs/>
        </w:rPr>
        <w:t>de novo</w:t>
      </w:r>
      <w:r>
        <w:t xml:space="preserve"> gene in </w:t>
      </w:r>
      <w:r w:rsidRPr="00333E28">
        <w:rPr>
          <w:i/>
        </w:rPr>
        <w:t xml:space="preserve">P. </w:t>
      </w:r>
      <w:proofErr w:type="spellStart"/>
      <w:r w:rsidRPr="00333E28">
        <w:rPr>
          <w:i/>
        </w:rPr>
        <w:t>trichocarpa</w:t>
      </w:r>
      <w:proofErr w:type="spellEnd"/>
      <w:r>
        <w:rPr>
          <w:iCs/>
        </w:rPr>
        <w:t>.</w:t>
      </w:r>
      <w:r>
        <w:rPr>
          <w:i/>
        </w:rPr>
        <w:t xml:space="preserve"> </w:t>
      </w:r>
      <w:r>
        <w:t xml:space="preserve">We identified similar trends across most of the putative </w:t>
      </w:r>
      <w:r>
        <w:rPr>
          <w:i/>
        </w:rPr>
        <w:t xml:space="preserve">de novo </w:t>
      </w:r>
      <w:r>
        <w:t xml:space="preserve">gene alignments. Specifically, percent identity to the </w:t>
      </w:r>
      <w:r>
        <w:rPr>
          <w:i/>
        </w:rPr>
        <w:t>de novo</w:t>
      </w:r>
      <w:r>
        <w:t xml:space="preserve"> gene of interest was highest for genes on the primary noncoding syntenic region </w:t>
      </w:r>
      <w:r w:rsidRPr="002B316C">
        <w:t>(Fig</w:t>
      </w:r>
      <w:r>
        <w:t>ure II-</w:t>
      </w:r>
      <w:r w:rsidRPr="002B316C">
        <w:t>S3</w:t>
      </w:r>
      <w:r w:rsidRPr="00710B56">
        <w:t>A</w:t>
      </w:r>
      <w:r>
        <w:t xml:space="preserve">) and noncoding secondary syntenic sequences were most </w:t>
      </w:r>
      <w:proofErr w:type="gramStart"/>
      <w:r>
        <w:t>similar to</w:t>
      </w:r>
      <w:proofErr w:type="gramEnd"/>
      <w:r>
        <w:t xml:space="preserve"> each other </w:t>
      </w:r>
      <w:r w:rsidRPr="002B316C">
        <w:t>(Fi</w:t>
      </w:r>
      <w:r>
        <w:t>gure II-</w:t>
      </w:r>
      <w:r w:rsidRPr="002B316C">
        <w:t>S</w:t>
      </w:r>
      <w:r w:rsidRPr="00121831">
        <w:t>3</w:t>
      </w:r>
      <w:r w:rsidRPr="00710B56">
        <w:t>B</w:t>
      </w:r>
      <w:r>
        <w:t xml:space="preserve">). The high similarity in the sister syntenic sequences serves as a useful comparator when examining the steps of </w:t>
      </w:r>
      <w:r>
        <w:rPr>
          <w:i/>
        </w:rPr>
        <w:t xml:space="preserve">de novo </w:t>
      </w:r>
      <w:r>
        <w:t xml:space="preserve">gene evolution. Finally, alignments to </w:t>
      </w:r>
      <w:r w:rsidRPr="00A52643">
        <w:rPr>
          <w:i/>
        </w:rPr>
        <w:t xml:space="preserve">S. purpurea </w:t>
      </w:r>
      <w:r>
        <w:t xml:space="preserve">consistently had even lower identity values compared with </w:t>
      </w:r>
      <w:r w:rsidRPr="00333E28">
        <w:rPr>
          <w:i/>
        </w:rPr>
        <w:t xml:space="preserve">P. </w:t>
      </w:r>
      <w:proofErr w:type="spellStart"/>
      <w:r w:rsidRPr="00333E28">
        <w:rPr>
          <w:i/>
        </w:rPr>
        <w:t>deltoides</w:t>
      </w:r>
      <w:proofErr w:type="spellEnd"/>
      <w:r>
        <w:rPr>
          <w:i/>
        </w:rPr>
        <w:t xml:space="preserve">, </w:t>
      </w:r>
      <w:r>
        <w:t xml:space="preserve">which can be explained by the earlier divergence of </w:t>
      </w:r>
      <w:r>
        <w:rPr>
          <w:i/>
        </w:rPr>
        <w:t xml:space="preserve">Salix </w:t>
      </w:r>
      <w:r>
        <w:t xml:space="preserve">and </w:t>
      </w:r>
      <w:r w:rsidRPr="003466CE">
        <w:rPr>
          <w:i/>
        </w:rPr>
        <w:t>Populus</w:t>
      </w:r>
      <w:r>
        <w:rPr>
          <w:i/>
        </w:rPr>
        <w:t xml:space="preserve"> </w:t>
      </w:r>
      <w:r>
        <w:rPr>
          <w:i/>
        </w:rPr>
        <w:fldChar w:fldCharType="begin" w:fldLock="1"/>
      </w:r>
      <w:r>
        <w:rPr>
          <w:i/>
        </w:rPr>
        <w:instrText>ADDIN CSL_CITATION {"citationItems":[{"id":"ITEM-1","itemData":{"DOI":"10.1038/cr.2014.83","ISBN":"1748-7838 (Electronic)\\r1001-0602 (Linking)","ISSN":"1748-7838","PMID":"24980958","abstract":"\\nSupplementary information available for this article at http://www.nature.com/cr/journal/v24/n10/suppinfo/cr201483s1.html","author":[{"dropping-particle":"","family":"Dai","given":"Xiaogang","non-dropping-particle":"","parse-names":false,"suffix":""},{"dropping-particle":"","family":"Hu","given":"Quanjun","non-dropping-particle":"","parse-names":false,"suffix":""},{"dropping-particle":"","family":"Cai","given":"Qingle","non-dropping-particle":"","parse-names":false,"suffix":""},{"dropping-particle":"","family":"Feng","given":"Kai","non-dropping-particle":"","parse-names":false,"suffix":""},{"dropping-particle":"","family":"Ye","given":"Ning","non-dropping-particle":"","parse-names":false,"suffix":""},{"dropping-particle":"","family":"Tuskan","given":"Gerald A","non-dropping-particle":"","parse-names":false,"suffix":""},{"dropping-particle":"","family":"Milne","given":"Richard","non-dropping-particle":"","parse-names":false,"suffix":""},{"dropping-particle":"","family":"Chen","given":"Yingnan","non-dropping-particle":"","parse-names":false,"suffix":""},{"dropping-particle":"","family":"Wan","given":"Zhibing","non-dropping-particle":"","parse-names":false,"suffix":""},{"dropping-particle":"","family":"Wang","given":"Zefu","non-dropping-particle":"","parse-names":false,"suffix":""},{"dropping-particle":"","family":"Luo","given":"Wenchun","non-dropping-particle":"","parse-names":false,"suffix":""},{"dropping-particle":"","family":"Wang","given":"Kun","non-dropping-particle":"","parse-names":false,"suffix":""},{"dropping-particle":"","family":"Wan","given":"Dongshi","non-dropping-particle":"","parse-names":false,"suffix":""},{"dropping-particle":"","family":"Wang","given":"Mingxiu","non-dropping-particle":"","parse-names":false,"suffix":""},{"dropping-particle":"","family":"Wang","given":"Jun","non-dropping-particle":"","parse-names":false,"suffix":""},{"dropping-particle":"","family":"Liu","given":"Jianquan","non-dropping-particle":"","parse-names":false,"suffix":""},{"dropping-particle":"","family":"Yin","given":"Tongming","non-dropping-particle":"","parse-names":false,"suffix":""}],"container-title":"Cell research","id":"ITEM-1","issue":"10","issued":{"date-parts":[["2014"]]},"page":"1274-1277","title":"The willow genome and divergent evolution from poplar after the common genome duplication.","type":"article-journal","volume":"24"},"uris":["http://www.mendeley.com/documents/?uuid=3bc29b77-8ec8-46b0-b497-e078d08e0308"]}],"mendeley":{"formattedCitation":"(Dai et al., 2014)","plainTextFormattedCitation":"(Dai et al., 2014)","previouslyFormattedCitation":"(Dai et al. 2014)"},"properties":{"noteIndex":0},"schema":"https://github.com/citation-style-language/schema/raw/master/csl-citation.json"}</w:instrText>
      </w:r>
      <w:r>
        <w:rPr>
          <w:i/>
        </w:rPr>
        <w:fldChar w:fldCharType="separate"/>
      </w:r>
      <w:r w:rsidRPr="00CE7936">
        <w:rPr>
          <w:noProof/>
        </w:rPr>
        <w:t>(Dai et al., 2014)</w:t>
      </w:r>
      <w:r>
        <w:rPr>
          <w:i/>
        </w:rPr>
        <w:fldChar w:fldCharType="end"/>
      </w:r>
      <w:r>
        <w:rPr>
          <w:i/>
        </w:rPr>
        <w:t xml:space="preserve">. </w:t>
      </w:r>
      <w:r>
        <w:t xml:space="preserve">For </w:t>
      </w:r>
      <w:r>
        <w:lastRenderedPageBreak/>
        <w:t xml:space="preserve">example, average identity across all </w:t>
      </w:r>
      <w:r w:rsidRPr="00333E28">
        <w:rPr>
          <w:i/>
          <w:iCs/>
        </w:rPr>
        <w:t xml:space="preserve">P. </w:t>
      </w:r>
      <w:proofErr w:type="spellStart"/>
      <w:r w:rsidRPr="00333E28">
        <w:rPr>
          <w:i/>
          <w:iCs/>
        </w:rPr>
        <w:t>trichocarpa</w:t>
      </w:r>
      <w:proofErr w:type="spellEnd"/>
      <w:r>
        <w:rPr>
          <w:i/>
          <w:iCs/>
        </w:rPr>
        <w:t xml:space="preserve"> </w:t>
      </w:r>
      <w:r>
        <w:rPr>
          <w:i/>
        </w:rPr>
        <w:t>de novo</w:t>
      </w:r>
      <w:r>
        <w:t xml:space="preserve"> genes compared to the </w:t>
      </w:r>
      <w:r w:rsidRPr="00333E28">
        <w:rPr>
          <w:i/>
        </w:rPr>
        <w:t xml:space="preserve">P. </w:t>
      </w:r>
      <w:proofErr w:type="spellStart"/>
      <w:r w:rsidRPr="00333E28">
        <w:rPr>
          <w:i/>
        </w:rPr>
        <w:t>deltoides</w:t>
      </w:r>
      <w:proofErr w:type="spellEnd"/>
      <w:r>
        <w:rPr>
          <w:i/>
        </w:rPr>
        <w:t xml:space="preserve"> </w:t>
      </w:r>
      <w:r>
        <w:t xml:space="preserve">primary syntenic chromosome alignments was 93.1% compared to 59.4% for </w:t>
      </w:r>
      <w:r w:rsidRPr="00A52643">
        <w:rPr>
          <w:i/>
        </w:rPr>
        <w:t xml:space="preserve">S. purpurea </w:t>
      </w:r>
      <w:r>
        <w:t xml:space="preserve">alignments. Overall, it is evident the </w:t>
      </w:r>
      <w:proofErr w:type="spellStart"/>
      <w:r>
        <w:t>Salicoid</w:t>
      </w:r>
      <w:proofErr w:type="spellEnd"/>
      <w:r>
        <w:t xml:space="preserve"> WGD provides a valuable resource through highly conserved sister syntenic sequence which allows for a clear understanding of ancestral sequence level changes essential to the evolution of a </w:t>
      </w:r>
      <w:r>
        <w:rPr>
          <w:i/>
          <w:iCs/>
        </w:rPr>
        <w:t xml:space="preserve">de novo </w:t>
      </w:r>
      <w:r>
        <w:t xml:space="preserve">gene. Alignments and genomic coordinates for other putative </w:t>
      </w:r>
      <w:r>
        <w:rPr>
          <w:i/>
          <w:iCs/>
        </w:rPr>
        <w:t xml:space="preserve">de novo </w:t>
      </w:r>
      <w:r>
        <w:t>genes against their non-coding syntenic regions are available in Figure II-S4-S14, Table II-S12.</w:t>
      </w:r>
    </w:p>
    <w:p w14:paraId="4434D1F2" w14:textId="77777777" w:rsidR="00636B5B" w:rsidRDefault="00636B5B" w:rsidP="00CE7936">
      <w:pPr>
        <w:spacing w:line="360" w:lineRule="auto"/>
        <w:ind w:firstLine="720"/>
        <w:jc w:val="both"/>
      </w:pPr>
      <w:r>
        <w:t xml:space="preserve">Direction of selection of the 13 </w:t>
      </w:r>
      <w:r>
        <w:rPr>
          <w:i/>
          <w:iCs/>
        </w:rPr>
        <w:t>de novo genes</w:t>
      </w:r>
      <w:r>
        <w:t xml:space="preserve"> in the GWAS mapping panel</w:t>
      </w:r>
      <w:r>
        <w:rPr>
          <w:i/>
          <w:iCs/>
        </w:rPr>
        <w:t xml:space="preserve"> </w:t>
      </w:r>
      <w:r>
        <w:t>was assessed with</w:t>
      </w:r>
      <w:r>
        <w:rPr>
          <w:i/>
          <w:iCs/>
        </w:rPr>
        <w:t xml:space="preserve"> </w:t>
      </w:r>
      <w:r>
        <w:t xml:space="preserve">the ratio of </w:t>
      </w:r>
      <w:proofErr w:type="spellStart"/>
      <w:r w:rsidRPr="0038457A">
        <w:t>piN</w:t>
      </w:r>
      <w:proofErr w:type="spellEnd"/>
      <w:r>
        <w:t xml:space="preserve"> to </w:t>
      </w:r>
      <w:proofErr w:type="spellStart"/>
      <w:r>
        <w:t>piS</w:t>
      </w:r>
      <w:proofErr w:type="spellEnd"/>
      <w:r>
        <w:t xml:space="preserve"> to infer molecular function (Table II-S4). Two </w:t>
      </w:r>
      <w:r>
        <w:rPr>
          <w:i/>
          <w:iCs/>
        </w:rPr>
        <w:t xml:space="preserve">de novo </w:t>
      </w:r>
      <w:r>
        <w:t>genes showed evidence of purifying selection (</w:t>
      </w:r>
      <w:proofErr w:type="spellStart"/>
      <w:r>
        <w:t>piN</w:t>
      </w:r>
      <w:proofErr w:type="spellEnd"/>
      <w:r>
        <w:t>/</w:t>
      </w:r>
      <w:proofErr w:type="spellStart"/>
      <w:r>
        <w:t>piS</w:t>
      </w:r>
      <w:proofErr w:type="spellEnd"/>
      <w:r>
        <w:t xml:space="preserve"> &lt; 1) and one showed evidence of neutral selection (</w:t>
      </w:r>
      <w:proofErr w:type="spellStart"/>
      <w:r>
        <w:t>piN</w:t>
      </w:r>
      <w:proofErr w:type="spellEnd"/>
      <w:r>
        <w:t>=</w:t>
      </w:r>
      <w:proofErr w:type="spellStart"/>
      <w:r>
        <w:t>piS</w:t>
      </w:r>
      <w:proofErr w:type="spellEnd"/>
      <w:r>
        <w:t xml:space="preserve">). The remaining 10 had </w:t>
      </w:r>
      <w:proofErr w:type="spellStart"/>
      <w:r>
        <w:t>piN</w:t>
      </w:r>
      <w:proofErr w:type="spellEnd"/>
      <w:r>
        <w:t>/</w:t>
      </w:r>
      <w:proofErr w:type="spellStart"/>
      <w:r>
        <w:t>piS</w:t>
      </w:r>
      <w:proofErr w:type="spellEnd"/>
      <w:r>
        <w:t xml:space="preserve"> values greater than one, or where </w:t>
      </w:r>
      <w:proofErr w:type="spellStart"/>
      <w:r>
        <w:t>piN</w:t>
      </w:r>
      <w:proofErr w:type="spellEnd"/>
      <w:r>
        <w:t xml:space="preserve"> was greater than </w:t>
      </w:r>
      <w:proofErr w:type="spellStart"/>
      <w:r>
        <w:t>piS</w:t>
      </w:r>
      <w:proofErr w:type="spellEnd"/>
      <w:r>
        <w:t xml:space="preserve"> which may indicate positive or balancing selection.</w:t>
      </w:r>
    </w:p>
    <w:p w14:paraId="39671000" w14:textId="77777777" w:rsidR="00636B5B" w:rsidRDefault="00636B5B" w:rsidP="00CE7936">
      <w:pPr>
        <w:spacing w:line="360" w:lineRule="auto"/>
        <w:ind w:firstLine="720"/>
        <w:jc w:val="both"/>
      </w:pPr>
    </w:p>
    <w:p w14:paraId="41DD96BC" w14:textId="77777777" w:rsidR="00636B5B" w:rsidRDefault="00636B5B" w:rsidP="00CE7936">
      <w:pPr>
        <w:ind w:firstLine="720"/>
        <w:jc w:val="both"/>
        <w:rPr>
          <w:b/>
        </w:rPr>
      </w:pPr>
      <w:r w:rsidRPr="00B45C89">
        <w:rPr>
          <w:b/>
          <w:i/>
        </w:rPr>
        <w:t>De novo-</w:t>
      </w:r>
      <w:r w:rsidRPr="00C1677C">
        <w:rPr>
          <w:b/>
          <w:iCs/>
        </w:rPr>
        <w:t>evolved</w:t>
      </w:r>
      <w:r w:rsidRPr="00B45C89">
        <w:rPr>
          <w:b/>
          <w:i/>
        </w:rPr>
        <w:t xml:space="preserve"> </w:t>
      </w:r>
      <w:r w:rsidRPr="00B45C89">
        <w:rPr>
          <w:b/>
        </w:rPr>
        <w:t xml:space="preserve">genes are polymorphic within the </w:t>
      </w:r>
      <w:r w:rsidRPr="00333E28">
        <w:rPr>
          <w:b/>
          <w:i/>
        </w:rPr>
        <w:t xml:space="preserve">P. </w:t>
      </w:r>
      <w:proofErr w:type="spellStart"/>
      <w:r w:rsidRPr="00333E28">
        <w:rPr>
          <w:b/>
          <w:i/>
        </w:rPr>
        <w:t>trichocarpa</w:t>
      </w:r>
      <w:proofErr w:type="spellEnd"/>
      <w:r w:rsidRPr="00B45C89">
        <w:rPr>
          <w:b/>
          <w:i/>
        </w:rPr>
        <w:t xml:space="preserve"> </w:t>
      </w:r>
      <w:r w:rsidRPr="00B45C89">
        <w:rPr>
          <w:b/>
          <w:iCs/>
        </w:rPr>
        <w:t xml:space="preserve">genome-wide association study </w:t>
      </w:r>
      <w:r w:rsidRPr="00B45C89">
        <w:rPr>
          <w:b/>
        </w:rPr>
        <w:t>population</w:t>
      </w:r>
    </w:p>
    <w:p w14:paraId="6CEC6FC1" w14:textId="77777777" w:rsidR="00636B5B" w:rsidRDefault="00636B5B" w:rsidP="00CE7936">
      <w:pPr>
        <w:spacing w:line="360" w:lineRule="auto"/>
        <w:jc w:val="both"/>
      </w:pPr>
      <w:r>
        <w:tab/>
      </w:r>
    </w:p>
    <w:p w14:paraId="45882790" w14:textId="77777777" w:rsidR="00636B5B" w:rsidRDefault="00636B5B" w:rsidP="00CE7936">
      <w:pPr>
        <w:spacing w:line="360" w:lineRule="auto"/>
        <w:ind w:firstLine="720"/>
        <w:jc w:val="both"/>
        <w:rPr>
          <w:bCs/>
        </w:rPr>
      </w:pPr>
      <w:r>
        <w:rPr>
          <w:bCs/>
        </w:rPr>
        <w:t xml:space="preserve">Genomic variant profiles were generated for all 42,950 </w:t>
      </w:r>
      <w:r w:rsidRPr="00333E28">
        <w:rPr>
          <w:bCs/>
          <w:i/>
          <w:iCs/>
        </w:rPr>
        <w:t xml:space="preserve">P. </w:t>
      </w:r>
      <w:proofErr w:type="spellStart"/>
      <w:r w:rsidRPr="00333E28">
        <w:rPr>
          <w:bCs/>
          <w:i/>
          <w:iCs/>
        </w:rPr>
        <w:t>trichocarpa</w:t>
      </w:r>
      <w:proofErr w:type="spellEnd"/>
      <w:r>
        <w:rPr>
          <w:bCs/>
          <w:i/>
          <w:iCs/>
        </w:rPr>
        <w:t xml:space="preserve"> </w:t>
      </w:r>
      <w:r>
        <w:rPr>
          <w:bCs/>
        </w:rPr>
        <w:t xml:space="preserve">genes and frequency of mutations were compared between non-orphan and orphan genes (Figure II-2A). </w:t>
      </w:r>
      <w:r>
        <w:rPr>
          <w:bCs/>
          <w:color w:val="000000" w:themeColor="text1"/>
          <w:highlight w:val="white"/>
        </w:rPr>
        <w:t>Non-orphan genes are defined as genes excluded as orphan genes as a result of our curation pipeline</w:t>
      </w:r>
      <w:r>
        <w:rPr>
          <w:bCs/>
          <w:color w:val="000000" w:themeColor="text1"/>
        </w:rPr>
        <w:t>.</w:t>
      </w:r>
      <w:r>
        <w:rPr>
          <w:bCs/>
        </w:rPr>
        <w:t xml:space="preserve"> For all mutation impact classes, orphan genes had higher frequencies of mutations when compared to non-orphan genes. Orphan genes were not significantly correlated with regions of high or low nucleotide diversity across 1 Mb windows (Figure II-S20).  Additionally, the subset of 13 </w:t>
      </w:r>
      <w:r>
        <w:rPr>
          <w:bCs/>
          <w:i/>
          <w:iCs/>
        </w:rPr>
        <w:t xml:space="preserve">de novo </w:t>
      </w:r>
      <w:r>
        <w:rPr>
          <w:bCs/>
        </w:rPr>
        <w:t xml:space="preserve">genes were inspected in more detail for variants affecting their coding potential. This analysis was performed with 917 </w:t>
      </w:r>
      <w:r w:rsidRPr="00333E28">
        <w:rPr>
          <w:bCs/>
          <w:i/>
          <w:iCs/>
        </w:rPr>
        <w:t xml:space="preserve">P. </w:t>
      </w:r>
      <w:proofErr w:type="spellStart"/>
      <w:r w:rsidRPr="00333E28">
        <w:rPr>
          <w:bCs/>
          <w:i/>
          <w:iCs/>
        </w:rPr>
        <w:t>trichocarpa</w:t>
      </w:r>
      <w:proofErr w:type="spellEnd"/>
      <w:r>
        <w:rPr>
          <w:bCs/>
        </w:rPr>
        <w:t xml:space="preserve"> individuals </w:t>
      </w:r>
      <w:r>
        <w:rPr>
          <w:bCs/>
        </w:rPr>
        <w:fldChar w:fldCharType="begin" w:fldLock="1"/>
      </w:r>
      <w:r>
        <w:rPr>
          <w:bCs/>
        </w:rPr>
        <w:instrText>ADDIN CSL_CITATION {"citationItems":[{"id":"ITEM-1","itemData":{"DOI":"10.1111/nph.15297","ISSN":"14698137","abstract":"3-O-caffeoylquinic acid, also known as chlorogenic acid (CGA), functions as an intermediate in lignin biosynthesis in the phenylpropanoid pathway. It is widely distributed among numerous plant species and acts as an antioxidant in both plants and animals. Using GC-MS, we discovered consistent and extreme variation in CGA content across a population of 739 4-yr-old Populus trichocarpa accessions. We performed genome-wide association studies (GWAS) from 917 P. trichocarpa accessions and expression-based quantitative trait loci (eQTL) analyses to identify key regulators. The GWAS and eQTL analyses resolved an overlapped interval encompassing a hydroxycinnamoyl-CoA:shikimate hydroxycinnamoyl transferase 2 (PtHCT2) that was significantly associated with CGA and partially characterized metabolite abundances. PtHCT2 leaf expression was significantly correlated with CGA abundance and it was regulated by cis-eQTLs containing W-box for WRKY binding. Among all nine PtHCT homologs, PtHCT2 is the only one that responds to infection by the fungal pathogen Sphaerulina musiva (a Populus pathogen). Validation using protoplast-based transient expression system suggests that PtHCT2 is regulated by the defense-responsive WRKY. These results are consistent with reports of CGA functioning as an antioxidant in response to biotic stress. This study provides insights into data-driven and omics-based inference of gene function in woody species.","author":[{"dropping-particle":"","family":"Zhang","given":"Jin","non-dropping-particle":"","parse-names":false,"suffix":""},{"dropping-particle":"","family":"Yang","given":"Yongil","non-dropping-particle":"","parse-names":false,"suffix":""},{"dropping-particle":"","family":"Zheng","given":"Kaijie","non-dropping-particle":"","parse-names":false,"suffix":""},{"dropping-particle":"","family":"Xie","given":"Meng","non-dropping-particle":"","parse-names":false,"suffix":""},{"dropping-particle":"","family":"Feng","given":"Kai","non-dropping-particle":"","parse-names":false,"suffix":""},{"dropping-particle":"","family":"Jawdy","given":"Sara S.","non-dropping-particle":"","parse-names":false,"suffix":""},{"dropping-particle":"","family":"Gunter","given":"Lee E.","non-dropping-particle":"","parse-names":false,"suffix":""},{"dropping-particle":"","family":"Ranjan","given":"Priya","non-dropping-particle":"","parse-names":false,"suffix":""},{"dropping-particle":"","family":"Singan","given":"Vasanth R.","non-dropping-particle":"","parse-names":false,"suffix":""},{"dropping-particle":"","family":"Engle","given":"Nancy","non-dropping-particle":"","parse-names":false,"suffix":""},{"dropping-particle":"","family":"Lindquist","given":"Erika","non-dropping-particle":"","parse-names":false,"suffix":""},{"dropping-particle":"","family":"Barry","given":"Kerrie","non-dropping-particle":"","parse-names":false,"suffix":""},{"dropping-particle":"","family":"Schmutz","given":"Jeremy","non-dropping-particle":"","parse-names":false,"suffix":""},{"dropping-particle":"","family":"Zhao","given":"Nan","non-dropping-particle":"","parse-names":false,"suffix":""},{"dropping-particle":"","family":"Tschaplinski","given":"Timothy J.","non-dropping-particle":"","parse-names":false,"suffix":""},{"dropping-particle":"","family":"LeBoldus","given":"Jared","non-dropping-particle":"","parse-names":false,"suffix":""},{"dropping-particle":"","family":"Tuskan","given":"Gerald A.","non-dropping-particle":"","parse-names":false,"suffix":""},{"dropping-particle":"","family":"Chen","given":"Jin Gui","non-dropping-particle":"","parse-names":false,"suffix":""},{"dropping-particle":"","family":"Muchero","given":"Wellington","non-dropping-particle":"","parse-names":false,"suffix":""}],"container-title":"New Phytologist","id":"ITEM-1","issue":"2","issued":{"date-parts":[["2018"]]},"page":"502-516","title":"Genome-wide association studies and expression-based quantitative trait loci analyses reveal roles of HCT2 in caffeoylquinic acid biosynthesis and its regulation by defense-responsive transcription factors in Populus","type":"article-journal","volume":"220"},"uris":["http://www.mendeley.com/documents/?uuid=cc70ae7f-f80e-4bb3-9483-cb80d2aa93d4"]}],"mendeley":{"formattedCitation":"(J. Zhang et al., 2018)","manualFormatting":"(Zhang et al., 2018)","plainTextFormattedCitation":"(J. Zhang et al., 2018)","previouslyFormattedCitation":"(Zhang et al. 2018)"},"properties":{"noteIndex":0},"schema":"https://github.com/citation-style-language/schema/raw/master/csl-citation.json"}</w:instrText>
      </w:r>
      <w:r>
        <w:rPr>
          <w:bCs/>
        </w:rPr>
        <w:fldChar w:fldCharType="separate"/>
      </w:r>
      <w:r w:rsidRPr="00B21036">
        <w:rPr>
          <w:bCs/>
          <w:noProof/>
        </w:rPr>
        <w:t>(Zhang et al., 2018)</w:t>
      </w:r>
      <w:r>
        <w:rPr>
          <w:bCs/>
        </w:rPr>
        <w:fldChar w:fldCharType="end"/>
      </w:r>
      <w:r>
        <w:rPr>
          <w:bCs/>
        </w:rPr>
        <w:t>. Although all 13 genes had high impact mutations, 7 of 13 did not have mutations impacting their ORF suggesting that they were fixed in the population (Table II-S5). Two examples that deviated substantially from the Nisqually-1 reference genome based on variant profile and had deleterious variants in their coding region, were Potri.002G127150 and Potri.005G061300 (Figure II-2B)</w:t>
      </w:r>
      <w:r w:rsidRPr="00CF033E">
        <w:rPr>
          <w:bCs/>
        </w:rPr>
        <w:t>.</w:t>
      </w:r>
      <w:r>
        <w:rPr>
          <w:bCs/>
        </w:rPr>
        <w:t xml:space="preserve"> For example, Potri.002G127150 had three nonsynonymous coding single nucleotide polymorphisms (SNPs) that were homozygous for the alternate allele in greater than 75% of individuals. This same gene also had a small proportion of individuals (0.5%) where the stop codon was lost. Additionally, Potri.005G061300 had a nonsynonymous coding SNP that was homozygous for the alternate allele </w:t>
      </w:r>
      <w:r>
        <w:rPr>
          <w:bCs/>
        </w:rPr>
        <w:lastRenderedPageBreak/>
        <w:t xml:space="preserve">in 86% of individuals and a homozygous nonsense mutation that resulted in a gained stop codon in 90% of the individuals. On the other hand, </w:t>
      </w:r>
      <w:r>
        <w:rPr>
          <w:bCs/>
          <w:i/>
          <w:iCs/>
        </w:rPr>
        <w:t xml:space="preserve">de </w:t>
      </w:r>
      <w:r w:rsidRPr="00F50294">
        <w:rPr>
          <w:bCs/>
          <w:i/>
          <w:iCs/>
        </w:rPr>
        <w:t>novo</w:t>
      </w:r>
      <w:r>
        <w:rPr>
          <w:bCs/>
        </w:rPr>
        <w:t xml:space="preserve"> </w:t>
      </w:r>
      <w:r w:rsidRPr="00F50294">
        <w:rPr>
          <w:bCs/>
        </w:rPr>
        <w:t>genes</w:t>
      </w:r>
      <w:r>
        <w:rPr>
          <w:bCs/>
        </w:rPr>
        <w:t xml:space="preserve"> that more closely matched Nisqually-1’s variant profile included Potri.001G124250, Potri.001G257200, and Potri.009G129850 (Figure II-2B). Specifically, nearly all variants in the coding region of Potri.001G124250 were homozygous for the reference allele, with the exception of 5% of individuals that had a mutation resulting in the loss of a stop codon. Additionally, Potri.001G257200, and Potri.009G129850, closely matched the Nisqually-1 variants and at the population level had small numbers of individuals that were homozygous for nonsynonymous or other deleterious mutations. In summary, based on the high similarity of genotype profiles in the GWAS mapping panel to the Nisqually-1 reference genotype profile (the </w:t>
      </w:r>
      <w:r w:rsidRPr="00333E28">
        <w:rPr>
          <w:bCs/>
          <w:i/>
          <w:iCs/>
        </w:rPr>
        <w:t xml:space="preserve">P. </w:t>
      </w:r>
      <w:proofErr w:type="spellStart"/>
      <w:r w:rsidRPr="00333E28">
        <w:rPr>
          <w:bCs/>
          <w:i/>
          <w:iCs/>
        </w:rPr>
        <w:t>trichocarpa</w:t>
      </w:r>
      <w:proofErr w:type="spellEnd"/>
      <w:r>
        <w:rPr>
          <w:bCs/>
          <w:i/>
          <w:iCs/>
        </w:rPr>
        <w:t xml:space="preserve"> </w:t>
      </w:r>
      <w:r>
        <w:rPr>
          <w:bCs/>
        </w:rPr>
        <w:t xml:space="preserve">genotype where </w:t>
      </w:r>
      <w:r>
        <w:rPr>
          <w:bCs/>
          <w:i/>
          <w:iCs/>
        </w:rPr>
        <w:t>de novo</w:t>
      </w:r>
      <w:r>
        <w:rPr>
          <w:bCs/>
        </w:rPr>
        <w:t xml:space="preserve"> genes were identified) and low frequency of high impact or other deleterious variants, these three genes are relatively homogenous in the GWAS mapping panel.</w:t>
      </w:r>
    </w:p>
    <w:p w14:paraId="1362A13F" w14:textId="77777777" w:rsidR="00636B5B" w:rsidRDefault="00636B5B" w:rsidP="00CE7936">
      <w:pPr>
        <w:spacing w:line="360" w:lineRule="auto"/>
        <w:jc w:val="both"/>
        <w:rPr>
          <w:bCs/>
        </w:rPr>
      </w:pPr>
    </w:p>
    <w:p w14:paraId="49D0B0DF" w14:textId="77777777" w:rsidR="00636B5B" w:rsidRDefault="00636B5B" w:rsidP="00CE7936">
      <w:pPr>
        <w:widowControl w:val="0"/>
        <w:autoSpaceDE w:val="0"/>
        <w:autoSpaceDN w:val="0"/>
        <w:adjustRightInd w:val="0"/>
        <w:rPr>
          <w:b/>
        </w:rPr>
      </w:pPr>
      <w:r w:rsidRPr="00333E28">
        <w:rPr>
          <w:b/>
          <w:i/>
        </w:rPr>
        <w:t xml:space="preserve">P. </w:t>
      </w:r>
      <w:proofErr w:type="spellStart"/>
      <w:r w:rsidRPr="00333E28">
        <w:rPr>
          <w:b/>
          <w:i/>
        </w:rPr>
        <w:t>trichocarpa</w:t>
      </w:r>
      <w:proofErr w:type="spellEnd"/>
      <w:r w:rsidRPr="00B45C89">
        <w:rPr>
          <w:b/>
          <w:i/>
        </w:rPr>
        <w:t xml:space="preserve"> </w:t>
      </w:r>
      <w:r w:rsidRPr="00B45C89">
        <w:rPr>
          <w:b/>
        </w:rPr>
        <w:t>orphan genes exhibit a narrow expression breadth</w:t>
      </w:r>
      <w:r>
        <w:rPr>
          <w:b/>
        </w:rPr>
        <w:t>,</w:t>
      </w:r>
      <w:r w:rsidRPr="00B45C89">
        <w:rPr>
          <w:b/>
        </w:rPr>
        <w:t xml:space="preserve"> lower </w:t>
      </w:r>
      <w:r>
        <w:rPr>
          <w:b/>
        </w:rPr>
        <w:t>expression levels, and a subset show evidence of translation</w:t>
      </w:r>
    </w:p>
    <w:p w14:paraId="661E43AF" w14:textId="77777777" w:rsidR="00636B5B" w:rsidRDefault="00636B5B" w:rsidP="00CE7936">
      <w:pPr>
        <w:widowControl w:val="0"/>
        <w:autoSpaceDE w:val="0"/>
        <w:autoSpaceDN w:val="0"/>
        <w:adjustRightInd w:val="0"/>
        <w:spacing w:line="360" w:lineRule="auto"/>
        <w:rPr>
          <w:b/>
          <w:bCs/>
          <w:iCs/>
        </w:rPr>
      </w:pPr>
      <w:r>
        <w:rPr>
          <w:b/>
          <w:bCs/>
          <w:iCs/>
        </w:rPr>
        <w:tab/>
      </w:r>
    </w:p>
    <w:p w14:paraId="32178743" w14:textId="77777777" w:rsidR="00636B5B" w:rsidRDefault="00636B5B" w:rsidP="00CE7936">
      <w:pPr>
        <w:widowControl w:val="0"/>
        <w:autoSpaceDE w:val="0"/>
        <w:autoSpaceDN w:val="0"/>
        <w:adjustRightInd w:val="0"/>
        <w:spacing w:line="360" w:lineRule="auto"/>
        <w:ind w:firstLine="720"/>
      </w:pPr>
      <w:r w:rsidRPr="009131DB">
        <w:t>Orphan genes</w:t>
      </w:r>
      <w:r>
        <w:t xml:space="preserve"> often</w:t>
      </w:r>
      <w:r w:rsidRPr="009131DB">
        <w:t xml:space="preserve"> exhibit lower expression levels and tend to have expression patterns that are relegated to specific tissues, commonly</w:t>
      </w:r>
      <w:r>
        <w:t xml:space="preserve"> reported</w:t>
      </w:r>
      <w:r w:rsidRPr="009131DB">
        <w:t xml:space="preserve"> in male-biased and</w:t>
      </w:r>
      <w:r>
        <w:t>/or</w:t>
      </w:r>
      <w:r w:rsidRPr="009131DB">
        <w:t xml:space="preserve"> reproductive tissues</w:t>
      </w:r>
      <w:r>
        <w:t xml:space="preserve"> </w:t>
      </w:r>
      <w:r>
        <w:fldChar w:fldCharType="begin" w:fldLock="1"/>
      </w:r>
      <w:r>
        <w:instrText>ADDIN CSL_CITATION {"citationItems":[{"id":"ITEM-1","itemData":{"DOI":"10.1073/pnas.0509809103","ISBN":"0509809103","ISSN":"0027-8424","PMID":"16777968","abstract":"Descriptions of recently evolved genes suggest several mechanisms of origin including exon shuffling, gene fission/fusion, retrotransposition, duplication-divergence, and lateral gene transfer, all of which involve recruitment of preexisting genes or genetic elements into new function. The importance of noncoding DNA in the origin of novel genes remains an open question. We used the well annotated genome of the genetic model system Drosophila melanogaster and genome sequences of related species to carry out a whole-genome search for new D. melanogaster genes that are derived from noncoding DNA. Here, we describe five such genes, four of which are X-linked. Our RT-PCR experiments show that all five putative novel genes are expressed predominantly in testes. These data support the idea that these novel genes are derived from ancestral noncoding sequence and that new, favored genes are likely to invade populations under selective pressures relating to male reproduction.","author":[{"dropping-particle":"","family":"Levine","given":"Mia T","non-dropping-particle":"","parse-names":false,"suffix":""},{"dropping-particle":"","family":"Jones","given":"Corbin D","non-dropping-particle":"","parse-names":false,"suffix":""},{"dropping-particle":"","family":"Kern","given":"Andrew D","non-dropping-particle":"","parse-names":false,"suffix":""},{"dropping-particle":"","family":"Lindfors","given":"Heather A","non-dropping-particle":"","parse-names":false,"suffix":""},{"dropping-particle":"","family":"Begun","given":"David J","non-dropping-particle":"","parse-names":false,"suffix":""}],"container-title":"Proceedings of the National Academy of Sciences of the United States of America","id":"ITEM-1","issue":"26","issued":{"date-parts":[["2006"]]},"page":"9935-9","title":"Novel genes derived from noncoding DNA in Drosophila melanogaster are frequently X-linked and exhibit testis-biased expression.","type":"article-journal","volume":"103"},"uris":["http://www.mendeley.com/documents/?uuid=4b7aab03-403b-49d1-98c4-72f0c593b24d"]},{"id":"ITEM-2","itemData":{"DOI":"10.1016/j.molp.2014.12.008","ISBN":"1674-2052","ISSN":"17529867","PMID":"25670339","abstract":"The birth of new genes in genomes is an important evolutionary event. Several studies reveal that new genes in animals tend to be preferentially expressed in male reproductive tissues such as testis (Betrán et al., 2002; Begun et al., 2007; Dubruille et al., 2012), and thus an \"out of testis\" hypothesis for the emergence of new genes has been proposed (Vinckenbosch et al., 2006; Kaessmann, 2010). However, such phenomena have not been examined in plant species. Here, by employing a phylostratigraphic method, we dated the origin of protein-coding genes in rice and Arabidopsis thaliana and observed a number of young genes in both species. These young genes tend to encode short extracellular proteins, which may be involved in rapid evolving processes, such as reproductive barriers, species specification, and anti-microbial processes. Further analysis of transcriptome age indexes across different tissues revealed that male reproductive cells express a phylogenetically younger transcriptome than other plant tissues. Compared with sporophytic tissues, the young transcriptomes of the male gametophyte displayed greater complexity and diversity, which included a higher ratio of anti-sense and inter-genic transcripts, reflecting a pervasive transcription state that facilitated the emergence of new genes. Here, we propose that pollen may act as an \"innovation incubator\" for the birth of de novo genes. With cases of male-biased expression of young genes reported in animals, the \"new genes out of the male\" model revealed a common evolutionary force that drives reproductive barriers, species specification, and the upgrading of defensive mechanisms against pathogens.","author":[{"dropping-particle":"","family":"Cui","given":"Xiao","non-dropping-particle":"","parse-names":false,"suffix":""},{"dropping-particle":"","family":"Lv","given":"Yang","non-dropping-particle":"","parse-names":false,"suffix":""},{"dropping-particle":"","family":"Chen","given":"Miaolin","non-dropping-particle":"","parse-names":false,"suffix":""},{"dropping-particle":"","family":"Nikoloski","given":"Zoran","non-dropping-particle":"","parse-names":false,"suffix":""},{"dropping-particle":"","family":"Twell","given":"David","non-dropping-particle":"","parse-names":false,"suffix":""},{"dropping-particle":"","family":"Zhang","given":"Dabing","non-dropping-particle":"","parse-names":false,"suffix":""}],"container-title":"Molecular Plant","id":"ITEM-2","issue":"6","issued":{"date-parts":[["2015"]]},"page":"935-945","publisher":"Elsevier Ltd","title":"Young genes out of the male: An insight from evolutionary age analysis of the pollen transcriptome","type":"article-journal","volume":"8"},"uris":["http://www.mendeley.com/documents/?uuid=ba542431-aa95-4243-8bb2-e536bc7c7b6c"]}],"mendeley":{"formattedCitation":"(Cui et al., 2015; Levine et al., 2006)","plainTextFormattedCitation":"(Cui et al., 2015; Levine et al., 2006)","previouslyFormattedCitation":"(Levine et al. 2006; Cui et al. 2015)"},"properties":{"noteIndex":0},"schema":"https://github.com/citation-style-language/schema/raw/master/csl-citation.json"}</w:instrText>
      </w:r>
      <w:r>
        <w:fldChar w:fldCharType="separate"/>
      </w:r>
      <w:r w:rsidRPr="00CE7936">
        <w:rPr>
          <w:noProof/>
        </w:rPr>
        <w:t>(Cui et al., 2015; Levine et al., 2006)</w:t>
      </w:r>
      <w:r>
        <w:fldChar w:fldCharType="end"/>
      </w:r>
      <w:r w:rsidRPr="009131DB">
        <w:t xml:space="preserve">. </w:t>
      </w:r>
      <w:r>
        <w:t>Thirteen</w:t>
      </w:r>
      <w:r w:rsidRPr="009131DB">
        <w:t xml:space="preserve"> </w:t>
      </w:r>
      <w:r>
        <w:t>expression libraries</w:t>
      </w:r>
      <w:r w:rsidRPr="009131DB">
        <w:t xml:space="preserve"> from various tissues (Table </w:t>
      </w:r>
      <w:r>
        <w:t>II-S5</w:t>
      </w:r>
      <w:r w:rsidRPr="009131DB">
        <w:t>) were selected from the</w:t>
      </w:r>
      <w:r>
        <w:t xml:space="preserve"> </w:t>
      </w:r>
      <w:r>
        <w:rPr>
          <w:i/>
        </w:rPr>
        <w:t>Populus</w:t>
      </w:r>
      <w:r w:rsidRPr="009131DB">
        <w:t xml:space="preserve"> Gene Atlas project and expression breadth (number of tissues in which transcription evidence is available) was determined</w:t>
      </w:r>
      <w:r>
        <w:t xml:space="preserve"> for each of the 445 orphan genes</w:t>
      </w:r>
      <w:r w:rsidRPr="009131DB">
        <w:t>. Expression breadth was assessed for both orphan and non-orphan genes</w:t>
      </w:r>
      <w:r>
        <w:t xml:space="preserve">. Results indicated </w:t>
      </w:r>
      <w:r w:rsidRPr="009131DB">
        <w:t xml:space="preserve">that orphan genes </w:t>
      </w:r>
      <w:r>
        <w:t>were expressed in a smaller number of tissues and had</w:t>
      </w:r>
      <w:r w:rsidRPr="009131DB">
        <w:t xml:space="preserve"> narrower expression breadths </w:t>
      </w:r>
      <w:r>
        <w:t>(Figure II-3A, B)</w:t>
      </w:r>
      <w:r w:rsidRPr="009131DB">
        <w:t xml:space="preserve">. Additionally, as shown in </w:t>
      </w:r>
      <w:r>
        <w:t>F</w:t>
      </w:r>
      <w:r w:rsidRPr="009131DB">
        <w:t>igure</w:t>
      </w:r>
      <w:r>
        <w:t xml:space="preserve"> II-3A</w:t>
      </w:r>
      <w:r w:rsidRPr="009131DB">
        <w:t xml:space="preserve">, </w:t>
      </w:r>
      <w:r>
        <w:t xml:space="preserve">more </w:t>
      </w:r>
      <w:r w:rsidRPr="009131DB">
        <w:t xml:space="preserve">than 40% of orphan genes </w:t>
      </w:r>
      <w:r>
        <w:t xml:space="preserve">were not expressed in the tissues analyzed, compared to less than 20% for non-orphan genes. Nearly 20% of orphan genes were expressed in all 13 tissues, in comparison to nearly 30% for non-orphan genes. To further complement the expression breadth analysis, the tissue specificity index (tau) was calculated using the same 13 tissues above and confirmed that orphan gene expression was more specific to particular tissues when compared to non-orphan genes (Figure II-S15). </w:t>
      </w:r>
      <w:r w:rsidRPr="009131DB">
        <w:t xml:space="preserve">Additionally, </w:t>
      </w:r>
      <w:r>
        <w:t xml:space="preserve">expression analysis across the five </w:t>
      </w:r>
      <w:proofErr w:type="spellStart"/>
      <w:r>
        <w:t>RNAseq</w:t>
      </w:r>
      <w:proofErr w:type="spellEnd"/>
      <w:r>
        <w:t xml:space="preserve"> datasets described above determined that</w:t>
      </w:r>
      <w:r w:rsidRPr="009131DB">
        <w:t xml:space="preserve"> orphan genes exhibit</w:t>
      </w:r>
      <w:r>
        <w:t>ed</w:t>
      </w:r>
      <w:r w:rsidRPr="009131DB">
        <w:t xml:space="preserve"> </w:t>
      </w:r>
      <w:r>
        <w:t xml:space="preserve">lower </w:t>
      </w:r>
      <w:r w:rsidRPr="009131DB">
        <w:t xml:space="preserve">expression levels across all </w:t>
      </w:r>
      <w:r>
        <w:t xml:space="preserve">datasets when compared to non-orphan genes (Figure II-S16). In addition to transcriptome data, </w:t>
      </w:r>
      <w:r>
        <w:lastRenderedPageBreak/>
        <w:t>proteomics data was</w:t>
      </w:r>
      <w:r>
        <w:rPr>
          <w:b/>
          <w:bCs/>
          <w:iCs/>
        </w:rPr>
        <w:t xml:space="preserve"> </w:t>
      </w:r>
      <w:r>
        <w:t xml:space="preserve">generated from leaf tissue for six </w:t>
      </w:r>
      <w:r w:rsidRPr="00333E28">
        <w:rPr>
          <w:i/>
          <w:iCs/>
        </w:rPr>
        <w:t xml:space="preserve">P. </w:t>
      </w:r>
      <w:proofErr w:type="spellStart"/>
      <w:r w:rsidRPr="00333E28">
        <w:rPr>
          <w:i/>
          <w:iCs/>
        </w:rPr>
        <w:t>trichocarpa</w:t>
      </w:r>
      <w:proofErr w:type="spellEnd"/>
      <w:r>
        <w:t xml:space="preserve"> genotypes from the GWAS mapping panel (Figure II-3C). It was determined that 16 orphan genes, including two </w:t>
      </w:r>
      <w:r>
        <w:rPr>
          <w:i/>
          <w:iCs/>
        </w:rPr>
        <w:t xml:space="preserve">de novo </w:t>
      </w:r>
      <w:r>
        <w:t>genes, showed evidence of translation.</w:t>
      </w:r>
    </w:p>
    <w:p w14:paraId="4BACE464" w14:textId="77777777" w:rsidR="00636B5B" w:rsidRDefault="00636B5B" w:rsidP="00CE7936">
      <w:pPr>
        <w:jc w:val="both"/>
        <w:rPr>
          <w:b/>
          <w:i/>
          <w:iCs/>
        </w:rPr>
      </w:pPr>
    </w:p>
    <w:p w14:paraId="42C29C01" w14:textId="77777777" w:rsidR="00636B5B" w:rsidRDefault="00636B5B" w:rsidP="00CE7936">
      <w:pPr>
        <w:jc w:val="both"/>
        <w:rPr>
          <w:b/>
        </w:rPr>
      </w:pPr>
      <w:r w:rsidRPr="00B45C89">
        <w:rPr>
          <w:b/>
          <w:i/>
          <w:iCs/>
        </w:rPr>
        <w:t>cis</w:t>
      </w:r>
      <w:r w:rsidRPr="00B45C89">
        <w:rPr>
          <w:b/>
        </w:rPr>
        <w:t>-</w:t>
      </w:r>
      <w:proofErr w:type="spellStart"/>
      <w:r w:rsidRPr="00B45C89">
        <w:rPr>
          <w:b/>
        </w:rPr>
        <w:t>eQTL</w:t>
      </w:r>
      <w:proofErr w:type="spellEnd"/>
      <w:r w:rsidRPr="00B45C89">
        <w:rPr>
          <w:b/>
        </w:rPr>
        <w:t xml:space="preserve"> analysis of orphan genes provides insight into proximal regulatory features</w:t>
      </w:r>
    </w:p>
    <w:p w14:paraId="3EE7BDBC" w14:textId="77777777" w:rsidR="00636B5B" w:rsidRDefault="00636B5B" w:rsidP="00CE7936">
      <w:pPr>
        <w:spacing w:line="360" w:lineRule="auto"/>
        <w:jc w:val="both"/>
        <w:rPr>
          <w:b/>
        </w:rPr>
      </w:pPr>
      <w:r>
        <w:rPr>
          <w:b/>
        </w:rPr>
        <w:tab/>
      </w:r>
    </w:p>
    <w:p w14:paraId="5B66BA4D" w14:textId="77777777" w:rsidR="00636B5B" w:rsidRPr="003C1126" w:rsidRDefault="00636B5B" w:rsidP="00CE7936">
      <w:pPr>
        <w:spacing w:line="360" w:lineRule="auto"/>
        <w:ind w:firstLine="720"/>
        <w:jc w:val="both"/>
        <w:rPr>
          <w:bCs/>
        </w:rPr>
      </w:pPr>
      <w:r>
        <w:rPr>
          <w:bCs/>
        </w:rPr>
        <w:t>Even though orphan genes had relatively low expression, we observed significant expression variance across the GWAS population sufficient to facilitate expression quantitative trait loci (</w:t>
      </w:r>
      <w:proofErr w:type="spellStart"/>
      <w:r>
        <w:rPr>
          <w:bCs/>
        </w:rPr>
        <w:t>eQTL</w:t>
      </w:r>
      <w:proofErr w:type="spellEnd"/>
      <w:r>
        <w:rPr>
          <w:bCs/>
        </w:rPr>
        <w:t xml:space="preserve">) mapping (Figure II-3D, Table II-S3). To that end, </w:t>
      </w:r>
      <w:proofErr w:type="spellStart"/>
      <w:r w:rsidRPr="003F46C6">
        <w:rPr>
          <w:bCs/>
        </w:rPr>
        <w:t>eQTL</w:t>
      </w:r>
      <w:proofErr w:type="spellEnd"/>
      <w:r>
        <w:rPr>
          <w:bCs/>
        </w:rPr>
        <w:t xml:space="preserve"> mapping was performed using leaf and xylem transcriptomes to predict putative </w:t>
      </w:r>
      <w:r>
        <w:rPr>
          <w:bCs/>
          <w:i/>
          <w:iCs/>
        </w:rPr>
        <w:t xml:space="preserve">cis- </w:t>
      </w:r>
      <w:r>
        <w:rPr>
          <w:bCs/>
        </w:rPr>
        <w:t xml:space="preserve">and </w:t>
      </w:r>
      <w:r>
        <w:rPr>
          <w:bCs/>
          <w:i/>
          <w:iCs/>
        </w:rPr>
        <w:t>trans-</w:t>
      </w:r>
      <w:r>
        <w:rPr>
          <w:bCs/>
        </w:rPr>
        <w:t xml:space="preserve">regulatory elements underlying orphan gene expression. We identified putative </w:t>
      </w:r>
      <w:r w:rsidRPr="002A4C3B">
        <w:rPr>
          <w:bCs/>
          <w:i/>
          <w:iCs/>
        </w:rPr>
        <w:t>cis</w:t>
      </w:r>
      <w:r>
        <w:rPr>
          <w:bCs/>
        </w:rPr>
        <w:t xml:space="preserve"> elements for 88 orphan genes that exhibited expression variation in the GWAS mapping panel (Figure II-S17A, Table II-S6). Of these 88, 19 had predicted </w:t>
      </w:r>
      <w:r>
        <w:rPr>
          <w:bCs/>
          <w:i/>
          <w:iCs/>
        </w:rPr>
        <w:t>cis</w:t>
      </w:r>
      <w:r>
        <w:rPr>
          <w:bCs/>
        </w:rPr>
        <w:t xml:space="preserve"> elements that could be aligned to all primary and secondary syntenic regions in </w:t>
      </w:r>
      <w:r w:rsidRPr="00333E28">
        <w:rPr>
          <w:bCs/>
          <w:i/>
          <w:iCs/>
        </w:rPr>
        <w:t xml:space="preserve">P. </w:t>
      </w:r>
      <w:proofErr w:type="spellStart"/>
      <w:r w:rsidRPr="00333E28">
        <w:rPr>
          <w:bCs/>
          <w:i/>
          <w:iCs/>
        </w:rPr>
        <w:t>trichocarpa</w:t>
      </w:r>
      <w:proofErr w:type="spellEnd"/>
      <w:r>
        <w:rPr>
          <w:bCs/>
          <w:i/>
          <w:iCs/>
        </w:rPr>
        <w:t xml:space="preserve">, </w:t>
      </w:r>
      <w:r w:rsidRPr="00333E28">
        <w:rPr>
          <w:bCs/>
          <w:i/>
          <w:iCs/>
        </w:rPr>
        <w:t xml:space="preserve">P. </w:t>
      </w:r>
      <w:proofErr w:type="spellStart"/>
      <w:r w:rsidRPr="00333E28">
        <w:rPr>
          <w:bCs/>
          <w:i/>
          <w:iCs/>
        </w:rPr>
        <w:t>deltoides</w:t>
      </w:r>
      <w:proofErr w:type="spellEnd"/>
      <w:r>
        <w:rPr>
          <w:bCs/>
          <w:i/>
          <w:iCs/>
        </w:rPr>
        <w:t xml:space="preserve">, </w:t>
      </w:r>
      <w:r>
        <w:rPr>
          <w:bCs/>
        </w:rPr>
        <w:t xml:space="preserve">and </w:t>
      </w:r>
      <w:r>
        <w:rPr>
          <w:bCs/>
          <w:i/>
          <w:iCs/>
        </w:rPr>
        <w:t xml:space="preserve">S. purpurea. </w:t>
      </w:r>
      <w:r>
        <w:rPr>
          <w:bCs/>
        </w:rPr>
        <w:t xml:space="preserve">Among these 19 was a </w:t>
      </w:r>
      <w:r>
        <w:rPr>
          <w:bCs/>
          <w:i/>
          <w:iCs/>
        </w:rPr>
        <w:t>de novo</w:t>
      </w:r>
      <w:r>
        <w:rPr>
          <w:bCs/>
        </w:rPr>
        <w:t xml:space="preserve"> gene, Potri.001G400201 previously described above. The predicted </w:t>
      </w:r>
      <w:r w:rsidRPr="00616BE4">
        <w:rPr>
          <w:bCs/>
          <w:i/>
        </w:rPr>
        <w:t>cis</w:t>
      </w:r>
      <w:r>
        <w:rPr>
          <w:bCs/>
        </w:rPr>
        <w:t xml:space="preserve"> element of Potri.001G400201 occurred in a 3-kb interval upstream of the transcription start site. The flanking sequence of three SNPs were annotated as putative transcription factor binding site (TFBS) (Chr0</w:t>
      </w:r>
      <w:r w:rsidRPr="005F14E7">
        <w:rPr>
          <w:bCs/>
        </w:rPr>
        <w:t>1</w:t>
      </w:r>
      <w:r>
        <w:rPr>
          <w:bCs/>
        </w:rPr>
        <w:t>:</w:t>
      </w:r>
      <w:r w:rsidRPr="005F14E7">
        <w:rPr>
          <w:bCs/>
        </w:rPr>
        <w:t>42192609</w:t>
      </w:r>
      <w:r>
        <w:rPr>
          <w:bCs/>
        </w:rPr>
        <w:t>, Chr0</w:t>
      </w:r>
      <w:r w:rsidRPr="005F14E7">
        <w:rPr>
          <w:bCs/>
        </w:rPr>
        <w:t>1</w:t>
      </w:r>
      <w:r>
        <w:rPr>
          <w:bCs/>
        </w:rPr>
        <w:t>:</w:t>
      </w:r>
      <w:r w:rsidRPr="005F14E7">
        <w:rPr>
          <w:bCs/>
        </w:rPr>
        <w:t>42193303</w:t>
      </w:r>
      <w:r>
        <w:rPr>
          <w:bCs/>
        </w:rPr>
        <w:t>, and Chr01:</w:t>
      </w:r>
      <w:r w:rsidRPr="005F14E7">
        <w:rPr>
          <w:bCs/>
        </w:rPr>
        <w:t>42193318</w:t>
      </w:r>
      <w:r>
        <w:rPr>
          <w:bCs/>
        </w:rPr>
        <w:t xml:space="preserve">) based on motif searches. The most significant SNP in the </w:t>
      </w:r>
      <w:r>
        <w:rPr>
          <w:bCs/>
          <w:i/>
          <w:iCs/>
        </w:rPr>
        <w:t>cis</w:t>
      </w:r>
      <w:r>
        <w:rPr>
          <w:bCs/>
        </w:rPr>
        <w:t>-</w:t>
      </w:r>
      <w:proofErr w:type="spellStart"/>
      <w:r>
        <w:rPr>
          <w:bCs/>
        </w:rPr>
        <w:t>eQTL</w:t>
      </w:r>
      <w:proofErr w:type="spellEnd"/>
      <w:r>
        <w:rPr>
          <w:bCs/>
        </w:rPr>
        <w:t xml:space="preserve"> region of Potri.001G400201 was predicted to fall within a homeobox TFBS (Figure II-4A, B). Additionally, after synteny-based reconstruction of this potential TFBS, the </w:t>
      </w:r>
      <w:r w:rsidRPr="00333E28">
        <w:rPr>
          <w:bCs/>
          <w:i/>
          <w:iCs/>
        </w:rPr>
        <w:t xml:space="preserve">P. </w:t>
      </w:r>
      <w:proofErr w:type="spellStart"/>
      <w:r w:rsidRPr="00333E28">
        <w:rPr>
          <w:bCs/>
          <w:i/>
          <w:iCs/>
        </w:rPr>
        <w:t>deltoides</w:t>
      </w:r>
      <w:proofErr w:type="spellEnd"/>
      <w:r>
        <w:rPr>
          <w:bCs/>
          <w:i/>
          <w:iCs/>
        </w:rPr>
        <w:t xml:space="preserve"> </w:t>
      </w:r>
      <w:r>
        <w:rPr>
          <w:bCs/>
        </w:rPr>
        <w:t xml:space="preserve">primary syntenic chromosome was the only syntenic sequence that had the same predicted homeobox TFBS. The other syntenic sequences either did not have any predicted TFBS (secondary </w:t>
      </w:r>
      <w:r w:rsidRPr="00333E28">
        <w:rPr>
          <w:bCs/>
          <w:i/>
          <w:iCs/>
        </w:rPr>
        <w:t xml:space="preserve">P. </w:t>
      </w:r>
      <w:proofErr w:type="spellStart"/>
      <w:r w:rsidRPr="00333E28">
        <w:rPr>
          <w:bCs/>
          <w:i/>
          <w:iCs/>
        </w:rPr>
        <w:t>deltoides</w:t>
      </w:r>
      <w:proofErr w:type="spellEnd"/>
      <w:r>
        <w:rPr>
          <w:bCs/>
        </w:rPr>
        <w:t xml:space="preserve">, and primary/secondary </w:t>
      </w:r>
      <w:r>
        <w:rPr>
          <w:bCs/>
          <w:i/>
          <w:iCs/>
        </w:rPr>
        <w:t>S. purpurea)</w:t>
      </w:r>
      <w:r>
        <w:rPr>
          <w:bCs/>
        </w:rPr>
        <w:t xml:space="preserve"> or had an entirely different predicted TFBS (secondary </w:t>
      </w:r>
      <w:r w:rsidRPr="00333E28">
        <w:rPr>
          <w:bCs/>
          <w:i/>
          <w:iCs/>
        </w:rPr>
        <w:t xml:space="preserve">P. </w:t>
      </w:r>
      <w:proofErr w:type="spellStart"/>
      <w:r w:rsidRPr="00333E28">
        <w:rPr>
          <w:bCs/>
          <w:i/>
          <w:iCs/>
        </w:rPr>
        <w:t>trichocarpa</w:t>
      </w:r>
      <w:proofErr w:type="spellEnd"/>
      <w:r>
        <w:rPr>
          <w:bCs/>
        </w:rPr>
        <w:t xml:space="preserve">). </w:t>
      </w:r>
    </w:p>
    <w:p w14:paraId="0F05F01F" w14:textId="77777777" w:rsidR="00636B5B" w:rsidRDefault="00636B5B" w:rsidP="00CE7936">
      <w:pPr>
        <w:spacing w:line="360" w:lineRule="auto"/>
        <w:ind w:firstLine="720"/>
        <w:jc w:val="both"/>
        <w:rPr>
          <w:bCs/>
        </w:rPr>
      </w:pPr>
      <w:r>
        <w:rPr>
          <w:bCs/>
        </w:rPr>
        <w:t xml:space="preserve">Another </w:t>
      </w:r>
      <w:r>
        <w:rPr>
          <w:bCs/>
          <w:i/>
          <w:iCs/>
        </w:rPr>
        <w:t xml:space="preserve">de novo </w:t>
      </w:r>
      <w:r>
        <w:rPr>
          <w:bCs/>
        </w:rPr>
        <w:t xml:space="preserve">gene identified with a </w:t>
      </w:r>
      <w:r>
        <w:rPr>
          <w:bCs/>
          <w:i/>
          <w:iCs/>
        </w:rPr>
        <w:t>cis</w:t>
      </w:r>
      <w:r>
        <w:rPr>
          <w:bCs/>
        </w:rPr>
        <w:t>-</w:t>
      </w:r>
      <w:proofErr w:type="spellStart"/>
      <w:r>
        <w:rPr>
          <w:bCs/>
        </w:rPr>
        <w:t>eQTL</w:t>
      </w:r>
      <w:proofErr w:type="spellEnd"/>
      <w:r>
        <w:rPr>
          <w:bCs/>
        </w:rPr>
        <w:t xml:space="preserve"> signal was </w:t>
      </w:r>
      <w:r w:rsidRPr="00905F88">
        <w:rPr>
          <w:bCs/>
        </w:rPr>
        <w:t>Potri</w:t>
      </w:r>
      <w:r w:rsidRPr="00F07B82">
        <w:rPr>
          <w:bCs/>
        </w:rPr>
        <w:t>.002G037600</w:t>
      </w:r>
      <w:r>
        <w:rPr>
          <w:bCs/>
        </w:rPr>
        <w:t xml:space="preserve">. There were three nonsynonymous SNPs within the gene body that were associated with its expression and are likely in linkage disequilibrium with the causal variant (Figure II-4C). It is evident there was a SNP-effect on gene expression as the reference genotypes in the first two SNPs (Chr02:2428758 and Chr02:2428788) had lower expression when compared to the homozygous alternate. The opposite was true for the third SNP located in the gene body (Chr02:2428932), where the homozygous reference genotype had higher expression when compared to the homozygous alternate genotype (Figure II-4D). Collectively, we identified </w:t>
      </w:r>
      <w:r>
        <w:rPr>
          <w:bCs/>
          <w:i/>
          <w:iCs/>
        </w:rPr>
        <w:t>cis-</w:t>
      </w:r>
      <w:r>
        <w:rPr>
          <w:bCs/>
        </w:rPr>
        <w:t xml:space="preserve">acting elements for </w:t>
      </w:r>
      <w:r>
        <w:rPr>
          <w:bCs/>
        </w:rPr>
        <w:lastRenderedPageBreak/>
        <w:t xml:space="preserve">a subset of orphan genes and profiled the proximal regulatory elements of two </w:t>
      </w:r>
      <w:r>
        <w:rPr>
          <w:bCs/>
          <w:i/>
          <w:iCs/>
        </w:rPr>
        <w:t>de novo</w:t>
      </w:r>
      <w:r>
        <w:rPr>
          <w:bCs/>
        </w:rPr>
        <w:t xml:space="preserve"> evolved orphan genes. </w:t>
      </w:r>
    </w:p>
    <w:p w14:paraId="71D9880F" w14:textId="77777777" w:rsidR="00636B5B" w:rsidRDefault="00636B5B" w:rsidP="00CE7936">
      <w:pPr>
        <w:spacing w:line="360" w:lineRule="auto"/>
        <w:jc w:val="both"/>
        <w:rPr>
          <w:bCs/>
        </w:rPr>
      </w:pPr>
    </w:p>
    <w:p w14:paraId="4145AD7F" w14:textId="77777777" w:rsidR="00636B5B" w:rsidRDefault="00636B5B" w:rsidP="00CE7936">
      <w:pPr>
        <w:jc w:val="both"/>
        <w:rPr>
          <w:b/>
        </w:rPr>
      </w:pPr>
      <w:r w:rsidRPr="00B45C89">
        <w:rPr>
          <w:b/>
        </w:rPr>
        <w:t>Orpha</w:t>
      </w:r>
      <w:r w:rsidRPr="00B45C89">
        <w:rPr>
          <w:b/>
          <w:iCs/>
        </w:rPr>
        <w:t>n</w:t>
      </w:r>
      <w:r w:rsidRPr="00B45C89">
        <w:rPr>
          <w:b/>
          <w:i/>
          <w:iCs/>
        </w:rPr>
        <w:t xml:space="preserve"> </w:t>
      </w:r>
      <w:r w:rsidRPr="00B45C89">
        <w:rPr>
          <w:b/>
        </w:rPr>
        <w:t xml:space="preserve">genes are found in leaf and xylem </w:t>
      </w:r>
      <w:r w:rsidRPr="00B45C89">
        <w:rPr>
          <w:b/>
          <w:i/>
          <w:iCs/>
        </w:rPr>
        <w:t>trans</w:t>
      </w:r>
      <w:r w:rsidRPr="00B45C89">
        <w:rPr>
          <w:b/>
        </w:rPr>
        <w:t>-</w:t>
      </w:r>
      <w:proofErr w:type="spellStart"/>
      <w:r w:rsidRPr="00B45C89">
        <w:rPr>
          <w:b/>
        </w:rPr>
        <w:t>eQTL</w:t>
      </w:r>
      <w:proofErr w:type="spellEnd"/>
      <w:r w:rsidRPr="00B45C89">
        <w:rPr>
          <w:b/>
        </w:rPr>
        <w:t xml:space="preserve"> networks</w:t>
      </w:r>
    </w:p>
    <w:p w14:paraId="291DB954" w14:textId="77777777" w:rsidR="00636B5B" w:rsidRDefault="00636B5B" w:rsidP="00CE7936">
      <w:pPr>
        <w:spacing w:line="360" w:lineRule="auto"/>
        <w:ind w:firstLine="720"/>
        <w:jc w:val="both"/>
        <w:rPr>
          <w:bCs/>
        </w:rPr>
      </w:pPr>
    </w:p>
    <w:p w14:paraId="745B9D56" w14:textId="77777777" w:rsidR="00636B5B" w:rsidRPr="00886364" w:rsidRDefault="00636B5B" w:rsidP="00CE7936">
      <w:pPr>
        <w:spacing w:line="360" w:lineRule="auto"/>
        <w:ind w:firstLine="720"/>
        <w:jc w:val="both"/>
        <w:rPr>
          <w:bCs/>
        </w:rPr>
      </w:pPr>
      <w:r>
        <w:rPr>
          <w:bCs/>
        </w:rPr>
        <w:t xml:space="preserve">After </w:t>
      </w:r>
      <w:proofErr w:type="spellStart"/>
      <w:r>
        <w:rPr>
          <w:bCs/>
        </w:rPr>
        <w:t>eQTL</w:t>
      </w:r>
      <w:proofErr w:type="spellEnd"/>
      <w:r>
        <w:rPr>
          <w:bCs/>
        </w:rPr>
        <w:t xml:space="preserve"> mapping, 128 and 136 orphan genes in leaf and xylem, respectively, were shown to be putatively regulated by one or more </w:t>
      </w:r>
      <w:r w:rsidRPr="005708AF">
        <w:rPr>
          <w:bCs/>
          <w:i/>
          <w:iCs/>
        </w:rPr>
        <w:t>trans</w:t>
      </w:r>
      <w:r>
        <w:rPr>
          <w:bCs/>
        </w:rPr>
        <w:t>-</w:t>
      </w:r>
      <w:proofErr w:type="spellStart"/>
      <w:r>
        <w:rPr>
          <w:bCs/>
        </w:rPr>
        <w:t>eQTLs</w:t>
      </w:r>
      <w:proofErr w:type="spellEnd"/>
      <w:r>
        <w:rPr>
          <w:bCs/>
        </w:rPr>
        <w:t xml:space="preserve"> (Table II-S7-S9).  In these orphan gene sets, four </w:t>
      </w:r>
      <w:r>
        <w:rPr>
          <w:bCs/>
          <w:i/>
          <w:iCs/>
        </w:rPr>
        <w:t xml:space="preserve">de </w:t>
      </w:r>
      <w:r w:rsidRPr="003F4B01">
        <w:rPr>
          <w:bCs/>
        </w:rPr>
        <w:t>novo</w:t>
      </w:r>
      <w:r>
        <w:rPr>
          <w:bCs/>
        </w:rPr>
        <w:t xml:space="preserve"> genes, used as illustrative cases above, could be associated with one or more </w:t>
      </w:r>
      <w:r w:rsidRPr="003F4B01">
        <w:rPr>
          <w:bCs/>
          <w:i/>
          <w:iCs/>
        </w:rPr>
        <w:t>trans</w:t>
      </w:r>
      <w:r>
        <w:rPr>
          <w:bCs/>
        </w:rPr>
        <w:t>-</w:t>
      </w:r>
      <w:proofErr w:type="spellStart"/>
      <w:r>
        <w:rPr>
          <w:bCs/>
        </w:rPr>
        <w:t>eQTLs</w:t>
      </w:r>
      <w:proofErr w:type="spellEnd"/>
      <w:r>
        <w:rPr>
          <w:bCs/>
        </w:rPr>
        <w:t>.</w:t>
      </w:r>
      <w:r>
        <w:rPr>
          <w:bCs/>
          <w:i/>
          <w:iCs/>
        </w:rPr>
        <w:t xml:space="preserve"> </w:t>
      </w:r>
      <w:r>
        <w:rPr>
          <w:bCs/>
        </w:rPr>
        <w:t xml:space="preserve">Interestingly, some orphan genes were found to be associated with </w:t>
      </w:r>
      <w:r w:rsidRPr="00616BE4">
        <w:rPr>
          <w:bCs/>
          <w:i/>
        </w:rPr>
        <w:t>trans</w:t>
      </w:r>
      <w:r>
        <w:rPr>
          <w:bCs/>
        </w:rPr>
        <w:t>-</w:t>
      </w:r>
      <w:proofErr w:type="spellStart"/>
      <w:r>
        <w:rPr>
          <w:bCs/>
        </w:rPr>
        <w:t>eQTLs</w:t>
      </w:r>
      <w:proofErr w:type="spellEnd"/>
      <w:r>
        <w:rPr>
          <w:bCs/>
        </w:rPr>
        <w:t xml:space="preserve"> that putatively regulate multiple genes (Figure II-5A). Overall, 231 and 221</w:t>
      </w:r>
      <w:r w:rsidRPr="00962748">
        <w:rPr>
          <w:bCs/>
        </w:rPr>
        <w:t xml:space="preserve"> </w:t>
      </w:r>
      <w:r>
        <w:rPr>
          <w:bCs/>
        </w:rPr>
        <w:t xml:space="preserve">SNPs within leaf and xylem </w:t>
      </w:r>
      <w:r w:rsidRPr="00E14AE4">
        <w:rPr>
          <w:bCs/>
          <w:i/>
        </w:rPr>
        <w:t>trans</w:t>
      </w:r>
      <w:r>
        <w:rPr>
          <w:bCs/>
        </w:rPr>
        <w:t>-</w:t>
      </w:r>
      <w:proofErr w:type="spellStart"/>
      <w:r>
        <w:rPr>
          <w:bCs/>
        </w:rPr>
        <w:t>eQTLs</w:t>
      </w:r>
      <w:proofErr w:type="spellEnd"/>
      <w:r>
        <w:rPr>
          <w:bCs/>
        </w:rPr>
        <w:t xml:space="preserve">, respectively, had 2 or more orphan genes in their putative regulatory networks (Tables II-S8-S9). Some orphan genes had </w:t>
      </w:r>
      <w:r>
        <w:rPr>
          <w:bCs/>
          <w:i/>
          <w:iCs/>
        </w:rPr>
        <w:t>trans-</w:t>
      </w:r>
      <w:proofErr w:type="spellStart"/>
      <w:r>
        <w:rPr>
          <w:bCs/>
        </w:rPr>
        <w:t>eQTLs</w:t>
      </w:r>
      <w:proofErr w:type="spellEnd"/>
      <w:r>
        <w:rPr>
          <w:bCs/>
        </w:rPr>
        <w:t xml:space="preserve"> that were exclusively found in either leaf (14.5%) or xylem (16.5%) (</w:t>
      </w:r>
      <w:r w:rsidRPr="002B316C">
        <w:rPr>
          <w:bCs/>
        </w:rPr>
        <w:t>Fig</w:t>
      </w:r>
      <w:r>
        <w:rPr>
          <w:bCs/>
        </w:rPr>
        <w:t xml:space="preserve"> II-</w:t>
      </w:r>
      <w:r w:rsidRPr="002B316C">
        <w:rPr>
          <w:bCs/>
        </w:rPr>
        <w:t>S</w:t>
      </w:r>
      <w:r>
        <w:rPr>
          <w:bCs/>
        </w:rPr>
        <w:t xml:space="preserve">17B). Lastly, a small cohort (2.6%) had overlapping </w:t>
      </w:r>
      <w:proofErr w:type="spellStart"/>
      <w:r>
        <w:rPr>
          <w:bCs/>
        </w:rPr>
        <w:t>eQTL</w:t>
      </w:r>
      <w:proofErr w:type="spellEnd"/>
      <w:r>
        <w:rPr>
          <w:bCs/>
        </w:rPr>
        <w:t xml:space="preserve"> regions in xylem and leaf (Figure II-S17B, Table II-S10). From this small cohort of orphan genes, </w:t>
      </w:r>
      <w:r w:rsidRPr="00915184">
        <w:rPr>
          <w:bCs/>
        </w:rPr>
        <w:t>Potri.003G199150</w:t>
      </w:r>
      <w:r>
        <w:rPr>
          <w:bCs/>
        </w:rPr>
        <w:t xml:space="preserve"> was an example where the same </w:t>
      </w:r>
      <w:r>
        <w:rPr>
          <w:bCs/>
          <w:i/>
          <w:iCs/>
        </w:rPr>
        <w:t>trans-</w:t>
      </w:r>
      <w:proofErr w:type="spellStart"/>
      <w:r>
        <w:rPr>
          <w:bCs/>
        </w:rPr>
        <w:t>eQTL</w:t>
      </w:r>
      <w:proofErr w:type="spellEnd"/>
      <w:r>
        <w:rPr>
          <w:bCs/>
        </w:rPr>
        <w:t xml:space="preserve"> on chromosome 14 was predicted in both xylem and leaf transcriptomes (Fig II-5B). This example is also particularly interesting because of Potri.014G135300, an auxin response factor (ARF), transcription factor was present within the </w:t>
      </w:r>
      <w:r w:rsidRPr="00616BE4">
        <w:rPr>
          <w:bCs/>
          <w:i/>
        </w:rPr>
        <w:t>trans</w:t>
      </w:r>
      <w:r>
        <w:rPr>
          <w:bCs/>
        </w:rPr>
        <w:t>-</w:t>
      </w:r>
      <w:proofErr w:type="spellStart"/>
      <w:r>
        <w:rPr>
          <w:bCs/>
        </w:rPr>
        <w:t>eQTL</w:t>
      </w:r>
      <w:proofErr w:type="spellEnd"/>
      <w:r>
        <w:rPr>
          <w:bCs/>
        </w:rPr>
        <w:t xml:space="preserve"> interval. The closest homolog to Potri.014G135300 is ARF2 in </w:t>
      </w:r>
      <w:r>
        <w:rPr>
          <w:bCs/>
          <w:i/>
          <w:iCs/>
        </w:rPr>
        <w:t>Arabidopsis</w:t>
      </w:r>
      <w:r>
        <w:rPr>
          <w:bCs/>
        </w:rPr>
        <w:t xml:space="preserve"> and has been shown to be a suppressor of auxin signaling and regulate many important developmental processes (Figure II-5D) </w:t>
      </w:r>
      <w:r>
        <w:rPr>
          <w:bCs/>
        </w:rPr>
        <w:fldChar w:fldCharType="begin" w:fldLock="1"/>
      </w:r>
      <w:r>
        <w:rPr>
          <w:bCs/>
        </w:rPr>
        <w:instrText>ADDIN CSL_CITATION {"citationItems":[{"id":"ITEM-1","itemData":{"DOI":"10.1093/jxb/erq010","ISSN":"00220957","abstract":"Auxin regulates a variety of physiological and developmental processes in plants. Although auxin acts as a suppressor of leaf senescence, its exact role in this respect has not been clearly defined, aside from circumstantial evidence. It was found here that ARF2 functions in the auxin-mediated control of Arabidopsis leaf longevity, as discovered by screening EMS mutant pools for a delayed leaf senescence phenotype. Two allelic mutations, ore14-1 and 14-2, caused a highly significant delay in all senescence parameters examined, including chlorophyll content, the photochemical efficiency of photosystem II, membrane ion leakage, and the expression of senescence-associated genes. A delay of senescence symptoms was also observed under various senescence-accelerating conditions, where detached leaves were treated with darkness, phytohormones, or oxidative stress. These results indicate that the gene defined by these mutations might be a key regulatory genetic component controlling functional leaf senescence. Map-based cloning of ORE14 revealed that it encodes ARF2, a member of the auxin response factor (ARF) protein family, which modulates early auxin-induced gene expression in plants. The ore14/arf2 mutation also conferred an increased sensitivity to exogenous auxin in hypocotyl growth inhibition, thereby demonstrating that ARF2 is a repressor of auxin signalling. Therefore, the ore14/arf2 lesion appears to cause reduced repression of auxin signalling with increased auxin sensitivity, leading to delayed senescence. Altogether, our data suggest that ARF2 positively regulates leaf senescence in Arabidopsis.","author":[{"dropping-particle":"","family":"Lim","given":"Pyung Ok","non-dropping-particle":"","parse-names":false,"suffix":""},{"dropping-particle":"","family":"Lee","given":"In Chul","non-dropping-particle":"","parse-names":false,"suffix":""},{"dropping-particle":"","family":"Kim","given":"Junyoung","non-dropping-particle":"","parse-names":false,"suffix":""},{"dropping-particle":"","family":"Kim","given":"Hyo Jung","non-dropping-particle":"","parse-names":false,"suffix":""},{"dropping-particle":"","family":"Ryu","given":"Jong Sang","non-dropping-particle":"","parse-names":false,"suffix":""},{"dropping-particle":"","family":"Woo","given":"Hye Ryun","non-dropping-particle":"","parse-names":false,"suffix":""},{"dropping-particle":"","family":"Nam","given":"Hong Gil","non-dropping-particle":"","parse-names":false,"suffix":""}],"container-title":"Journal of Experimental Botany","id":"ITEM-1","issue":"5","issued":{"date-parts":[["2010"]]},"page":"1419-1430","title":"Auxin response factor 2 (ARF2) plays a major role in regulating auxin-mediated leaf longevity","type":"article-journal","volume":"61"},"uris":["http://www.mendeley.com/documents/?uuid=15a3a53b-42a2-4a99-84fe-ee32b5674387"]}],"mendeley":{"formattedCitation":"(Lim et al., 2010)","plainTextFormattedCitation":"(Lim et al., 2010)","previouslyFormattedCitation":"(Lim et al. 2010)"},"properties":{"noteIndex":0},"schema":"https://github.com/citation-style-language/schema/raw/master/csl-citation.json"}</w:instrText>
      </w:r>
      <w:r>
        <w:rPr>
          <w:bCs/>
        </w:rPr>
        <w:fldChar w:fldCharType="separate"/>
      </w:r>
      <w:r w:rsidRPr="00CE7936">
        <w:rPr>
          <w:bCs/>
          <w:noProof/>
        </w:rPr>
        <w:t>(Lim et al., 2010)</w:t>
      </w:r>
      <w:r>
        <w:rPr>
          <w:bCs/>
        </w:rPr>
        <w:fldChar w:fldCharType="end"/>
      </w:r>
      <w:r>
        <w:rPr>
          <w:bCs/>
        </w:rPr>
        <w:t xml:space="preserve">. </w:t>
      </w:r>
    </w:p>
    <w:p w14:paraId="79AFD391" w14:textId="77777777" w:rsidR="00636B5B" w:rsidRDefault="00636B5B" w:rsidP="00CE7936">
      <w:pPr>
        <w:spacing w:line="360" w:lineRule="auto"/>
        <w:ind w:firstLine="720"/>
        <w:jc w:val="both"/>
        <w:rPr>
          <w:bCs/>
        </w:rPr>
      </w:pPr>
      <w:r>
        <w:rPr>
          <w:bCs/>
        </w:rPr>
        <w:t xml:space="preserve">37 and 47 </w:t>
      </w:r>
      <w:r w:rsidRPr="00A911B7">
        <w:rPr>
          <w:bCs/>
          <w:i/>
          <w:iCs/>
        </w:rPr>
        <w:t>trans</w:t>
      </w:r>
      <w:r>
        <w:rPr>
          <w:bCs/>
        </w:rPr>
        <w:t>-</w:t>
      </w:r>
      <w:proofErr w:type="spellStart"/>
      <w:r>
        <w:rPr>
          <w:bCs/>
        </w:rPr>
        <w:t>eQTL</w:t>
      </w:r>
      <w:proofErr w:type="spellEnd"/>
      <w:r>
        <w:rPr>
          <w:bCs/>
        </w:rPr>
        <w:t xml:space="preserve"> intervals that were associated with expression of more than 15 genes with at least 1 orphan gene in leaf and xylem, respectively, allowing for functional enrichment analyses using both the GO biological process and molecular function ontology (Figure II-S18-S19). Of those co-regulated networks with significant enrichment, some shared biological processes across leaf and xylem, were apparent. Most notably, those included homeostasis, cell wall related processes, nucleoside and glycosyl metabolic process, response to wounding and stress, protein modification, ubiquitination, methylation, and alkylation functions. The corresponding GO molecular function processes include calcium ion binding, </w:t>
      </w:r>
      <w:proofErr w:type="spellStart"/>
      <w:r>
        <w:rPr>
          <w:bCs/>
        </w:rPr>
        <w:t>pectinesterase</w:t>
      </w:r>
      <w:proofErr w:type="spellEnd"/>
      <w:r>
        <w:rPr>
          <w:bCs/>
        </w:rPr>
        <w:t xml:space="preserve"> activity, endoribonuclease activity, enzyme inhibitor activity, serine-type endopeptidase activity, and ubiquitin-protein transferase activity. </w:t>
      </w:r>
    </w:p>
    <w:p w14:paraId="69544E18" w14:textId="77777777" w:rsidR="00636B5B" w:rsidRPr="00CA4C66" w:rsidRDefault="00636B5B" w:rsidP="00CE7936">
      <w:pPr>
        <w:spacing w:line="360" w:lineRule="auto"/>
        <w:ind w:firstLine="720"/>
        <w:jc w:val="both"/>
        <w:rPr>
          <w:bCs/>
        </w:rPr>
      </w:pPr>
      <w:r>
        <w:rPr>
          <w:bCs/>
        </w:rPr>
        <w:lastRenderedPageBreak/>
        <w:t xml:space="preserve">It was evident from a comparative GO enrichment in two tissues, that orphan genes were present in </w:t>
      </w:r>
      <w:r>
        <w:rPr>
          <w:bCs/>
          <w:i/>
          <w:iCs/>
        </w:rPr>
        <w:t>trans</w:t>
      </w:r>
      <w:r>
        <w:rPr>
          <w:bCs/>
        </w:rPr>
        <w:t>-</w:t>
      </w:r>
      <w:proofErr w:type="spellStart"/>
      <w:r>
        <w:rPr>
          <w:bCs/>
        </w:rPr>
        <w:t>eQTL</w:t>
      </w:r>
      <w:proofErr w:type="spellEnd"/>
      <w:r>
        <w:rPr>
          <w:bCs/>
        </w:rPr>
        <w:t xml:space="preserve">-regulated networks that appear responsive to environmental stresses, although they were also present in networks representing diverse functions. One example of response to biotic stress in leaf was evident in three different co-regulated networks targeted by </w:t>
      </w:r>
      <w:r>
        <w:rPr>
          <w:bCs/>
          <w:i/>
          <w:iCs/>
        </w:rPr>
        <w:t>trans-</w:t>
      </w:r>
      <w:proofErr w:type="spellStart"/>
      <w:r>
        <w:rPr>
          <w:bCs/>
        </w:rPr>
        <w:t>eQTLs</w:t>
      </w:r>
      <w:proofErr w:type="spellEnd"/>
      <w:r>
        <w:rPr>
          <w:bCs/>
        </w:rPr>
        <w:t xml:space="preserve"> (Chr17:5204928-5223212, Chr18:6692837-6751087, and scaffold_3123:90-159). These</w:t>
      </w:r>
      <w:r w:rsidRPr="00951AB8">
        <w:rPr>
          <w:bCs/>
          <w:i/>
        </w:rPr>
        <w:t xml:space="preserve"> trans</w:t>
      </w:r>
      <w:r>
        <w:rPr>
          <w:bCs/>
        </w:rPr>
        <w:t>-</w:t>
      </w:r>
      <w:proofErr w:type="spellStart"/>
      <w:r>
        <w:rPr>
          <w:bCs/>
        </w:rPr>
        <w:t>eQTL</w:t>
      </w:r>
      <w:proofErr w:type="spellEnd"/>
      <w:r>
        <w:rPr>
          <w:bCs/>
        </w:rPr>
        <w:t xml:space="preserve"> intervals shared response to wounding as one of their enriched biological processes (Figure II-5C). The same co-regulated networks also had serine-type endopeptidase inhibitor activity as their most significantly enriched molecular function. The overrepresentation of serine-type endopeptidases likely represents an induced defense mechanism against pathogen proteases </w:t>
      </w:r>
      <w:r>
        <w:rPr>
          <w:bCs/>
        </w:rPr>
        <w:fldChar w:fldCharType="begin" w:fldLock="1"/>
      </w:r>
      <w:r>
        <w:rPr>
          <w:bCs/>
        </w:rPr>
        <w:instrText>ADDIN CSL_CITATION {"citationItems":[{"id":"ITEM-1","itemData":{"DOI":"10.1186/1471-2164-13-369","ISSN":"14712164","abstract":"Background: Fusarium head blight (FHB) caused by Fusarium species like F. graminearum is a devastating disease of wheat (Triticum aestivum) worldwide. Mycotoxins such as deoxynivalenol produced by the fungus affect plant and animal health, and cause significant reductions of grain yield and quality. Resistant varieties are the only effective way to control this disease, but the molecular events leading to FHB resistance are still poorly understood. Transcriptional profiling was conducted for the winter wheat cultivars Dream (moderately resistant) and Lynx (susceptible). The gene expressions at 32 and 72 h after inoculation with Fusarium were used to trace possible defence mechanisms and associated genes. A comparative qPCR was carried out for selected genes to analyse the respective expression patterns in the resistant cultivars Dream and Sumai 3 (Chinese spring wheat).Results: Among 2,169 differentially expressed genes, two putative main defence mechanisms were found in the FHB-resistant Dream cultivar. Both are defined base on their specific mode of resistance. A non-specific mechanism was based on several defence genes probably induced by jasmonate and ethylene signalling, including lipid-transfer protein, thionin, defensin and GDSL-like lipase genes. Additionally, defence-related genes encoding jasmonate-regulated proteins were up-regulated in response to FHB. Another mechanism based on the targeted suppression of essential Fusarium virulence factors comprising proteases and mycotoxins was found to be an essential, induced defence of general relevance in wheat. Moreover, similar inductions upon fungal infection were frequently observed among FHB-responsive genes of both mechanisms in the cultivars Dream and Sumai 3.Conclusions: Especially ABC transporter, UDP-glucosyltransferase, protease and protease inhibitor genes associated with the defence mechanism against fungal virulence factors are apparently active in different resistant genetic backgrounds, according to reports on other wheat cultivars and barley. This was further supported in our qPCR experiments on seven genes originating from this mechanism which revealed similar activities in the resistant cultivars Dream and Sumai 3. Finally, the combination of early-stage and steady-state induction was associated with resistance, while transcript induction generally occurred later and temporarily in the susceptible cultivars. The respective mechanisms are attractive for advanced studies aiming at ne…","author":[{"dropping-particle":"","family":"Gottwald","given":"Sven","non-dropping-particle":"","parse-names":false,"suffix":""},{"dropping-particle":"","family":"Samans","given":"Birgit","non-dropping-particle":"","parse-names":false,"suffix":""},{"dropping-particle":"","family":"Lück","given":"Stefanie","non-dropping-particle":"","parse-names":false,"suffix":""},{"dropping-particle":"","family":"Friedt","given":"Wolfgang","non-dropping-particle":"","parse-names":false,"suffix":""}],"container-title":"BMC Genomics","id":"ITEM-1","issue":"1","issued":{"date-parts":[["2012"]]},"title":"Jasmonate and ethylene dependent defence gene expression and suppression of fungal virulence factors: Two essential mechanisms of Fusarium head blight resistance in wheat?","type":"article-journal","volume":"13"},"uris":["http://www.mendeley.com/documents/?uuid=685b2522-f11d-4411-bcf4-afa7171ddaf3"]}],"mendeley":{"formattedCitation":"(Gottwald, Samans, Lück, &amp; Friedt, 2012)","manualFormatting":"(Gottwald et al., 2012)","plainTextFormattedCitation":"(Gottwald, Samans, Lück, &amp; Friedt, 2012)","previouslyFormattedCitation":"(Gottwald et al. 2012)"},"properties":{"noteIndex":0},"schema":"https://github.com/citation-style-language/schema/raw/master/csl-citation.json"}</w:instrText>
      </w:r>
      <w:r>
        <w:rPr>
          <w:bCs/>
        </w:rPr>
        <w:fldChar w:fldCharType="separate"/>
      </w:r>
      <w:r w:rsidRPr="00A116F8">
        <w:rPr>
          <w:bCs/>
          <w:noProof/>
        </w:rPr>
        <w:t>(Gottwald</w:t>
      </w:r>
      <w:r>
        <w:rPr>
          <w:bCs/>
          <w:noProof/>
        </w:rPr>
        <w:t xml:space="preserve"> et al.</w:t>
      </w:r>
      <w:r w:rsidRPr="00A116F8">
        <w:rPr>
          <w:bCs/>
          <w:noProof/>
        </w:rPr>
        <w:t>, 2012)</w:t>
      </w:r>
      <w:r>
        <w:rPr>
          <w:bCs/>
        </w:rPr>
        <w:fldChar w:fldCharType="end"/>
      </w:r>
      <w:r>
        <w:rPr>
          <w:bCs/>
        </w:rPr>
        <w:t xml:space="preserve">. The </w:t>
      </w:r>
      <w:proofErr w:type="spellStart"/>
      <w:r>
        <w:rPr>
          <w:bCs/>
        </w:rPr>
        <w:t>eQTL</w:t>
      </w:r>
      <w:proofErr w:type="spellEnd"/>
      <w:r>
        <w:rPr>
          <w:bCs/>
        </w:rPr>
        <w:t xml:space="preserve"> interval on Chr17 had a potential regulator, (</w:t>
      </w:r>
      <w:r w:rsidRPr="002C744E">
        <w:rPr>
          <w:bCs/>
        </w:rPr>
        <w:t>Potri.017G057500</w:t>
      </w:r>
      <w:r>
        <w:rPr>
          <w:bCs/>
        </w:rPr>
        <w:t xml:space="preserve">) that is an alkaline ceramidase and has been shown to play an important role in defense response in </w:t>
      </w:r>
      <w:r>
        <w:rPr>
          <w:bCs/>
          <w:i/>
          <w:iCs/>
        </w:rPr>
        <w:t xml:space="preserve">Arabidopsis </w:t>
      </w:r>
      <w:r>
        <w:rPr>
          <w:bCs/>
        </w:rPr>
        <w:fldChar w:fldCharType="begin" w:fldLock="1"/>
      </w:r>
      <w:r>
        <w:rPr>
          <w:bCs/>
        </w:rPr>
        <w:instrText>ADDIN CSL_CITATION {"citationItems":[{"id":"ITEM-1","itemData":{"DOI":"10.1111/tpj.12769","ISSN":"1365313X","abstract":"Ceramidases hydrolyze ceramide into sphingosine and fatty acids. In mammals, ceramidases function as key regulators of sphingolipid homeostasis, but little is known about their roles in plants. Here we characterize the Arabidopsis ceramidase AtACER, a homolog of human alkaline ceramidases. The acer-1 T-DNA insertion mutant has pleiotropic phenotypes, including reduction of leaf size, dwarfing and an irregular wax layer, compared with wild-type plants. Quantitative sphingolipid profiling showed that acer-1 mutants and the artificial microRNA-mediated silenced line amiR-ACER-1 have high ceramide levels and decreased long chain bases. AtACER localizes predominantly to the endoplasmic reticulum, and partially to the Golgi complex. Furthermore, we found that acer-1 mutants and AtACER RNAi lines showed increased sensitivity to salt stress, and lines overexpressing AtACER showed increased tolerance to salt stress. Reduction of AtACER also increased plant susceptibility to Pseudomonas syringae. Our data highlight the key biological functions of ceramidases in biotic and abiotic stresses in plants. Significance StatementWe cloned and functionally analyzed AtACER, an Arabidopsis thaliana alkaline ceramidase gene. Our results demonstrate that AtACER affects sphingolipid homeostasis and plays important roles in plant development and stress responses, including enhanced sensitivity to salts and susceptibility to pathogen infection.","author":[{"dropping-particle":"","family":"Wu","given":"Jian Xin","non-dropping-particle":"","parse-names":false,"suffix":""},{"dropping-particle":"","family":"Li","given":"Jian","non-dropping-particle":"","parse-names":false,"suffix":""},{"dropping-particle":"","family":"Liu","given":"Zhe","non-dropping-particle":"","parse-names":false,"suffix":""},{"dropping-particle":"","family":"Yin","given":"Jian","non-dropping-particle":"","parse-names":false,"suffix":""},{"dropping-particle":"","family":"Chang","given":"Zhen Yi","non-dropping-particle":"","parse-names":false,"suffix":""},{"dropping-particle":"","family":"Rong","given":"Chan","non-dropping-particle":"","parse-names":false,"suffix":""},{"dropping-particle":"","family":"Wu","given":"Jia Li","non-dropping-particle":"","parse-names":false,"suffix":""},{"dropping-particle":"","family":"Bi","given":"Fang Cheng","non-dropping-particle":"","parse-names":false,"suffix":""},{"dropping-particle":"","family":"Yao","given":"Nan","non-dropping-particle":"","parse-names":false,"suffix":""}],"container-title":"Plant Journal","id":"ITEM-1","issue":"5","issued":{"date-parts":[["2015"]]},"page":"767-780","title":"The Arabidopsis ceramidase AtACER functions in disease resistance and salt tolerance","type":"article-journal","volume":"81"},"uris":["http://www.mendeley.com/documents/?uuid=4c2b6c47-8700-4aa7-86bf-dd89fbb20d56"]}],"mendeley":{"formattedCitation":"(Wu et al., 2015)","plainTextFormattedCitation":"(Wu et al., 2015)","previouslyFormattedCitation":"(Wu et al. 2015)"},"properties":{"noteIndex":0},"schema":"https://github.com/citation-style-language/schema/raw/master/csl-citation.json"}</w:instrText>
      </w:r>
      <w:r>
        <w:rPr>
          <w:bCs/>
        </w:rPr>
        <w:fldChar w:fldCharType="separate"/>
      </w:r>
      <w:r w:rsidRPr="00CE7936">
        <w:rPr>
          <w:bCs/>
          <w:noProof/>
        </w:rPr>
        <w:t>(Wu et al., 2015)</w:t>
      </w:r>
      <w:r>
        <w:rPr>
          <w:bCs/>
        </w:rPr>
        <w:fldChar w:fldCharType="end"/>
      </w:r>
      <w:r>
        <w:rPr>
          <w:bCs/>
        </w:rPr>
        <w:t>. The remaining two intervals were located in gene deserts and therefore putative regulator assignment was not possible during this study.</w:t>
      </w:r>
    </w:p>
    <w:p w14:paraId="6244E8A0" w14:textId="77777777" w:rsidR="00636B5B" w:rsidRDefault="00636B5B" w:rsidP="00CE7936">
      <w:pPr>
        <w:widowControl w:val="0"/>
        <w:autoSpaceDE w:val="0"/>
        <w:autoSpaceDN w:val="0"/>
        <w:adjustRightInd w:val="0"/>
        <w:spacing w:line="360" w:lineRule="auto"/>
        <w:rPr>
          <w:b/>
          <w:bCs/>
          <w:iCs/>
        </w:rPr>
      </w:pPr>
    </w:p>
    <w:p w14:paraId="089D3046" w14:textId="77777777" w:rsidR="00636B5B" w:rsidRDefault="00636B5B" w:rsidP="00CE7936">
      <w:pPr>
        <w:widowControl w:val="0"/>
        <w:autoSpaceDE w:val="0"/>
        <w:autoSpaceDN w:val="0"/>
        <w:adjustRightInd w:val="0"/>
        <w:jc w:val="center"/>
        <w:rPr>
          <w:b/>
          <w:bCs/>
          <w:sz w:val="28"/>
          <w:szCs w:val="26"/>
        </w:rPr>
      </w:pPr>
      <w:r>
        <w:rPr>
          <w:b/>
          <w:bCs/>
          <w:sz w:val="28"/>
          <w:szCs w:val="26"/>
        </w:rPr>
        <w:t>Discussion and Conclusion</w:t>
      </w:r>
    </w:p>
    <w:p w14:paraId="1151A15C" w14:textId="77777777" w:rsidR="00636B5B" w:rsidRDefault="00636B5B" w:rsidP="00CE7936">
      <w:pPr>
        <w:widowControl w:val="0"/>
        <w:autoSpaceDE w:val="0"/>
        <w:autoSpaceDN w:val="0"/>
        <w:adjustRightInd w:val="0"/>
        <w:jc w:val="center"/>
        <w:rPr>
          <w:b/>
          <w:bCs/>
          <w:sz w:val="28"/>
          <w:szCs w:val="26"/>
        </w:rPr>
      </w:pPr>
    </w:p>
    <w:p w14:paraId="03A7F52E" w14:textId="77777777" w:rsidR="00636B5B" w:rsidRDefault="00636B5B" w:rsidP="00CE7936">
      <w:pPr>
        <w:spacing w:line="360" w:lineRule="auto"/>
        <w:ind w:firstLine="720"/>
        <w:jc w:val="both"/>
      </w:pPr>
      <w:r>
        <w:t xml:space="preserve">In this work, we </w:t>
      </w:r>
      <w:r w:rsidRPr="00BE3F54">
        <w:t>identif</w:t>
      </w:r>
      <w:r>
        <w:t xml:space="preserve">ied 13 orphan genes which showed evidence of </w:t>
      </w:r>
      <w:r>
        <w:rPr>
          <w:i/>
          <w:iCs/>
        </w:rPr>
        <w:t>de novo</w:t>
      </w:r>
      <w:r>
        <w:t xml:space="preserve"> evolution. All 13 of these putative </w:t>
      </w:r>
      <w:r>
        <w:rPr>
          <w:i/>
          <w:iCs/>
        </w:rPr>
        <w:t xml:space="preserve">de novo </w:t>
      </w:r>
      <w:r>
        <w:t xml:space="preserve">genes were expressed and two showed evidence of translation. Seven of the </w:t>
      </w:r>
      <w:r>
        <w:rPr>
          <w:i/>
          <w:iCs/>
        </w:rPr>
        <w:t xml:space="preserve">de novo </w:t>
      </w:r>
      <w:r>
        <w:t xml:space="preserve">genes were located on the antisense strand of an existing gene which is consistent with other studies where antisense </w:t>
      </w:r>
      <w:r>
        <w:rPr>
          <w:i/>
          <w:iCs/>
        </w:rPr>
        <w:t xml:space="preserve">de novo </w:t>
      </w:r>
      <w:r>
        <w:t xml:space="preserve">transcripts were identified and found to be functional </w:t>
      </w:r>
      <w:r>
        <w:fldChar w:fldCharType="begin" w:fldLock="1"/>
      </w:r>
      <w:r>
        <w:instrText>ADDIN CSL_CITATION {"citationItems":[{"id":"ITEM-1","itemData":{"DOI":"10.1038/s41467-021-20911-3","ISSN":"20411723","PMID":"33504782","abstract":"De novo gene origination has been recently established as an important mechanism for the formation of new genes. In organisms with a large genome, intergenic and intronic regions provide plenty of raw material for new transcriptional events to occur, but little is know about how de novo transcripts originate in more densely-packed genomes. Here, we identify 213 de novo originated transcripts in Saccharomyces cerevisiae using deep transcriptomics and genomic synteny information from multiple yeast species grown in two different conditions. We find that about half of the de novo transcripts are expressed from regions which already harbor other genes in the opposite orientation; these transcripts show similar expression changes in response to stress as their overlapping counterparts, and some appear to translate small proteins. Thus, a large fraction of de novo genes in yeast are likely to co-evolve with already existing genes.","author":[{"dropping-particle":"","family":"Blevins","given":"William R.","non-dropping-particle":"","parse-names":false,"suffix":""},{"dropping-particle":"","family":"Ruiz-Orera","given":"Jorge","non-dropping-particle":"","parse-names":false,"suffix":""},{"dropping-particle":"","family":"Messeguer","given":"Xavier","non-dropping-particle":"","parse-names":false,"suffix":""},{"dropping-particle":"","family":"Blasco-Moreno","given":"Bernat","non-dropping-particle":"","parse-names":false,"suffix":""},{"dropping-particle":"","family":"Villanueva-Cañas","given":"José Luis","non-dropping-particle":"","parse-names":false,"suffix":""},{"dropping-particle":"","family":"Espinar","given":"Lorena","non-dropping-particle":"","parse-names":false,"suffix":""},{"dropping-particle":"","family":"Díez","given":"Juana","non-dropping-particle":"","parse-names":false,"suffix":""},{"dropping-particle":"","family":"Carey","given":"Lucas B.","non-dropping-particle":"","parse-names":false,"suffix":""},{"dropping-particle":"","family":"Albà","given":"M. Mar","non-dropping-particle":"","parse-names":false,"suffix":""}],"container-title":"Nature Communications","id":"ITEM-1","issue":"1","issued":{"date-parts":[["2021"]]},"page":"1-13","publisher":"Springer US","title":"Uncovering de novo gene birth in yeast using deep transcriptomics","type":"article-journal","volume":"12"},"uris":["http://www.mendeley.com/documents/?uuid=51904499-8f7d-4a2f-8ebb-33137b4eb1b4"]},{"id":"ITEM-2","itemData":{"DOI":"10.3389/fmolb.2020.00187","ISSN":"2296889X","abstract":"Many prokaryotic RNAs are transcribed from loci outside of annotated protein coding genes. Across bacterial species hundreds of short open reading frames antisense to annotated genes show evidence of both transcription and translation, for instance in ribosome profiling data. Determining the functional fraction of these protein products awaits further research, including insights from studies of molecular interactions and detailed evolutionary analysis. There are multiple lines of evidence, however, that many of these newly discovered proteins are of use to the organism. Condition-specific phenotypes have been characterized for a few. These proteins should be added to genome annotations, and the methods for predicting them standardized. Evolutionary analysis of these typically young sequences also may provide important insights into gene evolution. This research should be prioritized for its exciting potential to uncover large numbers of novel proteins with extremely diverse potential practical uses, including applications in synthetic biology and responding to pathogens.","author":[{"dropping-particle":"","family":"Ardern","given":"Zachary","non-dropping-particle":"","parse-names":false,"suffix":""},{"dropping-particle":"","family":"Neuhaus","given":"Klaus","non-dropping-particle":"","parse-names":false,"suffix":""},{"dropping-particle":"","family":"Scherer","given":"Siegfried","non-dropping-particle":"","parse-names":false,"suffix":""}],"container-title":"Frontiers in Molecular Biosciences","id":"ITEM-2","issue":"August","issued":{"date-parts":[["2020"]]},"page":"1-12","title":"Are Antisense Proteins in Prokaryotes Functional?","type":"article-journal","volume":"7"},"uris":["http://www.mendeley.com/documents/?uuid=996d5d85-0072-4392-bc4f-cf41ffa7bb9e"]}],"mendeley":{"formattedCitation":"(Ardern, Neuhaus, &amp; Scherer, 2020; Blevins et al., 2021)","plainTextFormattedCitation":"(Ardern, Neuhaus, &amp; Scherer, 2020; Blevins et al., 2021)","previouslyFormattedCitation":"(Blevins et al. 2021; Ardern et al. 2020)"},"properties":{"noteIndex":0},"schema":"https://github.com/citation-style-language/schema/raw/master/csl-citation.json"}</w:instrText>
      </w:r>
      <w:r>
        <w:fldChar w:fldCharType="separate"/>
      </w:r>
      <w:r w:rsidRPr="00CE7936">
        <w:rPr>
          <w:noProof/>
        </w:rPr>
        <w:t>(Ardern, Neuhaus, &amp; Scherer, 2020; Blevins et al., 2021)</w:t>
      </w:r>
      <w:r>
        <w:fldChar w:fldCharType="end"/>
      </w:r>
      <w:r>
        <w:t xml:space="preserve">. Additionally, 10 may be under positive or balancing selection, two were under purifying selection, and one was under neutral selection. Based on a recent study of 13 genomes of rice, gene age is positively correlated with the degree of purifying selection, which is also apparent in our results </w:t>
      </w:r>
      <w:r>
        <w:fldChar w:fldCharType="begin" w:fldLock="1"/>
      </w:r>
      <w:r>
        <w:instrText>ADDIN CSL_CITATION {"citationItems":[{"id":"ITEM-1","itemData":{"DOI":"10.1038/s41588-018-0040-0","ISSN":"15461718","PMID":"29358651","abstract":"The genus Oryza is a model system for the study of molecular evolution over time scales ranging from a few thousand to 15 million years. Using 13 reference genomes spanning the Oryza species tree, we show that despite few large-scale chromosomal rearrangements rapid species diversification is mirrored by lineage-specific emergence and turnover of many novel elements, including transposons, and potential new coding and noncoding genes. Our study resolves controversial areas of the Oryza phylogeny, showing a complex history of introgression among different chromosomes in the young 'AA' subclade containing the two domesticated species. This study highlights the prevalence of functionally coupled disease resistance genes and identifies many new haplotypes of potential use for future crop protection. Finally, this study marks a milestone in modern rice research with the release of a complete long-read assembly of IR 8 'Miracle Rice', which relieved famine and drove the Green Revolution in Asia 50 years ago.","author":[{"dropping-particle":"","family":"Stein","given":"Joshua C.","non-dropping-particle":"","parse-names":false,"suffix":""},{"dropping-particle":"","family":"Yu","given":"Yeisoo","non-dropping-particle":"","parse-names":false,"suffix":""},{"dropping-particle":"","family":"Copetti","given":"Dario","non-dropping-particle":"","parse-names":false,"suffix":""},{"dropping-particle":"","family":"Zwickl","given":"Derrick J.","non-dropping-particle":"","parse-names":false,"suffix":""},{"dropping-particle":"","family":"Zhang","given":"Li","non-dropping-particle":"","parse-names":false,"suffix":""},{"dropping-particle":"","family":"Zhang","given":"Chengjun","non-dropping-particle":"","parse-names":false,"suffix":""},{"dropping-particle":"","family":"Chougule","given":"Kapeel","non-dropping-particle":"","parse-names":false,"suffix":""},{"dropping-particle":"","family":"Gao","given":"Dongying","non-dropping-particle":"","parse-names":false,"suffix":""},{"dropping-particle":"","family":"Iwata","given":"Aiko","non-dropping-particle":"","parse-names":false,"suffix":""},{"dropping-particle":"","family":"Goicoechea","given":"Jose Luis","non-dropping-particle":"","parse-names":false,"suffix":""},{"dropping-particle":"","family":"Wei","given":"Sharon","non-dropping-particle":"","parse-names":false,"suffix":""},{"dropping-particle":"","family":"Wang","given":"Jun","non-dropping-particle":"","parse-names":false,"suffix":""},{"dropping-particle":"","family":"Liao","given":"Yi","non-dropping-particle":"","parse-names":false,"suffix":""},{"dropping-particle":"","family":"Wang","given":"Muhua","non-dropping-particle":"","parse-names":false,"suffix":""},{"dropping-particle":"","family":"Jacquemin","given":"Julie","non-dropping-particle":"","parse-names":false,"suffix":""},{"dropping-particle":"","family":"Becker","given":"Claude","non-dropping-particle":"","parse-names":false,"suffix":""},{"dropping-particle":"","family":"Kudrna","given":"Dave","non-dropping-particle":"","parse-names":false,"suffix":""},{"dropping-particle":"","family":"Zhang","given":"Jianwei","non-dropping-particle":"","parse-names":false,"suffix":""},{"dropping-particle":"","family":"Londono","given":"Carlos E.M.","non-dropping-particle":"","parse-names":false,"suffix":""},{"dropping-particle":"","family":"Song","given":"Xiang","non-dropping-particle":"","parse-names":false,"suffix":""},{"dropping-particle":"","family":"Lee","given":"Seunghee","non-dropping-particle":"","parse-names":false,"suffix":""},{"dropping-particle":"","family":"Sanchez","given":"Paul","non-dropping-particle":"","parse-names":false,"suffix":""},{"dropping-particle":"","family":"Zuccolo","given":"Andrea","non-dropping-particle":"","parse-names":false,"suffix":""},{"dropping-particle":"","family":"Ammiraju","given":"Jetty S.S.","non-dropping-particle":"","parse-names":false,"suffix":""},{"dropping-particle":"","family":"Talag","given":"Jayson","non-dropping-particle":"","parse-names":false,"suffix":""},{"dropping-particle":"","family":"Danowitz","given":"Ann","non-dropping-particle":"","parse-names":false,"suffix":""},{"dropping-particle":"","family":"Rivera","given":"Luis F.","non-dropping-particle":"","parse-names":false,"suffix":""},{"dropping-particle":"","family":"Gschwend","given":"Andrea R.","non-dropping-particle":"","parse-names":false,"suffix":""},{"dropping-particle":"","family":"Noutsos","given":"Christos","non-dropping-particle":"","parse-names":false,"suffix":""},{"dropping-particle":"","family":"Wu","given":"Cheng Chieh","non-dropping-particle":"","parse-names":false,"suffix":""},{"dropping-particle":"","family":"Kao","given":"Shu Min","non-dropping-particle":"","parse-names":false,"suffix":""},{"dropping-particle":"","family":"Zeng","given":"Jhih Wun","non-dropping-particle":"","parse-names":false,"suffix":""},{"dropping-particle":"","family":"Wei","given":"Fu Jin","non-dropping-particle":"","parse-names":false,"suffix":""},{"dropping-particle":"","family":"Zhao","given":"Qiang","non-dropping-particle":"","parse-names":false,"suffix":""},{"dropping-particle":"","family":"Feng","given":"Qi","non-dropping-particle":"","parse-names":false,"suffix":""},{"dropping-particle":"","family":"Baidouri","given":"Moaine","non-dropping-particle":"El","parse-names":false,"suffix":""},{"dropping-particle":"","family":"Carpentier","given":"Marie Christine","non-dropping-particle":"","parse-names":false,"suffix":""},{"dropping-particle":"","family":"Lasserre","given":"Eric","non-dropping-particle":"","parse-names":false,"suffix":""},{"dropping-particle":"","family":"Cooke","given":"Richard","non-dropping-particle":"","parse-names":false,"suffix":""},{"dropping-particle":"Da","family":"Rosa Farias","given":"Daniel","non-dropping-particle":"","parse-names":false,"suffix":""},{"dropping-particle":"","family":"Maia","given":"Luciano Carlos","non-dropping-particle":"Da","parse-names":false,"suffix":""},{"dropping-particle":"","family":"Santos","given":"Railson S.","non-dropping-particle":"Dos","parse-names":false,"suffix":""},{"dropping-particle":"","family":"Nyberg","given":"Kevin G.","non-dropping-particle":"","parse-names":false,"suffix":""},{"dropping-particle":"","family":"McNally","given":"Kenneth L.","non-dropping-particle":"","parse-names":false,"suffix":""},{"dropping-particle":"","family":"Mauleon","given":"Ramil","non-dropping-particle":"","parse-names":false,"suffix":""},{"dropping-particle":"","family":"Alexandrov","given":"Nickolai","non-dropping-particle":"","parse-names":false,"suffix":""},{"dropping-particle":"","family":"Schmutz","given":"Jeremy","non-dropping-particle":"","parse-names":false,"suffix":""},{"dropping-particle":"","family":"Flowers","given":"Dave","non-dropping-particle":"","parse-names":false,"suffix":""},{"dropping-particle":"","family":"Fan","given":"Chuanzhu","non-dropping-particle":"","parse-names":false,"suffix":""},{"dropping-particle":"","family":"Weigel","given":"Detlef","non-dropping-particle":"","parse-names":false,"suffix":""},{"dropping-particle":"","family":"Jena","given":"Kshirod K.","non-dropping-particle":"","parse-names":false,"suffix":""},{"dropping-particle":"","family":"Wicker","given":"Thomas","non-dropping-particle":"","parse-names":false,"suffix":""},{"dropping-particle":"","family":"Chen","given":"Mingsheng","non-dropping-particle":"","parse-names":false,"suffix":""},{"dropping-particle":"","family":"Han","given":"Bin","non-dropping-particle":"","parse-names":false,"suffix":""},{"dropping-particle":"","family":"Henry","given":"Robert","non-dropping-particle":"","parse-names":false,"suffix":""},{"dropping-particle":"","family":"Hsing","given":"Yue Ie C.","non-dropping-particle":"","parse-names":false,"suffix":""},{"dropping-particle":"","family":"Kurata","given":"Nori","non-dropping-particle":"","parse-names":false,"suffix":""},{"dropping-particle":"","family":"Oliveira","given":"Antonio Costa","non-dropping-particle":"De","parse-names":false,"suffix":""},{"dropping-particle":"","family":"Panaud","given":"Olivier","non-dropping-particle":"","parse-names":false,"suffix":""},{"dropping-particle":"","family":"Jackson","given":"Scott A.","non-dropping-particle":"","parse-names":false,"suffix":""},{"dropping-particle":"","family":"Machado","given":"Carlos A.","non-dropping-particle":"","parse-names":false,"suffix":""},{"dropping-particle":"","family":"Sanderson","given":"Michael J.","non-dropping-particle":"","parse-names":false,"suffix":""},{"dropping-particle":"","family":"Long","given":"Manyuan","non-dropping-particle":"","parse-names":false,"suffix":""},{"dropping-particle":"","family":"Ware","given":"Doreen","non-dropping-particle":"","parse-names":false,"suffix":""},{"dropping-particle":"","family":"Wing","given":"Rod A.","non-dropping-particle":"","parse-names":false,"suffix":""}],"container-title":"Nature Genetics","id":"ITEM-1","issue":"2","issued":{"date-parts":[["2018"]]},"page":"285-296","publisher":"Springer US","title":"Genomes of 13 domesticated and wild rice relatives highlight genetic conservation, turnover and innovation across the genus Oryza","type":"article-journal","volume":"50"},"uris":["http://www.mendeley.com/documents/?uuid=b934d184-93ae-4dc1-86c5-f1ed3f8cc075"]}],"mendeley":{"formattedCitation":"(Stein et al., 2018)","plainTextFormattedCitation":"(Stein et al., 2018)","previouslyFormattedCitation":"(Stein et al. 2018)"},"properties":{"noteIndex":0},"schema":"https://github.com/citation-style-language/schema/raw/master/csl-citation.json"}</w:instrText>
      </w:r>
      <w:r>
        <w:fldChar w:fldCharType="separate"/>
      </w:r>
      <w:r w:rsidRPr="00CE7936">
        <w:rPr>
          <w:noProof/>
        </w:rPr>
        <w:t>(Stein et al., 2018)</w:t>
      </w:r>
      <w:r>
        <w:fldChar w:fldCharType="end"/>
      </w:r>
      <w:r>
        <w:t xml:space="preserve">. In total, 445 orphan genes were identified representing 1% of genes </w:t>
      </w:r>
      <w:r w:rsidRPr="00721B1F">
        <w:t>in</w:t>
      </w:r>
      <w:r>
        <w:t xml:space="preserve"> </w:t>
      </w:r>
      <w:r w:rsidRPr="00721B1F">
        <w:t>the</w:t>
      </w:r>
      <w:r>
        <w:t xml:space="preserve"> </w:t>
      </w:r>
      <w:r w:rsidRPr="00333E28">
        <w:rPr>
          <w:i/>
          <w:iCs/>
        </w:rPr>
        <w:t xml:space="preserve">P. </w:t>
      </w:r>
      <w:proofErr w:type="spellStart"/>
      <w:r w:rsidRPr="00333E28">
        <w:rPr>
          <w:i/>
          <w:iCs/>
        </w:rPr>
        <w:t>trichocarpa</w:t>
      </w:r>
      <w:proofErr w:type="spellEnd"/>
      <w:r>
        <w:rPr>
          <w:i/>
          <w:iCs/>
        </w:rPr>
        <w:t xml:space="preserve"> </w:t>
      </w:r>
      <w:r>
        <w:t xml:space="preserve">genome that can be classified as species-specific, which is lower than common estimates of 5-15%. However, these estimates vary considerably by species and methodology used for identification </w:t>
      </w:r>
      <w:r>
        <w:fldChar w:fldCharType="begin" w:fldLock="1"/>
      </w:r>
      <w:r>
        <w:instrText>ADDIN CSL_CITATION {"citationItems":[{"id":"ITEM-1","itemData":{"DOI":"10.1016/j.tplants.2014.07.003","ISBN":"1360-1385","ISSN":"13601385","PMID":"25151064","abstract":"Sizable minorities of protein-coding genes from every sequenced eukaryotic and prokaryotic genome are unique to the species. These so-called 'orphan genes' may evolve de novo from non-coding sequence or be derived from older coding material. They are often associated with environmental stress responses and species-specific traits or regulatory patterns. However, difficulties in studying genes where comparative analysis is impossible, and a bias towards broadly conserved genes, have resulted in underappreciation of their importance. We review here the identification, possible origins, evolutionary trends, and functions of orphans with an emphasis on their role in plant biology. We exemplify several evolutionary trends with an analysis of Arabidopsis thaliana and present QQS as a model orphan gene.","author":[{"dropping-particle":"","family":"Arendsee","given":"Zebulun W.","non-dropping-particle":"","parse-names":false,"suffix":""},{"dropping-particle":"","family":"Li","given":"Ling","non-dropping-particle":"","parse-names":false,"suffix":""},{"dropping-particle":"","family":"Wurtele","given":"Eve Syrkin","non-dropping-particle":"","parse-names":false,"suffix":""}],"container-title":"Trends in Plant Science","id":"ITEM-1","issue":"11","issued":{"date-parts":[["2014"]]},"page":"698-708","publisher":"Elsevier Ltd","title":"Coming of age: Orphan genes in plants","type":"article-journal","volume":"19"},"uris":["http://www.mendeley.com/documents/?uuid=f4b04975-d61a-4c1d-91ad-0fa62e25ecdd"]}],"mendeley":{"formattedCitation":"(Z. W. Arendsee et al., 2014)","manualFormatting":"(Arendsee et al., 2014)","plainTextFormattedCitation":"(Z. W. Arendsee et al., 2014)","previouslyFormattedCitation":"(Arendsee et al. 2014)"},"properties":{"noteIndex":0},"schema":"https://github.com/citation-style-language/schema/raw/master/csl-citation.json"}</w:instrText>
      </w:r>
      <w:r>
        <w:fldChar w:fldCharType="separate"/>
      </w:r>
      <w:r w:rsidRPr="00032834">
        <w:rPr>
          <w:noProof/>
        </w:rPr>
        <w:t>(Arendsee et al., 2014)</w:t>
      </w:r>
      <w:r>
        <w:fldChar w:fldCharType="end"/>
      </w:r>
      <w:r>
        <w:t xml:space="preserve">. One reason for this lower percentage may be that our curation pipeline was conservative </w:t>
      </w:r>
      <w:r>
        <w:fldChar w:fldCharType="begin" w:fldLock="1"/>
      </w:r>
      <w:r>
        <w:instrText>ADDIN CSL_CITATION {"citationItems":[{"id":"ITEM-1","itemData":{"author":[{"dropping-particle":"","family":"Vakirlis","given":"Nikolaos","non-dropping-particle":"","parse-names":false,"suffix":""},{"dropping-particle":"","family":"McLysaght","given":"Aoife","non-dropping-particle":"","parse-names":false,"suffix":""}],"container-title":"Computational Methods in Protein Evolution","id":"ITEM-1","issued":{"date-parts":[["2019"]]},"page":"63-81","publisher":"Springer","title":"Computational prediction of De novo emerged protein-coding genes","type":"chapter"},"uris":["http://www.mendeley.com/documents/?uuid=26ba22d4-1040-4395-be30-7a2eb10b923b"]}],"mendeley":{"formattedCitation":"(Vakirlis &amp; McLysaght, 2019)","plainTextFormattedCitation":"(Vakirlis &amp; McLysaght, 2019)","previouslyFormattedCitation":"(Vakirlis &amp; McLysaght 2019)"},"properties":{"noteIndex":0},"schema":"https://github.com/citation-style-language/schema/raw/master/csl-citation.json"}</w:instrText>
      </w:r>
      <w:r>
        <w:fldChar w:fldCharType="separate"/>
      </w:r>
      <w:r w:rsidRPr="00CE7936">
        <w:rPr>
          <w:noProof/>
        </w:rPr>
        <w:t>(Vakirlis &amp; McLysaght, 2019)</w:t>
      </w:r>
      <w:r>
        <w:fldChar w:fldCharType="end"/>
      </w:r>
      <w:r>
        <w:t xml:space="preserve">. Specifically, two primary aspects contributing to this lower percentage include locating missing gene models in </w:t>
      </w:r>
      <w:r w:rsidRPr="00333E28">
        <w:rPr>
          <w:i/>
          <w:iCs/>
        </w:rPr>
        <w:t xml:space="preserve">P. </w:t>
      </w:r>
      <w:proofErr w:type="spellStart"/>
      <w:r w:rsidRPr="00333E28">
        <w:rPr>
          <w:i/>
          <w:iCs/>
        </w:rPr>
        <w:t>deltoides</w:t>
      </w:r>
      <w:proofErr w:type="spellEnd"/>
      <w:r>
        <w:rPr>
          <w:i/>
          <w:iCs/>
        </w:rPr>
        <w:t xml:space="preserve"> </w:t>
      </w:r>
      <w:r>
        <w:t xml:space="preserve">and </w:t>
      </w:r>
      <w:r>
        <w:rPr>
          <w:i/>
          <w:iCs/>
        </w:rPr>
        <w:t xml:space="preserve">S. purpurea, </w:t>
      </w:r>
      <w:r>
        <w:t xml:space="preserve">two close relatives to </w:t>
      </w:r>
      <w:r w:rsidRPr="00333E28">
        <w:rPr>
          <w:i/>
          <w:iCs/>
        </w:rPr>
        <w:t xml:space="preserve">P. </w:t>
      </w:r>
      <w:proofErr w:type="spellStart"/>
      <w:r w:rsidRPr="00333E28">
        <w:rPr>
          <w:i/>
          <w:iCs/>
        </w:rPr>
        <w:t>trichocarpa</w:t>
      </w:r>
      <w:proofErr w:type="spellEnd"/>
      <w:r>
        <w:rPr>
          <w:i/>
          <w:iCs/>
        </w:rPr>
        <w:t>,</w:t>
      </w:r>
      <w:r>
        <w:t xml:space="preserve"> as well as requiring there be no expression evidence after re-mapping </w:t>
      </w:r>
      <w:r w:rsidRPr="00333E28">
        <w:rPr>
          <w:i/>
          <w:iCs/>
        </w:rPr>
        <w:t xml:space="preserve">P. </w:t>
      </w:r>
      <w:proofErr w:type="spellStart"/>
      <w:r w:rsidRPr="00333E28">
        <w:rPr>
          <w:i/>
          <w:iCs/>
        </w:rPr>
        <w:t>deltoides</w:t>
      </w:r>
      <w:proofErr w:type="spellEnd"/>
      <w:r>
        <w:rPr>
          <w:i/>
          <w:iCs/>
        </w:rPr>
        <w:t xml:space="preserve"> </w:t>
      </w:r>
      <w:r>
        <w:t xml:space="preserve">and </w:t>
      </w:r>
      <w:r w:rsidRPr="00A52643">
        <w:rPr>
          <w:i/>
          <w:iCs/>
        </w:rPr>
        <w:t xml:space="preserve">S. purpurea </w:t>
      </w:r>
      <w:r>
        <w:t xml:space="preserve">RNA-Seq data to the </w:t>
      </w:r>
      <w:r w:rsidRPr="00333E28">
        <w:rPr>
          <w:i/>
          <w:iCs/>
        </w:rPr>
        <w:t xml:space="preserve">P. </w:t>
      </w:r>
      <w:proofErr w:type="spellStart"/>
      <w:r w:rsidRPr="00333E28">
        <w:rPr>
          <w:i/>
          <w:iCs/>
        </w:rPr>
        <w:t>trichocarpa</w:t>
      </w:r>
      <w:proofErr w:type="spellEnd"/>
      <w:r>
        <w:rPr>
          <w:i/>
          <w:iCs/>
        </w:rPr>
        <w:t xml:space="preserve"> </w:t>
      </w:r>
      <w:r>
        <w:t xml:space="preserve">genome. </w:t>
      </w:r>
    </w:p>
    <w:p w14:paraId="5D75A65F" w14:textId="77777777" w:rsidR="00636B5B" w:rsidRPr="00B21036" w:rsidRDefault="00636B5B" w:rsidP="00CE7936">
      <w:pPr>
        <w:spacing w:line="360" w:lineRule="auto"/>
        <w:ind w:firstLine="720"/>
        <w:jc w:val="both"/>
      </w:pPr>
      <w:r>
        <w:lastRenderedPageBreak/>
        <w:t xml:space="preserve">Expression of orphan genes is often relegated to particular tissues when compared to more broadly expressed non-orphan genes. Most commonly, these include male reproductive tissues such as the testis, as well as the brain in humans </w:t>
      </w:r>
      <w:r>
        <w:fldChar w:fldCharType="begin" w:fldLock="1"/>
      </w:r>
      <w:r>
        <w:instrText>ADDIN CSL_CITATION {"citationItems":[{"id":"ITEM-1","itemData":{"DOI":"10.1534/genetics.106.069245","ISBN":"0016-6731 (Print)\\n0016-6731 (Linking)","ISSN":"00166731","PMID":"17435230","abstract":"The mutational origin and subsequent evolution of de novo genes, which are hypothesized to be genes of recent origin that are not obviously related to ancestral coding sequence, are poorly understood. However, accumulating evidence suggests that such genes may often function in male reproduction. Here we use testis-derived expressed sequence tags (ESTs) from Drosophila yakuba to identify genes that have likely arisen either in D. yakuba or in the D. yakuba/D. erecta ancestor. We found several such genes, which show testis-biased expression and are often X-linked. Comparative data indicate that three of these genes have very short open reading frames, which suggests the possibility that a significant number of testis-biased de novo genes in the D. yakuba/D. erecta clade may be noncoding RNA genes. These data, along with previously published data from D. melanogaster, support the idea that many de novo Drosophila genes function in male reproduction and that a small region of the X chromosome in the melanogaster subgroup may be a hotspot for the evolution of novel testis-biased genes.","author":[{"dropping-particle":"","family":"Begun","given":"David J.","non-dropping-particle":"","parse-names":false,"suffix":""},{"dropping-particle":"","family":"Lindfors","given":"Heather A.","non-dropping-particle":"","parse-names":false,"suffix":""},{"dropping-particle":"","family":"Kern","given":"Andrew D.","non-dropping-particle":"","parse-names":false,"suffix":""},{"dropping-particle":"","family":"Jones","given":"Corbin D.","non-dropping-particle":"","parse-names":false,"suffix":""}],"container-title":"Genetics","id":"ITEM-1","issue":"2","issued":{"date-parts":[["2007"]]},"page":"1131-1137","title":"Evidence for de novo evolution of testis-expressed genes in the Drosophila yakuba/Drosophila erecta clade","type":"article-journal","volume":"176"},"uris":["http://www.mendeley.com/documents/?uuid=4c2eb476-934b-41f2-ada0-e4a107a4a298"]},{"id":"ITEM-2","itemData":{"DOI":"10.1126/science.1248286","ISBN":"1095-9203","ISSN":"0036-8075","PMID":"24457212","abstract":"Comparative genomic analyses have revealed that genes may arise from ancestrally nongenic sequence. However, the origin and spread of these de novo genes within populations remain obscure. We identified 142 segregating and 106 fixed testis-expressed de novo genes in a population sample of Drosophila melanogaster. These genes appear to derive primarily from ancestral intergenic, unexpressed open reading frames, with natural selection playing a significant role in their spread. These results reveal a heretofore unappreciated dynamism of gene content.","author":[{"dropping-particle":"","family":"Zhao","given":"L.","non-dropping-particle":"","parse-names":false,"suffix":""},{"dropping-particle":"","family":"Saelao","given":"P.","non-dropping-particle":"","parse-names":false,"suffix":""},{"dropping-particle":"","family":"Jones","given":"C. D.","non-dropping-particle":"","parse-names":false,"suffix":""},{"dropping-particle":"","family":"Begun","given":"D. J.","non-dropping-particle":"","parse-names":false,"suffix":""}],"container-title":"Science","id":"ITEM-2","issue":"6172","issued":{"date-parts":[["2014"]]},"page":"769-772","title":"Origin and Spread of de Novo Genes in Drosophila melanogaster Populations","type":"article-journal","volume":"343"},"uris":["http://www.mendeley.com/documents/?uuid=0781c241-09e7-41d3-9993-243da2cbf638"]},{"id":"ITEM-3","itemData":{"DOI":"10.1016/j.molp.2014.12.008","ISBN":"1674-2052","ISSN":"17529867","PMID":"25670339","abstract":"The birth of new genes in genomes is an important evolutionary event. Several studies reveal that new genes in animals tend to be preferentially expressed in male reproductive tissues such as testis (Betrán et al., 2002; Begun et al., 2007; Dubruille et al., 2012), and thus an \"out of testis\" hypothesis for the emergence of new genes has been proposed (Vinckenbosch et al., 2006; Kaessmann, 2010). However, such phenomena have not been examined in plant species. Here, by employing a phylostratigraphic method, we dated the origin of protein-coding genes in rice and Arabidopsis thaliana and observed a number of young genes in both species. These young genes tend to encode short extracellular proteins, which may be involved in rapid evolving processes, such as reproductive barriers, species specification, and anti-microbial processes. Further analysis of transcriptome age indexes across different tissues revealed that male reproductive cells express a phylogenetically younger transcriptome than other plant tissues. Compared with sporophytic tissues, the young transcriptomes of the male gametophyte displayed greater complexity and diversity, which included a higher ratio of anti-sense and inter-genic transcripts, reflecting a pervasive transcription state that facilitated the emergence of new genes. Here, we propose that pollen may act as an \"innovation incubator\" for the birth of de novo genes. With cases of male-biased expression of young genes reported in animals, the \"new genes out of the male\" model revealed a common evolutionary force that drives reproductive barriers, species specification, and the upgrading of defensive mechanisms against pathogens.","author":[{"dropping-particle":"","family":"Cui","given":"Xiao","non-dropping-particle":"","parse-names":false,"suffix":""},{"dropping-particle":"","family":"Lv","given":"Yang","non-dropping-particle":"","parse-names":false,"suffix":""},{"dropping-particle":"","family":"Chen","given":"Miaolin","non-dropping-particle":"","parse-names":false,"suffix":""},{"dropping-particle":"","family":"Nikoloski","given":"Zoran","non-dropping-particle":"","parse-names":false,"suffix":""},{"dropping-particle":"","family":"Twell","given":"David","non-dropping-particle":"","parse-names":false,"suffix":""},{"dropping-particle":"","family":"Zhang","given":"Dabing","non-dropping-particle":"","parse-names":false,"suffix":""}],"container-title":"Molecular Plant","id":"ITEM-3","issue":"6","issued":{"date-parts":[["2015"]]},"page":"935-945","publisher":"Elsevier Ltd","title":"Young genes out of the male: An insight from evolutionary age analysis of the pollen transcriptome","type":"article-journal","volume":"8"},"uris":["http://www.mendeley.com/documents/?uuid=ba542431-aa95-4243-8bb2-e536bc7c7b6c"]},{"id":"ITEM-4","itemData":{"DOI":"10.1371/journal.pcbi.1000734","ISSN":"1553734X","PMID":"20376170","abstract":"To understand whether any human-specific new genes may be associated with human brain functions, we computationally screened the genetic vulnerable factors identified through Genome-Wide Association Studies and linkage analyses of nicotine addiction and found one human-specific de novo protein-coding gene, FLJ33706 (alternative gene symbol C20orf203). Cross-species analysis revealed interesting evolutionary paths of how this gene had originated from noncoding DNA sequences: insertion of repeat elements especially Alu contributed to the formation of the first coding exon and six standard splice junctions on the branch leading to humans and chimpanzees, and two subsequent substitutions in the human lineage escaped two stop codons and created an open reading frame of 194 amino acids. We experimentally verified FLJ33706's mRNA and protein expression in the brain. Real-Time PCR in multiple tissues demonstrated that FLJ33706 was most abundantly expressed in brain. Human polymorphism data suggested that FLJ33706 encodes a protein under purifying selection. A specifically designed antibody detected its protein expression across human cortex, cerebellum and midbrain. Immunohistochemistry study in normal human brain cortex revealed the localization of FLJ33706 protein in neurons. Elevated expressions of FLJ33706 were detected in Alzheimer's brain samples, suggesting the role of this novel gene in human-specific pathogenesis of Alzheimer's disease. FLJ33706 provided the strongest evidence so far that human-specific de novo genes can have protein-coding potential and differential protein expression, and be involved in human brain functions.","author":[{"dropping-particle":"","family":"Li","given":"Chuan Yun","non-dropping-particle":"","parse-names":false,"suffix":""},{"dropping-particle":"","family":"Zhang","given":"Yong","non-dropping-particle":"","parse-names":false,"suffix":""},{"dropping-particle":"","family":"Wang","given":"Zhanbo","non-dropping-particle":"","parse-names":false,"suffix":""},{"dropping-particle":"","family":"Zhang","given":"Yan","non-dropping-particle":"","parse-names":false,"suffix":""},{"dropping-particle":"","family":"Cao","given":"Chunmei","non-dropping-particle":"","parse-names":false,"suffix":""},{"dropping-particle":"","family":"Zhang","given":"Ping Wu","non-dropping-particle":"","parse-names":false,"suffix":""},{"dropping-particle":"","family":"Lu","given":"Shu Juan","non-dropping-particle":"","parse-names":false,"suffix":""},{"dropping-particle":"","family":"Li","given":"Xiao Mo","non-dropping-particle":"","parse-names":false,"suffix":""},{"dropping-particle":"","family":"Yu","given":"Quan","non-dropping-particle":"","parse-names":false,"suffix":""},{"dropping-particle":"","family":"Zheng","given":"Xiaofeng","non-dropping-particle":"","parse-names":false,"suffix":""},{"dropping-particle":"","family":"Du","given":"Quan","non-dropping-particle":"","parse-names":false,"suffix":""},{"dropping-particle":"","family":"Uhl","given":"George R.","non-dropping-particle":"","parse-names":false,"suffix":""},{"dropping-particle":"","family":"Liu","given":"Qing Rong","non-dropping-particle":"","parse-names":false,"suffix":""},{"dropping-particle":"","family":"Wei","given":"Liping","non-dropping-particle":"","parse-names":false,"suffix":""}],"container-title":"PLoS Computational Biology","id":"ITEM-4","issue":"3","issued":{"date-parts":[["2010"]]},"title":"A human-specific de novo protein-coding gene associated with human brain functions","type":"article-journal","volume":"6"},"uris":["http://www.mendeley.com/documents/?uuid=0d219222-d52c-4a9b-bdfe-991d9356789f"]}],"mendeley":{"formattedCitation":"(Begun, Lindfors, Kern, &amp; Jones, 2007; Cui et al., 2015; C. Y. Li et al., 2010; Zhao, Saelao, Jones, &amp; Begun, 2014)","manualFormatting":"(Begun et al., 2007; Cui et al., 2015; Li et al., 2010; Zhao et al., 2014)","plainTextFormattedCitation":"(Begun, Lindfors, Kern, &amp; Jones, 2007; Cui et al., 2015; C. Y. Li et al., 2010; Zhao, Saelao, Jones, &amp; Begun, 2014)","previouslyFormattedCitation":"(Begun et al. 2007; Zhao et al. 2014; Cui et al. 2015; Li et al. 2010)"},"properties":{"noteIndex":0},"schema":"https://github.com/citation-style-language/schema/raw/master/csl-citation.json"}</w:instrText>
      </w:r>
      <w:r>
        <w:fldChar w:fldCharType="separate"/>
      </w:r>
      <w:r w:rsidRPr="00EF4A01">
        <w:rPr>
          <w:noProof/>
        </w:rPr>
        <w:t>(Begun</w:t>
      </w:r>
      <w:r>
        <w:rPr>
          <w:noProof/>
        </w:rPr>
        <w:t xml:space="preserve"> et al.</w:t>
      </w:r>
      <w:r w:rsidRPr="00EF4A01">
        <w:rPr>
          <w:noProof/>
        </w:rPr>
        <w:t>, 2007; Cui et al., 2015; Li et al., 2010; Zhao</w:t>
      </w:r>
      <w:r>
        <w:rPr>
          <w:noProof/>
        </w:rPr>
        <w:t xml:space="preserve"> et al.,</w:t>
      </w:r>
      <w:r w:rsidRPr="00EF4A01">
        <w:rPr>
          <w:noProof/>
        </w:rPr>
        <w:t xml:space="preserve"> 2014)</w:t>
      </w:r>
      <w:r>
        <w:fldChar w:fldCharType="end"/>
      </w:r>
      <w:r>
        <w:t xml:space="preserve">. </w:t>
      </w:r>
      <w:r w:rsidRPr="001B0DC6">
        <w:t>Consistent with previous findings we also observe significantly lower expression</w:t>
      </w:r>
      <w:r>
        <w:t>, expression</w:t>
      </w:r>
      <w:r w:rsidRPr="001B0DC6">
        <w:t xml:space="preserve"> brea</w:t>
      </w:r>
      <w:r>
        <w:t>d</w:t>
      </w:r>
      <w:r w:rsidRPr="001B0DC6">
        <w:t>th</w:t>
      </w:r>
      <w:r>
        <w:t>, and higher tissue specificity</w:t>
      </w:r>
      <w:r w:rsidRPr="001B0DC6">
        <w:t xml:space="preserve"> compared to non-orphan genes. </w:t>
      </w:r>
      <w:r>
        <w:t xml:space="preserve">We also examine population-level expression variation of orphan genes in leaf and xylem. Although, orphan genes have considerably lower expression variation when compared to non-orphan genes, we were still able to identify strong associations with putative </w:t>
      </w:r>
      <w:r w:rsidRPr="00E46CC7">
        <w:rPr>
          <w:i/>
          <w:iCs/>
        </w:rPr>
        <w:t>cis</w:t>
      </w:r>
      <w:r w:rsidRPr="00E46CC7">
        <w:rPr>
          <w:i/>
          <w:iCs/>
        </w:rPr>
        <w:softHyphen/>
      </w:r>
      <w:r>
        <w:t xml:space="preserve">-elements and </w:t>
      </w:r>
      <w:r w:rsidRPr="00E46CC7">
        <w:rPr>
          <w:i/>
          <w:iCs/>
        </w:rPr>
        <w:t>trans-</w:t>
      </w:r>
      <w:r>
        <w:rPr>
          <w:iCs/>
        </w:rPr>
        <w:t xml:space="preserve">regulatory </w:t>
      </w:r>
      <w:r>
        <w:t xml:space="preserve">factors.  Future work could further examine the genomic context underlying variation in the </w:t>
      </w:r>
      <w:r w:rsidRPr="00333E28">
        <w:rPr>
          <w:i/>
          <w:iCs/>
        </w:rPr>
        <w:t xml:space="preserve">P. </w:t>
      </w:r>
      <w:proofErr w:type="spellStart"/>
      <w:r w:rsidRPr="00333E28">
        <w:rPr>
          <w:i/>
          <w:iCs/>
        </w:rPr>
        <w:t>trichocarpa</w:t>
      </w:r>
      <w:proofErr w:type="spellEnd"/>
      <w:r w:rsidRPr="00E46CC7">
        <w:rPr>
          <w:i/>
          <w:iCs/>
        </w:rPr>
        <w:t xml:space="preserve"> </w:t>
      </w:r>
      <w:r>
        <w:t xml:space="preserve">GWAS population, possibly through epigenetic and pan-genome approaches. In summary, through our extensive use of multi-tissue and population-level transcriptome datasets, we are able to confirm previously accepted orphan gene expression trends in the context of </w:t>
      </w:r>
      <w:r w:rsidRPr="00333E28">
        <w:rPr>
          <w:i/>
          <w:iCs/>
        </w:rPr>
        <w:t xml:space="preserve">P. </w:t>
      </w:r>
      <w:proofErr w:type="spellStart"/>
      <w:r w:rsidRPr="00333E28">
        <w:rPr>
          <w:i/>
          <w:iCs/>
        </w:rPr>
        <w:t>trichocarpa</w:t>
      </w:r>
      <w:proofErr w:type="spellEnd"/>
      <w:r>
        <w:t xml:space="preserve"> and show there was sufficient expression variation for association studies. We also provide evidence of translation for 16 orphan genes (including two orphan genes which showed evidence of </w:t>
      </w:r>
      <w:r>
        <w:rPr>
          <w:i/>
          <w:iCs/>
        </w:rPr>
        <w:t>de novo</w:t>
      </w:r>
      <w:r>
        <w:t xml:space="preserve"> evolution) based on a subset of six </w:t>
      </w:r>
      <w:r w:rsidRPr="00333E28">
        <w:rPr>
          <w:i/>
          <w:iCs/>
        </w:rPr>
        <w:t xml:space="preserve">P. </w:t>
      </w:r>
      <w:proofErr w:type="spellStart"/>
      <w:r w:rsidRPr="00333E28">
        <w:rPr>
          <w:i/>
          <w:iCs/>
        </w:rPr>
        <w:t>trichocarpa</w:t>
      </w:r>
      <w:proofErr w:type="spellEnd"/>
      <w:r>
        <w:t xml:space="preserve"> genotypes. Although this is a much lower percentage compared to recent studies, a more thorough sampling of the GWAS mapping panel for proteomics analysis and ribosome profiling would allow for further discovery of orphan genes with evidence of translation </w:t>
      </w:r>
      <w:r>
        <w:fldChar w:fldCharType="begin" w:fldLock="1"/>
      </w:r>
      <w:r>
        <w:instrText>ADDIN CSL_CITATION {"citationItems":[{"id":"ITEM-1","itemData":{"DOI":"10.1038/s41559-019-0822-5","ISSN":"2397334X","PMID":"30858588","abstract":"New protein-coding genes that arise de novo from non-coding DNA sequences contribute to protein diversity. However, de novo gene origination is challenging to study as it requires high-quality reference genomes for closely related species, evidence for ancestral non-coding sequences, and transcription and translation of the new genes. High-quality genomes of 13 closely related Oryza species provide unprecedented opportunities to understand de novo origination events. Here, we identify a large number of young de novo genes with discernible recent ancestral non-coding sequences and evidence of translation. Using pipelines examining the synteny relationship between genomes and reciprocal-best whole-genome alignments, we detected at least 175 de novo open reading frames in the focal species O. sativa subspecies japonica, which were all detected in RNA sequencing-based transcriptomes. Mass spectrometry-based targeted proteomics and ribosomal profiling show translational evidence for 57% of the de novo genes. In recent divergence of Oryza, an average of 51.5 de novo genes per million years were generated and retained. We observed evolutionary patterns in which excess indels and early transcription were favoured in origination with a stepwise formation of gene structure. These data reveal that de novo genes contribute to the rapid evolution of protein diversity under positive selection.","author":[{"dropping-particle":"","family":"Zhang","given":"Li","non-dropping-particle":"","parse-names":false,"suffix":""},{"dropping-particle":"","family":"Ren","given":"Yan","non-dropping-particle":"","parse-names":false,"suffix":""},{"dropping-particle":"","family":"Yang","given":"Tao","non-dropping-particle":"","parse-names":false,"suffix":""},{"dropping-particle":"","family":"Li","given":"Guangwei","non-dropping-particle":"","parse-names":false,"suffix":""},{"dropping-particle":"","family":"Chen","given":"Jianhai","non-dropping-particle":"","parse-names":false,"suffix":""},{"dropping-particle":"","family":"Gschwend","given":"Andrea R.","non-dropping-particle":"","parse-names":false,"suffix":""},{"dropping-particle":"","family":"Yu","given":"Yeisoo","non-dropping-particle":"","parse-names":false,"suffix":""},{"dropping-particle":"","family":"Hou","given":"Guixue","non-dropping-particle":"","parse-names":false,"suffix":""},{"dropping-particle":"","family":"Zi","given":"Jin","non-dropping-particle":"","parse-names":false,"suffix":""},{"dropping-particle":"","family":"Zhou","given":"Ruo","non-dropping-particle":"","parse-names":false,"suffix":""},{"dropping-particle":"","family":"Wen","given":"Bo","non-dropping-particle":"","parse-names":false,"suffix":""},{"dropping-particle":"","family":"Zhang","given":"Jianwei","non-dropping-particle":"","parse-names":false,"suffix":""},{"dropping-particle":"","family":"Chougule","given":"Kapeel","non-dropping-particle":"","parse-names":false,"suffix":""},{"dropping-particle":"","family":"Wang","given":"Muhua","non-dropping-particle":"","parse-names":false,"suffix":""},{"dropping-particle":"","family":"Copetti","given":"Dario","non-dropping-particle":"","parse-names":false,"suffix":""},{"dropping-particle":"","family":"Peng","given":"Zhiyu","non-dropping-particle":"","parse-names":false,"suffix":""},{"dropping-particle":"","family":"Zhang","given":"Chengjun","non-dropping-particle":"","parse-names":false,"suffix":""},{"dropping-particle":"","family":"Zhang","given":"Yong","non-dropping-particle":"","parse-names":false,"suffix":""},{"dropping-particle":"","family":"Ouyang","given":"Yidan","non-dropping-particle":"","parse-names":false,"suffix":""},{"dropping-particle":"","family":"Wing","given":"Rod A.","non-dropping-particle":"","parse-names":false,"suffix":""},{"dropping-particle":"","family":"Liu","given":"Siqi","non-dropping-particle":"","parse-names":false,"suffix":""},{"dropping-particle":"","family":"Long","given":"Manyuan","non-dropping-particle":"","parse-names":false,"suffix":""}],"container-title":"Nature Ecology and Evolution","id":"ITEM-1","issue":"4","issued":{"date-parts":[["2019"]]},"page":"679-690","publisher":"Springer US","title":"Rapid evolution of protein diversity by de novo origination in Oryza","type":"article-journal","volume":"3"},"uris":["http://www.mendeley.com/documents/?uuid=59949e54-47b9-4c1b-a7f0-22153f849d74"]}],"mendeley":{"formattedCitation":"(L. Zhang et al., 2019)","plainTextFormattedCitation":"(L. Zhang et al., 2019)","previouslyFormattedCitation":"(Zhang et al. 2019)"},"properties":{"noteIndex":0},"schema":"https://github.com/citation-style-language/schema/raw/master/csl-citation.json"}</w:instrText>
      </w:r>
      <w:r>
        <w:fldChar w:fldCharType="separate"/>
      </w:r>
      <w:r w:rsidRPr="00CE7936">
        <w:rPr>
          <w:noProof/>
        </w:rPr>
        <w:t>(L. Zhang et al., 2019)</w:t>
      </w:r>
      <w:r>
        <w:fldChar w:fldCharType="end"/>
      </w:r>
      <w:r>
        <w:t>.</w:t>
      </w:r>
    </w:p>
    <w:p w14:paraId="057C815A" w14:textId="77777777" w:rsidR="00636B5B" w:rsidRDefault="00636B5B" w:rsidP="00CE7936">
      <w:pPr>
        <w:spacing w:line="360" w:lineRule="auto"/>
        <w:ind w:firstLine="720"/>
        <w:jc w:val="both"/>
      </w:pPr>
      <w:r>
        <w:t xml:space="preserve">Regulatory networks play essential roles in the control of transcription, signaling and development </w:t>
      </w:r>
      <w:r>
        <w:fldChar w:fldCharType="begin" w:fldLock="1"/>
      </w:r>
      <w:r>
        <w:instrText>ADDIN CSL_CITATION {"citationItems":[{"id":"ITEM-1","itemData":{"DOI":"10.17226/11790","ISBN":"030910405X","abstract":"Understanding the genetic and molecular mechanisms governing the evolution of morphology is a major challenge in biology. Because most animals share a conserved repertoire of bodybuilding and -patterning genes, morphological diversity appears to evolve primarily through changes in the deployment of these genes during development. The complex expression patterns of developmentally regulated genes are typically controlled by numerous independent cis-regulatory elements (CREs). It has been proposed that morphological evolution relies predominantly on changes in the architecture of gene regulatory networks and in particular on functional changes within CREs. Here, we discuss recent experimental studies that support this hypothesis and reveal some unanticipated features of how regulatory evolution occurs. From this growing body of evidence, we identify three key operating principles underlying regulatory evolution, that is, how regulatory evolution: (i) uses available genetic components in the form of preexisting and active transcription factors and CREs to generate novelty; (ii) minimizes the penalty to overall fitness by introducing discrete changes in gene expression; and (iii) allows interactions to arise among any transcription factor and downstream CRE. These principles endow regulatory evolution with a vast creative potential that accounts for both relatively modest morphological differences among closely related species and more profound anatomical divergences among groups at higher taxonomical levels.","author":[{"dropping-particle":"","family":"Prud'homme","given":"Benjamin","non-dropping-particle":"","parse-names":false,"suffix":""},{"dropping-particle":"","family":"Gompel","given":"Nicolas","non-dropping-particle":"","parse-names":false,"suffix":""},{"dropping-particle":"","family":"Carroll","given":"Sean B.","non-dropping-particle":"","parse-names":false,"suffix":""}],"container-title":"In the Light of Evolution","id":"ITEM-1","issued":{"date-parts":[["2007"]]},"page":"109-127","title":"Emerging principles of regulatory evolution","type":"article-journal","volume":"1"},"uris":["http://www.mendeley.com/documents/?uuid=76329553-e5aa-491e-9ff9-89a2959e2531"]}],"mendeley":{"formattedCitation":"(Prud’homme, Gompel, &amp; Carroll, 2007)","manualFormatting":"(Prud’homme et al., 2007)","plainTextFormattedCitation":"(Prud’homme, Gompel, &amp; Carroll, 2007)","previouslyFormattedCitation":"(Prud’homme et al. 2007)"},"properties":{"noteIndex":0},"schema":"https://github.com/citation-style-language/schema/raw/master/csl-citation.json"}</w:instrText>
      </w:r>
      <w:r>
        <w:fldChar w:fldCharType="separate"/>
      </w:r>
      <w:r w:rsidRPr="002F1C75">
        <w:rPr>
          <w:noProof/>
        </w:rPr>
        <w:t>(Prud’homme</w:t>
      </w:r>
      <w:r>
        <w:rPr>
          <w:noProof/>
        </w:rPr>
        <w:t xml:space="preserve"> et al.</w:t>
      </w:r>
      <w:r w:rsidRPr="002F1C75">
        <w:rPr>
          <w:noProof/>
        </w:rPr>
        <w:t>, 2007)</w:t>
      </w:r>
      <w:r>
        <w:fldChar w:fldCharType="end"/>
      </w:r>
      <w:r>
        <w:t xml:space="preserve">. Recently, the process of </w:t>
      </w:r>
      <w:r w:rsidRPr="00E46CC7">
        <w:rPr>
          <w:i/>
          <w:iCs/>
        </w:rPr>
        <w:t>de novo</w:t>
      </w:r>
      <w:r>
        <w:t xml:space="preserve"> gene integration into existing networks has been explored in more depth </w:t>
      </w:r>
      <w:r>
        <w:fldChar w:fldCharType="begin" w:fldLock="1"/>
      </w:r>
      <w:r>
        <w:instrText>ADDIN CSL_CITATION {"citationItems":[{"id":"ITEM-1","itemData":{"DOI":"10.1093/molbev/msz300","ISSN":"15371719","abstract":"Regulatory networks control the spatiotemporal gene expression patterns that give rise to and define the individual cell types of multicellular organisms. In eumetazoa, distal regulatory elements called enhancers play a key role in determining the structure of such networks, particularly the wiring diagram of \"who regulates whom.\" Mutations that affect enhancer activity can therefore rewire regulatory networks, potentially causing adaptive changes in gene expression. Here, we use whole-tissue and single-cell transcriptomic and chromatin accessibility data from mouse to show that enhancers play an additional role in the evolution of regulatory networks: They facilitate network growth by creating transcriptionally active regions of open chromatin that are conducive to de novo gene evolution. Specifically, our comparative transcriptomic analysis with three other mammalian species shows that young, mouse-specific intergenic open reading frames are preferentially located near enhancers, whereas older open reading frames are not. Mouse-specific intergenic open reading frames that are proximal to enhancers are more highly and stably transcribed than those that are not proximal to enhancers or promoters, and they are transcribed in a limited diversity of cellular contexts. Furthermore, we report several instances of mouse-specific intergenic open reading frames proximal to promoters showing evidence of being repurposed enhancers. We also show that open reading frames gradually acquire interactions with enhancers over macroevolutionary timescales, helping integrate genes-those that have arisen de novo or by other means-into existing regulatory networks. Taken together, our results highlight a dual role of enhancers in expanding and rewiring gene regulatory networks.","author":[{"dropping-particle":"","family":"Majic","given":"Paco","non-dropping-particle":"","parse-names":false,"suffix":""},{"dropping-particle":"","family":"Payne","given":"Joshua L.","non-dropping-particle":"","parse-names":false,"suffix":""}],"container-title":"Molecular biology and evolution","id":"ITEM-1","issue":"4","issued":{"date-parts":[["2020"]]},"page":"1165-1178","title":"Enhancers Facilitate the Birth of De Novo Genes and Gene Integration into Regulatory Networks","type":"article-journal","volume":"37"},"uris":["http://www.mendeley.com/documents/?uuid=a2c0614e-6fe3-4da9-9d25-2a2dd56016d3"]}],"mendeley":{"formattedCitation":"(Majic &amp; Payne, 2020)","plainTextFormattedCitation":"(Majic &amp; Payne, 2020)","previouslyFormattedCitation":"(Majic &amp; Payne 2020)"},"properties":{"noteIndex":0},"schema":"https://github.com/citation-style-language/schema/raw/master/csl-citation.json"}</w:instrText>
      </w:r>
      <w:r>
        <w:fldChar w:fldCharType="separate"/>
      </w:r>
      <w:r w:rsidRPr="00CE7936">
        <w:rPr>
          <w:noProof/>
        </w:rPr>
        <w:t>(Majic &amp; Payne, 2020)</w:t>
      </w:r>
      <w:r>
        <w:fldChar w:fldCharType="end"/>
      </w:r>
      <w:r>
        <w:t xml:space="preserve">. Several studies have examined the integration of </w:t>
      </w:r>
      <w:r w:rsidRPr="00E46CC7">
        <w:rPr>
          <w:i/>
          <w:iCs/>
        </w:rPr>
        <w:t>de novo</w:t>
      </w:r>
      <w:r>
        <w:t xml:space="preserve"> genes into existing regulatory networks and rely on sequence homology of known </w:t>
      </w:r>
      <w:r w:rsidRPr="00E0031F">
        <w:rPr>
          <w:i/>
          <w:iCs/>
        </w:rPr>
        <w:t>cis</w:t>
      </w:r>
      <w:r>
        <w:t xml:space="preserve">-elements </w:t>
      </w:r>
      <w:r>
        <w:fldChar w:fldCharType="begin" w:fldLock="1"/>
      </w:r>
      <w:r>
        <w:instrText>ADDIN CSL_CITATION {"citationItems":[{"id":"ITEM-1","itemData":{"DOI":"10.1038/nature11184","ISBN":"1476-4687 (Electronic)\\n0028-0836 (Linking)","ISSN":"0028-0836","PMID":"22722833","abstract":"Novel protein-coding genes can arise either through re-organization of pre-existing genes or de novo. Processes involving re-organization of pre-existing genes, notably after gene duplication, have been extensively described. In contrast, de novo gene birth remains poorly understood, mainly because translation of sequences devoid of genes, or 'non-genic' sequences, is expected to produce insignificant polypeptides rather than proteins with specific biological functions. Here we formalize an evolutionary model according to which functional genes evolve de novo through transitory proto-genes generated by widespread translational activity in non-genic sequences. Testing this model at the genome scale in Saccharomyces cerevisiae, we detect translation of hundreds of short species-specific open reading frames (ORFs) located in non-genic sequences. These translation events seem to provide adaptive potential, as suggested by their differential regulation upon stress and by signatures of retention by natural selection. In line with our model, we establish that S. cerevisiae ORFs can be placed within an evolutionary continuum ranging from non-genic sequences to genes. We identify ~1,900 candidate proto-genes among S. cerevisiae ORFs and find that de novo gene birth from such a reservoir may be more prevalent than sporadic gene duplication. Our work illustrates that evolution exploits seemingly dispensable sequences to generate adaptive functional innovation.","author":[{"dropping-particle":"","family":"Carvunis","given":"Anne-Ruxandra","non-dropping-particle":"","parse-names":false,"suffix":""},{"dropping-particle":"","family":"Rolland","given":"Thomas","non-dropping-particle":"","parse-names":false,"suffix":""},{"dropping-particle":"","family":"Wapinski","given":"Ilan","non-dropping-particle":"","parse-names":false,"suffix":""},{"dropping-particle":"","family":"Calderwood","given":"Michael A.","non-dropping-particle":"","parse-names":false,"suffix":""},{"dropping-particle":"","family":"Yildirim","given":"Muhammed A.","non-dropping-particle":"","parse-names":false,"suffix":""},{"dropping-particle":"","family":"Simonis","given":"Nicolas","non-dropping-particle":"","parse-names":false,"suffix":""},{"dropping-particle":"","family":"Charloteaux","given":"Benoit","non-dropping-particle":"","parse-names":false,"suffix":""},{"dropping-particle":"","family":"Hidalgo","given":"César A.","non-dropping-particle":"","parse-names":false,"suffix":""},{"dropping-particle":"","family":"Barbette","given":"Justin","non-dropping-particle":"","parse-names":false,"suffix":""},{"dropping-particle":"","family":"Santhanam","given":"Balaji","non-dropping-particle":"","parse-names":false,"suffix":""},{"dropping-particle":"","family":"Brar","given":"Gloria A.","non-dropping-particle":"","parse-names":false,"suffix":""},{"dropping-particle":"","family":"Weissman","given":"Jonathan S.","non-dropping-particle":"","parse-names":false,"suffix":""},{"dropping-particle":"","family":"Regev","given":"Aviv","non-dropping-particle":"","parse-names":false,"suffix":""},{"dropping-particle":"","family":"Thierry-Mieg","given":"Nicolas","non-dropping-particle":"","parse-names":false,"suffix":""},{"dropping-particle":"","family":"Cusick","given":"Michael E.","non-dropping-particle":"","parse-names":false,"suffix":""},{"dropping-particle":"","family":"Vidal","given":"Marc","non-dropping-particle":"","parse-names":false,"suffix":""}],"container-title":"Nature","id":"ITEM-1","issue":"7407","issued":{"date-parts":[["2012"]]},"page":"370-374","title":"Proto-genes and de novo gene birth","type":"article-journal","volume":"487"},"uris":["http://www.mendeley.com/documents/?uuid=3f04e38e-7ccd-444f-a7e6-cdc9dc70d23f"]},{"id":"ITEM-2","itemData":{"DOI":"10.1093/gbe/evw164","ISSN":"1759-6653","PMID":"27401176","author":[{"dropping-particle":"","family":"Li","given":"Zi-Wen","non-dropping-particle":"","parse-names":false,"suffix":""},{"dropping-particle":"","family":"Chen","given":"Xi","non-dropping-particle":"","parse-names":false,"suffix":""},{"dropping-particle":"","family":"Wu","given":"Qiong","non-dropping-particle":"","parse-names":false,"suffix":""},{"dropping-particle":"","family":"Hagmann","given":"Jörg","non-dropping-particle":"","parse-names":false,"suffix":""},{"dropping-particle":"","family":"Han","given":"Ting-Shen","non-dropping-particle":"","parse-names":false,"suffix":""},{"dropping-particle":"","family":"Zou","given":"Yu-Pan","non-dropping-particle":"","parse-names":false,"suffix":""},{"dropping-particle":"","family":"Ge","given":"Song","non-dropping-particle":"","parse-names":false,"suffix":""},{"dropping-particle":"","family":"Guo","given":"Ya-Long","non-dropping-particle":"","parse-names":false,"suffix":""}],"container-title":"Genome Biology and Evolution","id":"ITEM-2","issue":"7","issued":{"date-parts":[["2016"]]},"page":"2190-2202","title":"On the Origin of De Novo Genes in Arabidopsis thaliana Populations","type":"article-journal","volume":"8"},"uris":["http://www.mendeley.com/documents/?uuid=2852a026-8a33-4fb8-bf70-bb8e5021daba"]}],"mendeley":{"formattedCitation":"(Carvunis et al., 2012; Z.-W. Li et al., 2016)","manualFormatting":"(Carvunis et al., 2012; Li et al., 2016)","plainTextFormattedCitation":"(Carvunis et al., 2012; Z.-W. Li et al., 2016)","previouslyFormattedCitation":"(Carvunis et al. 2012; Li et al. 2016)"},"properties":{"noteIndex":0},"schema":"https://github.com/citation-style-language/schema/raw/master/csl-citation.json"}</w:instrText>
      </w:r>
      <w:r>
        <w:fldChar w:fldCharType="separate"/>
      </w:r>
      <w:r w:rsidRPr="00EF4A01">
        <w:rPr>
          <w:noProof/>
        </w:rPr>
        <w:t>(Carvunis et al., 2012; Li et al., 2016)</w:t>
      </w:r>
      <w:r>
        <w:fldChar w:fldCharType="end"/>
      </w:r>
      <w:r>
        <w:t xml:space="preserve">. In our study, we expand upon homology-based detection of known regulatory elements through the use </w:t>
      </w:r>
      <w:r>
        <w:rPr>
          <w:i/>
          <w:iCs/>
        </w:rPr>
        <w:t>c</w:t>
      </w:r>
      <w:r w:rsidRPr="00E46CC7">
        <w:rPr>
          <w:i/>
          <w:iCs/>
        </w:rPr>
        <w:t>is</w:t>
      </w:r>
      <w:r w:rsidRPr="00F14CED">
        <w:t>-</w:t>
      </w:r>
      <w:proofErr w:type="spellStart"/>
      <w:r w:rsidRPr="00F14CED">
        <w:t>eQTL</w:t>
      </w:r>
      <w:proofErr w:type="spellEnd"/>
      <w:r>
        <w:t xml:space="preserve"> analysis. Through the identification of probable causal SNPs that were associated with gene expression, we identified potential TFBS and provided evidence of network rewiring for the addition of </w:t>
      </w:r>
      <w:r>
        <w:rPr>
          <w:i/>
          <w:iCs/>
        </w:rPr>
        <w:t xml:space="preserve">de novo </w:t>
      </w:r>
      <w:r>
        <w:t xml:space="preserve">genes. The use of </w:t>
      </w:r>
      <w:r>
        <w:rPr>
          <w:i/>
          <w:iCs/>
        </w:rPr>
        <w:t>cis-</w:t>
      </w:r>
      <w:proofErr w:type="spellStart"/>
      <w:r>
        <w:t>eQTL</w:t>
      </w:r>
      <w:proofErr w:type="spellEnd"/>
      <w:r>
        <w:t xml:space="preserve"> analysis adds an additional layer of evidence in addition to homology guided detection of binding sites that the TFBS is likely functional and provides a foundation for future molecular validations. </w:t>
      </w:r>
    </w:p>
    <w:p w14:paraId="147B1052" w14:textId="77777777" w:rsidR="00636B5B" w:rsidRDefault="00636B5B" w:rsidP="00CE7936">
      <w:pPr>
        <w:spacing w:line="360" w:lineRule="auto"/>
        <w:ind w:firstLine="720"/>
        <w:jc w:val="both"/>
      </w:pPr>
      <w:r>
        <w:t xml:space="preserve">In addition to gene reconstruction, synteny can also be leveraged to reconstruct the evolution of </w:t>
      </w:r>
      <w:r w:rsidRPr="00E46CC7">
        <w:rPr>
          <w:i/>
          <w:iCs/>
        </w:rPr>
        <w:t>cis</w:t>
      </w:r>
      <w:r>
        <w:rPr>
          <w:i/>
          <w:iCs/>
        </w:rPr>
        <w:t xml:space="preserve"> </w:t>
      </w:r>
      <w:r>
        <w:t xml:space="preserve">elements of </w:t>
      </w:r>
      <w:r w:rsidRPr="00E46CC7">
        <w:rPr>
          <w:i/>
          <w:iCs/>
        </w:rPr>
        <w:t xml:space="preserve">de </w:t>
      </w:r>
      <w:r w:rsidRPr="00724D33">
        <w:t>novo</w:t>
      </w:r>
      <w:r>
        <w:t xml:space="preserve"> genes. </w:t>
      </w:r>
      <w:r w:rsidRPr="00E46CC7">
        <w:rPr>
          <w:i/>
          <w:iCs/>
        </w:rPr>
        <w:t>Cis</w:t>
      </w:r>
      <w:r w:rsidRPr="00E46CC7">
        <w:rPr>
          <w:i/>
          <w:iCs/>
        </w:rPr>
        <w:softHyphen/>
      </w:r>
      <w:r>
        <w:t xml:space="preserve"> elements have been shown to be essential to </w:t>
      </w:r>
      <w:r w:rsidRPr="00E46CC7">
        <w:rPr>
          <w:i/>
          <w:iCs/>
        </w:rPr>
        <w:t xml:space="preserve">de </w:t>
      </w:r>
      <w:r w:rsidRPr="00E46CC7">
        <w:rPr>
          <w:i/>
          <w:iCs/>
        </w:rPr>
        <w:lastRenderedPageBreak/>
        <w:t>novo</w:t>
      </w:r>
      <w:r>
        <w:t xml:space="preserve"> gene evolution by creating an appropriate context for transcription and integrating new genes into existing networks </w:t>
      </w:r>
      <w:r>
        <w:fldChar w:fldCharType="begin" w:fldLock="1"/>
      </w:r>
      <w:r>
        <w:instrText>ADDIN CSL_CITATION {"citationItems":[{"id":"ITEM-1","itemData":{"DOI":"10.1101/gr.234872.118","ISSN":"15495469","abstract":"Species-specific, new, or “orphan” genes account for 10%-30% of eukaryotic genomes. Although initially considered to have limited function, an increasing number of orphan genes have been shown to provide important phenotypic innovation. How new genes acquire regulatory sequences for proper temporal and spatial expression is unknown. Orphan gene regulation may rely in part on origination in open chromatin adjacent to preexisting promoters, although this has not yet been assessed by genome-wide analysis of chromatin states. Here, we combine taxon-rich nematode phylogenies with Iso-Seq, RNA-seq, ChIP-seq, and ATAC-seq to identify the gene structure and epigenetic signature of orphan genes in the satellite model nematode Pristionchus pacificus. Consistent with previous findings, we find young genes are shorter, contain fewer exons, and are on average less strongly expressed than older genes. However, the subset of orphan genes that are expressed exhibit distinct chromatin states from similarly expressed conserved genes. Orphan gene transcription is determined by a lack of repressive histone modifications, confirming long-held hypotheses that open chromatin is important for new gene formation. Yet orphan gene start sites more closely resemble enhancers defined by H3K4me1, H3K27ac, and ATAC-seq peaks, in contrast to conserved genes that exhibit traditional promoters defined by H3K4me3 and H3K27ac. Although the majority of orphan genes are located on chromosome arms that contain high recombination rates and repressive histone marks, strongly expressed orphan genes are more randomly distributed. Our results support a model of new gene origination by rare integration into open chromatin near enhancers.","author":[{"dropping-particle":"","family":"Werner","given":"Michael S.","non-dropping-particle":"","parse-names":false,"suffix":""},{"dropping-particle":"","family":"Sieriebriennikov","given":"Bogdan","non-dropping-particle":"","parse-names":false,"suffix":""},{"dropping-particle":"","family":"Prabh","given":"Neel","non-dropping-particle":"","parse-names":false,"suffix":""},{"dropping-particle":"","family":"Loschko","given":"Tobias","non-dropping-particle":"","parse-names":false,"suffix":""},{"dropping-particle":"","family":"Lanz","given":"Christa","non-dropping-particle":"","parse-names":false,"suffix":""},{"dropping-particle":"","family":"Sommer","given":"Ralf J.","non-dropping-particle":"","parse-names":false,"suffix":""}],"container-title":"Genome Research","id":"ITEM-1","issue":"11","issued":{"date-parts":[["2018"]]},"page":"1675-1687","title":"Young genes have distinct gene structure, epigenetic profiles, and transcriptional regulation","type":"article-journal","volume":"28"},"uris":["http://www.mendeley.com/documents/?uuid=d3071dd4-d1b8-4be0-91d0-41f436227ca1"]},{"id":"ITEM-2","itemData":{"DOI":"10.1093/molbev/msz300","ISSN":"15371719","abstract":"Regulatory networks control the spatiotemporal gene expression patterns that give rise to and define the individual cell types of multicellular organisms. In eumetazoa, distal regulatory elements called enhancers play a key role in determining the structure of such networks, particularly the wiring diagram of \"who regulates whom.\" Mutations that affect enhancer activity can therefore rewire regulatory networks, potentially causing adaptive changes in gene expression. Here, we use whole-tissue and single-cell transcriptomic and chromatin accessibility data from mouse to show that enhancers play an additional role in the evolution of regulatory networks: They facilitate network growth by creating transcriptionally active regions of open chromatin that are conducive to de novo gene evolution. Specifically, our comparative transcriptomic analysis with three other mammalian species shows that young, mouse-specific intergenic open reading frames are preferentially located near enhancers, whereas older open reading frames are not. Mouse-specific intergenic open reading frames that are proximal to enhancers are more highly and stably transcribed than those that are not proximal to enhancers or promoters, and they are transcribed in a limited diversity of cellular contexts. Furthermore, we report several instances of mouse-specific intergenic open reading frames proximal to promoters showing evidence of being repurposed enhancers. We also show that open reading frames gradually acquire interactions with enhancers over macroevolutionary timescales, helping integrate genes-those that have arisen de novo or by other means-into existing regulatory networks. Taken together, our results highlight a dual role of enhancers in expanding and rewiring gene regulatory networks.","author":[{"dropping-particle":"","family":"Majic","given":"Paco","non-dropping-particle":"","parse-names":false,"suffix":""},{"dropping-particle":"","family":"Payne","given":"Joshua L.","non-dropping-particle":"","parse-names":false,"suffix":""}],"container-title":"Molecular biology and evolution","id":"ITEM-2","issue":"4","issued":{"date-parts":[["2020"]]},"page":"1165-1178","title":"Enhancers Facilitate the Birth of De Novo Genes and Gene Integration into Regulatory Networks","type":"article-journal","volume":"37"},"uris":["http://www.mendeley.com/documents/?uuid=a2c0614e-6fe3-4da9-9d25-2a2dd56016d3"]}],"mendeley":{"formattedCitation":"(Majic &amp; Payne, 2020; Werner et al., 2018)","plainTextFormattedCitation":"(Majic &amp; Payne, 2020; Werner et al., 2018)","previouslyFormattedCitation":"(Werner et al. 2018; Majic &amp; Payne 2020)"},"properties":{"noteIndex":0},"schema":"https://github.com/citation-style-language/schema/raw/master/csl-citation.json"}</w:instrText>
      </w:r>
      <w:r>
        <w:fldChar w:fldCharType="separate"/>
      </w:r>
      <w:r w:rsidRPr="00CE7936">
        <w:rPr>
          <w:noProof/>
        </w:rPr>
        <w:t>(Majic &amp; Payne, 2020; Werner et al., 2018)</w:t>
      </w:r>
      <w:r>
        <w:fldChar w:fldCharType="end"/>
      </w:r>
      <w:r>
        <w:t xml:space="preserve">. Our findings provide clear examples of the evolution of a TFBS in the context of a </w:t>
      </w:r>
      <w:r w:rsidRPr="001C7A9F">
        <w:rPr>
          <w:i/>
          <w:iCs/>
        </w:rPr>
        <w:t>cis</w:t>
      </w:r>
      <w:r>
        <w:t>-</w:t>
      </w:r>
      <w:proofErr w:type="spellStart"/>
      <w:r>
        <w:t>eQTL</w:t>
      </w:r>
      <w:proofErr w:type="spellEnd"/>
      <w:r>
        <w:t xml:space="preserve"> study. Although, we do not provide experimental evidence of transcription factor binding, future work could validate these predictions through molecular assays.</w:t>
      </w:r>
    </w:p>
    <w:p w14:paraId="502DDD39" w14:textId="77777777" w:rsidR="00636B5B" w:rsidRPr="00D35612" w:rsidRDefault="00636B5B" w:rsidP="00CE7936">
      <w:pPr>
        <w:spacing w:line="360" w:lineRule="auto"/>
        <w:ind w:firstLine="720"/>
        <w:jc w:val="both"/>
      </w:pPr>
      <w:r>
        <w:t xml:space="preserve">Thus far, insight into orphan gene functional repertoire has primarily been limited to examples of molecular validation. To expand and confirm upon known functions provided by molecular studies, we used functional enrichment of putative </w:t>
      </w:r>
      <w:r>
        <w:rPr>
          <w:i/>
          <w:iCs/>
        </w:rPr>
        <w:t>trans-</w:t>
      </w:r>
      <w:proofErr w:type="spellStart"/>
      <w:r>
        <w:t>eQTL</w:t>
      </w:r>
      <w:proofErr w:type="spellEnd"/>
      <w:r>
        <w:t xml:space="preserve"> regulatory networks that contain orphan genes to assign putative functional roles to orphan genes found in those networks. Our functional enrichment results aligned with well-known functional niches of orphan genes such as response to environmental stress and host-pathogen interaction and uncovered additional functional diversity as well. Collectively, this study captured 45% of </w:t>
      </w:r>
      <w:r w:rsidRPr="00333E28">
        <w:rPr>
          <w:i/>
          <w:iCs/>
        </w:rPr>
        <w:t xml:space="preserve">P. </w:t>
      </w:r>
      <w:proofErr w:type="spellStart"/>
      <w:r w:rsidRPr="00333E28">
        <w:rPr>
          <w:i/>
          <w:iCs/>
        </w:rPr>
        <w:t>trichocarpa</w:t>
      </w:r>
      <w:proofErr w:type="spellEnd"/>
      <w:r>
        <w:t xml:space="preserve"> orphan genes in </w:t>
      </w:r>
      <w:r w:rsidRPr="00E46CC7">
        <w:rPr>
          <w:i/>
          <w:iCs/>
        </w:rPr>
        <w:t>trans-</w:t>
      </w:r>
      <w:proofErr w:type="spellStart"/>
      <w:r>
        <w:t>eQTL</w:t>
      </w:r>
      <w:proofErr w:type="spellEnd"/>
      <w:r>
        <w:t xml:space="preserve"> networks. </w:t>
      </w:r>
    </w:p>
    <w:p w14:paraId="0A8CBFD5" w14:textId="77777777" w:rsidR="00636B5B" w:rsidRDefault="00636B5B" w:rsidP="00CE7936">
      <w:pPr>
        <w:spacing w:line="360" w:lineRule="auto"/>
        <w:ind w:firstLine="720"/>
        <w:jc w:val="both"/>
      </w:pPr>
      <w:r>
        <w:t xml:space="preserve">Forest trees are keystone species and have significant environmental importance. </w:t>
      </w:r>
      <w:r w:rsidRPr="00333E28">
        <w:rPr>
          <w:i/>
          <w:iCs/>
        </w:rPr>
        <w:t xml:space="preserve">P. </w:t>
      </w:r>
      <w:proofErr w:type="spellStart"/>
      <w:r w:rsidRPr="00333E28">
        <w:rPr>
          <w:i/>
          <w:iCs/>
        </w:rPr>
        <w:t>trichocarpa</w:t>
      </w:r>
      <w:proofErr w:type="spellEnd"/>
      <w:r>
        <w:rPr>
          <w:i/>
          <w:iCs/>
        </w:rPr>
        <w:t xml:space="preserve"> </w:t>
      </w:r>
      <w:r>
        <w:t xml:space="preserve">has an extensive species range which spans considerable abiotic and biotic diversity </w:t>
      </w:r>
      <w:r>
        <w:fldChar w:fldCharType="begin" w:fldLock="1"/>
      </w:r>
      <w:r>
        <w:instrText>ADDIN CSL_CITATION {"citationItems":[{"id":"ITEM-1","itemData":{"DOI":"10.1038/ng.3075","ISBN":"1061-4036","ISSN":"1061-4036","PMID":"25151358","abstract":"Forest trees are dominant components of terrestrial ecosystems that have global ecological and economic importance. Despite distributions that span wide environmental gradients, many tree populations are locally adapted, and mechanisms underlying this adaptation are poorly understood. Here we use a combination of whole-genome selection scans and association analyses of 544 Populus trichocarpa trees to reveal genomic bases of adaptive variation across a wide latitudinal range. Three hundred ninety-seven genomic regions showed evidence of recent positive and/or divergent selection and enrichment for associations with adaptive traits that also displayed patterns consistent with natural selection. These regions also provide unexpected insights into the evolutionary dynamics of duplicated genes and their roles in adaptive trait variation.","author":[{"dropping-particle":"","family":"Evans","given":"Luke M","non-dropping-particle":"","parse-names":false,"suffix":""},{"dropping-particle":"","family":"Slavov","given":"Gancho T","non-dropping-particle":"","parse-names":false,"suffix":""},{"dropping-particle":"","family":"Rodgers-Melnick","given":"Eli","non-dropping-particle":"","parse-names":false,"suffix":""},{"dropping-particle":"","family":"Martin","given":"Joel","non-dropping-particle":"","parse-names":false,"suffix":""},{"dropping-particle":"","family":"Ranjan","given":"Priya","non-dropping-particle":"","parse-names":false,"suffix":""},{"dropping-particle":"","family":"Muchero","given":"Wellington","non-dropping-particle":"","parse-names":false,"suffix":""},{"dropping-particle":"","family":"Brunner","given":"Amy M","non-dropping-particle":"","parse-names":false,"suffix":""},{"dropping-particle":"","family":"Schackwitz","given":"Wendy","non-dropping-particle":"","parse-names":false,"suffix":""},{"dropping-particle":"","family":"Gunter","given":"Lee","non-dropping-particle":"","parse-names":false,"suffix":""},{"dropping-particle":"","family":"Chen","given":"Jin-Gui","non-dropping-particle":"","parse-names":false,"suffix":""},{"dropping-particle":"","family":"Tuskan","given":"Gerald A","non-dropping-particle":"","parse-names":false,"suffix":""},{"dropping-particle":"","family":"DiFazio","given":"Stephen P","non-dropping-particle":"","parse-names":false,"suffix":""}],"container-title":"Nature Genetics","id":"ITEM-1","issue":"10","issued":{"date-parts":[["2014"]]},"page":"1089-1096","publisher":"Nature Publishing Group","title":"Population genomics of Populus trichocarpa identifies signatures of selection and adaptive trait associations","type":"article-journal","volume":"46"},"uris":["http://www.mendeley.com/documents/?uuid=71679112-863d-4c08-af11-5be2ca0a31c8"]}],"mendeley":{"formattedCitation":"(Evans et al., 2014)","plainTextFormattedCitation":"(Evans et al., 2014)","previouslyFormattedCitation":"(Evans et al. 2014)"},"properties":{"noteIndex":0},"schema":"https://github.com/citation-style-language/schema/raw/master/csl-citation.json"}</w:instrText>
      </w:r>
      <w:r>
        <w:fldChar w:fldCharType="separate"/>
      </w:r>
      <w:r w:rsidRPr="00CE7936">
        <w:rPr>
          <w:noProof/>
        </w:rPr>
        <w:t>(Evans et al., 2014)</w:t>
      </w:r>
      <w:r>
        <w:fldChar w:fldCharType="end"/>
      </w:r>
      <w:r>
        <w:t xml:space="preserve">. From previously described functional validation in other systems, orphan genes have been shown play essential roles in adaptation and phenotypic novelty </w:t>
      </w:r>
      <w:r>
        <w:fldChar w:fldCharType="begin" w:fldLock="1"/>
      </w:r>
      <w:r>
        <w:instrText>ADDIN CSL_CITATION {"citationItems":[{"id":"ITEM-1","itemData":{"DOI":"10.1371/journal.pone.0004603","ISBN":"1932-6203 (Electronic)","ISSN":"19326203","PMID":"19240804","abstract":"How defense genes originated with the evolution of their specific pathogen-responsive traits remains an important problem. It is generally known that a form of duplication can generate new genes, suggesting that a new gene usually evolves from an ancestral gene. However, we show that a new defense gene in plants may evolve by de novo origination, resulting in sophisticated disease-resistant functions in rice. Analyses of gene evolution showed that this new gene, OsDR10, had homologs only in the closest relative, Leersia genus, but not other subfamilies of the grass family; therefore, it is a rice tribe-specific gene that may have originated de novo in the tribe. We further show that this gene may evolve a highly conservative rice-specific function that contributes to the regulation difference between rice and other plant species in response to pathogen infections. Biologic analyses including gene silencing, pathologic analysis, and mutant characterization by transformation showed that the OsDR10-suppressed plants enhanced resistance to a broad spectrum of Xanthomonas oryzae pv. oryzae strains, which cause bacterial blight disease. This enhanced disease resistance was accompanied by increased accumulation of endogenous salicylic acid (SA) and suppressed accumulation of endogenous jasmonic acid (JA) as well as modified expression of a subset of defense-responsive genes functioning both upstream and downstream of SA and JA. These data and analyses provide fresh insights into the new biologic and evolutionary processes of a de novo gene recruited rapidly.","author":[{"dropping-particle":"","family":"Xiao","given":"Wenfei","non-dropping-particle":"","parse-names":false,"suffix":""},{"dropping-particle":"","family":"Liu","given":"Hongbo","non-dropping-particle":"","parse-names":false,"suffix":""},{"dropping-particle":"","family":"Li","given":"Yu","non-dropping-particle":"","parse-names":false,"suffix":""},{"dropping-particle":"","family":"Li","given":"Xianghua","non-dropping-particle":"","parse-names":false,"suffix":""},{"dropping-particle":"","family":"Xu","given":"Caiguo","non-dropping-particle":"","parse-names":false,"suffix":""},{"dropping-particle":"","family":"Long","given":"Manyuan","non-dropping-particle":"","parse-names":false,"suffix":""},{"dropping-particle":"","family":"Wang","given":"Shiping","non-dropping-particle":"","parse-names":false,"suffix":""}],"container-title":"PLoS ONE","id":"ITEM-1","issue":"2","issued":{"date-parts":[["2009"]]},"page":"1-12","title":"A rice gene of de novo origin negatively regulates pathogen-induced defense response","type":"article-journal","volume":"4"},"uris":["http://www.mendeley.com/documents/?uuid=f624d351-2b59-455a-8ebf-daf609a831c0"]},{"id":"ITEM-2","itemData":{"DOI":"10.1111/pbi.12961","ISSN":"14677652","abstract":"Enhancing the nutritional quality and disease resistance of crops without sacrificing productivity is a key issue for developing varieties that are valuable to farmers and for simultaneously improving food security and sustainability. Expression of the Arabidopsis thaliana species-specific AtQQS (Qua-Quine Starch) orphan gene or its interactor, NF-YC4 (Nuclear Factor Y, subunit C4), has been shown to increase levels of leaf/seed protein without affecting the growth and yield of agronomic species. Here, we demonstrate that overexpression of AtQQS and NF-YC4 in Arabidopsis and soybean enhances resistance/reduces susceptibility to viruses, bacteria, fungi, aphids and soybean cyst nematodes. A series of Arabidopsis mutants in starch metabolism were used to explore the relationships between QQS expression, carbon and nitrogen partitioning, and defense. The enhanced basal defenses mediated by QQS were independent of changes in protein/carbohydrate composition of the plants. We demonstrate that either AtQQS or NF-YC4 overexpression in Arabidopsis and in soybean reduces susceptibility of these plants to pathogens/pests. Transgenic soybean lines overexpressing NF-YC4 produce seeds with increased protein while maintaining healthy growth. Pull-down studies reveal that QQS interacts with human NF-YC, as well as with Arabidopsis NF-YC4, and indicate two QQS binding sites near the NF-YC-histone-binding domain. A new model for QQS interaction with NF-YC is speculated. Our findings illustrate the potential of QQS and NF-YC4 to increase protein and improve defensive traits in crops, overcoming the normal growth-defense trade-offs.","author":[{"dropping-particle":"","family":"Qi","given":"Mingsheng","non-dropping-particle":"","parse-names":false,"suffix":""},{"dropping-particle":"","family":"Zheng","given":"Wenguang","non-dropping-particle":"","parse-names":false,"suffix":""},{"dropping-particle":"","family":"Zhao","given":"Xuefeng","non-dropping-particle":"","parse-names":false,"suffix":""},{"dropping-particle":"","family":"Hohenstein","given":"Jessica D.","non-dropping-particle":"","parse-names":false,"suffix":""},{"dropping-particle":"","family":"Kandel","given":"Yuba","non-dropping-particle":"","parse-names":false,"suffix":""},{"dropping-particle":"","family":"O'Conner","given":"Seth","non-dropping-particle":"","parse-names":false,"suffix":""},{"dropping-particle":"","family":"Wang","given":"Yifan","non-dropping-particle":"","parse-names":false,"suffix":""},{"dropping-particle":"","family":"Du","given":"Chuanlong","non-dropping-particle":"","parse-names":false,"suffix":""},{"dropping-particle":"","family":"Nettleton","given":"Dan","non-dropping-particle":"","parse-names":false,"suffix":""},{"dropping-particle":"","family":"MacIntosh","given":"Gustavo C.","non-dropping-particle":"","parse-names":false,"suffix":""},{"dropping-particle":"","family":"Tylka","given":"Gregory L.","non-dropping-particle":"","parse-names":false,"suffix":""},{"dropping-particle":"","family":"Wurtele","given":"Eve S.","non-dropping-particle":"","parse-names":false,"suffix":""},{"dropping-particle":"","family":"Whitham","given":"Steven A.","non-dropping-particle":"","parse-names":false,"suffix":""},{"dropping-particle":"","family":"Li","given":"Ling","non-dropping-particle":"","parse-names":false,"suffix":""}],"container-title":"Plant Biotechnology Journal","id":"ITEM-2","issue":"1","issued":{"date-parts":[["2019"]]},"page":"252-263","title":"QQS orphan gene and its interactor NF-YC4 reduce susceptibility to pathogens and pests","type":"article-journal","volume":"17"},"uris":["http://www.mendeley.com/documents/?uuid=59d63c55-6a5d-4c05-bd8d-3ee5b6f129da"]}],"mendeley":{"formattedCitation":"(Qi et al., 2019; Xiao et al., 2009)","plainTextFormattedCitation":"(Qi et al., 2019; Xiao et al., 2009)","previouslyFormattedCitation":"(Xiao et al. 2009; Qi et al. 2019)"},"properties":{"noteIndex":0},"schema":"https://github.com/citation-style-language/schema/raw/master/csl-citation.json"}</w:instrText>
      </w:r>
      <w:r>
        <w:fldChar w:fldCharType="separate"/>
      </w:r>
      <w:r w:rsidRPr="00CE7936">
        <w:rPr>
          <w:noProof/>
        </w:rPr>
        <w:t>(Qi et al., 2019; Xiao et al., 2009)</w:t>
      </w:r>
      <w:r>
        <w:fldChar w:fldCharType="end"/>
      </w:r>
      <w:r>
        <w:t xml:space="preserve">. Moreover, the identification of orphan genes in </w:t>
      </w:r>
      <w:r w:rsidRPr="00333E28">
        <w:rPr>
          <w:i/>
          <w:iCs/>
        </w:rPr>
        <w:t xml:space="preserve">P. </w:t>
      </w:r>
      <w:proofErr w:type="spellStart"/>
      <w:r w:rsidRPr="00333E28">
        <w:rPr>
          <w:i/>
          <w:iCs/>
        </w:rPr>
        <w:t>trichocarpa</w:t>
      </w:r>
      <w:proofErr w:type="spellEnd"/>
      <w:r>
        <w:rPr>
          <w:i/>
          <w:iCs/>
        </w:rPr>
        <w:t xml:space="preserve"> </w:t>
      </w:r>
      <w:r>
        <w:t xml:space="preserve">may provide a platform for future studies interested in their roles in adaptive processes. By exploring </w:t>
      </w:r>
      <w:r w:rsidRPr="00E46CC7">
        <w:rPr>
          <w:i/>
          <w:iCs/>
        </w:rPr>
        <w:t xml:space="preserve">de novo </w:t>
      </w:r>
      <w:r>
        <w:t xml:space="preserve">gene evolution through the lens of a WGD event which serves as an outgroup that has extensive syntenic conservation, we were able to concretely provide evidence of a noncoding ancestral state. Furthermore, the methodology developed here may enable future </w:t>
      </w:r>
      <w:r>
        <w:rPr>
          <w:i/>
          <w:iCs/>
        </w:rPr>
        <w:t xml:space="preserve">de novo </w:t>
      </w:r>
      <w:r>
        <w:t xml:space="preserve">gene studies in species which lack closely related outgroups but retain highly conserved whole genome duplications.  Additionally, through the use of multi-omics data available to </w:t>
      </w:r>
      <w:r w:rsidRPr="00333E28">
        <w:rPr>
          <w:i/>
          <w:iCs/>
        </w:rPr>
        <w:t xml:space="preserve">P. </w:t>
      </w:r>
      <w:proofErr w:type="spellStart"/>
      <w:r w:rsidRPr="00333E28">
        <w:rPr>
          <w:i/>
          <w:iCs/>
        </w:rPr>
        <w:t>trichocarpa</w:t>
      </w:r>
      <w:proofErr w:type="spellEnd"/>
      <w:r w:rsidRPr="00E46CC7">
        <w:rPr>
          <w:i/>
          <w:iCs/>
        </w:rPr>
        <w:t xml:space="preserve"> </w:t>
      </w:r>
      <w:r>
        <w:t xml:space="preserve">we could accurately describe orphans’ primary functional niches and regulatory origins. Future work will place an emphasis on empirically validating their function and regulation. </w:t>
      </w:r>
    </w:p>
    <w:p w14:paraId="54A805FA" w14:textId="77777777" w:rsidR="00636B5B" w:rsidRDefault="00636B5B" w:rsidP="00CE7936">
      <w:pPr>
        <w:widowControl w:val="0"/>
        <w:autoSpaceDE w:val="0"/>
        <w:autoSpaceDN w:val="0"/>
        <w:adjustRightInd w:val="0"/>
        <w:rPr>
          <w:b/>
          <w:bCs/>
          <w:sz w:val="28"/>
          <w:szCs w:val="26"/>
        </w:rPr>
      </w:pPr>
    </w:p>
    <w:p w14:paraId="4CFA191E" w14:textId="77777777" w:rsidR="00636B5B" w:rsidRDefault="00636B5B" w:rsidP="00CE7936">
      <w:pPr>
        <w:widowControl w:val="0"/>
        <w:autoSpaceDE w:val="0"/>
        <w:autoSpaceDN w:val="0"/>
        <w:adjustRightInd w:val="0"/>
        <w:jc w:val="center"/>
        <w:rPr>
          <w:b/>
          <w:bCs/>
          <w:sz w:val="28"/>
          <w:szCs w:val="26"/>
        </w:rPr>
      </w:pPr>
      <w:r>
        <w:rPr>
          <w:b/>
          <w:bCs/>
          <w:sz w:val="28"/>
          <w:szCs w:val="26"/>
        </w:rPr>
        <w:t>Materials and Methods</w:t>
      </w:r>
    </w:p>
    <w:p w14:paraId="31A270D0" w14:textId="77777777" w:rsidR="00636B5B" w:rsidRDefault="00636B5B" w:rsidP="00CE7936">
      <w:pPr>
        <w:widowControl w:val="0"/>
        <w:autoSpaceDE w:val="0"/>
        <w:autoSpaceDN w:val="0"/>
        <w:adjustRightInd w:val="0"/>
        <w:spacing w:line="360" w:lineRule="auto"/>
        <w:rPr>
          <w:b/>
          <w:bCs/>
          <w:iCs/>
        </w:rPr>
      </w:pPr>
    </w:p>
    <w:p w14:paraId="3FCE9808" w14:textId="77777777" w:rsidR="00636B5B" w:rsidRPr="00F84FC9" w:rsidRDefault="00636B5B" w:rsidP="00CE7936">
      <w:pPr>
        <w:spacing w:line="360" w:lineRule="auto"/>
        <w:jc w:val="both"/>
        <w:rPr>
          <w:bCs/>
        </w:rPr>
      </w:pPr>
      <w:r>
        <w:rPr>
          <w:b/>
        </w:rPr>
        <w:t xml:space="preserve">Phylogenetics, synteny, and selection analysis: </w:t>
      </w:r>
      <w:r>
        <w:rPr>
          <w:bCs/>
        </w:rPr>
        <w:t xml:space="preserve">The species tree was constructed with </w:t>
      </w:r>
      <w:proofErr w:type="spellStart"/>
      <w:r>
        <w:rPr>
          <w:bCs/>
        </w:rPr>
        <w:t>Orthofinder</w:t>
      </w:r>
      <w:proofErr w:type="spellEnd"/>
      <w:r>
        <w:rPr>
          <w:bCs/>
        </w:rPr>
        <w:t xml:space="preserve"> v</w:t>
      </w:r>
      <w:r w:rsidRPr="00CC7DA2">
        <w:rPr>
          <w:bCs/>
        </w:rPr>
        <w:t>2.2.6</w:t>
      </w:r>
      <w:r>
        <w:rPr>
          <w:bCs/>
        </w:rPr>
        <w:t xml:space="preserve"> with default parameters using the primary protein isoform sequences of </w:t>
      </w:r>
      <w:r w:rsidRPr="00333E28">
        <w:rPr>
          <w:bCs/>
          <w:i/>
          <w:iCs/>
        </w:rPr>
        <w:t xml:space="preserve">P. </w:t>
      </w:r>
      <w:proofErr w:type="spellStart"/>
      <w:r w:rsidRPr="00333E28">
        <w:rPr>
          <w:bCs/>
          <w:i/>
          <w:iCs/>
        </w:rPr>
        <w:t>trichocarpa</w:t>
      </w:r>
      <w:proofErr w:type="spellEnd"/>
      <w:r>
        <w:rPr>
          <w:bCs/>
          <w:i/>
          <w:iCs/>
        </w:rPr>
        <w:t xml:space="preserve"> </w:t>
      </w:r>
      <w:r>
        <w:rPr>
          <w:bCs/>
        </w:rPr>
        <w:t xml:space="preserve">v3.1, </w:t>
      </w:r>
      <w:r w:rsidRPr="00333E28">
        <w:rPr>
          <w:bCs/>
          <w:i/>
          <w:iCs/>
        </w:rPr>
        <w:t xml:space="preserve">P. </w:t>
      </w:r>
      <w:proofErr w:type="spellStart"/>
      <w:r w:rsidRPr="00333E28">
        <w:rPr>
          <w:bCs/>
          <w:i/>
          <w:iCs/>
        </w:rPr>
        <w:t>deltoides</w:t>
      </w:r>
      <w:proofErr w:type="spellEnd"/>
      <w:r>
        <w:rPr>
          <w:bCs/>
          <w:i/>
          <w:iCs/>
        </w:rPr>
        <w:t xml:space="preserve"> </w:t>
      </w:r>
      <w:r>
        <w:rPr>
          <w:bCs/>
        </w:rPr>
        <w:t xml:space="preserve">v2.1, and </w:t>
      </w:r>
      <w:r w:rsidRPr="00A52643">
        <w:rPr>
          <w:bCs/>
          <w:i/>
          <w:iCs/>
        </w:rPr>
        <w:t xml:space="preserve">S. purpurea </w:t>
      </w:r>
      <w:r>
        <w:rPr>
          <w:bCs/>
        </w:rPr>
        <w:t xml:space="preserve">v1.1 </w:t>
      </w:r>
      <w:r>
        <w:rPr>
          <w:bCs/>
        </w:rPr>
        <w:fldChar w:fldCharType="begin" w:fldLock="1"/>
      </w:r>
      <w:r>
        <w:rPr>
          <w:bCs/>
        </w:rPr>
        <w:instrText>ADDIN CSL_CITATION {"citationItems":[{"id":"ITEM-1","itemData":{"DOI":"10.1101/466201","ISSN":"1474-760X","abstract":"Here, we present a major advance of the OrthoFinder method. This extends OrthoFinder’s high accuracy orthogroup inference to provide phylogenetic inference of orthologs, rooted genes trees, gene duplication events, the rooted species tree, and comparative genomic statistics. Each output is benchmarked on appropriate real or simulated datasets and, where comparable methods exist, OrthoFinder is equivalent to or outperforms these methods. Furthermore, OrthoFinder is the most accurate ortholog inference method on the Quest for Orthologs benchmark test. Finally, OrthoFinder’s comprehensive phylogenetic analysis is achieved with equivalent speed and scalability to the fastest, score-based heuristic methods. OrthoFinder is available at https://github.com/davidemms/OrthoFinder.","author":[{"dropping-particle":"","family":"Emms","given":"David M.","non-dropping-particle":"","parse-names":false,"suffix":""},{"dropping-particle":"","family":"Kelly","given":"Steven","non-dropping-particle":"","parse-names":false,"suffix":""}],"container-title":"Genome Biology","id":"ITEM-1","issued":{"date-parts":[["2019"]]},"page":"1-14","publisher":"Genome Biology","title":"OrthoFinder: Phylogenetic orthology inference for comparative genomics","type":"article-journal"},"uris":["http://www.mendeley.com/documents/?uuid=b499e3b2-c407-49fc-ae11-8d9f75e1f829"]}],"mendeley":{"formattedCitation":"(Emms &amp; Kelly, 2019)","plainTextFormattedCitation":"(Emms &amp; Kelly, 2019)","previouslyFormattedCitation":"(Emms &amp; Kelly 2019)"},"properties":{"noteIndex":0},"schema":"https://github.com/citation-style-language/schema/raw/master/csl-citation.json"}</w:instrText>
      </w:r>
      <w:r>
        <w:rPr>
          <w:bCs/>
        </w:rPr>
        <w:fldChar w:fldCharType="separate"/>
      </w:r>
      <w:r w:rsidRPr="00CE7936">
        <w:rPr>
          <w:bCs/>
          <w:noProof/>
        </w:rPr>
        <w:t>(Emms &amp; Kelly, 2019)</w:t>
      </w:r>
      <w:r>
        <w:rPr>
          <w:bCs/>
        </w:rPr>
        <w:fldChar w:fldCharType="end"/>
      </w:r>
      <w:r>
        <w:rPr>
          <w:bCs/>
        </w:rPr>
        <w:t xml:space="preserve">. </w:t>
      </w:r>
      <w:proofErr w:type="spellStart"/>
      <w:r>
        <w:rPr>
          <w:bCs/>
        </w:rPr>
        <w:t>Macrosynteny</w:t>
      </w:r>
      <w:proofErr w:type="spellEnd"/>
      <w:r>
        <w:rPr>
          <w:bCs/>
        </w:rPr>
        <w:t xml:space="preserve"> </w:t>
      </w:r>
      <w:r>
        <w:rPr>
          <w:bCs/>
        </w:rPr>
        <w:lastRenderedPageBreak/>
        <w:t xml:space="preserve">relationships between </w:t>
      </w:r>
      <w:r w:rsidRPr="00333E28">
        <w:rPr>
          <w:bCs/>
          <w:i/>
          <w:iCs/>
        </w:rPr>
        <w:t xml:space="preserve">P. </w:t>
      </w:r>
      <w:proofErr w:type="spellStart"/>
      <w:r w:rsidRPr="00333E28">
        <w:rPr>
          <w:bCs/>
          <w:i/>
          <w:iCs/>
        </w:rPr>
        <w:t>trichocarpa</w:t>
      </w:r>
      <w:proofErr w:type="spellEnd"/>
      <w:r>
        <w:rPr>
          <w:bCs/>
        </w:rPr>
        <w:t xml:space="preserve">, </w:t>
      </w:r>
      <w:r>
        <w:rPr>
          <w:bCs/>
          <w:i/>
          <w:iCs/>
        </w:rPr>
        <w:t xml:space="preserve">P. </w:t>
      </w:r>
      <w:proofErr w:type="spellStart"/>
      <w:r>
        <w:rPr>
          <w:bCs/>
          <w:i/>
          <w:iCs/>
        </w:rPr>
        <w:t>detloides</w:t>
      </w:r>
      <w:proofErr w:type="spellEnd"/>
      <w:r>
        <w:rPr>
          <w:bCs/>
          <w:i/>
          <w:iCs/>
        </w:rPr>
        <w:t xml:space="preserve">, </w:t>
      </w:r>
      <w:r>
        <w:rPr>
          <w:bCs/>
        </w:rPr>
        <w:t xml:space="preserve">and </w:t>
      </w:r>
      <w:r w:rsidRPr="00A52643">
        <w:rPr>
          <w:bCs/>
          <w:i/>
          <w:iCs/>
        </w:rPr>
        <w:t xml:space="preserve">S. purpurea </w:t>
      </w:r>
      <w:r>
        <w:rPr>
          <w:bCs/>
        </w:rPr>
        <w:t xml:space="preserve">were constructed with </w:t>
      </w:r>
      <w:proofErr w:type="spellStart"/>
      <w:r>
        <w:rPr>
          <w:bCs/>
        </w:rPr>
        <w:t>MCScan</w:t>
      </w:r>
      <w:proofErr w:type="spellEnd"/>
      <w:r>
        <w:rPr>
          <w:bCs/>
        </w:rPr>
        <w:t xml:space="preserve"> using default parameters (JCVI utility libraries </w:t>
      </w:r>
      <w:r w:rsidRPr="00B75F09">
        <w:rPr>
          <w:bCs/>
        </w:rPr>
        <w:t>v0.8.12</w:t>
      </w:r>
      <w:r>
        <w:rPr>
          <w:bCs/>
        </w:rPr>
        <w:t xml:space="preserve">) with the primary transcripts of </w:t>
      </w:r>
      <w:r w:rsidRPr="00333E28">
        <w:rPr>
          <w:bCs/>
          <w:i/>
          <w:iCs/>
        </w:rPr>
        <w:t xml:space="preserve">P. </w:t>
      </w:r>
      <w:proofErr w:type="spellStart"/>
      <w:r w:rsidRPr="00333E28">
        <w:rPr>
          <w:bCs/>
          <w:i/>
          <w:iCs/>
        </w:rPr>
        <w:t>trichocarpa</w:t>
      </w:r>
      <w:proofErr w:type="spellEnd"/>
      <w:r>
        <w:rPr>
          <w:bCs/>
          <w:i/>
          <w:iCs/>
        </w:rPr>
        <w:t xml:space="preserve"> </w:t>
      </w:r>
      <w:r>
        <w:rPr>
          <w:bCs/>
        </w:rPr>
        <w:t xml:space="preserve">v3.1, </w:t>
      </w:r>
      <w:r w:rsidRPr="00333E28">
        <w:rPr>
          <w:bCs/>
          <w:i/>
          <w:iCs/>
        </w:rPr>
        <w:t xml:space="preserve">P. </w:t>
      </w:r>
      <w:proofErr w:type="spellStart"/>
      <w:r w:rsidRPr="00333E28">
        <w:rPr>
          <w:bCs/>
          <w:i/>
          <w:iCs/>
        </w:rPr>
        <w:t>deltoides</w:t>
      </w:r>
      <w:proofErr w:type="spellEnd"/>
      <w:r>
        <w:rPr>
          <w:bCs/>
          <w:i/>
          <w:iCs/>
        </w:rPr>
        <w:t xml:space="preserve"> </w:t>
      </w:r>
      <w:r>
        <w:rPr>
          <w:bCs/>
        </w:rPr>
        <w:t xml:space="preserve">v2.1, and </w:t>
      </w:r>
      <w:r w:rsidRPr="00A52643">
        <w:rPr>
          <w:bCs/>
          <w:i/>
          <w:iCs/>
        </w:rPr>
        <w:t xml:space="preserve">S. purpurea </w:t>
      </w:r>
      <w:r>
        <w:rPr>
          <w:bCs/>
        </w:rPr>
        <w:t xml:space="preserve">v1.1 </w:t>
      </w:r>
      <w:r>
        <w:rPr>
          <w:bCs/>
        </w:rPr>
        <w:fldChar w:fldCharType="begin" w:fldLock="1"/>
      </w:r>
      <w:r>
        <w:rPr>
          <w:bCs/>
        </w:rPr>
        <w:instrText>ADDIN CSL_CITATION {"citationItems":[{"id":"ITEM-1","itemData":{"DOI":"10.1126/science.1153917","ISBN":"1095-9203 (Electronic)\\r0036-8075 (Linking)","ISSN":"0036-8075","PMID":"18436778","abstract":"Correlated gene arrangements among taxa provide a valuable framework for inference of shared ancestry of genes and for the utilization of findings from model organisms to study less-well-understood systems. In angiosperms, comparisons of gene arrangements are complicated by recurring polyploidy and extensive genome rearrangement. New genome sequences and improved analytical approaches are clarifying angiosperm evolution and revealing patterns of differential gene loss after genome duplication and differential gene retention associated with evolution of some morphological complexity. Because of variability in DNA substitution rates among taxa and genes, deviation from collinearity might be a more reliable phylogenetic character. E","author":[{"dropping-particle":"","family":"Tang","given":"H.","non-dropping-particle":"","parse-names":false,"suffix":""},{"dropping-particle":"","family":"Bowers","given":"J. E.","non-dropping-particle":"","parse-names":false,"suffix":""},{"dropping-particle":"","family":"Wang","given":"X.","non-dropping-particle":"","parse-names":false,"suffix":""},{"dropping-particle":"","family":"Ming","given":"R.","non-dropping-particle":"","parse-names":false,"suffix":""},{"dropping-particle":"","family":"Alam","given":"M.","non-dropping-particle":"","parse-names":false,"suffix":""},{"dropping-particle":"","family":"Paterson","given":"A. H.","non-dropping-particle":"","parse-names":false,"suffix":""}],"container-title":"Science","id":"ITEM-1","issue":"5875","issued":{"date-parts":[["2008"]]},"page":"486-488","title":"Synteny and Collinearity in Plant Genomes","type":"article-journal","volume":"320"},"uris":["http://www.mendeley.com/documents/?uuid=0dd261c4-a0fb-40a6-bcbf-ec8bfe9446b5"]}],"mendeley":{"formattedCitation":"(Tang et al., 2008)","plainTextFormattedCitation":"(Tang et al., 2008)","previouslyFormattedCitation":"(Tang et al. 2008)"},"properties":{"noteIndex":0},"schema":"https://github.com/citation-style-language/schema/raw/master/csl-citation.json"}</w:instrText>
      </w:r>
      <w:r>
        <w:rPr>
          <w:bCs/>
        </w:rPr>
        <w:fldChar w:fldCharType="separate"/>
      </w:r>
      <w:r w:rsidRPr="00CE7936">
        <w:rPr>
          <w:bCs/>
          <w:noProof/>
        </w:rPr>
        <w:t>(Tang et al., 2008)</w:t>
      </w:r>
      <w:r>
        <w:rPr>
          <w:bCs/>
        </w:rPr>
        <w:fldChar w:fldCharType="end"/>
      </w:r>
      <w:r>
        <w:rPr>
          <w:bCs/>
        </w:rPr>
        <w:t>. Selection analysis (</w:t>
      </w:r>
      <w:proofErr w:type="spellStart"/>
      <w:r>
        <w:rPr>
          <w:bCs/>
        </w:rPr>
        <w:t>piN</w:t>
      </w:r>
      <w:proofErr w:type="spellEnd"/>
      <w:r>
        <w:rPr>
          <w:bCs/>
        </w:rPr>
        <w:t>/</w:t>
      </w:r>
      <w:proofErr w:type="spellStart"/>
      <w:r>
        <w:rPr>
          <w:bCs/>
        </w:rPr>
        <w:t>piS</w:t>
      </w:r>
      <w:proofErr w:type="spellEnd"/>
      <w:r>
        <w:rPr>
          <w:bCs/>
        </w:rPr>
        <w:t xml:space="preserve">) was performed with </w:t>
      </w:r>
      <w:proofErr w:type="spellStart"/>
      <w:r>
        <w:rPr>
          <w:bCs/>
        </w:rPr>
        <w:t>SNPGenie</w:t>
      </w:r>
      <w:proofErr w:type="spellEnd"/>
      <w:r>
        <w:rPr>
          <w:bCs/>
        </w:rPr>
        <w:t xml:space="preserve"> with 917 individuals, using bi-allelic SNPs found in the CDS of the </w:t>
      </w:r>
      <w:r>
        <w:rPr>
          <w:bCs/>
          <w:i/>
          <w:iCs/>
        </w:rPr>
        <w:t xml:space="preserve">de novo </w:t>
      </w:r>
      <w:r>
        <w:rPr>
          <w:bCs/>
        </w:rPr>
        <w:t xml:space="preserve">gene with a minimum allele frequency of 0.01 </w:t>
      </w:r>
      <w:r>
        <w:rPr>
          <w:bCs/>
        </w:rPr>
        <w:fldChar w:fldCharType="begin" w:fldLock="1"/>
      </w:r>
      <w:r>
        <w:rPr>
          <w:bCs/>
        </w:rPr>
        <w:instrText>ADDIN CSL_CITATION {"citationItems":[{"id":"ITEM-1","itemData":{"DOI":"10.1093/bioinformatics/btv449","ISSN":"14602059","PMID":"26227143","abstract":"Summary: New applications of next-generation sequencing technologies use pools of DNA from multiple individuals to estimate population genetic parameters. However, no publicly available tools exist to analyse single-nucleotide polymorphism (SNP) calling results directly for evolutionary parameters important in detecting natural selection, including nucleotide diversity and gene diversity. We have developed SNPGenie to fill this gap. The user submits a FASTA reference sequence(s), a Gene Transfer Format (.GTF) file with CDS information and a SNP report(s) in an increasing selection of formats. The program estimates nucleotide diversity, distance from the reference and gene diversity. Sites are flagged for multiple overlapping reading frames, and are categorized by polymorphism type: nonsynonymous, synonymous, or ambiguous. The results allow single nucleotide, single codon, sliding window, whole gene and whole genome/population analyses that aid in the detection of positive and purifying natural selection in the source population. Availability and implementation: SNPGenie version 1.2 is a Perl program with no additional dependencies. It is free, open-source, and available for download at https://github.com/hugheslab/snpgenie.","author":[{"dropping-particle":"","family":"Nelson","given":"Chase W.","non-dropping-particle":"","parse-names":false,"suffix":""},{"dropping-particle":"","family":"Moncla","given":"Louise H.","non-dropping-particle":"","parse-names":false,"suffix":""},{"dropping-particle":"","family":"Hughes","given":"Austin L.","non-dropping-particle":"","parse-names":false,"suffix":""}],"container-title":"Bioinformatics","id":"ITEM-1","issue":"22","issued":{"date-parts":[["2015"]]},"page":"3709-3711","title":"SNPGenie: Estimating evolutionary parameters to detect natural selection using pooled next-generation sequencing data","type":"article-journal","volume":"31"},"uris":["http://www.mendeley.com/documents/?uuid=82df8cbc-2742-4608-9099-9722d75eda31"]}],"mendeley":{"formattedCitation":"(Nelson, Moncla, &amp; Hughes, 2015)","manualFormatting":"(Nelson et al., 2015)","plainTextFormattedCitation":"(Nelson, Moncla, &amp; Hughes, 2015)","previouslyFormattedCitation":"(Nelson et al. 2015)"},"properties":{"noteIndex":0},"schema":"https://github.com/citation-style-language/schema/raw/master/csl-citation.json"}</w:instrText>
      </w:r>
      <w:r>
        <w:rPr>
          <w:bCs/>
        </w:rPr>
        <w:fldChar w:fldCharType="separate"/>
      </w:r>
      <w:r w:rsidRPr="00463ECC">
        <w:rPr>
          <w:bCs/>
          <w:noProof/>
        </w:rPr>
        <w:t>(Nelson</w:t>
      </w:r>
      <w:r>
        <w:rPr>
          <w:bCs/>
          <w:noProof/>
        </w:rPr>
        <w:t xml:space="preserve"> et al., </w:t>
      </w:r>
      <w:r w:rsidRPr="00463ECC">
        <w:rPr>
          <w:bCs/>
          <w:noProof/>
        </w:rPr>
        <w:t>2015)</w:t>
      </w:r>
      <w:r>
        <w:rPr>
          <w:bCs/>
        </w:rPr>
        <w:fldChar w:fldCharType="end"/>
      </w:r>
      <w:r>
        <w:rPr>
          <w:bCs/>
        </w:rPr>
        <w:t>.</w:t>
      </w:r>
    </w:p>
    <w:p w14:paraId="73AB34C8" w14:textId="77777777" w:rsidR="00636B5B" w:rsidRPr="006D2ABD" w:rsidRDefault="00636B5B" w:rsidP="00CE7936">
      <w:pPr>
        <w:spacing w:line="360" w:lineRule="auto"/>
        <w:jc w:val="both"/>
        <w:rPr>
          <w:b/>
          <w:u w:val="single"/>
        </w:rPr>
      </w:pPr>
    </w:p>
    <w:p w14:paraId="0A14E09C" w14:textId="77777777" w:rsidR="00636B5B" w:rsidRDefault="00636B5B" w:rsidP="00CE7936">
      <w:pPr>
        <w:spacing w:line="360" w:lineRule="auto"/>
        <w:jc w:val="both"/>
      </w:pPr>
      <w:r w:rsidRPr="006D2ABD">
        <w:rPr>
          <w:b/>
        </w:rPr>
        <w:t>Orphan gene curation</w:t>
      </w:r>
      <w:r>
        <w:t xml:space="preserve">: </w:t>
      </w:r>
      <w:r w:rsidRPr="009131DB">
        <w:t xml:space="preserve">The </w:t>
      </w:r>
      <w:r w:rsidRPr="00333E28">
        <w:rPr>
          <w:i/>
        </w:rPr>
        <w:t xml:space="preserve">P. </w:t>
      </w:r>
      <w:proofErr w:type="spellStart"/>
      <w:r w:rsidRPr="00333E28">
        <w:rPr>
          <w:i/>
        </w:rPr>
        <w:t>trichocarpa</w:t>
      </w:r>
      <w:proofErr w:type="spellEnd"/>
      <w:r w:rsidRPr="009131DB">
        <w:rPr>
          <w:i/>
        </w:rPr>
        <w:t xml:space="preserve"> </w:t>
      </w:r>
      <w:r w:rsidRPr="009131DB">
        <w:t>v.3.1 genome using the primary transcript from all genes was searched against 6</w:t>
      </w:r>
      <w:r>
        <w:t>3</w:t>
      </w:r>
      <w:r w:rsidRPr="009131DB">
        <w:t xml:space="preserve"> </w:t>
      </w:r>
      <w:r>
        <w:t>proteomes</w:t>
      </w:r>
      <w:r w:rsidRPr="009131DB">
        <w:t xml:space="preserve"> (Table </w:t>
      </w:r>
      <w:r>
        <w:t>II-</w:t>
      </w:r>
      <w:r w:rsidRPr="009131DB">
        <w:t xml:space="preserve">S1) available in </w:t>
      </w:r>
      <w:proofErr w:type="spellStart"/>
      <w:r w:rsidRPr="009131DB">
        <w:t>Phytozome</w:t>
      </w:r>
      <w:proofErr w:type="spellEnd"/>
      <w:r w:rsidRPr="009131DB">
        <w:t xml:space="preserve"> 12 using BLASTP 2.6.0+ with an e-value cutoff of 0.001</w:t>
      </w:r>
      <w:r>
        <w:t xml:space="preserve"> (</w:t>
      </w:r>
      <w:proofErr w:type="spellStart"/>
      <w:r w:rsidRPr="00390118">
        <w:rPr>
          <w:noProof/>
        </w:rPr>
        <w:t>Altschul</w:t>
      </w:r>
      <w:proofErr w:type="spellEnd"/>
      <w:r w:rsidRPr="00390118">
        <w:rPr>
          <w:noProof/>
        </w:rPr>
        <w:t>, 19</w:t>
      </w:r>
      <w:r>
        <w:rPr>
          <w:noProof/>
        </w:rPr>
        <w:t>9</w:t>
      </w:r>
      <w:r w:rsidRPr="00390118">
        <w:rPr>
          <w:noProof/>
        </w:rPr>
        <w:t>7</w:t>
      </w:r>
      <w:r>
        <w:rPr>
          <w:noProof/>
        </w:rPr>
        <w:t>)</w:t>
      </w:r>
      <w:r w:rsidRPr="009131DB">
        <w:t>. This resulted in 1,0</w:t>
      </w:r>
      <w:r>
        <w:t>79</w:t>
      </w:r>
      <w:r w:rsidRPr="009131DB">
        <w:t xml:space="preserve"> genes that were found to be exclusive to </w:t>
      </w:r>
      <w:r w:rsidRPr="00333E28">
        <w:rPr>
          <w:i/>
        </w:rPr>
        <w:t xml:space="preserve">P. </w:t>
      </w:r>
      <w:proofErr w:type="spellStart"/>
      <w:r w:rsidRPr="00333E28">
        <w:rPr>
          <w:i/>
        </w:rPr>
        <w:t>trichocarpa</w:t>
      </w:r>
      <w:proofErr w:type="spellEnd"/>
      <w:r w:rsidRPr="009131DB">
        <w:t>. These 1,0</w:t>
      </w:r>
      <w:r>
        <w:t>79</w:t>
      </w:r>
      <w:r w:rsidRPr="009131DB">
        <w:t xml:space="preserve"> genes were then analyzed with BLASTP 2.6.0+ with an e-value threshold of 0.001 against the NCBI nr database excluding </w:t>
      </w:r>
      <w:r w:rsidRPr="00BB742F">
        <w:rPr>
          <w:i/>
        </w:rPr>
        <w:t>Populus spp</w:t>
      </w:r>
      <w:r w:rsidRPr="009131DB">
        <w:t xml:space="preserve">., and 32 genes </w:t>
      </w:r>
      <w:r>
        <w:t xml:space="preserve">had </w:t>
      </w:r>
      <w:r w:rsidRPr="009131DB">
        <w:t>hits within the NCBI nr database, reducing the count to 1,04</w:t>
      </w:r>
      <w:r>
        <w:t>7</w:t>
      </w:r>
      <w:r w:rsidRPr="009131DB">
        <w:t>. The remaining genes were then analyzed within the Conserved Domain Database which contains 50,369 PSSM, and resulted in 4 additional hits, and reduced the gene count to 1,04</w:t>
      </w:r>
      <w:r>
        <w:t>3</w:t>
      </w:r>
      <w:r w:rsidRPr="009131DB">
        <w:t>.  Genes were then analyzed for their coding intactness, which resulted in 68 orphan genes that had missing start or stop codons which resulted in 97</w:t>
      </w:r>
      <w:r>
        <w:t>7</w:t>
      </w:r>
      <w:r w:rsidRPr="009131DB">
        <w:t xml:space="preserve"> total genes. These genes were further analyzed for missing </w:t>
      </w:r>
      <w:r>
        <w:t xml:space="preserve">homologous </w:t>
      </w:r>
      <w:r w:rsidRPr="009131DB">
        <w:t xml:space="preserve">gene models in </w:t>
      </w:r>
      <w:r w:rsidRPr="00A52643">
        <w:rPr>
          <w:i/>
        </w:rPr>
        <w:t xml:space="preserve">S. purpurea </w:t>
      </w:r>
      <w:r w:rsidRPr="009131DB">
        <w:t>v.1.0</w:t>
      </w:r>
      <w:r w:rsidRPr="009131DB">
        <w:rPr>
          <w:i/>
        </w:rPr>
        <w:t xml:space="preserve"> </w:t>
      </w:r>
      <w:r w:rsidRPr="009131DB">
        <w:t xml:space="preserve">and </w:t>
      </w:r>
      <w:r w:rsidRPr="00333E28">
        <w:rPr>
          <w:i/>
        </w:rPr>
        <w:t xml:space="preserve">P. </w:t>
      </w:r>
      <w:proofErr w:type="spellStart"/>
      <w:r w:rsidRPr="00333E28">
        <w:rPr>
          <w:i/>
        </w:rPr>
        <w:t>deltoides</w:t>
      </w:r>
      <w:proofErr w:type="spellEnd"/>
      <w:r w:rsidRPr="009131DB">
        <w:rPr>
          <w:i/>
        </w:rPr>
        <w:t xml:space="preserve"> </w:t>
      </w:r>
      <w:r w:rsidRPr="009131DB">
        <w:t xml:space="preserve">v.2.1 genomes with </w:t>
      </w:r>
      <w:proofErr w:type="spellStart"/>
      <w:r w:rsidRPr="009131DB">
        <w:t>genblast</w:t>
      </w:r>
      <w:r>
        <w:t>G</w:t>
      </w:r>
      <w:proofErr w:type="spellEnd"/>
      <w:r>
        <w:t xml:space="preserve"> </w:t>
      </w:r>
      <w:r w:rsidRPr="0029302D">
        <w:t>v1.0.138</w:t>
      </w:r>
      <w:r>
        <w:t xml:space="preserve"> </w:t>
      </w:r>
      <w:r>
        <w:fldChar w:fldCharType="begin" w:fldLock="1"/>
      </w:r>
      <w:r>
        <w:instrText>ADDIN CSL_CITATION {"citationItems":[{"id":"ITEM-1","itemData":{"DOI":"10.1093/bioinformatics/btr342","author":[{"dropping-particle":"","family":"She","given":"Rong","non-dropping-particle":"","parse-names":false,"suffix":""},{"dropping-particle":"","family":"Chu","given":"Jeffrey Shih-chieh","non-dropping-particle":"","parse-names":false,"suffix":""},{"dropping-particle":"","family":"Uyar","given":"Bora","non-dropping-particle":"","parse-names":false,"suffix":""},{"dropping-particle":"","family":"Wang","given":"Jun","non-dropping-particle":"","parse-names":false,"suffix":""},{"dropping-particle":"","family":"Wang","given":"Ke","non-dropping-particle":"","parse-names":false,"suffix":""},{"dropping-particle":"","family":"Chen","given":"Nansheng","non-dropping-particle":"","parse-names":false,"suffix":""}],"id":"ITEM-1","issue":"15","issued":{"date-parts":[["2011"]]},"page":"2141-2143","title":"genBlastG : using BLAST searches to build homologous gene models","type":"article-journal","volume":"27"},"uris":["http://www.mendeley.com/documents/?uuid=81f3f262-2a07-4a2c-97ca-3261ba072ddc"]}],"mendeley":{"formattedCitation":"(She et al., 2011)","plainTextFormattedCitation":"(She et al., 2011)","previouslyFormattedCitation":"(She et al. 2011)"},"properties":{"noteIndex":0},"schema":"https://github.com/citation-style-language/schema/raw/master/csl-citation.json"}</w:instrText>
      </w:r>
      <w:r>
        <w:fldChar w:fldCharType="separate"/>
      </w:r>
      <w:r w:rsidRPr="00CE7936">
        <w:rPr>
          <w:noProof/>
        </w:rPr>
        <w:t>(She et al., 2011)</w:t>
      </w:r>
      <w:r>
        <w:fldChar w:fldCharType="end"/>
      </w:r>
      <w:r w:rsidRPr="009131DB">
        <w:t>. A</w:t>
      </w:r>
      <w:r>
        <w:t>n e-value cutoff of 1e-5,</w:t>
      </w:r>
      <w:r w:rsidRPr="009131DB">
        <w:t xml:space="preserve"> coverage threshold of 90%</w:t>
      </w:r>
      <w:r>
        <w:t>,</w:t>
      </w:r>
      <w:r w:rsidRPr="009131DB">
        <w:t xml:space="preserve"> and identity threshold of 50%</w:t>
      </w:r>
      <w:r>
        <w:t xml:space="preserve"> was used. This </w:t>
      </w:r>
      <w:r w:rsidRPr="009131DB">
        <w:t>excluded</w:t>
      </w:r>
      <w:r>
        <w:t xml:space="preserve"> 329 candidate orphan genes that had missing homologous gene models, and</w:t>
      </w:r>
      <w:r w:rsidRPr="009131DB">
        <w:t xml:space="preserve"> </w:t>
      </w:r>
      <w:r>
        <w:t xml:space="preserve">resulted </w:t>
      </w:r>
      <w:r w:rsidRPr="009131DB">
        <w:t>in 64</w:t>
      </w:r>
      <w:r>
        <w:t>8</w:t>
      </w:r>
      <w:r w:rsidRPr="009131DB">
        <w:t xml:space="preserve"> genes.</w:t>
      </w:r>
      <w:r>
        <w:t xml:space="preserve"> A script was also used to verify the validity of the </w:t>
      </w:r>
      <w:proofErr w:type="spellStart"/>
      <w:r>
        <w:t>genblastG</w:t>
      </w:r>
      <w:proofErr w:type="spellEnd"/>
      <w:r>
        <w:t xml:space="preserve"> gene models and predicted models that did not have start or stop codons, had internal stop codons, or were not divisible by 3 were removed from consideration. Next, 55 genes that were duplicated in clusters of 2 or more removed, which resulted in 593 genes. The remaining 593 genes were then analyzed for expression evidence in </w:t>
      </w:r>
      <w:r w:rsidRPr="00333E28">
        <w:rPr>
          <w:i/>
        </w:rPr>
        <w:t xml:space="preserve">P. </w:t>
      </w:r>
      <w:proofErr w:type="spellStart"/>
      <w:r w:rsidRPr="00333E28">
        <w:rPr>
          <w:i/>
        </w:rPr>
        <w:t>deltoides</w:t>
      </w:r>
      <w:proofErr w:type="spellEnd"/>
      <w:r>
        <w:rPr>
          <w:i/>
        </w:rPr>
        <w:t xml:space="preserve"> </w:t>
      </w:r>
      <w:r>
        <w:t xml:space="preserve">D124 and across six tissues in </w:t>
      </w:r>
      <w:r w:rsidRPr="00A52643">
        <w:rPr>
          <w:i/>
        </w:rPr>
        <w:t xml:space="preserve">S. purpurea </w:t>
      </w:r>
      <w:r>
        <w:t xml:space="preserve">94006 (Table II-S11). These RNA-Seq datasets were aligned to </w:t>
      </w:r>
      <w:r w:rsidRPr="00333E28">
        <w:rPr>
          <w:i/>
          <w:iCs/>
        </w:rPr>
        <w:t xml:space="preserve">P. </w:t>
      </w:r>
      <w:proofErr w:type="spellStart"/>
      <w:r w:rsidRPr="00333E28">
        <w:rPr>
          <w:i/>
          <w:iCs/>
        </w:rPr>
        <w:t>trichocarpa</w:t>
      </w:r>
      <w:proofErr w:type="spellEnd"/>
      <w:r>
        <w:rPr>
          <w:i/>
          <w:iCs/>
        </w:rPr>
        <w:t xml:space="preserve"> </w:t>
      </w:r>
      <w:r>
        <w:t xml:space="preserve">v3.1 reference genome following the methods described below. Genes that had expression evidence of </w:t>
      </w:r>
      <w:r>
        <w:rPr>
          <w:color w:val="000000" w:themeColor="text1"/>
        </w:rPr>
        <w:t>counts per million (CPM)</w:t>
      </w:r>
      <w:r>
        <w:t xml:space="preserve"> greater than one in one replicate or greater than zero in two replicates in </w:t>
      </w:r>
      <w:r w:rsidRPr="00333E28">
        <w:rPr>
          <w:i/>
        </w:rPr>
        <w:t xml:space="preserve">P. </w:t>
      </w:r>
      <w:proofErr w:type="spellStart"/>
      <w:r w:rsidRPr="00333E28">
        <w:rPr>
          <w:i/>
        </w:rPr>
        <w:t>deltoides</w:t>
      </w:r>
      <w:proofErr w:type="spellEnd"/>
      <w:r>
        <w:rPr>
          <w:i/>
        </w:rPr>
        <w:t xml:space="preserve"> </w:t>
      </w:r>
      <w:r>
        <w:t xml:space="preserve">D124 or across six tissues in </w:t>
      </w:r>
      <w:r w:rsidRPr="00A52643">
        <w:rPr>
          <w:i/>
        </w:rPr>
        <w:t xml:space="preserve">S. purpurea </w:t>
      </w:r>
      <w:r>
        <w:t xml:space="preserve">were removed, which resulted in 445 genes. </w:t>
      </w:r>
    </w:p>
    <w:p w14:paraId="5DF96F33" w14:textId="77777777" w:rsidR="00636B5B" w:rsidRDefault="00636B5B" w:rsidP="00CE7936">
      <w:pPr>
        <w:spacing w:line="360" w:lineRule="auto"/>
        <w:jc w:val="both"/>
      </w:pPr>
      <w:r>
        <w:tab/>
        <w:t xml:space="preserve">The current </w:t>
      </w:r>
      <w:r w:rsidRPr="00333E28">
        <w:rPr>
          <w:i/>
        </w:rPr>
        <w:t xml:space="preserve">P. </w:t>
      </w:r>
      <w:proofErr w:type="spellStart"/>
      <w:r w:rsidRPr="00333E28">
        <w:rPr>
          <w:i/>
        </w:rPr>
        <w:t>trichocarpa</w:t>
      </w:r>
      <w:proofErr w:type="spellEnd"/>
      <w:r w:rsidRPr="006D2ABD">
        <w:rPr>
          <w:i/>
        </w:rPr>
        <w:t xml:space="preserve"> </w:t>
      </w:r>
      <w:r>
        <w:t xml:space="preserve">v4.1 Nisqually-1 reference genome assembly used a homology-based annotation method which excluded the majority of orphan genes since our curation pipeline specifically eliminated genes that had any detectable homology with genic features in all existing </w:t>
      </w:r>
      <w:r>
        <w:lastRenderedPageBreak/>
        <w:t xml:space="preserve">genomic databases. The exception was 24 orphan genes which were annotated based on homology to gene models in another </w:t>
      </w:r>
      <w:r w:rsidRPr="00333E28">
        <w:rPr>
          <w:i/>
        </w:rPr>
        <w:t xml:space="preserve">P. </w:t>
      </w:r>
      <w:proofErr w:type="spellStart"/>
      <w:r w:rsidRPr="00333E28">
        <w:rPr>
          <w:i/>
        </w:rPr>
        <w:t>trichocarpa</w:t>
      </w:r>
      <w:proofErr w:type="spellEnd"/>
      <w:r w:rsidRPr="006D2ABD">
        <w:rPr>
          <w:i/>
        </w:rPr>
        <w:t xml:space="preserve"> </w:t>
      </w:r>
      <w:r>
        <w:t>genome assembly, Stettler 14 v1.1 (</w:t>
      </w:r>
      <w:hyperlink r:id="rId12" w:history="1">
        <w:r w:rsidRPr="008638C8">
          <w:rPr>
            <w:rStyle w:val="Hyperlink"/>
          </w:rPr>
          <w:t>https://phytozome-next.jgi.doe.gov/info/PtrichocarpaStettler14_v1_1)</w:t>
        </w:r>
      </w:hyperlink>
      <w:r>
        <w:t xml:space="preserve">. These 24 did not have homology to any other genes outside of the 2 </w:t>
      </w:r>
      <w:r w:rsidRPr="00333E28">
        <w:rPr>
          <w:i/>
        </w:rPr>
        <w:t xml:space="preserve">P. </w:t>
      </w:r>
      <w:proofErr w:type="spellStart"/>
      <w:r w:rsidRPr="00333E28">
        <w:rPr>
          <w:i/>
        </w:rPr>
        <w:t>trichocarpa</w:t>
      </w:r>
      <w:proofErr w:type="spellEnd"/>
      <w:r>
        <w:t xml:space="preserve"> genome assemblies, further supporting our conclusions of species-specificity. Regardless of exclusion by annotation methodology, we used </w:t>
      </w:r>
      <w:proofErr w:type="spellStart"/>
      <w:r>
        <w:t>genblastG</w:t>
      </w:r>
      <w:proofErr w:type="spellEnd"/>
      <w:r>
        <w:t xml:space="preserve"> and were able to identify 437 of 445 orphan genes in the v4.1 reference genome suggesting a 98% transfer rate across assemblies.</w:t>
      </w:r>
    </w:p>
    <w:p w14:paraId="452BF003" w14:textId="77777777" w:rsidR="00636B5B" w:rsidRPr="009131DB" w:rsidRDefault="00636B5B" w:rsidP="00CE7936">
      <w:pPr>
        <w:spacing w:line="360" w:lineRule="auto"/>
        <w:jc w:val="both"/>
      </w:pPr>
    </w:p>
    <w:p w14:paraId="41A37FED" w14:textId="77777777" w:rsidR="00636B5B" w:rsidRDefault="00636B5B" w:rsidP="00CE7936">
      <w:pPr>
        <w:spacing w:line="360" w:lineRule="auto"/>
        <w:jc w:val="both"/>
      </w:pPr>
      <w:r w:rsidRPr="006D2ABD">
        <w:rPr>
          <w:b/>
          <w:i/>
        </w:rPr>
        <w:t xml:space="preserve">De novo </w:t>
      </w:r>
      <w:r w:rsidRPr="006D2ABD">
        <w:rPr>
          <w:b/>
        </w:rPr>
        <w:t>gene identification</w:t>
      </w:r>
      <w:r>
        <w:t xml:space="preserve">: First, </w:t>
      </w:r>
      <w:proofErr w:type="spellStart"/>
      <w:r>
        <w:t>MCScanX</w:t>
      </w:r>
      <w:proofErr w:type="spellEnd"/>
      <w:r>
        <w:t xml:space="preserve"> with default parameters </w:t>
      </w:r>
      <w:r>
        <w:fldChar w:fldCharType="begin" w:fldLock="1"/>
      </w:r>
      <w:r>
        <w:instrText>ADDIN CSL_CITATION {"citationItems":[{"id":"ITEM-1","itemData":{"DOI":"10.1093/nar/gkr1293","ISBN":"1362-4962 (Electronic)\\r0305-1048 (Linking)","ISSN":"03051048","PMID":"22217600","abstract":"MCScan is an algorithm able to scan multiple genomes or subgenomes in order to identify putative homologous chromosomal regions, and align these regions using genes as anchors. The MCScanX toolkit implements an adjusted MCScan algorithm for detection of synteny and collinearity that extends the original software by incorporating 14 utility programs for visualization of results and additional downstream analyses. Applications of MCScanX to several sequenced plant genomes and gene families are shown as examples. MCScanX can be used to effectively analyze chromosome structural changes, and reveal the history of gene family expansions that might contribute to the adaptation of lineages and taxa. An integrated view of various modes of gene duplication can supplement the traditional gene tree analysis in specific families. The source code and documentation of MCScanX are freely available at http://chibba.pgml.uga.edu/mcscan2/.","author":[{"dropping-particle":"","family":"Wang","given":"Yupeng","non-dropping-particle":"","parse-names":false,"suffix":""},{"dropping-particle":"","family":"Tang","given":"Haibao","non-dropping-particle":"","parse-names":false,"suffix":""},{"dropping-particle":"","family":"Debarry","given":"Jeremy D.","non-dropping-particle":"","parse-names":false,"suffix":""},{"dropping-particle":"","family":"Tan","given":"Xu","non-dropping-particle":"","parse-names":false,"suffix":""},{"dropping-particle":"","family":"Li","given":"Jingping","non-dropping-particle":"","parse-names":false,"suffix":""},{"dropping-particle":"","family":"Wang","given":"Xiyin","non-dropping-particle":"","parse-names":false,"suffix":""},{"dropping-particle":"","family":"Lee","given":"Tae Ho","non-dropping-particle":"","parse-names":false,"suffix":""},{"dropping-particle":"","family":"Jin","given":"Huizhe","non-dropping-particle":"","parse-names":false,"suffix":""},{"dropping-particle":"","family":"Marler","given":"Barry","non-dropping-particle":"","parse-names":false,"suffix":""},{"dropping-particle":"","family":"Guo","given":"Hui","non-dropping-particle":"","parse-names":false,"suffix":""},{"dropping-particle":"","family":"Kissinger","given":"Jessica C.","non-dropping-particle":"","parse-names":false,"suffix":""},{"dropping-particle":"","family":"Paterson","given":"Andrew H.","non-dropping-particle":"","parse-names":false,"suffix":""}],"container-title":"Nucleic Acids Research","id":"ITEM-1","issue":"7","issued":{"date-parts":[["2012"]]},"title":"MCScanX: A toolkit for detection and evolutionary analysis of gene synteny and collinearity","type":"article-journal","volume":"40"},"uris":["http://www.mendeley.com/documents/?uuid=95632da1-b98f-4ec1-91e5-413e8d370670"]}],"mendeley":{"formattedCitation":"(Wang et al., 2012)","plainTextFormattedCitation":"(Wang et al., 2012)","previouslyFormattedCitation":"(Yupeng Wang et al. 2012)"},"properties":{"noteIndex":0},"schema":"https://github.com/citation-style-language/schema/raw/master/csl-citation.json"}</w:instrText>
      </w:r>
      <w:r>
        <w:fldChar w:fldCharType="separate"/>
      </w:r>
      <w:r w:rsidRPr="00CE7936">
        <w:rPr>
          <w:noProof/>
        </w:rPr>
        <w:t>(Wang et al., 2012)</w:t>
      </w:r>
      <w:r>
        <w:fldChar w:fldCharType="end"/>
      </w:r>
      <w:r>
        <w:t xml:space="preserve">, was used to generate a collinearity map in the following way, </w:t>
      </w:r>
      <w:r w:rsidRPr="00333E28">
        <w:rPr>
          <w:i/>
          <w:iCs/>
        </w:rPr>
        <w:t xml:space="preserve">P. </w:t>
      </w:r>
      <w:proofErr w:type="spellStart"/>
      <w:r w:rsidRPr="00333E28">
        <w:rPr>
          <w:i/>
          <w:iCs/>
        </w:rPr>
        <w:t>trichocarpa</w:t>
      </w:r>
      <w:proofErr w:type="spellEnd"/>
      <w:r>
        <w:rPr>
          <w:i/>
          <w:iCs/>
        </w:rPr>
        <w:t xml:space="preserve"> </w:t>
      </w:r>
      <w:r>
        <w:t xml:space="preserve">vs </w:t>
      </w:r>
      <w:r w:rsidRPr="00333E28">
        <w:rPr>
          <w:i/>
          <w:iCs/>
        </w:rPr>
        <w:t xml:space="preserve">P. </w:t>
      </w:r>
      <w:proofErr w:type="spellStart"/>
      <w:r w:rsidRPr="00333E28">
        <w:rPr>
          <w:i/>
          <w:iCs/>
        </w:rPr>
        <w:t>trichocarpa</w:t>
      </w:r>
      <w:proofErr w:type="spellEnd"/>
      <w:r>
        <w:rPr>
          <w:i/>
          <w:iCs/>
        </w:rPr>
        <w:t xml:space="preserve">, </w:t>
      </w:r>
      <w:r w:rsidRPr="00333E28">
        <w:rPr>
          <w:i/>
          <w:iCs/>
        </w:rPr>
        <w:t xml:space="preserve">P. </w:t>
      </w:r>
      <w:proofErr w:type="spellStart"/>
      <w:r w:rsidRPr="00333E28">
        <w:rPr>
          <w:i/>
          <w:iCs/>
        </w:rPr>
        <w:t>trichocarpa</w:t>
      </w:r>
      <w:proofErr w:type="spellEnd"/>
      <w:r>
        <w:t xml:space="preserve"> vs. </w:t>
      </w:r>
      <w:r w:rsidRPr="00333E28">
        <w:rPr>
          <w:i/>
          <w:iCs/>
        </w:rPr>
        <w:t xml:space="preserve">P. </w:t>
      </w:r>
      <w:proofErr w:type="spellStart"/>
      <w:r w:rsidRPr="00333E28">
        <w:rPr>
          <w:i/>
          <w:iCs/>
        </w:rPr>
        <w:t>deltoides</w:t>
      </w:r>
      <w:proofErr w:type="spellEnd"/>
      <w:r>
        <w:t xml:space="preserve"> and </w:t>
      </w:r>
      <w:r w:rsidRPr="00333E28">
        <w:rPr>
          <w:i/>
          <w:iCs/>
        </w:rPr>
        <w:t xml:space="preserve">P. </w:t>
      </w:r>
      <w:proofErr w:type="spellStart"/>
      <w:r w:rsidRPr="00333E28">
        <w:rPr>
          <w:i/>
          <w:iCs/>
        </w:rPr>
        <w:t>trichocarpa</w:t>
      </w:r>
      <w:proofErr w:type="spellEnd"/>
      <w:r>
        <w:rPr>
          <w:i/>
          <w:iCs/>
        </w:rPr>
        <w:t xml:space="preserve"> </w:t>
      </w:r>
      <w:r>
        <w:t xml:space="preserve">vs </w:t>
      </w:r>
      <w:r w:rsidRPr="00A52643">
        <w:rPr>
          <w:i/>
          <w:iCs/>
        </w:rPr>
        <w:t xml:space="preserve">S. purpurea </w:t>
      </w:r>
      <w:r>
        <w:rPr>
          <w:i/>
          <w:iCs/>
        </w:rPr>
        <w:fldChar w:fldCharType="begin" w:fldLock="1"/>
      </w:r>
      <w:r>
        <w:rPr>
          <w:i/>
          <w:iCs/>
        </w:rPr>
        <w:instrText>ADDIN CSL_CITATION {"citationItems":[{"id":"ITEM-1","itemData":{"DOI":"10.1093/nar/gkr1293","ISBN":"1362-4962 (Electronic)\\r0305-1048 (Linking)","ISSN":"03051048","PMID":"22217600","abstract":"MCScan is an algorithm able to scan multiple genomes or subgenomes in order to identify putative homologous chromosomal regions, and align these regions using genes as anchors. The MCScanX toolkit implements an adjusted MCScan algorithm for detection of synteny and collinearity that extends the original software by incorporating 14 utility programs for visualization of results and additional downstream analyses. Applications of MCScanX to several sequenced plant genomes and gene families are shown as examples. MCScanX can be used to effectively analyze chromosome structural changes, and reveal the history of gene family expansions that might contribute to the adaptation of lineages and taxa. An integrated view of various modes of gene duplication can supplement the traditional gene tree analysis in specific families. The source code and documentation of MCScanX are freely available at http://chibba.pgml.uga.edu/mcscan2/.","author":[{"dropping-particle":"","family":"Wang","given":"Yupeng","non-dropping-particle":"","parse-names":false,"suffix":""},{"dropping-particle":"","family":"Tang","given":"Haibao","non-dropping-particle":"","parse-names":false,"suffix":""},{"dropping-particle":"","family":"Debarry","given":"Jeremy D.","non-dropping-particle":"","parse-names":false,"suffix":""},{"dropping-particle":"","family":"Tan","given":"Xu","non-dropping-particle":"","parse-names":false,"suffix":""},{"dropping-particle":"","family":"Li","given":"Jingping","non-dropping-particle":"","parse-names":false,"suffix":""},{"dropping-particle":"","family":"Wang","given":"Xiyin","non-dropping-particle":"","parse-names":false,"suffix":""},{"dropping-particle":"","family":"Lee","given":"Tae Ho","non-dropping-particle":"","parse-names":false,"suffix":""},{"dropping-particle":"","family":"Jin","given":"Huizhe","non-dropping-particle":"","parse-names":false,"suffix":""},{"dropping-particle":"","family":"Marler","given":"Barry","non-dropping-particle":"","parse-names":false,"suffix":""},{"dropping-particle":"","family":"Guo","given":"Hui","non-dropping-particle":"","parse-names":false,"suffix":""},{"dropping-particle":"","family":"Kissinger","given":"Jessica C.","non-dropping-particle":"","parse-names":false,"suffix":""},{"dropping-particle":"","family":"Paterson","given":"Andrew H.","non-dropping-particle":"","parse-names":false,"suffix":""}],"container-title":"Nucleic Acids Research","id":"ITEM-1","issue":"7","issued":{"date-parts":[["2012"]]},"title":"MCScanX: A toolkit for detection and evolutionary analysis of gene synteny and collinearity","type":"article-journal","volume":"40"},"uris":["http://www.mendeley.com/documents/?uuid=95632da1-b98f-4ec1-91e5-413e8d370670"]}],"mendeley":{"formattedCitation":"(Wang et al., 2012)","plainTextFormattedCitation":"(Wang et al., 2012)","previouslyFormattedCitation":"(Yupeng Wang et al. 2012)"},"properties":{"noteIndex":0},"schema":"https://github.com/citation-style-language/schema/raw/master/csl-citation.json"}</w:instrText>
      </w:r>
      <w:r>
        <w:rPr>
          <w:i/>
          <w:iCs/>
        </w:rPr>
        <w:fldChar w:fldCharType="separate"/>
      </w:r>
      <w:r w:rsidRPr="00CE7936">
        <w:rPr>
          <w:iCs/>
          <w:noProof/>
        </w:rPr>
        <w:t>(Wang et al., 2012)</w:t>
      </w:r>
      <w:r>
        <w:rPr>
          <w:i/>
          <w:iCs/>
        </w:rPr>
        <w:fldChar w:fldCharType="end"/>
      </w:r>
      <w:r>
        <w:rPr>
          <w:i/>
          <w:iCs/>
        </w:rPr>
        <w:t>.</w:t>
      </w:r>
      <w:r>
        <w:t xml:space="preserve"> In order to identify the primary and secondary syntenic chromosomes for the 445 orphan genes, five genes flanking the orphan gene were used to search each collinearity map. Some genes were missing their primary and secondary syntenic regions and following this step only 250 genes had syntenic regions in </w:t>
      </w:r>
      <w:r w:rsidRPr="00333E28">
        <w:rPr>
          <w:i/>
          <w:iCs/>
        </w:rPr>
        <w:t xml:space="preserve">P. </w:t>
      </w:r>
      <w:proofErr w:type="spellStart"/>
      <w:r w:rsidRPr="00333E28">
        <w:rPr>
          <w:i/>
          <w:iCs/>
        </w:rPr>
        <w:t>trichocarpa</w:t>
      </w:r>
      <w:proofErr w:type="spellEnd"/>
      <w:r>
        <w:t xml:space="preserve">, </w:t>
      </w:r>
      <w:r w:rsidRPr="00333E28">
        <w:rPr>
          <w:i/>
          <w:iCs/>
        </w:rPr>
        <w:t xml:space="preserve">P. </w:t>
      </w:r>
      <w:proofErr w:type="spellStart"/>
      <w:r w:rsidRPr="00333E28">
        <w:rPr>
          <w:i/>
          <w:iCs/>
        </w:rPr>
        <w:t>deltoides</w:t>
      </w:r>
      <w:proofErr w:type="spellEnd"/>
      <w:r>
        <w:t xml:space="preserve"> and </w:t>
      </w:r>
      <w:r>
        <w:rPr>
          <w:i/>
          <w:iCs/>
        </w:rPr>
        <w:t>S. purpurea.</w:t>
      </w:r>
      <w:r>
        <w:t xml:space="preserve">  Next, whole-genome alignments were generated with </w:t>
      </w:r>
      <w:proofErr w:type="spellStart"/>
      <w:r>
        <w:t>nucmer</w:t>
      </w:r>
      <w:proofErr w:type="spellEnd"/>
      <w:r>
        <w:t xml:space="preserve"> from the Mummer4 package with the same species comparisons as above </w:t>
      </w:r>
      <w:r>
        <w:fldChar w:fldCharType="begin" w:fldLock="1"/>
      </w:r>
      <w:r>
        <w:instrText>ADDIN CSL_CITATION {"citationItems":[{"id":"ITEM-1","itemData":{"DOI":"10.1371/journal.pcbi.1005944","ISBN":"1111111111","ISSN":"15537358","abstract":"The MUMmer system and the genome sequence aligner nucmer included within it are among the most widely used alignment packages in genomics. Since the last major release of MUMmer version 3 in 2004, it has been applied to many types of problems including aligning whole genome sequences, aligning reads to a reference genome, and comparing different assemblies of the same genome. Despite its broad utility, MUMmer3 has limitations that can make it difficult to use for large genomes and for the very large sequence data sets that are common today. In this paper we describe MUMmer4, a substantially improved version of MUMmer that addresses genome size constraints by changing the 32-bit suffix tree data structure at the core of MUMmer to a 48-bit suffix array, and that offers improved speed through parallel processing of input query sequences. With a theoretical limit on the input size of 141Tbp, MUMmer4 can now work with input sequences of any biologically realistic length. We show that as a result of these enhancements, the nucmer program in MUMmer4 is easily able to handle alignments of large genomes; we illustrate this with an alignment of the human and chimpanzee genomes, which allows us to compute that the two species are 98% identical across 96% of their length. With the enhancements described here, MUMmer4 can also be used to efficiently align reads to reference genomes, although it is less sensitive and accurate than the dedicated read aligners. The nucmer aligner in MUMmer4 can now be called from scripting languages such as Perl, Python and Ruby. These improvements make MUMer4 one the most versatile genome alignment packages available.","author":[{"dropping-particle":"","family":"Marçais","given":"Guillaume","non-dropping-particle":"","parse-names":false,"suffix":""},{"dropping-particle":"","family":"Delcher","given":"Arthur L.","non-dropping-particle":"","parse-names":false,"suffix":""},{"dropping-particle":"","family":"Phillippy","given":"Adam M.","non-dropping-particle":"","parse-names":false,"suffix":""},{"dropping-particle":"","family":"Coston","given":"Rachel","non-dropping-particle":"","parse-names":false,"suffix":""},{"dropping-particle":"","family":"Salzberg","given":"Steven L.","non-dropping-particle":"","parse-names":false,"suffix":""},{"dropping-particle":"","family":"Zimin","given":"Aleksey","non-dropping-particle":"","parse-names":false,"suffix":""}],"container-title":"PLoS Computational Biology","id":"ITEM-1","issue":"1","issued":{"date-parts":[["2018"]]},"page":"1-14","title":"MUMmer4: A fast and versatile genome alignment system","type":"article-journal","volume":"14"},"uris":["http://www.mendeley.com/documents/?uuid=eeb7413f-eb4c-4ca5-b556-749098381fdf"]}],"mendeley":{"formattedCitation":"(Marçais et al., 2018)","plainTextFormattedCitation":"(Marçais et al., 2018)","previouslyFormattedCitation":"(Marçais et al. 2018)"},"properties":{"noteIndex":0},"schema":"https://github.com/citation-style-language/schema/raw/master/csl-citation.json"}</w:instrText>
      </w:r>
      <w:r>
        <w:fldChar w:fldCharType="separate"/>
      </w:r>
      <w:r w:rsidRPr="00CE7936">
        <w:rPr>
          <w:noProof/>
        </w:rPr>
        <w:t>(Marçais et al., 2018)</w:t>
      </w:r>
      <w:r>
        <w:fldChar w:fldCharType="end"/>
      </w:r>
      <w:r>
        <w:t xml:space="preserve">. The boundary coordinates of the five flanking genes were then used to extract the orphan gene region and using the identified primary and secondary chromosomes the synteny map was split into primary and secondary syntenic maps. Next, </w:t>
      </w:r>
      <w:proofErr w:type="spellStart"/>
      <w:r>
        <w:t>Synder</w:t>
      </w:r>
      <w:proofErr w:type="spellEnd"/>
      <w:r>
        <w:t xml:space="preserve"> </w:t>
      </w:r>
      <w:r w:rsidRPr="00917AC8">
        <w:t>0.28.0</w:t>
      </w:r>
      <w:r>
        <w:t xml:space="preserve"> was used to identify the expected syntenic region of the candidate </w:t>
      </w:r>
      <w:r>
        <w:rPr>
          <w:i/>
          <w:iCs/>
        </w:rPr>
        <w:t xml:space="preserve">de novo </w:t>
      </w:r>
      <w:r>
        <w:t xml:space="preserve">gene within the primary and secondary syntenic map </w:t>
      </w:r>
      <w:r>
        <w:fldChar w:fldCharType="begin" w:fldLock="1"/>
      </w:r>
      <w:r>
        <w:instrText>ADDIN CSL_CITATION {"citationItems":[{"id":"ITEM-1","itemData":{"DOI":"10.1101/554501","abstract":"Ortholog inference is a key step in understanding the evolution and function of a gene or other genomic feature. Yet often no similar sequence can be identified, or the true ortholog is hidden among false positives. A solution is to consider the sequence's genomic context. We present the generic program, synder, for tracing features of interest between genomes based on a synteny map. This approach narrows genomic search-space independently of the sequence of the feature of interest. We illustrate the utility of synder by finding orthologs for the Arabidopsis thaliana 13-member gene family of Nuclear Factor YC transcription factor across the Brassicaceae clade.","author":[{"dropping-particle":"","family":"Arendsee","given":"Zebulun","non-dropping-particle":"","parse-names":false,"suffix":""},{"dropping-particle":"","family":"Wilkey","given":"Andrew","non-dropping-particle":"","parse-names":false,"suffix":""},{"dropping-particle":"","family":"Singh","given":"Urminder","non-dropping-particle":"","parse-names":false,"suffix":""},{"dropping-particle":"","family":"Li","given":"Jing","non-dropping-particle":"","parse-names":false,"suffix":""},{"dropping-particle":"","family":"Hur","given":"Manhoi","non-dropping-particle":"","parse-names":false,"suffix":""},{"dropping-particle":"","family":"Wurtele","given":"Eve","non-dropping-particle":"","parse-names":false,"suffix":""}],"container-title":"bioRxiv","id":"ITEM-1","issued":{"date-parts":[["2019"]]},"page":"554501","title":"Synder: Inferring Genomic Orthologs From Synteny Maps","type":"article-journal"},"uris":["http://www.mendeley.com/documents/?uuid=aa1ef36a-10e4-4fe9-bb54-3a87da800c64"]}],"mendeley":{"formattedCitation":"(Z. Arendsee et al., 2019)","manualFormatting":"(Arendsee et al., 2019)","plainTextFormattedCitation":"(Z. Arendsee et al., 2019)","previouslyFormattedCitation":"(Arendsee, Wilkey, et al. 2019)"},"properties":{"noteIndex":0},"schema":"https://github.com/citation-style-language/schema/raw/master/csl-citation.json"}</w:instrText>
      </w:r>
      <w:r>
        <w:fldChar w:fldCharType="separate"/>
      </w:r>
      <w:r w:rsidRPr="00D92338">
        <w:rPr>
          <w:noProof/>
        </w:rPr>
        <w:t>(Arendsee et al., 2019)</w:t>
      </w:r>
      <w:r>
        <w:fldChar w:fldCharType="end"/>
      </w:r>
      <w:r>
        <w:t xml:space="preserve">. The resulting region was then filtered to include the highest scoring interval that was at least the size of the candidate </w:t>
      </w:r>
      <w:r>
        <w:rPr>
          <w:i/>
          <w:iCs/>
        </w:rPr>
        <w:t xml:space="preserve">de novo </w:t>
      </w:r>
      <w:r>
        <w:t xml:space="preserve">gene and less than 125 kb, which resulted in 202 genes which had intervals in the expected syntenic regions. The regions were extracted and compiled with the candidate </w:t>
      </w:r>
      <w:r>
        <w:rPr>
          <w:i/>
          <w:iCs/>
        </w:rPr>
        <w:t xml:space="preserve">de novo </w:t>
      </w:r>
      <w:r>
        <w:t xml:space="preserve">gene and aligned with MAFFT </w:t>
      </w:r>
      <w:proofErr w:type="spellStart"/>
      <w:r>
        <w:t>linsi</w:t>
      </w:r>
      <w:proofErr w:type="spellEnd"/>
      <w:r>
        <w:t xml:space="preserve"> </w:t>
      </w:r>
      <w:r w:rsidRPr="00AD3C02">
        <w:t>v7.407</w:t>
      </w:r>
      <w:r>
        <w:t xml:space="preserve"> with default parameter settings </w:t>
      </w:r>
      <w:r>
        <w:fldChar w:fldCharType="begin" w:fldLock="1"/>
      </w:r>
      <w:r>
        <w:instrText>ADDIN CSL_CITATION {"citationItems":[{"id":"ITEM-1","itemData":{"DOI":"10.1093/molbev/mst010","ISSN":"07374038","PMID":"23329690","abstract":"We report a major update of the MAFFT multiple sequence alignment program. This version has several new features, including options for adding unaligned sequences into an existing alignment, adjustment of direction in nucleotide alignment, constrained alignment and parallel processing, which were implemented after the previous major update. This report shows actual examples to explain how these features work, alone and in combination. Some examples incorrectly aligned by MAFFT are also shown to clarify its limitations. We discuss how to avoid misalignments, and our ongoing efforts to overcome such limitations. © 2013 The Author 2013. Published by Oxford University Press on behalf of the Society for Molecular Biology and Evolution.","author":[{"dropping-particle":"","family":"Katoh","given":"Kazutaka","non-dropping-particle":"","parse-names":false,"suffix":""},{"dropping-particle":"","family":"Standley","given":"Daron M.","non-dropping-particle":"","parse-names":false,"suffix":""}],"container-title":"Molecular Biology and Evolution","id":"ITEM-1","issue":"4","issued":{"date-parts":[["2013"]]},"page":"772-780","title":"MAFFT multiple sequence alignment software version 7: Improvements in performance and usability","type":"article-journal","volume":"30"},"uris":["http://www.mendeley.com/documents/?uuid=237ce605-ad22-403b-80aa-7d6a56c046ae"]}],"mendeley":{"formattedCitation":"(Katoh &amp; Standley, 2013)","plainTextFormattedCitation":"(Katoh &amp; Standley, 2013)","previouslyFormattedCitation":"(Katoh &amp; Standley 2013)"},"properties":{"noteIndex":0},"schema":"https://github.com/citation-style-language/schema/raw/master/csl-citation.json"}</w:instrText>
      </w:r>
      <w:r>
        <w:fldChar w:fldCharType="separate"/>
      </w:r>
      <w:r w:rsidRPr="00CE7936">
        <w:rPr>
          <w:noProof/>
        </w:rPr>
        <w:t>(Katoh &amp; Standley, 2013)</w:t>
      </w:r>
      <w:r>
        <w:fldChar w:fldCharType="end"/>
      </w:r>
      <w:r>
        <w:t xml:space="preserve">. To ensure that the primary and secondary syntenic regions were non-genic we utilized multiple lines of evidence: the syntenic region was required to not overlap a gene model (annotated by JGI) on the same strand second, the use of </w:t>
      </w:r>
      <w:proofErr w:type="spellStart"/>
      <w:r>
        <w:t>genblastG</w:t>
      </w:r>
      <w:proofErr w:type="spellEnd"/>
      <w:r>
        <w:t xml:space="preserve"> did not result in a reasonable gene model based on the thresholds above, the absence of expression of the query </w:t>
      </w:r>
      <w:r>
        <w:rPr>
          <w:i/>
          <w:iCs/>
        </w:rPr>
        <w:t>de novo</w:t>
      </w:r>
      <w:r>
        <w:t xml:space="preserve"> gene after remapping RNA-Seq data from both </w:t>
      </w:r>
      <w:r w:rsidRPr="00333E28">
        <w:rPr>
          <w:i/>
          <w:iCs/>
        </w:rPr>
        <w:t xml:space="preserve">P. </w:t>
      </w:r>
      <w:proofErr w:type="spellStart"/>
      <w:r w:rsidRPr="00333E28">
        <w:rPr>
          <w:i/>
          <w:iCs/>
        </w:rPr>
        <w:t>deltoides</w:t>
      </w:r>
      <w:proofErr w:type="spellEnd"/>
      <w:r>
        <w:rPr>
          <w:i/>
          <w:iCs/>
        </w:rPr>
        <w:t xml:space="preserve"> </w:t>
      </w:r>
      <w:r>
        <w:t xml:space="preserve">and </w:t>
      </w:r>
      <w:r w:rsidRPr="00A52643">
        <w:rPr>
          <w:i/>
          <w:iCs/>
        </w:rPr>
        <w:t xml:space="preserve">S. purpurea </w:t>
      </w:r>
      <w:r>
        <w:t>after applying the thresholds above</w:t>
      </w:r>
      <w:r>
        <w:rPr>
          <w:i/>
          <w:iCs/>
        </w:rPr>
        <w:t>,</w:t>
      </w:r>
      <w:r>
        <w:t xml:space="preserve"> and identification of shared disabling mutations in the syntenic alignments. This analysis resulted in 13 </w:t>
      </w:r>
      <w:r>
        <w:rPr>
          <w:i/>
          <w:iCs/>
        </w:rPr>
        <w:t xml:space="preserve">de novo </w:t>
      </w:r>
      <w:r>
        <w:t xml:space="preserve">genes that had </w:t>
      </w:r>
      <w:r>
        <w:lastRenderedPageBreak/>
        <w:t>high- quality alignments. Upon further inspection of the non-genic syntenic sequence with BLASTN 2.6.0 + (</w:t>
      </w:r>
      <w:proofErr w:type="spellStart"/>
      <w:r w:rsidRPr="00390118">
        <w:rPr>
          <w:noProof/>
        </w:rPr>
        <w:t>Altschul</w:t>
      </w:r>
      <w:proofErr w:type="spellEnd"/>
      <w:r w:rsidRPr="00390118">
        <w:rPr>
          <w:noProof/>
        </w:rPr>
        <w:t>, 19</w:t>
      </w:r>
      <w:r>
        <w:rPr>
          <w:noProof/>
        </w:rPr>
        <w:t>9</w:t>
      </w:r>
      <w:r w:rsidRPr="00390118">
        <w:rPr>
          <w:noProof/>
        </w:rPr>
        <w:t>7</w:t>
      </w:r>
      <w:r>
        <w:rPr>
          <w:noProof/>
        </w:rPr>
        <w:t>)</w:t>
      </w:r>
      <w:r>
        <w:t xml:space="preserve">, 7 </w:t>
      </w:r>
      <w:r>
        <w:rPr>
          <w:i/>
          <w:iCs/>
        </w:rPr>
        <w:t>de novo</w:t>
      </w:r>
      <w:r>
        <w:t xml:space="preserve"> genes could be classified as having their origins in overlapping existing gene features on the antisense strand while the remaining 6 are from intergenic regions. </w:t>
      </w:r>
    </w:p>
    <w:p w14:paraId="386F82F6" w14:textId="77777777" w:rsidR="00636B5B" w:rsidRDefault="00636B5B" w:rsidP="00CE7936">
      <w:pPr>
        <w:spacing w:line="360" w:lineRule="auto"/>
        <w:jc w:val="both"/>
      </w:pPr>
    </w:p>
    <w:p w14:paraId="28FFE55F" w14:textId="77777777" w:rsidR="00636B5B" w:rsidRDefault="00636B5B" w:rsidP="00CE7936">
      <w:pPr>
        <w:spacing w:line="360" w:lineRule="auto"/>
        <w:jc w:val="both"/>
        <w:rPr>
          <w:b/>
          <w:u w:val="single"/>
        </w:rPr>
      </w:pPr>
      <w:r w:rsidRPr="006D2ABD">
        <w:rPr>
          <w:b/>
          <w:bCs/>
        </w:rPr>
        <w:t xml:space="preserve">SNP effect and polymorphism analysis in 917 </w:t>
      </w:r>
      <w:r w:rsidRPr="00333E28">
        <w:rPr>
          <w:b/>
          <w:bCs/>
          <w:i/>
          <w:iCs/>
        </w:rPr>
        <w:t xml:space="preserve">P. </w:t>
      </w:r>
      <w:proofErr w:type="spellStart"/>
      <w:r w:rsidRPr="00333E28">
        <w:rPr>
          <w:b/>
          <w:bCs/>
          <w:i/>
          <w:iCs/>
        </w:rPr>
        <w:t>trichocarpa</w:t>
      </w:r>
      <w:proofErr w:type="spellEnd"/>
      <w:r w:rsidRPr="006D2ABD">
        <w:rPr>
          <w:b/>
          <w:bCs/>
          <w:i/>
          <w:iCs/>
        </w:rPr>
        <w:t xml:space="preserve"> </w:t>
      </w:r>
      <w:r w:rsidRPr="006D2ABD">
        <w:rPr>
          <w:b/>
          <w:bCs/>
        </w:rPr>
        <w:t>individuals</w:t>
      </w:r>
      <w:r>
        <w:t xml:space="preserve">: A </w:t>
      </w:r>
      <w:proofErr w:type="spellStart"/>
      <w:r>
        <w:t>vcf</w:t>
      </w:r>
      <w:proofErr w:type="spellEnd"/>
      <w:r>
        <w:t xml:space="preserve">, with the variant calls from 917 </w:t>
      </w:r>
      <w:r w:rsidRPr="00333E28">
        <w:rPr>
          <w:i/>
          <w:iCs/>
        </w:rPr>
        <w:t xml:space="preserve">P. </w:t>
      </w:r>
      <w:proofErr w:type="spellStart"/>
      <w:r w:rsidRPr="00333E28">
        <w:rPr>
          <w:i/>
          <w:iCs/>
        </w:rPr>
        <w:t>trichocarpa</w:t>
      </w:r>
      <w:proofErr w:type="spellEnd"/>
      <w:r>
        <w:t xml:space="preserve"> individuals was annotated with </w:t>
      </w:r>
      <w:proofErr w:type="spellStart"/>
      <w:r>
        <w:t>SnpEff</w:t>
      </w:r>
      <w:proofErr w:type="spellEnd"/>
      <w:r>
        <w:t xml:space="preserve"> </w:t>
      </w:r>
      <w:r w:rsidRPr="00AD3C02">
        <w:t>4.3t</w:t>
      </w:r>
      <w:r>
        <w:t xml:space="preserve"> using the </w:t>
      </w:r>
      <w:r w:rsidRPr="00333E28">
        <w:rPr>
          <w:i/>
          <w:iCs/>
        </w:rPr>
        <w:t xml:space="preserve">P. </w:t>
      </w:r>
      <w:proofErr w:type="spellStart"/>
      <w:r w:rsidRPr="00333E28">
        <w:rPr>
          <w:i/>
          <w:iCs/>
        </w:rPr>
        <w:t>trichocarpa</w:t>
      </w:r>
      <w:proofErr w:type="spellEnd"/>
      <w:r>
        <w:rPr>
          <w:i/>
          <w:iCs/>
        </w:rPr>
        <w:t xml:space="preserve"> </w:t>
      </w:r>
      <w:r>
        <w:t xml:space="preserve">v.3.1 GFF3 file (available on </w:t>
      </w:r>
      <w:hyperlink r:id="rId13" w:history="1">
        <w:r w:rsidRPr="00006349">
          <w:rPr>
            <w:rStyle w:val="Hyperlink"/>
            <w:color w:val="000000" w:themeColor="text1"/>
          </w:rPr>
          <w:t>https://phytozome.jgi.doe.gov/pz/portal.html</w:t>
        </w:r>
      </w:hyperlink>
      <w:r>
        <w:t xml:space="preserve">) </w:t>
      </w:r>
      <w:r>
        <w:fldChar w:fldCharType="begin" w:fldLock="1"/>
      </w:r>
      <w:r>
        <w:instrText>ADDIN CSL_CITATION {"citationItems":[{"id":"ITEM-1","itemData":{"DOI":"10.4161/fly.19695","ISSN":"19336942","PMID":"22728672","abstract":"We describe a new computer program, SnpEff, for rapidly categorizing the effects of variants in genome sequences. Once a genome is sequenced, SnpEff annotates variants based on their genomic locations and predicts coding effects. Annotated genomic locations include intronic, untranslated region, upstream, downstream, splice site, or intergenic regions. Coding effects such as synonymous or non-synonymous amino acid replacement, start codon gains or losses, stop codon gains or losses, or frame shifts can be predicted. Here the use of SnpEff is illustrated by annotating ~356,660 candidate SNPs in ~117 Mb unique sequences, representing a substitution rate of ~1/305 nucleotides, between the Drosophila melanogaster w1118; iso-2; iso-3 strain and the reference y1; cn1 bw1 sp1 strain. We show that ~15,842 SNPs are synonymous and ~4,467 SNPs are non-synonymous (N/S ~0.28). The remaining SNPs are in other categories, such as stop codon gains (38 SNPs), stop codon losses (8 SNPs), and start codon gains (297 SNPs) in the 5'UTR. We found, as expected, that the SNP frequency is proportional to the recombination frequency (i.e., highest in the middle of chromosome arms). We also found that start-gain or stop-lost SNPs in Drosophila melanogaster often result in additions of N-terminal or C-terminal amino acids that are conserved in other Drosophila species. It appears that the 5' and 3'UTRs are reservoirs for genetic variations that changes the termini of proteins during evolution of the Drosophila genus. As genome sequencing is becoming inexpensive and routine, SnpEff enables rapid analyses of whole-genome sequencing data to be performed by an individual laboratory. © 2012 Landes Bioscience.","author":[{"dropping-particle":"","family":"Cingolani","given":"Pablo","non-dropping-particle":"","parse-names":false,"suffix":""},{"dropping-particle":"","family":"Platts","given":"Adrian","non-dropping-particle":"","parse-names":false,"suffix":""},{"dropping-particle":"","family":"Wang","given":"Le Lily","non-dropping-particle":"","parse-names":false,"suffix":""},{"dropping-particle":"","family":"Coon","given":"Melissa","non-dropping-particle":"","parse-names":false,"suffix":""},{"dropping-particle":"","family":"Nguyen","given":"Tung","non-dropping-particle":"","parse-names":false,"suffix":""},{"dropping-particle":"","family":"Wang","given":"Luan","non-dropping-particle":"","parse-names":false,"suffix":""},{"dropping-particle":"","family":"Land","given":"Susan J.","non-dropping-particle":"","parse-names":false,"suffix":""},{"dropping-particle":"","family":"Lu","given":"Xiangyi","non-dropping-particle":"","parse-names":false,"suffix":""},{"dropping-particle":"","family":"Ruden","given":"Douglas M.","non-dropping-particle":"","parse-names":false,"suffix":""}],"container-title":"Fly","id":"ITEM-1","issue":"2","issued":{"date-parts":[["2012"]]},"page":"80-92","title":"A program for annotating and predicting the effects of single nucleotide polymorphisms, SnpEff: SNPs in the genome of Drosophila melanogaster strain w1118; iso-2; iso-3","type":"article-journal","volume":"6"},"uris":["http://www.mendeley.com/documents/?uuid=1f7770a4-f4e9-45a0-a1ea-986a46cbee81"]}],"mendeley":{"formattedCitation":"(Cingolani et al., 2012)","plainTextFormattedCitation":"(Cingolani et al., 2012)","previouslyFormattedCitation":"(Cingolani et al. 2012)"},"properties":{"noteIndex":0},"schema":"https://github.com/citation-style-language/schema/raw/master/csl-citation.json"}</w:instrText>
      </w:r>
      <w:r>
        <w:fldChar w:fldCharType="separate"/>
      </w:r>
      <w:r w:rsidRPr="00CE7936">
        <w:rPr>
          <w:noProof/>
        </w:rPr>
        <w:t>(Cingolani et al., 2012)</w:t>
      </w:r>
      <w:r>
        <w:fldChar w:fldCharType="end"/>
      </w:r>
      <w:r>
        <w:t xml:space="preserve">. To determine the variant frequency by mutation class, gene regions were extracted with </w:t>
      </w:r>
      <w:proofErr w:type="spellStart"/>
      <w:r>
        <w:t>bcftools</w:t>
      </w:r>
      <w:proofErr w:type="spellEnd"/>
      <w:r>
        <w:t xml:space="preserve"> v1.9, each mutation class count was divided by the gene length, and then multiplied by 1000. For similarity to Nisqually-1, gene regions were extracted with </w:t>
      </w:r>
      <w:proofErr w:type="spellStart"/>
      <w:r>
        <w:t>bcftools</w:t>
      </w:r>
      <w:proofErr w:type="spellEnd"/>
      <w:r>
        <w:t xml:space="preserve"> v1.9 </w:t>
      </w:r>
      <w:r>
        <w:fldChar w:fldCharType="begin" w:fldLock="1"/>
      </w:r>
      <w:r>
        <w:instrText>ADDIN CSL_CITATION {"citationItems":[{"id":"ITEM-1","itemData":{"DOI":"10.1093/bioinformatics/btr509","ISSN":"13674803","abstract":"Motivation: Most existing methods for DNA sequence analysis rely on accurate sequences or genotypes. However, in applications of the next-generation sequencing (NGS), accurate genotypes may not be easily obtained (e.g. multi-sample low-coverage sequencing or somatic mutation discovery). These applications press for the development of new methods for analyzing sequence data with uncertainty. Results: We present a statistical framework for calling SNPs, discovering somatic mutations, inferring population genetical parameters and performing association tests directly based on sequencing data without explicit genotyping or linkage-based imputation. On real data, we demonstrate that our method achieves comparable accuracy to alternative methods for estimating site allele count, for inferring allele frequency spectrum and for association mapping. We also highlight the necessity of using symmetric datasets for finding somatic mutations and confirm that for discovering rare events, mismapping is frequently the leading source of errors. © The Author 2011. Published by Oxford University Press. All rights reserved.","author":[{"dropping-particle":"","family":"Li","given":"Heng","non-dropping-particle":"","parse-names":false,"suffix":""}],"container-title":"Bioinformatics","id":"ITEM-1","issue":"21","issued":{"date-parts":[["2011"]]},"page":"2987-2993","title":"A statistical framework for SNP calling, mutation discovery, association mapping and population genetical parameter estimation from sequencing data","type":"article-journal","volume":"27"},"uris":["http://www.mendeley.com/documents/?uuid=a395d07a-aead-498d-95e1-166e1fe3de97"]}],"mendeley":{"formattedCitation":"(H. Li, 2011)","plainTextFormattedCitation":"(H. Li, 2011)","previouslyFormattedCitation":"(Li 2011)"},"properties":{"noteIndex":0},"schema":"https://github.com/citation-style-language/schema/raw/master/csl-citation.json"}</w:instrText>
      </w:r>
      <w:r>
        <w:fldChar w:fldCharType="separate"/>
      </w:r>
      <w:r w:rsidRPr="00CE7936">
        <w:rPr>
          <w:noProof/>
        </w:rPr>
        <w:t>(H. Li, 2011)</w:t>
      </w:r>
      <w:r>
        <w:fldChar w:fldCharType="end"/>
      </w:r>
      <w:r>
        <w:t xml:space="preserve">. Then, Plink </w:t>
      </w:r>
      <w:r w:rsidRPr="00F15135">
        <w:t>v1.90</w:t>
      </w:r>
      <w:r w:rsidRPr="00F15135" w:rsidDel="00F15135">
        <w:t xml:space="preserve"> </w:t>
      </w:r>
      <w:r>
        <w:t xml:space="preserve">was used to calculate pairwise identity by state with default parameter settings, multiallelic SNPs were excluded </w:t>
      </w:r>
      <w:r>
        <w:fldChar w:fldCharType="begin" w:fldLock="1"/>
      </w:r>
      <w:r>
        <w:instrText>ADDIN CSL_CITATION {"citationItems":[{"id":"ITEM-1","itemData":{"DOI":"10.1086/519795","ISSN":"00029297","PMID":"17701901","abstract":"Whole-genome association studies (WGAS) bring new computational, as well as analytic, challenges to researchers. Many existing genetic-analysis tools are not designed to handle such large data sets in a convenient manner and do not necessarily exploit the new opportunities that whole-genome data bring. To address these issues, we developed PLINK, an open-source C/C++ WGAS tool set. With PLINK, large data sets comprising hundreds of thousands of markers genotyped for thousands of individuals can be rapidly manipulated and analyzed in their entirety. As well as providing tools to make the basic analytic steps computationally efficient, PLINK also supports some novel approaches to whole-genome data that take advantage of whole-genome coverage. We introduce PLINK and describe the five main domains of function: data management, summary statistics, population stratification, association analysis, and identity-by-descent estimation. In particular, we focus on the estimation and use of identity-by-state and identity-by-descent information in the context of population-based whole-genome studies. This information can be used to detect and correct for population stratification and to identify extended chromosomal segments that are shared identical by descent between very distantly related individuals. Analysis of the patterns of segmental sharing has the potential to map disease loci that contain multiple rare variants in a population-based linkage analysis. © 2007 by The American Society of Human Genetics. All rights reserved.","author":[{"dropping-particle":"","family":"Purcell","given":"Shaun","non-dropping-particle":"","parse-names":false,"suffix":""},{"dropping-particle":"","family":"Neale","given":"Benjamin","non-dropping-particle":"","parse-names":false,"suffix":""},{"dropping-particle":"","family":"Todd-Brown","given":"Kathe","non-dropping-particle":"","parse-names":false,"suffix":""},{"dropping-particle":"","family":"Thomas","given":"Lori","non-dropping-particle":"","parse-names":false,"suffix":""},{"dropping-particle":"","family":"Ferreira","given":"Manuel A.R.","non-dropping-particle":"","parse-names":false,"suffix":""},{"dropping-particle":"","family":"Bender","given":"David","non-dropping-particle":"","parse-names":false,"suffix":""},{"dropping-particle":"","family":"Maller","given":"Julian","non-dropping-particle":"","parse-names":false,"suffix":""},{"dropping-particle":"","family":"Sklar","given":"Pamela","non-dropping-particle":"","parse-names":false,"suffix":""},{"dropping-particle":"","family":"Bakker","given":"Paul I.W.","non-dropping-particle":"De","parse-names":false,"suffix":""},{"dropping-particle":"","family":"Daly","given":"Mark J.","non-dropping-particle":"","parse-names":false,"suffix":""},{"dropping-particle":"","family":"Sham","given":"Pak C.","non-dropping-particle":"","parse-names":false,"suffix":""}],"container-title":"American Journal of Human Genetics","id":"ITEM-1","issue":"3","issued":{"date-parts":[["2007"]]},"page":"559-575","title":"PLINK: A tool set for whole-genome association and population-based linkage analyses","type":"article-journal","volume":"81"},"uris":["http://www.mendeley.com/documents/?uuid=a827488e-4d48-4c36-ae91-0840522e49a1"]}],"mendeley":{"formattedCitation":"(Purcell et al., 2007)","plainTextFormattedCitation":"(Purcell et al., 2007)","previouslyFormattedCitation":"(Purcell et al. 2007)"},"properties":{"noteIndex":0},"schema":"https://github.com/citation-style-language/schema/raw/master/csl-citation.json"}</w:instrText>
      </w:r>
      <w:r>
        <w:fldChar w:fldCharType="separate"/>
      </w:r>
      <w:r w:rsidRPr="00CE7936">
        <w:rPr>
          <w:noProof/>
        </w:rPr>
        <w:t>(Purcell et al., 2007)</w:t>
      </w:r>
      <w:r>
        <w:fldChar w:fldCharType="end"/>
      </w:r>
      <w:r>
        <w:t xml:space="preserve">. Identity by state was calculated for each of the 13 </w:t>
      </w:r>
      <w:r>
        <w:rPr>
          <w:i/>
          <w:iCs/>
        </w:rPr>
        <w:t xml:space="preserve">de novo </w:t>
      </w:r>
      <w:r>
        <w:t xml:space="preserve">genes. Nucleotide diversity was calculated with the same </w:t>
      </w:r>
      <w:proofErr w:type="spellStart"/>
      <w:r>
        <w:t>vcf</w:t>
      </w:r>
      <w:proofErr w:type="spellEnd"/>
      <w:r>
        <w:t xml:space="preserve"> as above with </w:t>
      </w:r>
      <w:proofErr w:type="spellStart"/>
      <w:r>
        <w:t>VCFtools</w:t>
      </w:r>
      <w:proofErr w:type="spellEnd"/>
      <w:r>
        <w:t xml:space="preserve"> v0.1.16 with a window size of 1 Mb </w:t>
      </w:r>
      <w:r>
        <w:fldChar w:fldCharType="begin" w:fldLock="1"/>
      </w:r>
      <w:r>
        <w:instrText>ADDIN CSL_CITATION {"citationItems":[{"id":"ITEM-1","itemData":{"DOI":"10.1093/bioinformatics/btr330","ISSN":"13674803","PMID":"21653522","abstract":"Summary: The variant call format (VCF) is a generic format for storing DNA polymorphism data such as SNPs, insertions, deletions and structural variants, together with rich annotations. VCF is usually stored in a compressed manner and can be indexed for fast data retrieval of variants from a range of positions on the reference genome. The format was developed for the 1000 Genomes Project, and has also been adopted by other projects such as UK10K, dbSNP and the NHLBI Exome Project. VCFtools is a software suite that implements various utilities for processing VCF files, including validation, merging, comparing and also provides a general Perl API. © The Author(s) 2011. Published by Oxford University Press.","author":[{"dropping-particle":"","family":"Danecek","given":"Petr","non-dropping-particle":"","parse-names":false,"suffix":""},{"dropping-particle":"","family":"Auton","given":"Adam","non-dropping-particle":"","parse-names":false,"suffix":""},{"dropping-particle":"","family":"Abecasis","given":"Goncalo","non-dropping-particle":"","parse-names":false,"suffix":""},{"dropping-particle":"","family":"Albers","given":"Cornelis A.","non-dropping-particle":"","parse-names":false,"suffix":""},{"dropping-particle":"","family":"Banks","given":"Eric","non-dropping-particle":"","parse-names":false,"suffix":""},{"dropping-particle":"","family":"DePristo","given":"Mark A.","non-dropping-particle":"","parse-names":false,"suffix":""},{"dropping-particle":"","family":"Handsaker","given":"Robert E.","non-dropping-particle":"","parse-names":false,"suffix":""},{"dropping-particle":"","family":"Lunter","given":"Gerton","non-dropping-particle":"","parse-names":false,"suffix":""},{"dropping-particle":"","family":"Marth","given":"Gabor T.","non-dropping-particle":"","parse-names":false,"suffix":""},{"dropping-particle":"","family":"Sherry","given":"Stephen T.","non-dropping-particle":"","parse-names":false,"suffix":""},{"dropping-particle":"","family":"McVean","given":"Gilean","non-dropping-particle":"","parse-names":false,"suffix":""},{"dropping-particle":"","family":"Durbin","given":"Richard","non-dropping-particle":"","parse-names":false,"suffix":""}],"container-title":"Bioinformatics","id":"ITEM-1","issue":"15","issued":{"date-parts":[["2011"]]},"page":"2156-2158","title":"The variant call format and VCFtools","type":"article-journal","volume":"27"},"uris":["http://www.mendeley.com/documents/?uuid=9ba6468c-2cd8-4bde-9d10-6c7b57f484d2"]}],"mendeley":{"formattedCitation":"(Danecek et al., 2011)","plainTextFormattedCitation":"(Danecek et al., 2011)","previouslyFormattedCitation":"(Danecek et al. 2011)"},"properties":{"noteIndex":0},"schema":"https://github.com/citation-style-language/schema/raw/master/csl-citation.json"}</w:instrText>
      </w:r>
      <w:r>
        <w:fldChar w:fldCharType="separate"/>
      </w:r>
      <w:r w:rsidRPr="00CE7936">
        <w:rPr>
          <w:noProof/>
        </w:rPr>
        <w:t>(Danecek et al., 2011)</w:t>
      </w:r>
      <w:r>
        <w:fldChar w:fldCharType="end"/>
      </w:r>
      <w:r>
        <w:t>.</w:t>
      </w:r>
    </w:p>
    <w:p w14:paraId="7C0F245B" w14:textId="77777777" w:rsidR="00636B5B" w:rsidRDefault="00636B5B" w:rsidP="00CE7936">
      <w:pPr>
        <w:spacing w:line="360" w:lineRule="auto"/>
        <w:jc w:val="both"/>
        <w:rPr>
          <w:b/>
          <w:u w:val="single"/>
        </w:rPr>
      </w:pPr>
    </w:p>
    <w:p w14:paraId="6BF2B5C3" w14:textId="77777777" w:rsidR="00636B5B" w:rsidRDefault="00636B5B" w:rsidP="00CE7936">
      <w:pPr>
        <w:spacing w:line="360" w:lineRule="auto"/>
        <w:jc w:val="both"/>
        <w:rPr>
          <w:b/>
          <w:bCs/>
        </w:rPr>
      </w:pPr>
      <w:r w:rsidRPr="009131DB">
        <w:rPr>
          <w:b/>
          <w:u w:val="single"/>
        </w:rPr>
        <w:t xml:space="preserve">Mass Spectrometry of 6 </w:t>
      </w:r>
      <w:r w:rsidRPr="00333E28">
        <w:rPr>
          <w:b/>
          <w:i/>
          <w:u w:val="single"/>
        </w:rPr>
        <w:t xml:space="preserve">P. </w:t>
      </w:r>
      <w:proofErr w:type="spellStart"/>
      <w:r w:rsidRPr="00333E28">
        <w:rPr>
          <w:b/>
          <w:i/>
          <w:u w:val="single"/>
        </w:rPr>
        <w:t>trichocarpa</w:t>
      </w:r>
      <w:proofErr w:type="spellEnd"/>
      <w:r w:rsidRPr="009131DB">
        <w:rPr>
          <w:b/>
          <w:u w:val="single"/>
        </w:rPr>
        <w:t xml:space="preserve"> genotypes</w:t>
      </w:r>
    </w:p>
    <w:p w14:paraId="5933D9AC" w14:textId="77777777" w:rsidR="00636B5B" w:rsidRDefault="00636B5B" w:rsidP="00CE7936">
      <w:pPr>
        <w:spacing w:line="360" w:lineRule="auto"/>
        <w:jc w:val="both"/>
      </w:pPr>
      <w:r w:rsidRPr="009E4EC1">
        <w:rPr>
          <w:b/>
          <w:bCs/>
        </w:rPr>
        <w:t>Protein extraction and digestion</w:t>
      </w:r>
      <w:r>
        <w:t xml:space="preserve">: Six genotypes, BESC-377, BESC-907, BESC-901, BESC-886, BESC-900 and Nisqually-1, from the </w:t>
      </w:r>
      <w:r w:rsidRPr="00333E28">
        <w:rPr>
          <w:i/>
          <w:iCs/>
        </w:rPr>
        <w:t xml:space="preserve">P. </w:t>
      </w:r>
      <w:proofErr w:type="spellStart"/>
      <w:r w:rsidRPr="00333E28">
        <w:rPr>
          <w:i/>
          <w:iCs/>
        </w:rPr>
        <w:t>trichocarpa</w:t>
      </w:r>
      <w:proofErr w:type="spellEnd"/>
      <w:r>
        <w:t xml:space="preserve"> GWAS population were selected for analysis by Mass Spectrometry. Each genotype had three technical replicates. 100 mg of leaf tissue was ground with two 5 mm stainless steel grinding beads in the Qiagen </w:t>
      </w:r>
      <w:proofErr w:type="spellStart"/>
      <w:r>
        <w:t>TissueLyser</w:t>
      </w:r>
      <w:proofErr w:type="spellEnd"/>
      <w:r>
        <w:t xml:space="preserve"> twice for 30 s at 30 Hz. Ground tissue pellets were suspended in sodium dodecyl sulfate (SDS) lysis buffer (2% in 100 mM of NH4HCO3, 10 mM DTT). Samples were physically disrupted by bead beating (0.15 mm) at 8000 rpm for 5 min. Crude lysates were boiled for 5 min at 90 °C and then samples were adjusted to 30 mM IAA and incubated in the dark for 15 min at room temperature to avoid disulfide bridge reformation. Proteins were precipitated using a chloroform/methanol/water extraction. Dried protein pellets were resolubilized in 2% (w/v) sodium deoxycholate (SDC) (100 mM NH4HCO3) and protein amounts were estimated by performing a BCA assay (Pierce Biotechnology). For each sample, an aliquot of approximately 500 µg of protein was digested via two aliquots of sequencing-grade trypsin (Promega, 1:75 [</w:t>
      </w:r>
      <w:proofErr w:type="spellStart"/>
      <w:r>
        <w:t>w:w</w:t>
      </w:r>
      <w:proofErr w:type="spellEnd"/>
      <w:r>
        <w:t xml:space="preserve">]) at two different sample dilutions, (overnight) followed by incubating 3 hours at 37°C. The peptide mixture was adjusted to 0.5% </w:t>
      </w:r>
      <w:r>
        <w:lastRenderedPageBreak/>
        <w:t>formaldehyde (FA) to precipitate SDC. Hydrated ethyl acetate was added to each sample at a 1:1 [</w:t>
      </w:r>
      <w:proofErr w:type="spellStart"/>
      <w:r>
        <w:t>v:v</w:t>
      </w:r>
      <w:proofErr w:type="spellEnd"/>
      <w:r>
        <w:t xml:space="preserve">] ratio three times to effectively remove SDC. Samples were then placed in a </w:t>
      </w:r>
      <w:proofErr w:type="spellStart"/>
      <w:r>
        <w:t>SpeedVac</w:t>
      </w:r>
      <w:proofErr w:type="spellEnd"/>
      <w:r>
        <w:t xml:space="preserve"> Concentrator (Thermo Fischer Scientific) to remove ethyl acetate and further concentrate the sample. The peptide-enriched flow through was quantified using the BCA assay, desalted on RP-C18 stage tips (Pierce Biotechnology) and then stored at −80°C prior to </w:t>
      </w:r>
      <w:r>
        <w:rPr>
          <w:color w:val="000000" w:themeColor="text1"/>
        </w:rPr>
        <w:t xml:space="preserve">prior to </w:t>
      </w:r>
      <w:r w:rsidRPr="006877EE">
        <w:rPr>
          <w:color w:val="000000" w:themeColor="text1"/>
        </w:rPr>
        <w:t>LC-MS/MS analysis.</w:t>
      </w:r>
    </w:p>
    <w:p w14:paraId="3532819D" w14:textId="77777777" w:rsidR="00636B5B" w:rsidRDefault="00636B5B" w:rsidP="00CE7936">
      <w:pPr>
        <w:spacing w:line="360" w:lineRule="auto"/>
        <w:jc w:val="both"/>
      </w:pPr>
      <w:r w:rsidRPr="009E4EC1">
        <w:rPr>
          <w:b/>
          <w:bCs/>
        </w:rPr>
        <w:t>LC-MS/MS analysis</w:t>
      </w:r>
      <w:r>
        <w:t xml:space="preserve">: All samples were analyzed on a Q </w:t>
      </w:r>
      <w:proofErr w:type="spellStart"/>
      <w:r>
        <w:t>Exactive</w:t>
      </w:r>
      <w:proofErr w:type="spellEnd"/>
      <w:r>
        <w:t xml:space="preserve"> Plus mass spectrometer (Thermo Fisher Scientific) coupled with a </w:t>
      </w:r>
      <w:proofErr w:type="spellStart"/>
      <w:r>
        <w:t>Proxeon</w:t>
      </w:r>
      <w:proofErr w:type="spellEnd"/>
      <w:r>
        <w:t xml:space="preserve"> EASY-</w:t>
      </w:r>
      <w:proofErr w:type="spellStart"/>
      <w:r>
        <w:t>nLC</w:t>
      </w:r>
      <w:proofErr w:type="spellEnd"/>
      <w:r>
        <w:t xml:space="preserve"> 1200 liquid chromatography (LC) pump (Thermo Fisher Scientific). Peptides were separated on a 75 </w:t>
      </w:r>
      <w:proofErr w:type="spellStart"/>
      <w:r>
        <w:t>μm</w:t>
      </w:r>
      <w:proofErr w:type="spellEnd"/>
      <w:r>
        <w:t xml:space="preserve"> inner diameter microcapillary column packed with 25 cm of </w:t>
      </w:r>
      <w:proofErr w:type="spellStart"/>
      <w:r>
        <w:t>Kinetex</w:t>
      </w:r>
      <w:proofErr w:type="spellEnd"/>
      <w:r>
        <w:t xml:space="preserve"> C18 resin (1.7 </w:t>
      </w:r>
      <w:proofErr w:type="spellStart"/>
      <w:r>
        <w:t>μm</w:t>
      </w:r>
      <w:proofErr w:type="spellEnd"/>
      <w:r>
        <w:t xml:space="preserve">, 100 Å, Phenomenex). For each sample, a 2 </w:t>
      </w:r>
      <w:proofErr w:type="spellStart"/>
      <w:r>
        <w:t>μg</w:t>
      </w:r>
      <w:proofErr w:type="spellEnd"/>
      <w:r>
        <w:t xml:space="preserve"> aliquot was loaded in buffer A (0.1% formic acid, 2% acetonitrile) and eluted with a linear 150 min gradient of 2 – 20% of buffer B (0.1% formic acid, 80% acetonitrile), followed by an increase in buffer B to 30% for 10 minutes, another increase to 50% buffer for 10 minutes and concluding with a 10 min wash at 98% buffer A. The flow rate was kept at 200 </w:t>
      </w:r>
      <w:proofErr w:type="spellStart"/>
      <w:r>
        <w:t>nL</w:t>
      </w:r>
      <w:proofErr w:type="spellEnd"/>
      <w:r>
        <w:t xml:space="preserve">/min. MS data was acquired with the Thermo </w:t>
      </w:r>
      <w:proofErr w:type="spellStart"/>
      <w:r>
        <w:t>Xcalibur</w:t>
      </w:r>
      <w:proofErr w:type="spellEnd"/>
      <w:r>
        <w:t xml:space="preserve"> software v2.2, a </w:t>
      </w:r>
      <w:proofErr w:type="spellStart"/>
      <w:r>
        <w:t>topN</w:t>
      </w:r>
      <w:proofErr w:type="spellEnd"/>
      <w:r>
        <w:t xml:space="preserve"> method where N could be up to 15. Target values for the full scan MS spectra were 1 x 106 charges in the 300–1,500 m/z range with a maximum injection time of 25 </w:t>
      </w:r>
      <w:proofErr w:type="spellStart"/>
      <w:r>
        <w:t>ms.</w:t>
      </w:r>
      <w:proofErr w:type="spellEnd"/>
      <w:r>
        <w:t xml:space="preserve"> Transient times corresponding to a resolution of 70,000 at m/z 200 were chosen. A 1.6 m/z isolation window and fragmentation of precursor ions was performed by higher-energy C-trap dissociation with a normalized collision energy of 27 eV. MS/MS sans were performed at a resolution of 17,500 at m/z 200 with an </w:t>
      </w:r>
      <w:proofErr w:type="spellStart"/>
      <w:r>
        <w:t>ion</w:t>
      </w:r>
      <w:proofErr w:type="spellEnd"/>
      <w:r>
        <w:t xml:space="preserve"> target-value of 1 x 106 and a maximum injection time of 50 </w:t>
      </w:r>
      <w:proofErr w:type="spellStart"/>
      <w:r>
        <w:t>ms.</w:t>
      </w:r>
      <w:proofErr w:type="spellEnd"/>
      <w:r>
        <w:t xml:space="preserve"> Dynamic exclusion was set to 30 s to avoid repeated sequencing of peptides.</w:t>
      </w:r>
    </w:p>
    <w:p w14:paraId="6DA32D9D" w14:textId="77777777" w:rsidR="00636B5B" w:rsidRDefault="00636B5B" w:rsidP="00CE7936">
      <w:pPr>
        <w:spacing w:line="360" w:lineRule="auto"/>
        <w:jc w:val="both"/>
      </w:pPr>
      <w:r w:rsidRPr="009E4EC1">
        <w:rPr>
          <w:b/>
          <w:bCs/>
        </w:rPr>
        <w:t>Peptide identification and protein inference</w:t>
      </w:r>
      <w:r>
        <w:t xml:space="preserve">: MS raw data files were searched against the </w:t>
      </w:r>
      <w:r w:rsidRPr="00333E28">
        <w:rPr>
          <w:i/>
        </w:rPr>
        <w:t xml:space="preserve">P. </w:t>
      </w:r>
      <w:proofErr w:type="spellStart"/>
      <w:r w:rsidRPr="00333E28">
        <w:rPr>
          <w:i/>
        </w:rPr>
        <w:t>trichocarpa</w:t>
      </w:r>
      <w:proofErr w:type="spellEnd"/>
      <w:r>
        <w:t xml:space="preserve"> v3.0 reference FASTA database to which mitochondrial and chloroplast-encoded proteins had been added. A list of common protein contaminants (e.g., keratin) were appended to the reference database. A decoy database, consisting of the reversed sequences of the target database, was appended to discern the false-discovery rate (FDR) at the spectral level. For standard database searching, the peptide fragmentation spectra (MS/MS) were analyzed by the Crux pipeline v3.0 </w:t>
      </w:r>
      <w:r>
        <w:fldChar w:fldCharType="begin" w:fldLock="1"/>
      </w:r>
      <w:r>
        <w:instrText>ADDIN CSL_CITATION {"citationItems":[{"id":"ITEM-1","itemData":{"DOI":"10.1021/pr500741y","ISSN":"15353907","PMID":"25182276","abstract":"Efficiently and accurately analyzing big protein tandem mass spectrometry data sets requires robust software that incorporates state-of-the-art computational, machine learning, and statistical methods. The Crux mass spectrometry analysis software toolkit (http://cruxtoolkit.sourceforge.net) is an open source project that aims to provide users with a cross-platform suite of analysis tools for interpreting protein mass spectrometry data.","author":[{"dropping-particle":"","family":"McIlwain","given":"Sean","non-dropping-particle":"","parse-names":false,"suffix":""},{"dropping-particle":"","family":"Tamura","given":"Kaipo","non-dropping-particle":"","parse-names":false,"suffix":""},{"dropping-particle":"","family":"Kertesz-Farkas","given":"Attila","non-dropping-particle":"","parse-names":false,"suffix":""},{"dropping-particle":"","family":"Grant","given":"Charles E.","non-dropping-particle":"","parse-names":false,"suffix":""},{"dropping-particle":"","family":"Diament","given":"Benjamin","non-dropping-particle":"","parse-names":false,"suffix":""},{"dropping-particle":"","family":"Frewen","given":"Barbara","non-dropping-particle":"","parse-names":false,"suffix":""},{"dropping-particle":"","family":"Howbert","given":"J. Jeffry","non-dropping-particle":"","parse-names":false,"suffix":""},{"dropping-particle":"","family":"Hoopmann","given":"Michael R.","non-dropping-particle":"","parse-names":false,"suffix":""},{"dropping-particle":"","family":"Käll","given":"Lukas","non-dropping-particle":"","parse-names":false,"suffix":""},{"dropping-particle":"","family":"Eng","given":"Jimmy K.","non-dropping-particle":"","parse-names":false,"suffix":""},{"dropping-particle":"","family":"MacCoss","given":"Michael J.","non-dropping-particle":"","parse-names":false,"suffix":""},{"dropping-particle":"","family":"Noble","given":"William Stafford","non-dropping-particle":"","parse-names":false,"suffix":""}],"container-title":"Journal of Proteome Research","id":"ITEM-1","issue":"10","issued":{"date-parts":[["2014"]]},"page":"4488-4491","title":"Crux: Rapid open source protein tandem mass spectrometry analysis","type":"article-journal","volume":"13"},"uris":["http://www.mendeley.com/documents/?uuid=1fe8e41e-e2fa-40fc-bd41-2d8304361f63"]}],"mendeley":{"formattedCitation":"(McIlwain et al., 2014)","plainTextFormattedCitation":"(McIlwain et al., 2014)","previouslyFormattedCitation":"(McIlwain et al. 2014)"},"properties":{"noteIndex":0},"schema":"https://github.com/citation-style-language/schema/raw/master/csl-citation.json"}</w:instrText>
      </w:r>
      <w:r>
        <w:fldChar w:fldCharType="separate"/>
      </w:r>
      <w:r w:rsidRPr="00CE7936">
        <w:rPr>
          <w:noProof/>
        </w:rPr>
        <w:t>(McIlwain et al., 2014)</w:t>
      </w:r>
      <w:r>
        <w:fldChar w:fldCharType="end"/>
      </w:r>
      <w:r>
        <w:t xml:space="preserve">. The MS/MS were searched using the Tide algorithm and was configured to derive fully-tryptic peptides using default settings except for the following parameters: allowed clip </w:t>
      </w:r>
      <w:proofErr w:type="spellStart"/>
      <w:r>
        <w:t>nterm</w:t>
      </w:r>
      <w:proofErr w:type="spellEnd"/>
      <w:r>
        <w:t xml:space="preserve">-methionine, a precursor mass tolerance of 10 ppm, a static </w:t>
      </w:r>
      <w:r>
        <w:lastRenderedPageBreak/>
        <w:t xml:space="preserve">modification on cysteines (iodoacetamide; +57.0214 Da), and dynamic modifications on methionine (oxidation; 15.9949). The results were processed by Percolator to estimate q values. Peptide spectrum matches and peptides were considered identified at a q-value &lt;0.01. Across the entire experimental dataset, proteins were required to have at least 2 distinct peptide sequences and 2 minimum spectra per protein. </w:t>
      </w:r>
      <w:r w:rsidRPr="0081430E">
        <w:t xml:space="preserve">All proteomics spectral data in this study was deposited at </w:t>
      </w:r>
      <w:proofErr w:type="spellStart"/>
      <w:r w:rsidRPr="0081430E">
        <w:t>ProteomeXchange</w:t>
      </w:r>
      <w:proofErr w:type="spellEnd"/>
      <w:r w:rsidRPr="0081430E">
        <w:t xml:space="preserve"> Consortium via the MASSIVE repository (https://massive.ucsd.edu/). The data can be reviewed under the username “MSV000087050_reviewer” and password “</w:t>
      </w:r>
      <w:proofErr w:type="spellStart"/>
      <w:r w:rsidRPr="0081430E">
        <w:t>muchero</w:t>
      </w:r>
      <w:proofErr w:type="spellEnd"/>
      <w:r>
        <w:t>”</w:t>
      </w:r>
      <w:r w:rsidRPr="0081430E">
        <w:t>.</w:t>
      </w:r>
    </w:p>
    <w:p w14:paraId="2819C81D" w14:textId="77777777" w:rsidR="00636B5B" w:rsidRDefault="00636B5B" w:rsidP="00CE7936">
      <w:pPr>
        <w:spacing w:line="360" w:lineRule="auto"/>
        <w:jc w:val="both"/>
      </w:pPr>
      <w:r w:rsidRPr="00B45C89">
        <w:rPr>
          <w:b/>
          <w:bCs/>
        </w:rPr>
        <w:t>Protein quantification</w:t>
      </w:r>
      <w:r w:rsidRPr="00B45C89">
        <w:t>:</w:t>
      </w:r>
      <w:r>
        <w:t xml:space="preserve"> For label-free quantification, MS1-level precursor intensities were derived from MOFF </w:t>
      </w:r>
      <w:r>
        <w:fldChar w:fldCharType="begin" w:fldLock="1"/>
      </w:r>
      <w:r>
        <w:instrText>ADDIN CSL_CITATION {"citationItems":[{"id":"ITEM-1","itemData":{"DOI":"10.1038/nmeth.4075","ISSN":"15487105","PMID":"27898063","author":[{"dropping-particle":"","family":"Argentini","given":"Andrea","non-dropping-particle":"","parse-names":false,"suffix":""},{"dropping-particle":"","family":"Goeminne","given":"Ludger J.E.","non-dropping-particle":"","parse-names":false,"suffix":""},{"dropping-particle":"","family":"Verheggen","given":"Kenneth","non-dropping-particle":"","parse-names":false,"suffix":""},{"dropping-particle":"","family":"Hulstaert","given":"Niels","non-dropping-particle":"","parse-names":false,"suffix":""},{"dropping-particle":"","family":"Staes","given":"An","non-dropping-particle":"","parse-names":false,"suffix":""},{"dropping-particle":"","family":"Clement","given":"Lieven","non-dropping-particle":"","parse-names":false,"suffix":""},{"dropping-particle":"","family":"Martens","given":"Lennart","non-dropping-particle":"","parse-names":false,"suffix":""}],"container-title":"Nature Methods","id":"ITEM-1","issue":"12","issued":{"date-parts":[["2016"]]},"page":"964-966","title":"MoFF: A robust and automated approach to extract peptide ion intensities","type":"article-journal","volume":"13"},"uris":["http://www.mendeley.com/documents/?uuid=7d99545c-6a6a-4542-9ca0-d73ddd71f36b"]}],"mendeley":{"formattedCitation":"(Argentini et al., 2016)","plainTextFormattedCitation":"(Argentini et al., 2016)","previouslyFormattedCitation":"(Argentini et al. 2016)"},"properties":{"noteIndex":0},"schema":"https://github.com/citation-style-language/schema/raw/master/csl-citation.json"}</w:instrText>
      </w:r>
      <w:r>
        <w:fldChar w:fldCharType="separate"/>
      </w:r>
      <w:r w:rsidRPr="00CE7936">
        <w:rPr>
          <w:noProof/>
        </w:rPr>
        <w:t>(Argentini et al., 2016)</w:t>
      </w:r>
      <w:r>
        <w:fldChar w:fldCharType="end"/>
      </w:r>
      <w:r>
        <w:t xml:space="preserve"> using the following parameters: 10 ppm mass tolerance, retention time window for extracted ion chromatogram was 3 min, time window to get the apex for MS/MS precursor was 30 s. Protein intensity-based values, which were calculated by summing together quantified peptides, normalized by dividing by protein length and then LOESS and median central tendency procedures were performed on log</w:t>
      </w:r>
      <w:r w:rsidRPr="006D2ABD">
        <w:rPr>
          <w:vertAlign w:val="subscript"/>
        </w:rPr>
        <w:t>2</w:t>
      </w:r>
      <w:r>
        <w:t>-transformed data using the freely available software Perseus (http://www.perseus-framework.org). Missing values were replaced by random numbers drawn from a normal distribution (width=0.3 and downshift = 2.8).</w:t>
      </w:r>
    </w:p>
    <w:p w14:paraId="001EBF8E" w14:textId="77777777" w:rsidR="00636B5B" w:rsidRPr="009131DB" w:rsidRDefault="00636B5B" w:rsidP="00CE7936">
      <w:pPr>
        <w:spacing w:line="360" w:lineRule="auto"/>
        <w:jc w:val="both"/>
      </w:pPr>
    </w:p>
    <w:p w14:paraId="36A754D9" w14:textId="77777777" w:rsidR="00636B5B" w:rsidRDefault="00636B5B" w:rsidP="00CE7936">
      <w:pPr>
        <w:spacing w:line="360" w:lineRule="auto"/>
        <w:jc w:val="both"/>
        <w:rPr>
          <w:color w:val="000000" w:themeColor="text1"/>
        </w:rPr>
      </w:pPr>
      <w:r w:rsidRPr="00B45C89">
        <w:rPr>
          <w:b/>
        </w:rPr>
        <w:t>RNA-Seq and data analysis</w:t>
      </w:r>
      <w:r w:rsidRPr="00B45C89">
        <w:rPr>
          <w:color w:val="000000" w:themeColor="text1"/>
        </w:rPr>
        <w:t>:</w:t>
      </w:r>
      <w:r>
        <w:rPr>
          <w:color w:val="000000" w:themeColor="text1"/>
        </w:rPr>
        <w:t xml:space="preserve"> For RNA extraction procedures, refer to </w:t>
      </w:r>
      <w:r>
        <w:rPr>
          <w:color w:val="000000" w:themeColor="text1"/>
        </w:rPr>
        <w:fldChar w:fldCharType="begin" w:fldLock="1"/>
      </w:r>
      <w:r>
        <w:rPr>
          <w:color w:val="000000" w:themeColor="text1"/>
        </w:rPr>
        <w:instrText>ADDIN CSL_CITATION {"citationItems":[{"id":"ITEM-1","itemData":{"DOI":"10.1111/nph.15297","ISSN":"14698137","abstract":"3-O-caffeoylquinic acid, also known as chlorogenic acid (CGA), functions as an intermediate in lignin biosynthesis in the phenylpropanoid pathway. It is widely distributed among numerous plant species and acts as an antioxidant in both plants and animals. Using GC-MS, we discovered consistent and extreme variation in CGA content across a population of 739 4-yr-old Populus trichocarpa accessions. We performed genome-wide association studies (GWAS) from 917 P. trichocarpa accessions and expression-based quantitative trait loci (eQTL) analyses to identify key regulators. The GWAS and eQTL analyses resolved an overlapped interval encompassing a hydroxycinnamoyl-CoA:shikimate hydroxycinnamoyl transferase 2 (PtHCT2) that was significantly associated with CGA and partially characterized metabolite abundances. PtHCT2 leaf expression was significantly correlated with CGA abundance and it was regulated by cis-eQTLs containing W-box for WRKY binding. Among all nine PtHCT homologs, PtHCT2 is the only one that responds to infection by the fungal pathogen Sphaerulina musiva (a Populus pathogen). Validation using protoplast-based transient expression system suggests that PtHCT2 is regulated by the defense-responsive WRKY. These results are consistent with reports of CGA functioning as an antioxidant in response to biotic stress. This study provides insights into data-driven and omics-based inference of gene function in woody species.","author":[{"dropping-particle":"","family":"Zhang","given":"Jin","non-dropping-particle":"","parse-names":false,"suffix":""},{"dropping-particle":"","family":"Yang","given":"Yongil","non-dropping-particle":"","parse-names":false,"suffix":""},{"dropping-particle":"","family":"Zheng","given":"Kaijie","non-dropping-particle":"","parse-names":false,"suffix":""},{"dropping-particle":"","family":"Xie","given":"Meng","non-dropping-particle":"","parse-names":false,"suffix":""},{"dropping-particle":"","family":"Feng","given":"Kai","non-dropping-particle":"","parse-names":false,"suffix":""},{"dropping-particle":"","family":"Jawdy","given":"Sara S.","non-dropping-particle":"","parse-names":false,"suffix":""},{"dropping-particle":"","family":"Gunter","given":"Lee E.","non-dropping-particle":"","parse-names":false,"suffix":""},{"dropping-particle":"","family":"Ranjan","given":"Priya","non-dropping-particle":"","parse-names":false,"suffix":""},{"dropping-particle":"","family":"Singan","given":"Vasanth R.","non-dropping-particle":"","parse-names":false,"suffix":""},{"dropping-particle":"","family":"Engle","given":"Nancy","non-dropping-particle":"","parse-names":false,"suffix":""},{"dropping-particle":"","family":"Lindquist","given":"Erika","non-dropping-particle":"","parse-names":false,"suffix":""},{"dropping-particle":"","family":"Barry","given":"Kerrie","non-dropping-particle":"","parse-names":false,"suffix":""},{"dropping-particle":"","family":"Schmutz","given":"Jeremy","non-dropping-particle":"","parse-names":false,"suffix":""},{"dropping-particle":"","family":"Zhao","given":"Nan","non-dropping-particle":"","parse-names":false,"suffix":""},{"dropping-particle":"","family":"Tschaplinski","given":"Timothy J.","non-dropping-particle":"","parse-names":false,"suffix":""},{"dropping-particle":"","family":"LeBoldus","given":"Jared","non-dropping-particle":"","parse-names":false,"suffix":""},{"dropping-particle":"","family":"Tuskan","given":"Gerald A.","non-dropping-particle":"","parse-names":false,"suffix":""},{"dropping-particle":"","family":"Chen","given":"Jin Gui","non-dropping-particle":"","parse-names":false,"suffix":""},{"dropping-particle":"","family":"Muchero","given":"Wellington","non-dropping-particle":"","parse-names":false,"suffix":""}],"container-title":"New Phytologist","id":"ITEM-1","issue":"2","issued":{"date-parts":[["2018"]]},"page":"502-516","title":"Genome-wide association studies and expression-based quantitative trait loci analyses reveal roles of HCT2 in caffeoylquinic acid biosynthesis and its regulation by defense-responsive transcription factors in Populus","type":"article-journal","volume":"220"},"uris":["http://www.mendeley.com/documents/?uuid=cc70ae7f-f80e-4bb3-9483-cb80d2aa93d4"]}],"mendeley":{"formattedCitation":"(J. Zhang et al., 2018)","plainTextFormattedCitation":"(J. Zhang et al., 2018)","previouslyFormattedCitation":"(Zhang et al. 2018)"},"properties":{"noteIndex":0},"schema":"https://github.com/citation-style-language/schema/raw/master/csl-citation.json"}</w:instrText>
      </w:r>
      <w:r>
        <w:rPr>
          <w:color w:val="000000" w:themeColor="text1"/>
        </w:rPr>
        <w:fldChar w:fldCharType="separate"/>
      </w:r>
      <w:r w:rsidRPr="00CE7936">
        <w:rPr>
          <w:noProof/>
          <w:color w:val="000000" w:themeColor="text1"/>
        </w:rPr>
        <w:t>(J. Zhang et al., 2018)</w:t>
      </w:r>
      <w:r>
        <w:rPr>
          <w:color w:val="000000" w:themeColor="text1"/>
        </w:rPr>
        <w:fldChar w:fldCharType="end"/>
      </w:r>
      <w:r>
        <w:rPr>
          <w:color w:val="000000" w:themeColor="text1"/>
        </w:rPr>
        <w:t xml:space="preserve">.  </w:t>
      </w:r>
      <w:r w:rsidRPr="00FB7607">
        <w:rPr>
          <w:color w:val="000000" w:themeColor="text1"/>
        </w:rPr>
        <w:t xml:space="preserve">Raw </w:t>
      </w:r>
      <w:r>
        <w:rPr>
          <w:color w:val="000000" w:themeColor="text1"/>
        </w:rPr>
        <w:t xml:space="preserve">RNA-Seq </w:t>
      </w:r>
      <w:r w:rsidRPr="00FB7607">
        <w:rPr>
          <w:color w:val="000000" w:themeColor="text1"/>
        </w:rPr>
        <w:t xml:space="preserve">reads were filtered and trimmed using the JGI QC pipeline. </w:t>
      </w:r>
      <w:proofErr w:type="spellStart"/>
      <w:r w:rsidRPr="00FB7607">
        <w:rPr>
          <w:color w:val="000000" w:themeColor="text1"/>
        </w:rPr>
        <w:t>BBDuk</w:t>
      </w:r>
      <w:proofErr w:type="spellEnd"/>
      <w:r w:rsidRPr="00FB7607">
        <w:rPr>
          <w:color w:val="000000" w:themeColor="text1"/>
        </w:rPr>
        <w:t xml:space="preserve"> </w:t>
      </w:r>
      <w:r w:rsidRPr="007108C8">
        <w:rPr>
          <w:color w:val="000000" w:themeColor="text1"/>
        </w:rPr>
        <w:t>(</w:t>
      </w:r>
      <w:hyperlink r:id="rId14" w:history="1">
        <w:r w:rsidRPr="007108C8">
          <w:rPr>
            <w:rStyle w:val="Hyperlink"/>
            <w:color w:val="000000" w:themeColor="text1"/>
          </w:rPr>
          <w:t>https://sourceforge.net/projects/bbmap/</w:t>
        </w:r>
      </w:hyperlink>
      <w:r w:rsidRPr="007108C8">
        <w:rPr>
          <w:color w:val="000000" w:themeColor="text1"/>
        </w:rPr>
        <w:t>)</w:t>
      </w:r>
      <w:r>
        <w:rPr>
          <w:color w:val="000000" w:themeColor="text1"/>
        </w:rPr>
        <w:t xml:space="preserve"> was used to evaluate</w:t>
      </w:r>
      <w:r w:rsidRPr="00FB7607">
        <w:rPr>
          <w:color w:val="000000" w:themeColor="text1"/>
        </w:rPr>
        <w:t xml:space="preserve"> raw reads were for sequence artifacts by </w:t>
      </w:r>
      <w:proofErr w:type="spellStart"/>
      <w:r w:rsidRPr="00FB7607">
        <w:rPr>
          <w:color w:val="000000" w:themeColor="text1"/>
        </w:rPr>
        <w:t>kmer</w:t>
      </w:r>
      <w:proofErr w:type="spellEnd"/>
      <w:r w:rsidRPr="00FB7607">
        <w:rPr>
          <w:color w:val="000000" w:themeColor="text1"/>
        </w:rPr>
        <w:t xml:space="preserve"> matching (</w:t>
      </w:r>
      <w:proofErr w:type="spellStart"/>
      <w:r w:rsidRPr="00FB7607">
        <w:rPr>
          <w:color w:val="000000" w:themeColor="text1"/>
        </w:rPr>
        <w:t>kmer</w:t>
      </w:r>
      <w:proofErr w:type="spellEnd"/>
      <w:r w:rsidRPr="00FB7607">
        <w:rPr>
          <w:color w:val="000000" w:themeColor="text1"/>
        </w:rPr>
        <w:t xml:space="preserve">=25) allowing 1 mismatch and detected artifacts were trimmed from the 3' end of the reads. RNA spike-in reads, </w:t>
      </w:r>
      <w:proofErr w:type="spellStart"/>
      <w:r w:rsidRPr="00FB7607">
        <w:rPr>
          <w:color w:val="000000" w:themeColor="text1"/>
        </w:rPr>
        <w:t>PhiX</w:t>
      </w:r>
      <w:proofErr w:type="spellEnd"/>
      <w:r w:rsidRPr="00FB7607">
        <w:rPr>
          <w:color w:val="000000" w:themeColor="text1"/>
        </w:rPr>
        <w:t xml:space="preserve"> reads and reads containing any Ns were removed. Quality trimming was performed using the </w:t>
      </w:r>
      <w:proofErr w:type="spellStart"/>
      <w:r w:rsidRPr="00FB7607">
        <w:rPr>
          <w:color w:val="000000" w:themeColor="text1"/>
        </w:rPr>
        <w:t>phred</w:t>
      </w:r>
      <w:proofErr w:type="spellEnd"/>
      <w:r w:rsidRPr="00FB7607">
        <w:rPr>
          <w:color w:val="000000" w:themeColor="text1"/>
        </w:rPr>
        <w:t xml:space="preserve"> trimming method set at Q6. Following trimming, reads under the length threshold were removed (minimum length 25 bases or 1/3 of the original read length; whichever was longer).</w:t>
      </w:r>
      <w:r>
        <w:rPr>
          <w:color w:val="000000" w:themeColor="text1"/>
        </w:rPr>
        <w:t xml:space="preserve"> </w:t>
      </w:r>
      <w:r w:rsidRPr="00FB7607">
        <w:rPr>
          <w:color w:val="000000" w:themeColor="text1"/>
        </w:rPr>
        <w:t xml:space="preserve">Raw reads from each library were aligned to the </w:t>
      </w:r>
      <w:r w:rsidRPr="00333E28">
        <w:rPr>
          <w:i/>
          <w:color w:val="000000" w:themeColor="text1"/>
        </w:rPr>
        <w:t xml:space="preserve">P. </w:t>
      </w:r>
      <w:proofErr w:type="spellStart"/>
      <w:r w:rsidRPr="00333E28">
        <w:rPr>
          <w:i/>
          <w:color w:val="000000" w:themeColor="text1"/>
        </w:rPr>
        <w:t>trichocarpa</w:t>
      </w:r>
      <w:proofErr w:type="spellEnd"/>
      <w:r>
        <w:rPr>
          <w:color w:val="000000" w:themeColor="text1"/>
        </w:rPr>
        <w:t xml:space="preserve"> v3.1</w:t>
      </w:r>
      <w:r w:rsidRPr="00FB7607">
        <w:rPr>
          <w:color w:val="000000" w:themeColor="text1"/>
        </w:rPr>
        <w:t xml:space="preserve"> reference genome using</w:t>
      </w:r>
      <w:r>
        <w:rPr>
          <w:color w:val="000000" w:themeColor="text1"/>
        </w:rPr>
        <w:t xml:space="preserve"> STAR</w:t>
      </w:r>
      <w:r>
        <w:t xml:space="preserve"> v</w:t>
      </w:r>
      <w:r w:rsidRPr="008539EF">
        <w:t>2.6.1b</w:t>
      </w:r>
      <w:r>
        <w:t xml:space="preserve"> </w:t>
      </w:r>
      <w:r>
        <w:rPr>
          <w:color w:val="000000" w:themeColor="text1"/>
        </w:rPr>
        <w:fldChar w:fldCharType="begin" w:fldLock="1"/>
      </w:r>
      <w:r>
        <w:rPr>
          <w:color w:val="000000" w:themeColor="text1"/>
        </w:rPr>
        <w:instrText>ADDIN CSL_CITATION {"citationItems":[{"id":"ITEM-1","itemData":{"DOI":"10.1093/bioinformatics/bts635","ISSN":"13674803","PMID":"23104886","abstract":"Motivation: Accurate alignment of high-throughput RNA-seq data is a challenging and yet unsolved problem because of the non-contiguous transcript structure, relatively short read lengths and constantly increasing throughput of the sequencing technologies. Currently available RNA-seq aligners suffer from high mapping error rates, low mapping speed, read length limitation and mapping biases.Results: To align our large (&gt;80 billon reads) ENCODE Transcriptome RNA-seq dataset, we developed the Spliced Transcripts Alignment to a Reference (STAR) software based on a previously undescribed RNA-seq alignment algorithm that uses sequential maximum mappable seed search in uncompressed suffix arrays followed by seed clustering and stitching procedure. STAR outperforms other aligners by a factor of &gt;50 in mapping speed, aligning to the human genome 550 million 2 × 76 bp paired-end reads per hour on a modest 12-core server, while at the same time improving alignment sensitivity and precision. In addition to unbiased de novo detection of canonical junctions, STAR can discover non-canonical splices and chimeric (fusion) transcripts, and is also capable of mapping full-length RNA sequences. Using Roche 454 sequencing of reverse transcription polymerase chain reaction amplicons, we experimentally validated 1960 novel intergenic splice junctions with an 80-90% success rate, corroborating the high precision of the STAR mapping strategy. © The Author(s) 2012. Published by Oxford University Press.","author":[{"dropping-particle":"","family":"Dobin","given":"Alexander","non-dropping-particle":"","parse-names":false,"suffix":""},{"dropping-particle":"","family":"Davis","given":"Carrie A.","non-dropping-particle":"","parse-names":false,"suffix":""},{"dropping-particle":"","family":"Schlesinger","given":"Felix","non-dropping-particle":"","parse-names":false,"suffix":""},{"dropping-particle":"","family":"Drenkow","given":"Jorg","non-dropping-particle":"","parse-names":false,"suffix":""},{"dropping-particle":"","family":"Zaleski","given":"Chris","non-dropping-particle":"","parse-names":false,"suffix":""},{"dropping-particle":"","family":"Jha","given":"Sonali","non-dropping-particle":"","parse-names":false,"suffix":""},{"dropping-particle":"","family":"Batut","given":"Philippe","non-dropping-particle":"","parse-names":false,"suffix":""},{"dropping-particle":"","family":"Chaisson","given":"Mark","non-dropping-particle":"","parse-names":false,"suffix":""},{"dropping-particle":"","family":"Gingeras","given":"Thomas R.","non-dropping-particle":"","parse-names":false,"suffix":""}],"container-title":"Bioinformatics","id":"ITEM-1","issue":"1","issued":{"date-parts":[["2013"]]},"page":"15-21","title":"STAR: Ultrafast universal RNA-seq aligner","type":"article-journal","volume":"29"},"uris":["http://www.mendeley.com/documents/?uuid=4a07335c-282b-42ce-ba54-cbe408cdcb5a"]}],"mendeley":{"formattedCitation":"(Dobin et al., 2013)","plainTextFormattedCitation":"(Dobin et al., 2013)","previouslyFormattedCitation":"(Dobin et al. 2013)"},"properties":{"noteIndex":0},"schema":"https://github.com/citation-style-language/schema/raw/master/csl-citation.json"}</w:instrText>
      </w:r>
      <w:r>
        <w:rPr>
          <w:color w:val="000000" w:themeColor="text1"/>
        </w:rPr>
        <w:fldChar w:fldCharType="separate"/>
      </w:r>
      <w:r w:rsidRPr="00CE7936">
        <w:rPr>
          <w:noProof/>
          <w:color w:val="000000" w:themeColor="text1"/>
        </w:rPr>
        <w:t>(Dobin et al., 2013)</w:t>
      </w:r>
      <w:r>
        <w:rPr>
          <w:color w:val="000000" w:themeColor="text1"/>
        </w:rPr>
        <w:fldChar w:fldCharType="end"/>
      </w:r>
      <w:r>
        <w:rPr>
          <w:color w:val="000000" w:themeColor="text1"/>
        </w:rPr>
        <w:t xml:space="preserve">. </w:t>
      </w:r>
      <w:proofErr w:type="spellStart"/>
      <w:r>
        <w:rPr>
          <w:color w:val="000000" w:themeColor="text1"/>
        </w:rPr>
        <w:t>F</w:t>
      </w:r>
      <w:r w:rsidRPr="00FB7607">
        <w:rPr>
          <w:color w:val="000000" w:themeColor="text1"/>
        </w:rPr>
        <w:t>eatureCounts</w:t>
      </w:r>
      <w:proofErr w:type="spellEnd"/>
      <w:r>
        <w:rPr>
          <w:color w:val="000000" w:themeColor="text1"/>
        </w:rPr>
        <w:t xml:space="preserve"> </w:t>
      </w:r>
      <w:r w:rsidRPr="00575C4A">
        <w:rPr>
          <w:color w:val="000000" w:themeColor="text1"/>
        </w:rPr>
        <w:t>1.6.3</w:t>
      </w:r>
      <w:r>
        <w:rPr>
          <w:color w:val="000000" w:themeColor="text1"/>
        </w:rPr>
        <w:t xml:space="preserve"> in stranded mode</w:t>
      </w:r>
      <w:r w:rsidRPr="00FB7607">
        <w:rPr>
          <w:color w:val="000000" w:themeColor="text1"/>
        </w:rPr>
        <w:t xml:space="preserve"> was used to generate raw gene counts</w:t>
      </w:r>
      <w:r>
        <w:rPr>
          <w:color w:val="000000" w:themeColor="text1"/>
        </w:rPr>
        <w:t xml:space="preserve">, excluding multi-mapping reads </w:t>
      </w:r>
      <w:r>
        <w:rPr>
          <w:color w:val="000000" w:themeColor="text1"/>
        </w:rPr>
        <w:fldChar w:fldCharType="begin" w:fldLock="1"/>
      </w:r>
      <w:r>
        <w:rPr>
          <w:color w:val="000000" w:themeColor="text1"/>
        </w:rPr>
        <w:instrText>ADDIN CSL_CITATION {"citationItems":[{"id":"ITEM-1","itemData":{"DOI":"10.1093/bioinformatics/btt656","ISSN":"14602059","PMID":"24227677","abstract":"Motivation: Next-generation sequencing technologies generate millions of short sequence reads, which are usually aligned to a reference genome. In many applications, the key information required for downstream analysis is the number of reads mapping to each genomic feature, for example to each exon or each gene. The process of counting reads is called read summarization. Read summarization is required for a great variety of genomic analyses but has so far received relatively little attention in the literature.Results: We present featureCounts, a read summarization program suitable for counting reads generated from either RNA or genomic DNA sequencing experiments. featureCounts implements highly efficient chromosome hashing and feature blocking techniques. It is considerably faster than existing methods (by an order of magnitude for gene-level summarization) and requires far less computer memory. It works with either single or paired-end reads and provides a wide range of options appropriate for different sequencing applications. © 2013 The Author 2013. Published by Oxford University Press. All rights reserved.","author":[{"dropping-particle":"","family":"Liao","given":"Yang","non-dropping-particle":"","parse-names":false,"suffix":""},{"dropping-particle":"","family":"Smyth","given":"Gordon K.","non-dropping-particle":"","parse-names":false,"suffix":""},{"dropping-particle":"","family":"Shi","given":"Wei","non-dropping-particle":"","parse-names":false,"suffix":""}],"container-title":"Bioinformatics","id":"ITEM-1","issue":"7","issued":{"date-parts":[["2014"]]},"page":"923-930","title":"FeatureCounts: An efficient general purpose program for assigning sequence reads to genomic features","type":"article-journal","volume":"30"},"uris":["http://www.mendeley.com/documents/?uuid=15e44998-9ccf-4080-a864-fce86bb34463"]}],"mendeley":{"formattedCitation":"(Liao, Smyth, &amp; Shi, 2014)","manualFormatting":"(Liao, et al., 2014)","plainTextFormattedCitation":"(Liao, Smyth, &amp; Shi, 2014)","previouslyFormattedCitation":"(Liao et al. 2014)"},"properties":{"noteIndex":0},"schema":"https://github.com/citation-style-language/schema/raw/master/csl-citation.json"}</w:instrText>
      </w:r>
      <w:r>
        <w:rPr>
          <w:color w:val="000000" w:themeColor="text1"/>
        </w:rPr>
        <w:fldChar w:fldCharType="separate"/>
      </w:r>
      <w:r w:rsidRPr="00E6681E">
        <w:rPr>
          <w:noProof/>
          <w:color w:val="000000" w:themeColor="text1"/>
        </w:rPr>
        <w:t xml:space="preserve">(Liao, </w:t>
      </w:r>
      <w:r>
        <w:rPr>
          <w:noProof/>
          <w:color w:val="000000" w:themeColor="text1"/>
        </w:rPr>
        <w:t>et al.</w:t>
      </w:r>
      <w:r w:rsidRPr="00E6681E">
        <w:rPr>
          <w:noProof/>
          <w:color w:val="000000" w:themeColor="text1"/>
        </w:rPr>
        <w:t>, 2014)</w:t>
      </w:r>
      <w:r>
        <w:rPr>
          <w:color w:val="000000" w:themeColor="text1"/>
        </w:rPr>
        <w:fldChar w:fldCharType="end"/>
      </w:r>
      <w:r>
        <w:rPr>
          <w:color w:val="000000" w:themeColor="text1"/>
        </w:rPr>
        <w:t xml:space="preserve">. For the QTL mapping pedigree, </w:t>
      </w:r>
      <w:proofErr w:type="spellStart"/>
      <w:r>
        <w:rPr>
          <w:color w:val="000000" w:themeColor="text1"/>
        </w:rPr>
        <w:t>eQTL</w:t>
      </w:r>
      <w:proofErr w:type="spellEnd"/>
      <w:r>
        <w:rPr>
          <w:color w:val="000000" w:themeColor="text1"/>
        </w:rPr>
        <w:t xml:space="preserve"> xylem, root, and leaf samples, and the </w:t>
      </w:r>
      <w:r w:rsidRPr="00333E28">
        <w:rPr>
          <w:i/>
          <w:color w:val="000000" w:themeColor="text1"/>
        </w:rPr>
        <w:t xml:space="preserve">P. </w:t>
      </w:r>
      <w:proofErr w:type="spellStart"/>
      <w:r w:rsidRPr="00333E28">
        <w:rPr>
          <w:i/>
          <w:color w:val="000000" w:themeColor="text1"/>
        </w:rPr>
        <w:t>trichocarpa</w:t>
      </w:r>
      <w:proofErr w:type="spellEnd"/>
      <w:r>
        <w:rPr>
          <w:color w:val="000000" w:themeColor="text1"/>
        </w:rPr>
        <w:t xml:space="preserve"> </w:t>
      </w:r>
      <w:proofErr w:type="spellStart"/>
      <w:r>
        <w:rPr>
          <w:color w:val="000000" w:themeColor="text1"/>
        </w:rPr>
        <w:t>GeneAtlas</w:t>
      </w:r>
      <w:proofErr w:type="spellEnd"/>
      <w:r>
        <w:rPr>
          <w:color w:val="000000" w:themeColor="text1"/>
        </w:rPr>
        <w:t xml:space="preserve"> dataset, </w:t>
      </w:r>
      <w:proofErr w:type="spellStart"/>
      <w:r>
        <w:rPr>
          <w:color w:val="000000" w:themeColor="text1"/>
        </w:rPr>
        <w:t>EdgeR</w:t>
      </w:r>
      <w:proofErr w:type="spellEnd"/>
      <w:r>
        <w:rPr>
          <w:color w:val="000000" w:themeColor="text1"/>
        </w:rPr>
        <w:t xml:space="preserve"> 3.24.3 was used to generate scaling factors and was subsequently converted to CPM to account for RNA composition and library size between samples </w:t>
      </w:r>
      <w:r>
        <w:rPr>
          <w:color w:val="000000" w:themeColor="text1"/>
        </w:rPr>
        <w:fldChar w:fldCharType="begin" w:fldLock="1"/>
      </w:r>
      <w:r>
        <w:rPr>
          <w:color w:val="000000" w:themeColor="text1"/>
        </w:rPr>
        <w:instrText>ADDIN CSL_CITATION {"citationItems":[{"id":"ITEM-1","itemData":{"DOI":"10.1093/bioinformatics/btp616","ISSN":"14602059","PMID":"19910308","abstract":"It is expected that emerging digital gene expression (DGE) technologies will overtake microarray technologies in the near future for many functional genomics applications. One of the fundamental data analysis tasks, especially for gene expression studies, involves determining whether there is evidence that counts for a transcript or exon are significantly different across experimental conditions. edgeR is a Bioconductor software package for examining differential expression of replicated count data. An overdispersed Poisson model is used to account for both biological and technical variability. Empirical Bayes methods are used to moderate the degree of overdispersion across transcripts, improving the reliability of inference. The methodology can be used even with the most minimal levels of replication, provided at least one phenotype or experimental condition is replicated. The software may have other applications beyond sequencing data, such as proteome peptide count data. © The Author(s) 2009. Published by Oxford University Press.","author":[{"dropping-particle":"","family":"Robinson","given":"Mark D.","non-dropping-particle":"","parse-names":false,"suffix":""},{"dropping-particle":"","family":"McCarthy","given":"Davis J.","non-dropping-particle":"","parse-names":false,"suffix":""},{"dropping-particle":"","family":"Smyth","given":"Gordon K.","non-dropping-particle":"","parse-names":false,"suffix":""}],"container-title":"Bioinformatics","id":"ITEM-1","issue":"1","issued":{"date-parts":[["2009"]]},"page":"139-140","title":"edgeR: A Bioconductor package for differential expression analysis of digital gene expression data","type":"article-journal","volume":"26"},"uris":["http://www.mendeley.com/documents/?uuid=57ef0a76-a4f0-4d12-b07f-dc80924833f6"]}],"mendeley":{"formattedCitation":"(Robinson, McCarthy, &amp; Smyth, 2009)","manualFormatting":"(Robinson et al., 2009)","plainTextFormattedCitation":"(Robinson, McCarthy, &amp; Smyth, 2009)","previouslyFormattedCitation":"(Robinson et al. 2009)"},"properties":{"noteIndex":0},"schema":"https://github.com/citation-style-language/schema/raw/master/csl-citation.json"}</w:instrText>
      </w:r>
      <w:r>
        <w:rPr>
          <w:color w:val="000000" w:themeColor="text1"/>
        </w:rPr>
        <w:fldChar w:fldCharType="separate"/>
      </w:r>
      <w:r w:rsidRPr="00E6681E">
        <w:rPr>
          <w:noProof/>
          <w:color w:val="000000" w:themeColor="text1"/>
        </w:rPr>
        <w:t>(Robinson</w:t>
      </w:r>
      <w:r>
        <w:rPr>
          <w:noProof/>
          <w:color w:val="000000" w:themeColor="text1"/>
        </w:rPr>
        <w:t xml:space="preserve"> et al.,</w:t>
      </w:r>
      <w:r w:rsidRPr="00E6681E">
        <w:rPr>
          <w:noProof/>
          <w:color w:val="000000" w:themeColor="text1"/>
        </w:rPr>
        <w:t xml:space="preserve"> 2009)</w:t>
      </w:r>
      <w:r>
        <w:rPr>
          <w:color w:val="000000" w:themeColor="text1"/>
        </w:rPr>
        <w:fldChar w:fldCharType="end"/>
      </w:r>
      <w:r>
        <w:rPr>
          <w:color w:val="000000" w:themeColor="text1"/>
        </w:rPr>
        <w:t xml:space="preserve">. Orphan genes were considered to be expressed if CPM was greater than one in one dataset or greater than zero in two datasets. The JGI Plant Gene Atlas can be found at </w:t>
      </w:r>
      <w:hyperlink r:id="rId15" w:history="1">
        <w:r w:rsidRPr="00006349">
          <w:rPr>
            <w:rStyle w:val="Hyperlink"/>
            <w:color w:val="000000" w:themeColor="text1"/>
          </w:rPr>
          <w:t>https://phytozome.jgi.doe.gov/phytomine/aspect.do?name=Expression</w:t>
        </w:r>
      </w:hyperlink>
      <w:r>
        <w:t xml:space="preserve">. </w:t>
      </w:r>
      <w:r>
        <w:rPr>
          <w:color w:val="000000" w:themeColor="text1"/>
        </w:rPr>
        <w:t xml:space="preserve">The </w:t>
      </w:r>
      <w:r>
        <w:rPr>
          <w:i/>
          <w:color w:val="000000" w:themeColor="text1"/>
        </w:rPr>
        <w:t xml:space="preserve">Salix </w:t>
      </w:r>
      <w:r>
        <w:rPr>
          <w:color w:val="000000" w:themeColor="text1"/>
        </w:rPr>
        <w:t xml:space="preserve">dataset was processed with the same JGI QC pipeline, the raw reads were then mapped against the </w:t>
      </w:r>
      <w:r w:rsidRPr="00333E28">
        <w:rPr>
          <w:i/>
          <w:color w:val="000000" w:themeColor="text1"/>
        </w:rPr>
        <w:t xml:space="preserve">P. </w:t>
      </w:r>
      <w:proofErr w:type="spellStart"/>
      <w:r w:rsidRPr="00333E28">
        <w:rPr>
          <w:i/>
          <w:color w:val="000000" w:themeColor="text1"/>
        </w:rPr>
        <w:t>trichocarpa</w:t>
      </w:r>
      <w:proofErr w:type="spellEnd"/>
      <w:r>
        <w:rPr>
          <w:i/>
          <w:color w:val="000000" w:themeColor="text1"/>
        </w:rPr>
        <w:t xml:space="preserve"> </w:t>
      </w:r>
      <w:r>
        <w:rPr>
          <w:color w:val="000000" w:themeColor="text1"/>
        </w:rPr>
        <w:t xml:space="preserve">v3.1 reference with STAR </w:t>
      </w:r>
      <w:r>
        <w:t>v</w:t>
      </w:r>
      <w:r w:rsidRPr="008539EF">
        <w:t>2.6.1b</w:t>
      </w:r>
      <w:r>
        <w:rPr>
          <w:color w:val="000000" w:themeColor="text1"/>
        </w:rPr>
        <w:t xml:space="preserve">, and raw counts were generated with </w:t>
      </w:r>
      <w:proofErr w:type="spellStart"/>
      <w:r>
        <w:rPr>
          <w:color w:val="000000" w:themeColor="text1"/>
        </w:rPr>
        <w:t>featureCounts</w:t>
      </w:r>
      <w:proofErr w:type="spellEnd"/>
      <w:r>
        <w:rPr>
          <w:color w:val="000000" w:themeColor="text1"/>
        </w:rPr>
        <w:t xml:space="preserve"> in </w:t>
      </w:r>
      <w:proofErr w:type="spellStart"/>
      <w:r>
        <w:rPr>
          <w:color w:val="000000" w:themeColor="text1"/>
        </w:rPr>
        <w:t>unstranded</w:t>
      </w:r>
      <w:proofErr w:type="spellEnd"/>
      <w:r>
        <w:rPr>
          <w:color w:val="000000" w:themeColor="text1"/>
        </w:rPr>
        <w:t xml:space="preserve"> mode, excluding multi-mapping reads, and converted to CPM. For population level expression variation, the statistic used is variance. For the tissue specificity index (tau), at least one tissue was required to have a CPM value of greater than 1, the script used for this analysis is available in </w:t>
      </w:r>
      <w:r>
        <w:rPr>
          <w:color w:val="000000" w:themeColor="text1"/>
        </w:rPr>
        <w:fldChar w:fldCharType="begin" w:fldLock="1"/>
      </w:r>
      <w:r>
        <w:rPr>
          <w:color w:val="000000" w:themeColor="text1"/>
        </w:rPr>
        <w:instrText>ADDIN CSL_CITATION {"citationItems":[{"id":"ITEM-1","itemData":{"DOI":"10.1038/s41598-018-31770-2","ISSN":"20452322","PMID":"30194329","abstract":"Long non-coding RNAs (lncRNAs) are a family of heterogeneous RNAs that play major roles in multiple biological processes. We recently identified an extended repertoire of more than 10,000 lncRNAs of the domestic dog however, predicting their biological functionality remains challenging. In this study, we have characterised the expression profiles of 10,444 canine lncRNAs in 26 distinct tissue types, representing various anatomical systems. We showed that lncRNA expressions are mainly clustered by tissue type and we highlighted that 44% of canine lncRNAs are expressed in a tissue-specific manner. We further demonstrated that tissue-specificity correlates with specific families of canine transposable elements. In addition, we identified more than 900 conserved dog-human lncRNAs for which we show their overall reproducible expression patterns between dog and human through comparative transcriptomics. Finally, co-expression analyses of lncRNA and neighbouring protein-coding genes identified more than 3,400 canine lncRNAs, suggesting that functional roles of these lncRNAs act as regulatory elements. Altogether, this genomic and transcriptomic integrative study of lncRNAs constitutes a major resource to investigate genotype to phenotype relationships and biomedical research in the dog species.","author":[{"dropping-particle":"","family":"Béguec","given":"Céline","non-dropping-particle":"Le","parse-names":false,"suffix":""},{"dropping-particle":"","family":"Wucher","given":"Valentin","non-dropping-particle":"","parse-names":false,"suffix":""},{"dropping-particle":"","family":"Lagoutte","given":"Lætitia","non-dropping-particle":"","parse-names":false,"suffix":""},{"dropping-particle":"","family":"Cadieu","given":"Edouard","non-dropping-particle":"","parse-names":false,"suffix":""},{"dropping-particle":"","family":"Botherel","given":"Nadine","non-dropping-particle":"","parse-names":false,"suffix":""},{"dropping-particle":"","family":"Hédan","given":"Benoît","non-dropping-particle":"","parse-names":false,"suffix":""},{"dropping-particle":"","family":"Brito","given":"Clotilde","non-dropping-particle":"De","parse-names":false,"suffix":""},{"dropping-particle":"","family":"Guillory","given":"Anne Sophie","non-dropping-particle":"","parse-names":false,"suffix":""},{"dropping-particle":"","family":"André","given":"Catherine","non-dropping-particle":"","parse-names":false,"suffix":""},{"dropping-particle":"","family":"Derrien","given":"Thomas","non-dropping-particle":"","parse-names":false,"suffix":""},{"dropping-particle":"","family":"Hitte","given":"Christophe","non-dropping-particle":"","parse-names":false,"suffix":""}],"container-title":"Scientific Reports","id":"ITEM-1","issue":"1","issued":{"date-parts":[["2018"]]},"page":"1-12","title":"Characterisation and functional predictions of canine long non-coding RNAs","type":"article-journal","volume":"8"},"uris":["http://www.mendeley.com/documents/?uuid=a8c52e16-6a1b-42a5-8ef1-3aeeead9d1f2"]}],"mendeley":{"formattedCitation":"(Le Béguec et al., 2018)","plainTextFormattedCitation":"(Le Béguec et al., 2018)","previouslyFormattedCitation":"(Le Béguec et al. 2018)"},"properties":{"noteIndex":0},"schema":"https://github.com/citation-style-language/schema/raw/master/csl-citation.json"}</w:instrText>
      </w:r>
      <w:r>
        <w:rPr>
          <w:color w:val="000000" w:themeColor="text1"/>
        </w:rPr>
        <w:fldChar w:fldCharType="separate"/>
      </w:r>
      <w:r w:rsidRPr="00CE7936">
        <w:rPr>
          <w:noProof/>
          <w:color w:val="000000" w:themeColor="text1"/>
        </w:rPr>
        <w:t>(Le Béguec et al., 2018)</w:t>
      </w:r>
      <w:r>
        <w:rPr>
          <w:color w:val="000000" w:themeColor="text1"/>
        </w:rPr>
        <w:fldChar w:fldCharType="end"/>
      </w:r>
      <w:r>
        <w:rPr>
          <w:color w:val="000000" w:themeColor="text1"/>
        </w:rPr>
        <w:t xml:space="preserve">. Refer to Table II-S11 for all SRA identifiers for RNA-Seq data used. </w:t>
      </w:r>
    </w:p>
    <w:p w14:paraId="4C6ECD64" w14:textId="77777777" w:rsidR="00636B5B" w:rsidRDefault="00636B5B" w:rsidP="00CE7936">
      <w:pPr>
        <w:spacing w:line="360" w:lineRule="auto"/>
        <w:jc w:val="both"/>
        <w:rPr>
          <w:color w:val="000000" w:themeColor="text1"/>
        </w:rPr>
      </w:pPr>
    </w:p>
    <w:p w14:paraId="51CA6545" w14:textId="77777777" w:rsidR="00636B5B" w:rsidRDefault="00636B5B" w:rsidP="00CE7936">
      <w:pPr>
        <w:widowControl w:val="0"/>
        <w:autoSpaceDE w:val="0"/>
        <w:autoSpaceDN w:val="0"/>
        <w:adjustRightInd w:val="0"/>
        <w:spacing w:line="360" w:lineRule="auto"/>
        <w:rPr>
          <w:b/>
          <w:bCs/>
          <w:iCs/>
        </w:rPr>
      </w:pPr>
      <w:proofErr w:type="spellStart"/>
      <w:r w:rsidRPr="00B45C89">
        <w:rPr>
          <w:b/>
          <w:color w:val="000000" w:themeColor="text1"/>
        </w:rPr>
        <w:t>eQTL</w:t>
      </w:r>
      <w:proofErr w:type="spellEnd"/>
      <w:r w:rsidRPr="00B45C89">
        <w:rPr>
          <w:b/>
          <w:color w:val="000000" w:themeColor="text1"/>
        </w:rPr>
        <w:t xml:space="preserve"> analysis</w:t>
      </w:r>
      <w:r w:rsidRPr="00B45C89">
        <w:rPr>
          <w:bCs/>
          <w:color w:val="000000" w:themeColor="text1"/>
        </w:rPr>
        <w:t xml:space="preserve">: </w:t>
      </w:r>
      <w:r>
        <w:rPr>
          <w:bCs/>
          <w:color w:val="000000" w:themeColor="text1"/>
        </w:rPr>
        <w:t xml:space="preserve">Whole-genome sequencing, short variant discovery, and functional annotation of 545 </w:t>
      </w:r>
      <w:r w:rsidRPr="00333E28">
        <w:rPr>
          <w:bCs/>
          <w:i/>
          <w:iCs/>
          <w:color w:val="000000" w:themeColor="text1"/>
        </w:rPr>
        <w:t xml:space="preserve">P. </w:t>
      </w:r>
      <w:proofErr w:type="spellStart"/>
      <w:r w:rsidRPr="00333E28">
        <w:rPr>
          <w:bCs/>
          <w:i/>
          <w:iCs/>
          <w:color w:val="000000" w:themeColor="text1"/>
        </w:rPr>
        <w:t>trichocarpa</w:t>
      </w:r>
      <w:proofErr w:type="spellEnd"/>
      <w:r>
        <w:rPr>
          <w:bCs/>
          <w:i/>
          <w:iCs/>
          <w:color w:val="000000" w:themeColor="text1"/>
        </w:rPr>
        <w:t xml:space="preserve"> </w:t>
      </w:r>
      <w:r>
        <w:rPr>
          <w:bCs/>
          <w:color w:val="000000" w:themeColor="text1"/>
        </w:rPr>
        <w:t xml:space="preserve">individuals is described in </w:t>
      </w:r>
      <w:r>
        <w:rPr>
          <w:bCs/>
          <w:color w:val="000000" w:themeColor="text1"/>
        </w:rPr>
        <w:fldChar w:fldCharType="begin" w:fldLock="1"/>
      </w:r>
      <w:r>
        <w:rPr>
          <w:bCs/>
          <w:color w:val="000000" w:themeColor="text1"/>
        </w:rPr>
        <w:instrText>ADDIN CSL_CITATION {"citationItems":[{"id":"ITEM-1","itemData":{"DOI":"10.1038/ng.3075","ISBN":"1061-4036","ISSN":"1061-4036","PMID":"25151358","abstract":"Forest trees are dominant components of terrestrial ecosystems that have global ecological and economic importance. Despite distributions that span wide environmental gradients, many tree populations are locally adapted, and mechanisms underlying this adaptation are poorly understood. Here we use a combination of whole-genome selection scans and association analyses of 544 Populus trichocarpa trees to reveal genomic bases of adaptive variation across a wide latitudinal range. Three hundred ninety-seven genomic regions showed evidence of recent positive and/or divergent selection and enrichment for associations with adaptive traits that also displayed patterns consistent with natural selection. These regions also provide unexpected insights into the evolutionary dynamics of duplicated genes and their roles in adaptive trait variation.","author":[{"dropping-particle":"","family":"Evans","given":"Luke M","non-dropping-particle":"","parse-names":false,"suffix":""},{"dropping-particle":"","family":"Slavov","given":"Gancho T","non-dropping-particle":"","parse-names":false,"suffix":""},{"dropping-particle":"","family":"Rodgers-Melnick","given":"Eli","non-dropping-particle":"","parse-names":false,"suffix":""},{"dropping-particle":"","family":"Martin","given":"Joel","non-dropping-particle":"","parse-names":false,"suffix":""},{"dropping-particle":"","family":"Ranjan","given":"Priya","non-dropping-particle":"","parse-names":false,"suffix":""},{"dropping-particle":"","family":"Muchero","given":"Wellington","non-dropping-particle":"","parse-names":false,"suffix":""},{"dropping-particle":"","family":"Brunner","given":"Amy M","non-dropping-particle":"","parse-names":false,"suffix":""},{"dropping-particle":"","family":"Schackwitz","given":"Wendy","non-dropping-particle":"","parse-names":false,"suffix":""},{"dropping-particle":"","family":"Gunter","given":"Lee","non-dropping-particle":"","parse-names":false,"suffix":""},{"dropping-particle":"","family":"Chen","given":"Jin-Gui","non-dropping-particle":"","parse-names":false,"suffix":""},{"dropping-particle":"","family":"Tuskan","given":"Gerald A","non-dropping-particle":"","parse-names":false,"suffix":""},{"dropping-particle":"","family":"DiFazio","given":"Stephen P","non-dropping-particle":"","parse-names":false,"suffix":""}],"container-title":"Nature Genetics","id":"ITEM-1","issue":"10","issued":{"date-parts":[["2014"]]},"page":"1089-1096","publisher":"Nature Publishing Group","title":"Population genomics of Populus trichocarpa identifies signatures of selection and adaptive trait associations","type":"article-journal","volume":"46"},"uris":["http://www.mendeley.com/documents/?uuid=71679112-863d-4c08-af11-5be2ca0a31c8"]}],"mendeley":{"formattedCitation":"(Evans et al., 2014)","plainTextFormattedCitation":"(Evans et al., 2014)","previouslyFormattedCitation":"(Evans et al. 2014)"},"properties":{"noteIndex":0},"schema":"https://github.com/citation-style-language/schema/raw/master/csl-citation.json"}</w:instrText>
      </w:r>
      <w:r>
        <w:rPr>
          <w:bCs/>
          <w:color w:val="000000" w:themeColor="text1"/>
        </w:rPr>
        <w:fldChar w:fldCharType="separate"/>
      </w:r>
      <w:r w:rsidRPr="00CE7936">
        <w:rPr>
          <w:bCs/>
          <w:noProof/>
          <w:color w:val="000000" w:themeColor="text1"/>
        </w:rPr>
        <w:t>(Evans et al., 2014)</w:t>
      </w:r>
      <w:r>
        <w:rPr>
          <w:bCs/>
          <w:color w:val="000000" w:themeColor="text1"/>
        </w:rPr>
        <w:fldChar w:fldCharType="end"/>
      </w:r>
      <w:r>
        <w:rPr>
          <w:bCs/>
          <w:color w:val="000000" w:themeColor="text1"/>
        </w:rPr>
        <w:t xml:space="preserve">. The exact same analysis pipeline was used in this study, with the exception being that 917 individuals were used. This SNP dataset is available at </w:t>
      </w:r>
      <w:hyperlink r:id="rId16" w:history="1">
        <w:r w:rsidRPr="00006349">
          <w:rPr>
            <w:rStyle w:val="Hyperlink"/>
            <w:color w:val="000000" w:themeColor="text1"/>
          </w:rPr>
          <w:t>http://bioenergycenter.org/besc/gwas/</w:t>
        </w:r>
      </w:hyperlink>
      <w:r w:rsidRPr="00FB7607">
        <w:rPr>
          <w:color w:val="000000" w:themeColor="text1"/>
        </w:rPr>
        <w:t>.</w:t>
      </w:r>
      <w:r>
        <w:rPr>
          <w:color w:val="000000" w:themeColor="text1"/>
        </w:rPr>
        <w:t xml:space="preserve"> 390 and 444 RNA-Seq samples in leaf and xylem, respectively, were used to perform </w:t>
      </w:r>
      <w:proofErr w:type="spellStart"/>
      <w:r>
        <w:rPr>
          <w:color w:val="000000" w:themeColor="text1"/>
        </w:rPr>
        <w:t>eQTL</w:t>
      </w:r>
      <w:proofErr w:type="spellEnd"/>
      <w:r>
        <w:rPr>
          <w:color w:val="000000" w:themeColor="text1"/>
        </w:rPr>
        <w:t xml:space="preserve"> analysis with EMMAX v20120210 with default parameters </w:t>
      </w:r>
      <w:r>
        <w:rPr>
          <w:color w:val="000000" w:themeColor="text1"/>
        </w:rPr>
        <w:fldChar w:fldCharType="begin" w:fldLock="1"/>
      </w:r>
      <w:r>
        <w:rPr>
          <w:color w:val="000000" w:themeColor="text1"/>
        </w:rPr>
        <w:instrText>ADDIN CSL_CITATION {"citationItems":[{"id":"ITEM-1","itemData":{"DOI":"10.1038/ng.548","ISBN":"1546-1718","ISSN":"10614036","PMID":"20208533","abstract":"Although genome-wide association studies (GWASs) have identified numerous loci associated with complex traits, imprecise modeling of the genetic relatedness within study samples may cause substantial inflation of test statistics and possibly spurious associations. Variance component approaches, such as efficient mixed-model association (EMMA), can correct for a wide range of sample structures by explicitly accounting for pairwise relatedness between individuals, using high-density markers to model the phenotype distribution; but such approaches are computationally impractical. We report here a variance component approach implemented in publicly available software, EMMA eXpedited (EMMAX), that reduces the computational time for analyzing large GWAS data sets from years to hours. We apply this method to two human GWAS data sets, performing association analysis for ten quantitative traits from the Northern Finland Birth Cohort and seven common diseases from the Wellcome Trust Case Control Consortium. We find that EMMAX outperforms both principal component analysis and genomic control in correcting for sample structure.","author":[{"dropping-particle":"","family":"Kang","given":"Hyun Min","non-dropping-particle":"","parse-names":false,"suffix":""},{"dropping-particle":"","family":"Sul","given":"Jae Hoon","non-dropping-particle":"","parse-names":false,"suffix":""},{"dropping-particle":"","family":"Service","given":"Susan K.","non-dropping-particle":"","parse-names":false,"suffix":""},{"dropping-particle":"","family":"Zaitlen","given":"Noah A.","non-dropping-particle":"","parse-names":false,"suffix":""},{"dropping-particle":"","family":"Kong","given":"Sit Yee","non-dropping-particle":"","parse-names":false,"suffix":""},{"dropping-particle":"","family":"Freimer","given":"Nelson B.","non-dropping-particle":"","parse-names":false,"suffix":""},{"dropping-particle":"","family":"Sabatti","given":"Chiara","non-dropping-particle":"","parse-names":false,"suffix":""},{"dropping-particle":"","family":"Eskin","given":"Eleazar","non-dropping-particle":"","parse-names":false,"suffix":""}],"container-title":"Nature Genetics","id":"ITEM-1","issue":"4","issued":{"date-parts":[["2010"]]},"page":"348-354","publisher":"Nature Publishing Group","title":"Variance component model to account for sample structure in genome-wide association studies","type":"article-journal","volume":"42"},"uris":["http://www.mendeley.com/documents/?uuid=aefcc522-015d-4e03-ae61-d4aff8d4ff11"]}],"mendeley":{"formattedCitation":"(Kang et al., 2010)","plainTextFormattedCitation":"(Kang et al., 2010)","previouslyFormattedCitation":"(Kang et al. 2010)"},"properties":{"noteIndex":0},"schema":"https://github.com/citation-style-language/schema/raw/master/csl-citation.json"}</w:instrText>
      </w:r>
      <w:r>
        <w:rPr>
          <w:color w:val="000000" w:themeColor="text1"/>
        </w:rPr>
        <w:fldChar w:fldCharType="separate"/>
      </w:r>
      <w:r w:rsidRPr="00CE7936">
        <w:rPr>
          <w:noProof/>
          <w:color w:val="000000" w:themeColor="text1"/>
        </w:rPr>
        <w:t>(Kang et al., 2010)</w:t>
      </w:r>
      <w:r>
        <w:rPr>
          <w:color w:val="000000" w:themeColor="text1"/>
        </w:rPr>
        <w:fldChar w:fldCharType="end"/>
      </w:r>
      <w:r>
        <w:rPr>
          <w:color w:val="000000" w:themeColor="text1"/>
        </w:rPr>
        <w:t xml:space="preserve">. All genes with expression evidence were used in the </w:t>
      </w:r>
      <w:proofErr w:type="spellStart"/>
      <w:r>
        <w:rPr>
          <w:color w:val="000000" w:themeColor="text1"/>
        </w:rPr>
        <w:t>eQTL</w:t>
      </w:r>
      <w:proofErr w:type="spellEnd"/>
      <w:r>
        <w:rPr>
          <w:color w:val="000000" w:themeColor="text1"/>
        </w:rPr>
        <w:t xml:space="preserve"> analysis, which is </w:t>
      </w:r>
      <w:r w:rsidRPr="00067ACB">
        <w:rPr>
          <w:color w:val="000000" w:themeColor="text1"/>
        </w:rPr>
        <w:t>40</w:t>
      </w:r>
      <w:r>
        <w:rPr>
          <w:color w:val="000000" w:themeColor="text1"/>
        </w:rPr>
        <w:t>,</w:t>
      </w:r>
      <w:r w:rsidRPr="00067ACB">
        <w:rPr>
          <w:color w:val="000000" w:themeColor="text1"/>
        </w:rPr>
        <w:t>301</w:t>
      </w:r>
      <w:r>
        <w:rPr>
          <w:color w:val="000000" w:themeColor="text1"/>
        </w:rPr>
        <w:t xml:space="preserve"> in leaf and </w:t>
      </w:r>
      <w:r w:rsidRPr="00067ACB">
        <w:rPr>
          <w:color w:val="000000" w:themeColor="text1"/>
        </w:rPr>
        <w:t>39</w:t>
      </w:r>
      <w:r>
        <w:rPr>
          <w:color w:val="000000" w:themeColor="text1"/>
        </w:rPr>
        <w:t>,</w:t>
      </w:r>
      <w:r w:rsidRPr="00067ACB">
        <w:rPr>
          <w:color w:val="000000" w:themeColor="text1"/>
        </w:rPr>
        <w:t>380</w:t>
      </w:r>
      <w:r>
        <w:rPr>
          <w:color w:val="000000" w:themeColor="text1"/>
        </w:rPr>
        <w:t xml:space="preserve"> in xylem. Association results were then filtered with a threshold of p-value less than or equal to 1e-10, followed by </w:t>
      </w:r>
      <w:proofErr w:type="spellStart"/>
      <w:r>
        <w:rPr>
          <w:color w:val="000000" w:themeColor="text1"/>
        </w:rPr>
        <w:t>bedtools</w:t>
      </w:r>
      <w:proofErr w:type="spellEnd"/>
      <w:r>
        <w:rPr>
          <w:color w:val="000000" w:themeColor="text1"/>
        </w:rPr>
        <w:t xml:space="preserve"> merge with a distance of 100kb to extract the </w:t>
      </w:r>
      <w:proofErr w:type="spellStart"/>
      <w:r>
        <w:rPr>
          <w:color w:val="000000" w:themeColor="text1"/>
        </w:rPr>
        <w:t>eQTL</w:t>
      </w:r>
      <w:proofErr w:type="spellEnd"/>
      <w:r>
        <w:rPr>
          <w:color w:val="000000" w:themeColor="text1"/>
        </w:rPr>
        <w:t xml:space="preserve"> interval </w:t>
      </w:r>
      <w:r>
        <w:rPr>
          <w:color w:val="000000" w:themeColor="text1"/>
        </w:rPr>
        <w:fldChar w:fldCharType="begin" w:fldLock="1"/>
      </w:r>
      <w:r>
        <w:rPr>
          <w:color w:val="000000" w:themeColor="text1"/>
        </w:rPr>
        <w:instrText>ADDIN CSL_CITATION {"citationItems":[{"id":"ITEM-1","itemData":{"DOI":"10.1093/bioinformatics/btq033","ISSN":"13674803","PMID":"20110278","abstract":"Motivation: Testing for correlations between different sets of genomic features is a fundamental task in genomics research. However, searching for overlaps between features with existing webbased methods is complicated by the massive datasets that are routinely produced with current sequencing technologies. Fast and flexible tools are therefore required to ask complex questions of these data in an efficient manner. Results: This article introduces a new software suite for the comparison, manipulation and annotation of genomic features in Browser Extensible Data (BED) and General Feature Format (GFF) format. BEDTools also supports the comparison of sequence alignments in BAM format to both BED and GFF features. The tools are extremely efficient and allow the user to compare large datasets (e.g. next-generation sequencing data) with both public and custom genome annotation tracks. BEDTools can be combined with one another as well as with standard UNIX commands, thus facilitating routine genomics tasks as well as pipelines that can quickly answer intricate questions of large genomic datasets. Availability and implementation: BEDTools was written in C++. Source code and a comprehensive user manual are freely available at http://code.google.com/p/bedtools. Contact: aaronquinlan@gmail.com; imh4y@virginia.edu. Supplementary information: Supplementary data are available at Bioinformatics online. © The Author(s) 2010. Published by Oxford University Press.","author":[{"dropping-particle":"","family":"Quinlan","given":"Aaron R.","non-dropping-particle":"","parse-names":false,"suffix":""},{"dropping-particle":"","family":"Hall","given":"Ira M.","non-dropping-particle":"","parse-names":false,"suffix":""}],"container-title":"Bioinformatics","id":"ITEM-1","issue":"6","issued":{"date-parts":[["2010"]]},"page":"841-842","title":"BEDTools: A flexible suite of utilities for comparing genomic features","type":"article-journal","volume":"26"},"uris":["http://www.mendeley.com/documents/?uuid=d8c167e5-270d-4796-87c8-4b4dd583b066"]}],"mendeley":{"formattedCitation":"(Quinlan &amp; Hall, 2010)","manualFormatting":"(Quinlan et al., 2010)","plainTextFormattedCitation":"(Quinlan &amp; Hall, 2010)","previouslyFormattedCitation":"(Quinlan &amp; Hall 2010)"},"properties":{"noteIndex":0},"schema":"https://github.com/citation-style-language/schema/raw/master/csl-citation.json"}</w:instrText>
      </w:r>
      <w:r>
        <w:rPr>
          <w:color w:val="000000" w:themeColor="text1"/>
        </w:rPr>
        <w:fldChar w:fldCharType="separate"/>
      </w:r>
      <w:r w:rsidRPr="009D24D4">
        <w:rPr>
          <w:noProof/>
          <w:color w:val="000000" w:themeColor="text1"/>
        </w:rPr>
        <w:t xml:space="preserve">(Quinlan </w:t>
      </w:r>
      <w:r>
        <w:rPr>
          <w:noProof/>
          <w:color w:val="000000" w:themeColor="text1"/>
        </w:rPr>
        <w:t xml:space="preserve">et al., </w:t>
      </w:r>
      <w:r w:rsidRPr="009D24D4">
        <w:rPr>
          <w:noProof/>
          <w:color w:val="000000" w:themeColor="text1"/>
        </w:rPr>
        <w:t>2010)</w:t>
      </w:r>
      <w:r>
        <w:rPr>
          <w:color w:val="000000" w:themeColor="text1"/>
        </w:rPr>
        <w:fldChar w:fldCharType="end"/>
      </w:r>
      <w:r>
        <w:rPr>
          <w:color w:val="000000" w:themeColor="text1"/>
        </w:rPr>
        <w:t xml:space="preserve">. Additionally, in order for the </w:t>
      </w:r>
      <w:proofErr w:type="spellStart"/>
      <w:r>
        <w:rPr>
          <w:color w:val="000000" w:themeColor="text1"/>
        </w:rPr>
        <w:t>eQTL</w:t>
      </w:r>
      <w:proofErr w:type="spellEnd"/>
      <w:r>
        <w:rPr>
          <w:color w:val="000000" w:themeColor="text1"/>
        </w:rPr>
        <w:t xml:space="preserve"> interval to be considered significant, at least five SNPs needed to be present in the peak. </w:t>
      </w:r>
      <w:proofErr w:type="spellStart"/>
      <w:r>
        <w:rPr>
          <w:color w:val="000000" w:themeColor="text1"/>
        </w:rPr>
        <w:t>eQTLs</w:t>
      </w:r>
      <w:proofErr w:type="spellEnd"/>
      <w:r>
        <w:rPr>
          <w:color w:val="000000" w:themeColor="text1"/>
        </w:rPr>
        <w:t xml:space="preserve"> on different chromosomes than the target gene were considered to be </w:t>
      </w:r>
      <w:r>
        <w:rPr>
          <w:i/>
          <w:iCs/>
          <w:color w:val="000000" w:themeColor="text1"/>
        </w:rPr>
        <w:t>trans-</w:t>
      </w:r>
      <w:proofErr w:type="spellStart"/>
      <w:r>
        <w:rPr>
          <w:color w:val="000000" w:themeColor="text1"/>
        </w:rPr>
        <w:t>eQTL</w:t>
      </w:r>
      <w:proofErr w:type="spellEnd"/>
      <w:r>
        <w:rPr>
          <w:color w:val="000000" w:themeColor="text1"/>
        </w:rPr>
        <w:t xml:space="preserve">, and </w:t>
      </w:r>
      <w:proofErr w:type="spellStart"/>
      <w:r>
        <w:rPr>
          <w:color w:val="000000" w:themeColor="text1"/>
        </w:rPr>
        <w:t>eQTLs</w:t>
      </w:r>
      <w:proofErr w:type="spellEnd"/>
      <w:r>
        <w:rPr>
          <w:color w:val="000000" w:themeColor="text1"/>
        </w:rPr>
        <w:t xml:space="preserve"> on the same chromosome within 1 Mb of the target gene were classified as c</w:t>
      </w:r>
      <w:r>
        <w:rPr>
          <w:i/>
          <w:iCs/>
          <w:color w:val="000000" w:themeColor="text1"/>
        </w:rPr>
        <w:t>is</w:t>
      </w:r>
      <w:r>
        <w:rPr>
          <w:color w:val="000000" w:themeColor="text1"/>
        </w:rPr>
        <w:t>-</w:t>
      </w:r>
      <w:proofErr w:type="spellStart"/>
      <w:r>
        <w:rPr>
          <w:color w:val="000000" w:themeColor="text1"/>
        </w:rPr>
        <w:t>eQTLs</w:t>
      </w:r>
      <w:proofErr w:type="spellEnd"/>
      <w:r>
        <w:rPr>
          <w:color w:val="000000" w:themeColor="text1"/>
        </w:rPr>
        <w:t xml:space="preserve">. TFBS were reconstructed with synteny via same methods described above. TFBS were identified by adding a flanking sequence (5 bp) to target SNPs of interest, which was then searched with FIMO v4.11.2 using default parameters </w:t>
      </w:r>
      <w:r>
        <w:rPr>
          <w:color w:val="000000" w:themeColor="text1"/>
        </w:rPr>
        <w:fldChar w:fldCharType="begin" w:fldLock="1"/>
      </w:r>
      <w:r>
        <w:rPr>
          <w:color w:val="000000" w:themeColor="text1"/>
        </w:rPr>
        <w:instrText>ADDIN CSL_CITATION {"citationItems":[{"id":"ITEM-1","itemData":{"DOI":"10.1093/bioinformatics/btr064","ISBN":"1367-4811 (Electronic)\\n1367-4803 (Linking)","ISSN":"13674803","PMID":"21330290","abstract":"UNLABELLED: A motif is a short DNA or protein sequence that contributes to the biological function of the sequence in which it resides. Over the past several decades, many computational methods have been described for identifying, characterizing and searching with sequence motifs. Critical to nearly any motif-based sequence analysis pipeline is the ability to scan a sequence database for occurrences of a given motif described by a position-specific frequency matrix.\\n\\nRESULTS: We describe Find Individual Motif Occurrences (FIMO), a software tool for scanning DNA or protein sequences with motifs described as position-specific scoring matrices. The program computes a log-likelihood ratio score for each position in a given sequence database, uses established dynamic programming methods to convert this score to a P-value and then applies false discovery rate analysis to estimate a q-value for each position in the given sequence. FIMO provides output in a variety of formats, including HTML, XML and several Santa Cruz Genome Browser formats. The program is efficient, allowing for the scanning of DNA sequences at a rate of 3.5 Mb/s on a single CPU.\\n\\nAVAILABILITY AND IMPLEMENTATION: FIMO is part of the MEME Suite software toolkit. A web server and source code are available at http://meme.sdsc.edu.","author":[{"dropping-particle":"","family":"Grant","given":"Charles E.","non-dropping-particle":"","parse-names":false,"suffix":""},{"dropping-particle":"","family":"Bailey","given":"Timothy L.","non-dropping-particle":"","parse-names":false,"suffix":""},{"dropping-particle":"","family":"Noble","given":"William Stafford","non-dropping-particle":"","parse-names":false,"suffix":""}],"container-title":"Bioinformatics","id":"ITEM-1","issue":"7","issued":{"date-parts":[["2011"]]},"page":"1017-1018","title":"FIMO: Scanning for occurrences of a given motif","type":"article-journal","volume":"27"},"uris":["http://www.mendeley.com/documents/?uuid=6ab084a0-92e8-4d2d-a654-6260138bbe90"]}],"mendeley":{"formattedCitation":"(Grant, Bailey, &amp; Noble, 2011)","manualFormatting":"(Grant et al., 2011)","plainTextFormattedCitation":"(Grant, Bailey, &amp; Noble, 2011)","previouslyFormattedCitation":"(Grant et al. 2011)"},"properties":{"noteIndex":0},"schema":"https://github.com/citation-style-language/schema/raw/master/csl-citation.json"}</w:instrText>
      </w:r>
      <w:r>
        <w:rPr>
          <w:color w:val="000000" w:themeColor="text1"/>
        </w:rPr>
        <w:fldChar w:fldCharType="separate"/>
      </w:r>
      <w:r w:rsidRPr="000E56ED">
        <w:rPr>
          <w:noProof/>
          <w:color w:val="000000" w:themeColor="text1"/>
        </w:rPr>
        <w:t>(Grant</w:t>
      </w:r>
      <w:r>
        <w:rPr>
          <w:noProof/>
          <w:color w:val="000000" w:themeColor="text1"/>
        </w:rPr>
        <w:t xml:space="preserve"> et al.,</w:t>
      </w:r>
      <w:r w:rsidRPr="000E56ED">
        <w:rPr>
          <w:noProof/>
          <w:color w:val="000000" w:themeColor="text1"/>
        </w:rPr>
        <w:t xml:space="preserve"> 2011)</w:t>
      </w:r>
      <w:r>
        <w:rPr>
          <w:color w:val="000000" w:themeColor="text1"/>
        </w:rPr>
        <w:fldChar w:fldCharType="end"/>
      </w:r>
      <w:r>
        <w:rPr>
          <w:color w:val="000000" w:themeColor="text1"/>
        </w:rPr>
        <w:t xml:space="preserve"> against the </w:t>
      </w:r>
      <w:proofErr w:type="spellStart"/>
      <w:r>
        <w:rPr>
          <w:color w:val="000000" w:themeColor="text1"/>
        </w:rPr>
        <w:t>PlantPAN</w:t>
      </w:r>
      <w:proofErr w:type="spellEnd"/>
      <w:r>
        <w:rPr>
          <w:color w:val="000000" w:themeColor="text1"/>
        </w:rPr>
        <w:t xml:space="preserve"> v3.0 position weight matrix </w:t>
      </w:r>
      <w:r>
        <w:rPr>
          <w:color w:val="000000" w:themeColor="text1"/>
        </w:rPr>
        <w:fldChar w:fldCharType="begin" w:fldLock="1"/>
      </w:r>
      <w:r>
        <w:rPr>
          <w:color w:val="000000" w:themeColor="text1"/>
        </w:rPr>
        <w:instrText>ADDIN CSL_CITATION {"citationItems":[{"id":"ITEM-1","itemData":{"DOI":"10.1093/nar/gky1081","ISSN":"13624962","PMID":"30395277","abstract":"The Plant Promoter Analysis Navigator (PlantPAN; http://PlantPAN.itps.ncku.edu.tw/) is an effective resource for predicting regulatory elements and reconstructing transcriptional regulatory networks for plant genes. In this release (PlantPAN 3.0), 17 230 TFs were collected from 78 plant species. To explore regulatory landscapes, genomic locations of TFBSs have been captured from 662 public ChIPseq samples using standard data processing. A total of 1 233 999 regulatory linkages were identified from 99 regulatory factors (TFs, histones and other DNA-binding proteins) and their target genes across seven species. Additionally, this new version added 2449 matrices extracted from ChIP-seq peaks for cis-regulatory element prediction. In addition to integrated ChIP-seq data, four major improvements were provided for more comprehensive information of TF binding events, including (i) 1107 experimentally verified TF matrices from the literature, (ii) gene regulation network comparison between two species, (iii) 3D structures of TFs and TF-DNA complexes and (iv) condition-specific co-expression networks of TFs and their target genes extended to four species. The PlantPAN 3.0 can not only be efficiently used to investigate critical cis- and trans-regulatory elements in plant promoters, but also to reconstruct high-confidence relationships among TF-targets under specific conditions.","author":[{"dropping-particle":"","family":"Chow","given":"Chi Nga","non-dropping-particle":"","parse-names":false,"suffix":""},{"dropping-particle":"","family":"Lee","given":"Tzong Yi","non-dropping-particle":"","parse-names":false,"suffix":""},{"dropping-particle":"","family":"Hung","given":"Yu Cheng","non-dropping-particle":"","parse-names":false,"suffix":""},{"dropping-particle":"","family":"Li","given":"Guan Zhen","non-dropping-particle":"","parse-names":false,"suffix":""},{"dropping-particle":"","family":"Tseng","given":"Kuan Chieh","non-dropping-particle":"","parse-names":false,"suffix":""},{"dropping-particle":"","family":"Liu","given":"Ya Hsin","non-dropping-particle":"","parse-names":false,"suffix":""},{"dropping-particle":"","family":"Kuo","given":"Po Li","non-dropping-particle":"","parse-names":false,"suffix":""},{"dropping-particle":"","family":"Zheng","given":"Han Qin","non-dropping-particle":"","parse-names":false,"suffix":""},{"dropping-particle":"","family":"Chang","given":"Wen Chi","non-dropping-particle":"","parse-names":false,"suffix":""}],"container-title":"Nucleic Acids Research","id":"ITEM-1","issue":"D1","issued":{"date-parts":[["2019"]]},"page":"D1155-D1163","publisher":"Oxford University Press","title":"Plantpan3.0: A new and updated resource for reconstructing transcriptional regulatory networks from chip-seq experiments in plants","type":"article-journal","volume":"47"},"uris":["http://www.mendeley.com/documents/?uuid=a16ba6e1-3110-41ab-ad31-f4329d8c4c9a"]}],"mendeley":{"formattedCitation":"(Chow et al., 2019)","plainTextFormattedCitation":"(Chow et al., 2019)","previouslyFormattedCitation":"(Chow et al. 2019)"},"properties":{"noteIndex":0},"schema":"https://github.com/citation-style-language/schema/raw/master/csl-citation.json"}</w:instrText>
      </w:r>
      <w:r>
        <w:rPr>
          <w:color w:val="000000" w:themeColor="text1"/>
        </w:rPr>
        <w:fldChar w:fldCharType="separate"/>
      </w:r>
      <w:r w:rsidRPr="00CE7936">
        <w:rPr>
          <w:noProof/>
          <w:color w:val="000000" w:themeColor="text1"/>
        </w:rPr>
        <w:t>(Chow et al., 2019)</w:t>
      </w:r>
      <w:r>
        <w:rPr>
          <w:color w:val="000000" w:themeColor="text1"/>
        </w:rPr>
        <w:fldChar w:fldCharType="end"/>
      </w:r>
      <w:r>
        <w:rPr>
          <w:color w:val="000000" w:themeColor="text1"/>
        </w:rPr>
        <w:t xml:space="preserve">. Functional enrichment of the networks with orphan genes was performed with </w:t>
      </w:r>
      <w:proofErr w:type="spellStart"/>
      <w:r>
        <w:rPr>
          <w:color w:val="000000" w:themeColor="text1"/>
        </w:rPr>
        <w:t>ClusterProfiler</w:t>
      </w:r>
      <w:proofErr w:type="spellEnd"/>
      <w:r>
        <w:rPr>
          <w:color w:val="000000" w:themeColor="text1"/>
        </w:rPr>
        <w:t xml:space="preserve"> </w:t>
      </w:r>
      <w:r w:rsidRPr="00FC7FA3">
        <w:rPr>
          <w:color w:val="000000" w:themeColor="text1"/>
        </w:rPr>
        <w:t>v3.14.3</w:t>
      </w:r>
      <w:r>
        <w:rPr>
          <w:color w:val="000000" w:themeColor="text1"/>
        </w:rPr>
        <w:t xml:space="preserve"> </w:t>
      </w:r>
      <w:proofErr w:type="spellStart"/>
      <w:r>
        <w:rPr>
          <w:color w:val="000000" w:themeColor="text1"/>
        </w:rPr>
        <w:t>enrichGO</w:t>
      </w:r>
      <w:proofErr w:type="spellEnd"/>
      <w:r>
        <w:rPr>
          <w:color w:val="000000" w:themeColor="text1"/>
        </w:rPr>
        <w:t xml:space="preserve"> function, p-values were adjusted with </w:t>
      </w:r>
      <w:proofErr w:type="spellStart"/>
      <w:r>
        <w:rPr>
          <w:color w:val="000000" w:themeColor="text1"/>
        </w:rPr>
        <w:t>Benjamini</w:t>
      </w:r>
      <w:proofErr w:type="spellEnd"/>
      <w:r>
        <w:rPr>
          <w:color w:val="000000" w:themeColor="text1"/>
        </w:rPr>
        <w:t xml:space="preserve">-Hochberg correction </w:t>
      </w:r>
      <w:r>
        <w:rPr>
          <w:color w:val="000000" w:themeColor="text1"/>
        </w:rPr>
        <w:fldChar w:fldCharType="begin" w:fldLock="1"/>
      </w:r>
      <w:r>
        <w:rPr>
          <w:color w:val="000000" w:themeColor="text1"/>
        </w:rPr>
        <w:instrText>ADDIN CSL_CITATION {"citationItems":[{"id":"ITEM-1","itemData":{"DOI":"10.1089/omi.2011.0118","ISSN":"15362310","PMID":"22455463","abstract":"Increasing quantitative data generated from transcriptomics and proteomics require integrative strategies for analysis. Here, we present an R package, clusterProfiler that automates the process of biological-term classification and the enrichment analysis of gene clusters. The analysis module and visualization module were combined into a reusable workflow. Currently, clusterProfiler supports three species, including humans, mice, and yeast. Methods provided in this package can be easily extended to other species and ontologies. The clusterProfiler package is released under Artistic-2.0 License within Bioconductor project. The source code and vignette are freely available at http://bioconductor.org/packages/release/bioc/html/clusterProfiler.html. © 2012 Mary Ann Liebert, Inc.","author":[{"dropping-particle":"","family":"Yu","given":"Guangchuang","non-dropping-particle":"","parse-names":false,"suffix":""},{"dropping-particle":"","family":"Wang","given":"Li Gen","non-dropping-particle":"","parse-names":false,"suffix":""},{"dropping-particle":"","family":"Han","given":"Yanyan","non-dropping-particle":"","parse-names":false,"suffix":""},{"dropping-particle":"","family":"He","given":"Qing Yu","non-dropping-particle":"","parse-names":false,"suffix":""}],"container-title":"OMICS A Journal of Integrative Biology","id":"ITEM-1","issue":"5","issued":{"date-parts":[["2012"]]},"page":"284-287","title":"ClusterProfiler: An R package for comparing biological themes among gene clusters","type":"article-journal","volume":"16"},"uris":["http://www.mendeley.com/documents/?uuid=71553236-b3e0-403f-86b3-f15797d7eb3f"]}],"mendeley":{"formattedCitation":"(Yu, Wang, Han, &amp; He, 2012)","manualFormatting":"(Yu et al., 2012)","plainTextFormattedCitation":"(Yu, Wang, Han, &amp; He, 2012)","previouslyFormattedCitation":"(Yu et al. 2012)"},"properties":{"noteIndex":0},"schema":"https://github.com/citation-style-language/schema/raw/master/csl-citation.json"}</w:instrText>
      </w:r>
      <w:r>
        <w:rPr>
          <w:color w:val="000000" w:themeColor="text1"/>
        </w:rPr>
        <w:fldChar w:fldCharType="separate"/>
      </w:r>
      <w:r w:rsidRPr="00350B87">
        <w:rPr>
          <w:noProof/>
          <w:color w:val="000000" w:themeColor="text1"/>
        </w:rPr>
        <w:t>(Yu</w:t>
      </w:r>
      <w:r>
        <w:rPr>
          <w:noProof/>
          <w:color w:val="000000" w:themeColor="text1"/>
        </w:rPr>
        <w:t xml:space="preserve"> et al.</w:t>
      </w:r>
      <w:r w:rsidRPr="00350B87">
        <w:rPr>
          <w:noProof/>
          <w:color w:val="000000" w:themeColor="text1"/>
        </w:rPr>
        <w:t>, 2012)</w:t>
      </w:r>
      <w:r>
        <w:rPr>
          <w:color w:val="000000" w:themeColor="text1"/>
        </w:rPr>
        <w:fldChar w:fldCharType="end"/>
      </w:r>
      <w:r>
        <w:rPr>
          <w:color w:val="000000" w:themeColor="text1"/>
        </w:rPr>
        <w:t>.</w:t>
      </w:r>
    </w:p>
    <w:p w14:paraId="5C9BF024" w14:textId="77777777" w:rsidR="00636B5B" w:rsidRDefault="00636B5B"/>
    <w:p w14:paraId="65587A61" w14:textId="77777777" w:rsidR="00636B5B" w:rsidRDefault="00636B5B"/>
    <w:p w14:paraId="0E5BCB42" w14:textId="77777777" w:rsidR="00636B5B" w:rsidRDefault="00636B5B"/>
    <w:p w14:paraId="72916BA7" w14:textId="77777777" w:rsidR="00636B5B" w:rsidRDefault="00636B5B"/>
    <w:p w14:paraId="23D0DC43" w14:textId="3C3C0295" w:rsidR="00636B5B" w:rsidRDefault="00636B5B"/>
    <w:p w14:paraId="653BD89B" w14:textId="77777777" w:rsidR="00752AE5" w:rsidRDefault="00752AE5"/>
    <w:p w14:paraId="1E9ECDEF" w14:textId="77777777" w:rsidR="00636B5B" w:rsidRPr="005B7743" w:rsidRDefault="00636B5B" w:rsidP="00CE7936">
      <w:pPr>
        <w:jc w:val="center"/>
        <w:rPr>
          <w:b/>
          <w:bCs/>
          <w:sz w:val="28"/>
          <w:szCs w:val="26"/>
        </w:rPr>
      </w:pPr>
      <w:r w:rsidRPr="005B7743">
        <w:rPr>
          <w:b/>
          <w:bCs/>
          <w:sz w:val="28"/>
          <w:szCs w:val="26"/>
        </w:rPr>
        <w:lastRenderedPageBreak/>
        <w:t>References</w:t>
      </w:r>
    </w:p>
    <w:p w14:paraId="4D4F0A43" w14:textId="77777777" w:rsidR="00636B5B" w:rsidRPr="00CE7936" w:rsidRDefault="00636B5B" w:rsidP="00CE7936">
      <w:pPr>
        <w:widowControl w:val="0"/>
        <w:autoSpaceDE w:val="0"/>
        <w:autoSpaceDN w:val="0"/>
        <w:adjustRightInd w:val="0"/>
        <w:ind w:left="480" w:hanging="480"/>
        <w:rPr>
          <w:rFonts w:cs="Times New Roman"/>
          <w:noProof/>
        </w:rPr>
      </w:pPr>
      <w:r>
        <w:fldChar w:fldCharType="begin" w:fldLock="1"/>
      </w:r>
      <w:r>
        <w:instrText xml:space="preserve">ADDIN Mendeley Bibliography CSL_BIBLIOGRAPHY </w:instrText>
      </w:r>
      <w:r>
        <w:fldChar w:fldCharType="separate"/>
      </w:r>
      <w:r w:rsidRPr="00CE7936">
        <w:rPr>
          <w:rFonts w:cs="Times New Roman"/>
          <w:noProof/>
        </w:rPr>
        <w:t xml:space="preserve">Altschul, S. (1977). Gapped BLAST and PSI-BLAST: a new generation of protein database search programs. </w:t>
      </w:r>
      <w:r w:rsidRPr="00CE7936">
        <w:rPr>
          <w:rFonts w:cs="Times New Roman"/>
          <w:i/>
          <w:iCs/>
          <w:noProof/>
        </w:rPr>
        <w:t>Nucleic Acids Research.</w:t>
      </w:r>
      <w:r w:rsidRPr="00CE7936">
        <w:rPr>
          <w:rFonts w:cs="Times New Roman"/>
          <w:noProof/>
        </w:rPr>
        <w:t xml:space="preserve">, </w:t>
      </w:r>
      <w:r w:rsidRPr="00CE7936">
        <w:rPr>
          <w:rFonts w:cs="Times New Roman"/>
          <w:i/>
          <w:iCs/>
          <w:noProof/>
        </w:rPr>
        <w:t>25</w:t>
      </w:r>
      <w:r w:rsidRPr="00CE7936">
        <w:rPr>
          <w:rFonts w:cs="Times New Roman"/>
          <w:noProof/>
        </w:rPr>
        <w:t>(17), 3389–3402.</w:t>
      </w:r>
    </w:p>
    <w:p w14:paraId="6C498E45" w14:textId="77777777" w:rsidR="00636B5B" w:rsidRPr="00CE7936" w:rsidRDefault="00636B5B" w:rsidP="00CE7936">
      <w:pPr>
        <w:widowControl w:val="0"/>
        <w:autoSpaceDE w:val="0"/>
        <w:autoSpaceDN w:val="0"/>
        <w:adjustRightInd w:val="0"/>
        <w:ind w:left="480" w:hanging="480"/>
        <w:rPr>
          <w:rFonts w:cs="Times New Roman"/>
          <w:noProof/>
        </w:rPr>
      </w:pPr>
      <w:r w:rsidRPr="00CE7936">
        <w:rPr>
          <w:rFonts w:cs="Times New Roman"/>
          <w:noProof/>
        </w:rPr>
        <w:t xml:space="preserve">Ardern, Z., Neuhaus, K., &amp; Scherer, S. (2020). Are Antisense Proteins in Prokaryotes Functional? </w:t>
      </w:r>
      <w:r w:rsidRPr="00CE7936">
        <w:rPr>
          <w:rFonts w:cs="Times New Roman"/>
          <w:i/>
          <w:iCs/>
          <w:noProof/>
        </w:rPr>
        <w:t>Frontiers in Molecular Biosciences</w:t>
      </w:r>
      <w:r w:rsidRPr="00CE7936">
        <w:rPr>
          <w:rFonts w:cs="Times New Roman"/>
          <w:noProof/>
        </w:rPr>
        <w:t xml:space="preserve">, </w:t>
      </w:r>
      <w:r w:rsidRPr="00CE7936">
        <w:rPr>
          <w:rFonts w:cs="Times New Roman"/>
          <w:i/>
          <w:iCs/>
          <w:noProof/>
        </w:rPr>
        <w:t>7</w:t>
      </w:r>
      <w:r w:rsidRPr="00CE7936">
        <w:rPr>
          <w:rFonts w:cs="Times New Roman"/>
          <w:noProof/>
        </w:rPr>
        <w:t>(August), 1–12. https://doi.org/10.3389/fmolb.2020.00187</w:t>
      </w:r>
    </w:p>
    <w:p w14:paraId="5CE3D66A" w14:textId="77777777" w:rsidR="00636B5B" w:rsidRPr="00CE7936" w:rsidRDefault="00636B5B" w:rsidP="00CE7936">
      <w:pPr>
        <w:widowControl w:val="0"/>
        <w:autoSpaceDE w:val="0"/>
        <w:autoSpaceDN w:val="0"/>
        <w:adjustRightInd w:val="0"/>
        <w:ind w:left="480" w:hanging="480"/>
        <w:rPr>
          <w:rFonts w:cs="Times New Roman"/>
          <w:noProof/>
        </w:rPr>
      </w:pPr>
      <w:r w:rsidRPr="00CE7936">
        <w:rPr>
          <w:rFonts w:cs="Times New Roman"/>
          <w:noProof/>
        </w:rPr>
        <w:t xml:space="preserve">Arendsee, Z. W., Li, L., &amp; Wurtele, E. S. (2014). Coming of age: Orphan genes in plants. </w:t>
      </w:r>
      <w:r w:rsidRPr="00CE7936">
        <w:rPr>
          <w:rFonts w:cs="Times New Roman"/>
          <w:i/>
          <w:iCs/>
          <w:noProof/>
        </w:rPr>
        <w:t>Trends in Plant Science</w:t>
      </w:r>
      <w:r w:rsidRPr="00CE7936">
        <w:rPr>
          <w:rFonts w:cs="Times New Roman"/>
          <w:noProof/>
        </w:rPr>
        <w:t xml:space="preserve">, </w:t>
      </w:r>
      <w:r w:rsidRPr="00CE7936">
        <w:rPr>
          <w:rFonts w:cs="Times New Roman"/>
          <w:i/>
          <w:iCs/>
          <w:noProof/>
        </w:rPr>
        <w:t>19</w:t>
      </w:r>
      <w:r w:rsidRPr="00CE7936">
        <w:rPr>
          <w:rFonts w:cs="Times New Roman"/>
          <w:noProof/>
        </w:rPr>
        <w:t>(11), 698–708. https://doi.org/10.1016/j.tplants.2014.07.003</w:t>
      </w:r>
    </w:p>
    <w:p w14:paraId="2BA58956" w14:textId="77777777" w:rsidR="00636B5B" w:rsidRPr="00CE7936" w:rsidRDefault="00636B5B" w:rsidP="00CE7936">
      <w:pPr>
        <w:widowControl w:val="0"/>
        <w:autoSpaceDE w:val="0"/>
        <w:autoSpaceDN w:val="0"/>
        <w:adjustRightInd w:val="0"/>
        <w:ind w:left="480" w:hanging="480"/>
        <w:rPr>
          <w:rFonts w:cs="Times New Roman"/>
          <w:noProof/>
        </w:rPr>
      </w:pPr>
      <w:r w:rsidRPr="00CE7936">
        <w:rPr>
          <w:rFonts w:cs="Times New Roman"/>
          <w:noProof/>
        </w:rPr>
        <w:t xml:space="preserve">Arendsee, Z., Wilkey, A., Singh, U., Li, J., Hur, M., &amp; Wurtele, E. (2019). Synder: Inferring Genomic Orthologs From Synteny Maps. </w:t>
      </w:r>
      <w:r w:rsidRPr="00CE7936">
        <w:rPr>
          <w:rFonts w:cs="Times New Roman"/>
          <w:i/>
          <w:iCs/>
          <w:noProof/>
        </w:rPr>
        <w:t>BioRxiv</w:t>
      </w:r>
      <w:r w:rsidRPr="00CE7936">
        <w:rPr>
          <w:rFonts w:cs="Times New Roman"/>
          <w:noProof/>
        </w:rPr>
        <w:t>, 554501. https://doi.org/10.1101/554501</w:t>
      </w:r>
    </w:p>
    <w:p w14:paraId="08926024" w14:textId="77777777" w:rsidR="00636B5B" w:rsidRPr="00CE7936" w:rsidRDefault="00636B5B" w:rsidP="00CE7936">
      <w:pPr>
        <w:widowControl w:val="0"/>
        <w:autoSpaceDE w:val="0"/>
        <w:autoSpaceDN w:val="0"/>
        <w:adjustRightInd w:val="0"/>
        <w:ind w:left="480" w:hanging="480"/>
        <w:rPr>
          <w:rFonts w:cs="Times New Roman"/>
          <w:noProof/>
        </w:rPr>
      </w:pPr>
      <w:r w:rsidRPr="00CE7936">
        <w:rPr>
          <w:rFonts w:cs="Times New Roman"/>
          <w:noProof/>
        </w:rPr>
        <w:t xml:space="preserve">Argentini, A., Goeminne, L. J. E., Verheggen, K., Hulstaert, N., Staes, A., Clement, L., &amp; Martens, L. (2016). MoFF: A robust and automated approach to extract peptide ion intensities. </w:t>
      </w:r>
      <w:r w:rsidRPr="00CE7936">
        <w:rPr>
          <w:rFonts w:cs="Times New Roman"/>
          <w:i/>
          <w:iCs/>
          <w:noProof/>
        </w:rPr>
        <w:t>Nature Methods</w:t>
      </w:r>
      <w:r w:rsidRPr="00CE7936">
        <w:rPr>
          <w:rFonts w:cs="Times New Roman"/>
          <w:noProof/>
        </w:rPr>
        <w:t xml:space="preserve">, </w:t>
      </w:r>
      <w:r w:rsidRPr="00CE7936">
        <w:rPr>
          <w:rFonts w:cs="Times New Roman"/>
          <w:i/>
          <w:iCs/>
          <w:noProof/>
        </w:rPr>
        <w:t>13</w:t>
      </w:r>
      <w:r w:rsidRPr="00CE7936">
        <w:rPr>
          <w:rFonts w:cs="Times New Roman"/>
          <w:noProof/>
        </w:rPr>
        <w:t>(12), 964–966. https://doi.org/10.1038/nmeth.4075</w:t>
      </w:r>
    </w:p>
    <w:p w14:paraId="727F0BE2" w14:textId="77777777" w:rsidR="00636B5B" w:rsidRPr="00CE7936" w:rsidRDefault="00636B5B" w:rsidP="00CE7936">
      <w:pPr>
        <w:widowControl w:val="0"/>
        <w:autoSpaceDE w:val="0"/>
        <w:autoSpaceDN w:val="0"/>
        <w:adjustRightInd w:val="0"/>
        <w:ind w:left="480" w:hanging="480"/>
        <w:rPr>
          <w:rFonts w:cs="Times New Roman"/>
          <w:noProof/>
        </w:rPr>
      </w:pPr>
      <w:r w:rsidRPr="00CE7936">
        <w:rPr>
          <w:rFonts w:cs="Times New Roman"/>
          <w:noProof/>
        </w:rPr>
        <w:t xml:space="preserve">Begun, D. J., Lindfors, H. A., Kern, A. D., &amp; Jones, C. D. (2007). Evidence for de novo evolution of testis-expressed genes in the Drosophila yakuba/Drosophila erecta clade. </w:t>
      </w:r>
      <w:r w:rsidRPr="00CE7936">
        <w:rPr>
          <w:rFonts w:cs="Times New Roman"/>
          <w:i/>
          <w:iCs/>
          <w:noProof/>
        </w:rPr>
        <w:t>Genetics</w:t>
      </w:r>
      <w:r w:rsidRPr="00CE7936">
        <w:rPr>
          <w:rFonts w:cs="Times New Roman"/>
          <w:noProof/>
        </w:rPr>
        <w:t xml:space="preserve">, </w:t>
      </w:r>
      <w:r w:rsidRPr="00CE7936">
        <w:rPr>
          <w:rFonts w:cs="Times New Roman"/>
          <w:i/>
          <w:iCs/>
          <w:noProof/>
        </w:rPr>
        <w:t>176</w:t>
      </w:r>
      <w:r w:rsidRPr="00CE7936">
        <w:rPr>
          <w:rFonts w:cs="Times New Roman"/>
          <w:noProof/>
        </w:rPr>
        <w:t>(2), 1131–1137. https://doi.org/10.1534/genetics.106.069245</w:t>
      </w:r>
    </w:p>
    <w:p w14:paraId="0EF7CFE5" w14:textId="77777777" w:rsidR="00636B5B" w:rsidRPr="00CE7936" w:rsidRDefault="00636B5B" w:rsidP="00CE7936">
      <w:pPr>
        <w:widowControl w:val="0"/>
        <w:autoSpaceDE w:val="0"/>
        <w:autoSpaceDN w:val="0"/>
        <w:adjustRightInd w:val="0"/>
        <w:ind w:left="480" w:hanging="480"/>
        <w:rPr>
          <w:rFonts w:cs="Times New Roman"/>
          <w:noProof/>
        </w:rPr>
      </w:pPr>
      <w:r w:rsidRPr="00CE7936">
        <w:rPr>
          <w:rFonts w:cs="Times New Roman"/>
          <w:noProof/>
        </w:rPr>
        <w:t xml:space="preserve">Blevins, W. R., Ruiz-Orera, J., Messeguer, X., Blasco-Moreno, B., Villanueva-Cañas, J. L., Espinar, L., … Albà, M. M. (2021). Uncovering de novo gene birth in yeast using deep transcriptomics. </w:t>
      </w:r>
      <w:r w:rsidRPr="00CE7936">
        <w:rPr>
          <w:rFonts w:cs="Times New Roman"/>
          <w:i/>
          <w:iCs/>
          <w:noProof/>
        </w:rPr>
        <w:t>Nature Communications</w:t>
      </w:r>
      <w:r w:rsidRPr="00CE7936">
        <w:rPr>
          <w:rFonts w:cs="Times New Roman"/>
          <w:noProof/>
        </w:rPr>
        <w:t xml:space="preserve">, </w:t>
      </w:r>
      <w:r w:rsidRPr="00CE7936">
        <w:rPr>
          <w:rFonts w:cs="Times New Roman"/>
          <w:i/>
          <w:iCs/>
          <w:noProof/>
        </w:rPr>
        <w:t>12</w:t>
      </w:r>
      <w:r w:rsidRPr="00CE7936">
        <w:rPr>
          <w:rFonts w:cs="Times New Roman"/>
          <w:noProof/>
        </w:rPr>
        <w:t>(1), 1–13. https://doi.org/10.1038/s41467-021-20911-3</w:t>
      </w:r>
    </w:p>
    <w:p w14:paraId="53EF4228" w14:textId="77777777" w:rsidR="00636B5B" w:rsidRPr="00CE7936" w:rsidRDefault="00636B5B" w:rsidP="00CE7936">
      <w:pPr>
        <w:widowControl w:val="0"/>
        <w:autoSpaceDE w:val="0"/>
        <w:autoSpaceDN w:val="0"/>
        <w:adjustRightInd w:val="0"/>
        <w:ind w:left="480" w:hanging="480"/>
        <w:rPr>
          <w:rFonts w:cs="Times New Roman"/>
          <w:noProof/>
        </w:rPr>
      </w:pPr>
      <w:r w:rsidRPr="00CE7936">
        <w:rPr>
          <w:rFonts w:cs="Times New Roman"/>
          <w:noProof/>
        </w:rPr>
        <w:t xml:space="preserve">Carvunis, A.-R., Rolland, T., Wapinski, I., Calderwood, M. A., Yildirim, M. A., Simonis, N., … Vidal, M. (2012). Proto-genes and de novo gene birth. </w:t>
      </w:r>
      <w:r w:rsidRPr="00CE7936">
        <w:rPr>
          <w:rFonts w:cs="Times New Roman"/>
          <w:i/>
          <w:iCs/>
          <w:noProof/>
        </w:rPr>
        <w:t>Nature</w:t>
      </w:r>
      <w:r w:rsidRPr="00CE7936">
        <w:rPr>
          <w:rFonts w:cs="Times New Roman"/>
          <w:noProof/>
        </w:rPr>
        <w:t xml:space="preserve">, </w:t>
      </w:r>
      <w:r w:rsidRPr="00CE7936">
        <w:rPr>
          <w:rFonts w:cs="Times New Roman"/>
          <w:i/>
          <w:iCs/>
          <w:noProof/>
        </w:rPr>
        <w:t>487</w:t>
      </w:r>
      <w:r w:rsidRPr="00CE7936">
        <w:rPr>
          <w:rFonts w:cs="Times New Roman"/>
          <w:noProof/>
        </w:rPr>
        <w:t>(7407), 370–374. https://doi.org/10.1038/nature11184</w:t>
      </w:r>
    </w:p>
    <w:p w14:paraId="1CC9DAB1" w14:textId="77777777" w:rsidR="00636B5B" w:rsidRPr="00CE7936" w:rsidRDefault="00636B5B" w:rsidP="00CE7936">
      <w:pPr>
        <w:widowControl w:val="0"/>
        <w:autoSpaceDE w:val="0"/>
        <w:autoSpaceDN w:val="0"/>
        <w:adjustRightInd w:val="0"/>
        <w:ind w:left="480" w:hanging="480"/>
        <w:rPr>
          <w:rFonts w:cs="Times New Roman"/>
          <w:noProof/>
        </w:rPr>
      </w:pPr>
      <w:r w:rsidRPr="00CE7936">
        <w:rPr>
          <w:rFonts w:cs="Times New Roman"/>
          <w:noProof/>
        </w:rPr>
        <w:t xml:space="preserve">Chow, C. N., Lee, T. Y., Hung, Y. C., Li, G. Z., Tseng, K. C., Liu, Y. H., … Chang, W. C. (2019). Plantpan3.0: A new and updated resource for reconstructing transcriptional regulatory networks from chip-seq experiments in plants. </w:t>
      </w:r>
      <w:r w:rsidRPr="00CE7936">
        <w:rPr>
          <w:rFonts w:cs="Times New Roman"/>
          <w:i/>
          <w:iCs/>
          <w:noProof/>
        </w:rPr>
        <w:t>Nucleic Acids Research</w:t>
      </w:r>
      <w:r w:rsidRPr="00CE7936">
        <w:rPr>
          <w:rFonts w:cs="Times New Roman"/>
          <w:noProof/>
        </w:rPr>
        <w:t xml:space="preserve">, </w:t>
      </w:r>
      <w:r w:rsidRPr="00CE7936">
        <w:rPr>
          <w:rFonts w:cs="Times New Roman"/>
          <w:i/>
          <w:iCs/>
          <w:noProof/>
        </w:rPr>
        <w:t>47</w:t>
      </w:r>
      <w:r w:rsidRPr="00CE7936">
        <w:rPr>
          <w:rFonts w:cs="Times New Roman"/>
          <w:noProof/>
        </w:rPr>
        <w:t>(D1), D1155–D1163. https://doi.org/10.1093/nar/gky1081</w:t>
      </w:r>
    </w:p>
    <w:p w14:paraId="06D769D5" w14:textId="77777777" w:rsidR="00636B5B" w:rsidRPr="00CE7936" w:rsidRDefault="00636B5B" w:rsidP="00CE7936">
      <w:pPr>
        <w:widowControl w:val="0"/>
        <w:autoSpaceDE w:val="0"/>
        <w:autoSpaceDN w:val="0"/>
        <w:adjustRightInd w:val="0"/>
        <w:ind w:left="480" w:hanging="480"/>
        <w:rPr>
          <w:rFonts w:cs="Times New Roman"/>
          <w:noProof/>
        </w:rPr>
      </w:pPr>
      <w:r w:rsidRPr="00CE7936">
        <w:rPr>
          <w:rFonts w:cs="Times New Roman"/>
          <w:noProof/>
        </w:rPr>
        <w:t xml:space="preserve">Cingolani, P., Platts, A., Wang, L. L., Coon, M., Nguyen, T., Wang, L., … Ruden, D. M. (2012). A program for annotating and predicting the effects of single nucleotide polymorphisms, SnpEff: SNPs in the genome of Drosophila melanogaster strain w1118; iso-2; iso-3. </w:t>
      </w:r>
      <w:r w:rsidRPr="00CE7936">
        <w:rPr>
          <w:rFonts w:cs="Times New Roman"/>
          <w:i/>
          <w:iCs/>
          <w:noProof/>
        </w:rPr>
        <w:t>Fly</w:t>
      </w:r>
      <w:r w:rsidRPr="00CE7936">
        <w:rPr>
          <w:rFonts w:cs="Times New Roman"/>
          <w:noProof/>
        </w:rPr>
        <w:t xml:space="preserve">, </w:t>
      </w:r>
      <w:r w:rsidRPr="00CE7936">
        <w:rPr>
          <w:rFonts w:cs="Times New Roman"/>
          <w:i/>
          <w:iCs/>
          <w:noProof/>
        </w:rPr>
        <w:t>6</w:t>
      </w:r>
      <w:r w:rsidRPr="00CE7936">
        <w:rPr>
          <w:rFonts w:cs="Times New Roman"/>
          <w:noProof/>
        </w:rPr>
        <w:t>(2), 80–92. https://doi.org/10.4161/fly.19695</w:t>
      </w:r>
    </w:p>
    <w:p w14:paraId="1103C655" w14:textId="77777777" w:rsidR="00636B5B" w:rsidRPr="00CE7936" w:rsidRDefault="00636B5B" w:rsidP="00CE7936">
      <w:pPr>
        <w:widowControl w:val="0"/>
        <w:autoSpaceDE w:val="0"/>
        <w:autoSpaceDN w:val="0"/>
        <w:adjustRightInd w:val="0"/>
        <w:ind w:left="480" w:hanging="480"/>
        <w:rPr>
          <w:rFonts w:cs="Times New Roman"/>
          <w:noProof/>
        </w:rPr>
      </w:pPr>
      <w:r w:rsidRPr="00CE7936">
        <w:rPr>
          <w:rFonts w:cs="Times New Roman"/>
          <w:noProof/>
        </w:rPr>
        <w:t xml:space="preserve">Cui, X., Lv, Y., Chen, M., Nikoloski, Z., Twell, D., &amp; Zhang, D. (2015). Young genes out of the male: An insight from evolutionary age analysis of the pollen transcriptome. </w:t>
      </w:r>
      <w:r w:rsidRPr="00CE7936">
        <w:rPr>
          <w:rFonts w:cs="Times New Roman"/>
          <w:i/>
          <w:iCs/>
          <w:noProof/>
        </w:rPr>
        <w:t>Molecular Plant</w:t>
      </w:r>
      <w:r w:rsidRPr="00CE7936">
        <w:rPr>
          <w:rFonts w:cs="Times New Roman"/>
          <w:noProof/>
        </w:rPr>
        <w:t xml:space="preserve">, </w:t>
      </w:r>
      <w:r w:rsidRPr="00CE7936">
        <w:rPr>
          <w:rFonts w:cs="Times New Roman"/>
          <w:i/>
          <w:iCs/>
          <w:noProof/>
        </w:rPr>
        <w:t>8</w:t>
      </w:r>
      <w:r w:rsidRPr="00CE7936">
        <w:rPr>
          <w:rFonts w:cs="Times New Roman"/>
          <w:noProof/>
        </w:rPr>
        <w:t>(6), 935–945. https://doi.org/10.1016/j.molp.2014.12.008</w:t>
      </w:r>
    </w:p>
    <w:p w14:paraId="58DC55F6" w14:textId="77777777" w:rsidR="00636B5B" w:rsidRPr="00CE7936" w:rsidRDefault="00636B5B" w:rsidP="00CE7936">
      <w:pPr>
        <w:widowControl w:val="0"/>
        <w:autoSpaceDE w:val="0"/>
        <w:autoSpaceDN w:val="0"/>
        <w:adjustRightInd w:val="0"/>
        <w:ind w:left="480" w:hanging="480"/>
        <w:rPr>
          <w:rFonts w:cs="Times New Roman"/>
          <w:noProof/>
        </w:rPr>
      </w:pPr>
      <w:r w:rsidRPr="00CE7936">
        <w:rPr>
          <w:rFonts w:cs="Times New Roman"/>
          <w:noProof/>
        </w:rPr>
        <w:t xml:space="preserve">Dai, X., Hu, Q., Cai, Q., Feng, K., Ye, N., Tuskan, G. A., … Yin, T. (2014). The willow genome and divergent evolution from poplar after the common genome duplication. </w:t>
      </w:r>
      <w:r w:rsidRPr="00CE7936">
        <w:rPr>
          <w:rFonts w:cs="Times New Roman"/>
          <w:i/>
          <w:iCs/>
          <w:noProof/>
        </w:rPr>
        <w:t>Cell Research</w:t>
      </w:r>
      <w:r w:rsidRPr="00CE7936">
        <w:rPr>
          <w:rFonts w:cs="Times New Roman"/>
          <w:noProof/>
        </w:rPr>
        <w:t xml:space="preserve">, </w:t>
      </w:r>
      <w:r w:rsidRPr="00CE7936">
        <w:rPr>
          <w:rFonts w:cs="Times New Roman"/>
          <w:i/>
          <w:iCs/>
          <w:noProof/>
        </w:rPr>
        <w:t>24</w:t>
      </w:r>
      <w:r w:rsidRPr="00CE7936">
        <w:rPr>
          <w:rFonts w:cs="Times New Roman"/>
          <w:noProof/>
        </w:rPr>
        <w:t>(10), 1274–1277. https://doi.org/10.1038/cr.2014.83</w:t>
      </w:r>
    </w:p>
    <w:p w14:paraId="17DAA938" w14:textId="77777777" w:rsidR="00636B5B" w:rsidRPr="00CE7936" w:rsidRDefault="00636B5B" w:rsidP="00CE7936">
      <w:pPr>
        <w:widowControl w:val="0"/>
        <w:autoSpaceDE w:val="0"/>
        <w:autoSpaceDN w:val="0"/>
        <w:adjustRightInd w:val="0"/>
        <w:ind w:left="480" w:hanging="480"/>
        <w:rPr>
          <w:rFonts w:cs="Times New Roman"/>
          <w:noProof/>
        </w:rPr>
      </w:pPr>
      <w:r w:rsidRPr="00CE7936">
        <w:rPr>
          <w:rFonts w:cs="Times New Roman"/>
          <w:noProof/>
        </w:rPr>
        <w:t xml:space="preserve">Danecek, P., Auton, A., Abecasis, G., Albers, C. A., Banks, E., DePristo, M. A., … Durbin, R. (2011). The variant call format and VCFtools. </w:t>
      </w:r>
      <w:r w:rsidRPr="00CE7936">
        <w:rPr>
          <w:rFonts w:cs="Times New Roman"/>
          <w:i/>
          <w:iCs/>
          <w:noProof/>
        </w:rPr>
        <w:t>Bioinformatics</w:t>
      </w:r>
      <w:r w:rsidRPr="00CE7936">
        <w:rPr>
          <w:rFonts w:cs="Times New Roman"/>
          <w:noProof/>
        </w:rPr>
        <w:t xml:space="preserve">, </w:t>
      </w:r>
      <w:r w:rsidRPr="00CE7936">
        <w:rPr>
          <w:rFonts w:cs="Times New Roman"/>
          <w:i/>
          <w:iCs/>
          <w:noProof/>
        </w:rPr>
        <w:t>27</w:t>
      </w:r>
      <w:r w:rsidRPr="00CE7936">
        <w:rPr>
          <w:rFonts w:cs="Times New Roman"/>
          <w:noProof/>
        </w:rPr>
        <w:t>(15), 2156–2158. https://doi.org/10.1093/bioinformatics/btr330</w:t>
      </w:r>
    </w:p>
    <w:p w14:paraId="3A9A7D92" w14:textId="77777777" w:rsidR="00636B5B" w:rsidRPr="00CE7936" w:rsidRDefault="00636B5B" w:rsidP="00CE7936">
      <w:pPr>
        <w:widowControl w:val="0"/>
        <w:autoSpaceDE w:val="0"/>
        <w:autoSpaceDN w:val="0"/>
        <w:adjustRightInd w:val="0"/>
        <w:ind w:left="480" w:hanging="480"/>
        <w:rPr>
          <w:rFonts w:cs="Times New Roman"/>
          <w:noProof/>
        </w:rPr>
      </w:pPr>
      <w:r w:rsidRPr="00CE7936">
        <w:rPr>
          <w:rFonts w:cs="Times New Roman"/>
          <w:noProof/>
        </w:rPr>
        <w:t xml:space="preserve">Dobin, A., Davis, C. A., Schlesinger, F., Drenkow, J., Zaleski, C., Jha, S., … Gingeras, T. R. (2013). STAR: Ultrafast universal RNA-seq aligner. </w:t>
      </w:r>
      <w:r w:rsidRPr="00CE7936">
        <w:rPr>
          <w:rFonts w:cs="Times New Roman"/>
          <w:i/>
          <w:iCs/>
          <w:noProof/>
        </w:rPr>
        <w:t>Bioinformatics</w:t>
      </w:r>
      <w:r w:rsidRPr="00CE7936">
        <w:rPr>
          <w:rFonts w:cs="Times New Roman"/>
          <w:noProof/>
        </w:rPr>
        <w:t xml:space="preserve">, </w:t>
      </w:r>
      <w:r w:rsidRPr="00CE7936">
        <w:rPr>
          <w:rFonts w:cs="Times New Roman"/>
          <w:i/>
          <w:iCs/>
          <w:noProof/>
        </w:rPr>
        <w:t>29</w:t>
      </w:r>
      <w:r w:rsidRPr="00CE7936">
        <w:rPr>
          <w:rFonts w:cs="Times New Roman"/>
          <w:noProof/>
        </w:rPr>
        <w:t>(1), 15–21. https://doi.org/10.1093/bioinformatics/bts635</w:t>
      </w:r>
    </w:p>
    <w:p w14:paraId="53D014AB" w14:textId="77777777" w:rsidR="00636B5B" w:rsidRPr="00CE7936" w:rsidRDefault="00636B5B" w:rsidP="00CE7936">
      <w:pPr>
        <w:widowControl w:val="0"/>
        <w:autoSpaceDE w:val="0"/>
        <w:autoSpaceDN w:val="0"/>
        <w:adjustRightInd w:val="0"/>
        <w:ind w:left="480" w:hanging="480"/>
        <w:rPr>
          <w:rFonts w:cs="Times New Roman"/>
          <w:noProof/>
        </w:rPr>
      </w:pPr>
      <w:r w:rsidRPr="00CE7936">
        <w:rPr>
          <w:rFonts w:cs="Times New Roman"/>
          <w:noProof/>
        </w:rPr>
        <w:t xml:space="preserve">Emms, D. M., &amp; Kelly, S. (2019). OrthoFinder: Phylogenetic orthology inference for comparative genomics. </w:t>
      </w:r>
      <w:r w:rsidRPr="00CE7936">
        <w:rPr>
          <w:rFonts w:cs="Times New Roman"/>
          <w:i/>
          <w:iCs/>
          <w:noProof/>
        </w:rPr>
        <w:t>Genome Biology</w:t>
      </w:r>
      <w:r w:rsidRPr="00CE7936">
        <w:rPr>
          <w:rFonts w:cs="Times New Roman"/>
          <w:noProof/>
        </w:rPr>
        <w:t>, 1–14. https://doi.org/10.1101/466201</w:t>
      </w:r>
    </w:p>
    <w:p w14:paraId="70B5BAA9" w14:textId="77777777" w:rsidR="00636B5B" w:rsidRPr="00CE7936" w:rsidRDefault="00636B5B" w:rsidP="00CE7936">
      <w:pPr>
        <w:widowControl w:val="0"/>
        <w:autoSpaceDE w:val="0"/>
        <w:autoSpaceDN w:val="0"/>
        <w:adjustRightInd w:val="0"/>
        <w:ind w:left="480" w:hanging="480"/>
        <w:rPr>
          <w:rFonts w:cs="Times New Roman"/>
          <w:noProof/>
        </w:rPr>
      </w:pPr>
      <w:r w:rsidRPr="00CE7936">
        <w:rPr>
          <w:rFonts w:cs="Times New Roman"/>
          <w:noProof/>
        </w:rPr>
        <w:t xml:space="preserve">Evans, L. M., Slavov, G. T., Rodgers-Melnick, E., Martin, J., Ranjan, P., Muchero, W., … </w:t>
      </w:r>
      <w:r w:rsidRPr="00CE7936">
        <w:rPr>
          <w:rFonts w:cs="Times New Roman"/>
          <w:noProof/>
        </w:rPr>
        <w:lastRenderedPageBreak/>
        <w:t xml:space="preserve">DiFazio, S. P. (2014). Population genomics of Populus trichocarpa identifies signatures of selection and adaptive trait associations. </w:t>
      </w:r>
      <w:r w:rsidRPr="00CE7936">
        <w:rPr>
          <w:rFonts w:cs="Times New Roman"/>
          <w:i/>
          <w:iCs/>
          <w:noProof/>
        </w:rPr>
        <w:t>Nature Genetics</w:t>
      </w:r>
      <w:r w:rsidRPr="00CE7936">
        <w:rPr>
          <w:rFonts w:cs="Times New Roman"/>
          <w:noProof/>
        </w:rPr>
        <w:t xml:space="preserve">, </w:t>
      </w:r>
      <w:r w:rsidRPr="00CE7936">
        <w:rPr>
          <w:rFonts w:cs="Times New Roman"/>
          <w:i/>
          <w:iCs/>
          <w:noProof/>
        </w:rPr>
        <w:t>46</w:t>
      </w:r>
      <w:r w:rsidRPr="00CE7936">
        <w:rPr>
          <w:rFonts w:cs="Times New Roman"/>
          <w:noProof/>
        </w:rPr>
        <w:t>(10), 1089–1096. https://doi.org/10.1038/ng.3075</w:t>
      </w:r>
    </w:p>
    <w:p w14:paraId="06C6DDBC" w14:textId="77777777" w:rsidR="00636B5B" w:rsidRPr="00CE7936" w:rsidRDefault="00636B5B" w:rsidP="00CE7936">
      <w:pPr>
        <w:widowControl w:val="0"/>
        <w:autoSpaceDE w:val="0"/>
        <w:autoSpaceDN w:val="0"/>
        <w:adjustRightInd w:val="0"/>
        <w:ind w:left="480" w:hanging="480"/>
        <w:rPr>
          <w:rFonts w:cs="Times New Roman"/>
          <w:noProof/>
        </w:rPr>
      </w:pPr>
      <w:r w:rsidRPr="00CE7936">
        <w:rPr>
          <w:rFonts w:cs="Times New Roman"/>
          <w:noProof/>
        </w:rPr>
        <w:t xml:space="preserve">Gottwald, S., Samans, B., Lück, S., &amp; Friedt, W. (2012). Jasmonate and ethylene dependent defence gene expression and suppression of fungal virulence factors: Two essential mechanisms of Fusarium head blight resistance in wheat? </w:t>
      </w:r>
      <w:r w:rsidRPr="00CE7936">
        <w:rPr>
          <w:rFonts w:cs="Times New Roman"/>
          <w:i/>
          <w:iCs/>
          <w:noProof/>
        </w:rPr>
        <w:t>BMC Genomics</w:t>
      </w:r>
      <w:r w:rsidRPr="00CE7936">
        <w:rPr>
          <w:rFonts w:cs="Times New Roman"/>
          <w:noProof/>
        </w:rPr>
        <w:t xml:space="preserve">, </w:t>
      </w:r>
      <w:r w:rsidRPr="00CE7936">
        <w:rPr>
          <w:rFonts w:cs="Times New Roman"/>
          <w:i/>
          <w:iCs/>
          <w:noProof/>
        </w:rPr>
        <w:t>13</w:t>
      </w:r>
      <w:r w:rsidRPr="00CE7936">
        <w:rPr>
          <w:rFonts w:cs="Times New Roman"/>
          <w:noProof/>
        </w:rPr>
        <w:t>(1). https://doi.org/10.1186/1471-2164-13-369</w:t>
      </w:r>
    </w:p>
    <w:p w14:paraId="16351DFC" w14:textId="77777777" w:rsidR="00636B5B" w:rsidRPr="00CE7936" w:rsidRDefault="00636B5B" w:rsidP="00CE7936">
      <w:pPr>
        <w:widowControl w:val="0"/>
        <w:autoSpaceDE w:val="0"/>
        <w:autoSpaceDN w:val="0"/>
        <w:adjustRightInd w:val="0"/>
        <w:ind w:left="480" w:hanging="480"/>
        <w:rPr>
          <w:rFonts w:cs="Times New Roman"/>
          <w:noProof/>
        </w:rPr>
      </w:pPr>
      <w:r w:rsidRPr="00CE7936">
        <w:rPr>
          <w:rFonts w:cs="Times New Roman"/>
          <w:noProof/>
        </w:rPr>
        <w:t xml:space="preserve">Grant, C. E., Bailey, T. L., &amp; Noble, W. S. (2011). FIMO: Scanning for occurrences of a given motif. </w:t>
      </w:r>
      <w:r w:rsidRPr="00CE7936">
        <w:rPr>
          <w:rFonts w:cs="Times New Roman"/>
          <w:i/>
          <w:iCs/>
          <w:noProof/>
        </w:rPr>
        <w:t>Bioinformatics</w:t>
      </w:r>
      <w:r w:rsidRPr="00CE7936">
        <w:rPr>
          <w:rFonts w:cs="Times New Roman"/>
          <w:noProof/>
        </w:rPr>
        <w:t xml:space="preserve">, </w:t>
      </w:r>
      <w:r w:rsidRPr="00CE7936">
        <w:rPr>
          <w:rFonts w:cs="Times New Roman"/>
          <w:i/>
          <w:iCs/>
          <w:noProof/>
        </w:rPr>
        <w:t>27</w:t>
      </w:r>
      <w:r w:rsidRPr="00CE7936">
        <w:rPr>
          <w:rFonts w:cs="Times New Roman"/>
          <w:noProof/>
        </w:rPr>
        <w:t>(7), 1017–1018. https://doi.org/10.1093/bioinformatics/btr064</w:t>
      </w:r>
    </w:p>
    <w:p w14:paraId="0ECC183A" w14:textId="77777777" w:rsidR="00636B5B" w:rsidRPr="00CE7936" w:rsidRDefault="00636B5B" w:rsidP="00CE7936">
      <w:pPr>
        <w:widowControl w:val="0"/>
        <w:autoSpaceDE w:val="0"/>
        <w:autoSpaceDN w:val="0"/>
        <w:adjustRightInd w:val="0"/>
        <w:ind w:left="480" w:hanging="480"/>
        <w:rPr>
          <w:rFonts w:cs="Times New Roman"/>
          <w:noProof/>
        </w:rPr>
      </w:pPr>
      <w:r w:rsidRPr="00CE7936">
        <w:rPr>
          <w:rFonts w:cs="Times New Roman"/>
          <w:noProof/>
        </w:rPr>
        <w:t xml:space="preserve">Jacob, F. (1977). Evolution and Tinkering. </w:t>
      </w:r>
      <w:r w:rsidRPr="00CE7936">
        <w:rPr>
          <w:rFonts w:cs="Times New Roman"/>
          <w:i/>
          <w:iCs/>
          <w:noProof/>
        </w:rPr>
        <w:t>Science</w:t>
      </w:r>
      <w:r w:rsidRPr="00CE7936">
        <w:rPr>
          <w:rFonts w:cs="Times New Roman"/>
          <w:noProof/>
        </w:rPr>
        <w:t xml:space="preserve">, </w:t>
      </w:r>
      <w:r w:rsidRPr="00CE7936">
        <w:rPr>
          <w:rFonts w:cs="Times New Roman"/>
          <w:i/>
          <w:iCs/>
          <w:noProof/>
        </w:rPr>
        <w:t>196</w:t>
      </w:r>
      <w:r w:rsidRPr="00CE7936">
        <w:rPr>
          <w:rFonts w:cs="Times New Roman"/>
          <w:noProof/>
        </w:rPr>
        <w:t>(4295), 1161–1166. https://doi.org/10.1210/jcem-10-10-1361</w:t>
      </w:r>
    </w:p>
    <w:p w14:paraId="46CA2E14" w14:textId="77777777" w:rsidR="00636B5B" w:rsidRPr="00CE7936" w:rsidRDefault="00636B5B" w:rsidP="00CE7936">
      <w:pPr>
        <w:widowControl w:val="0"/>
        <w:autoSpaceDE w:val="0"/>
        <w:autoSpaceDN w:val="0"/>
        <w:adjustRightInd w:val="0"/>
        <w:ind w:left="480" w:hanging="480"/>
        <w:rPr>
          <w:rFonts w:cs="Times New Roman"/>
          <w:noProof/>
        </w:rPr>
      </w:pPr>
      <w:r w:rsidRPr="00CE7936">
        <w:rPr>
          <w:rFonts w:cs="Times New Roman"/>
          <w:noProof/>
        </w:rPr>
        <w:t xml:space="preserve">Kang, H. M., Sul, J. H., Service, S. K., Zaitlen, N. A., Kong, S. Y., Freimer, N. B., … Eskin, E. (2010). Variance component model to account for sample structure in genome-wide association studies. </w:t>
      </w:r>
      <w:r w:rsidRPr="00CE7936">
        <w:rPr>
          <w:rFonts w:cs="Times New Roman"/>
          <w:i/>
          <w:iCs/>
          <w:noProof/>
        </w:rPr>
        <w:t>Nature Genetics</w:t>
      </w:r>
      <w:r w:rsidRPr="00CE7936">
        <w:rPr>
          <w:rFonts w:cs="Times New Roman"/>
          <w:noProof/>
        </w:rPr>
        <w:t xml:space="preserve">, </w:t>
      </w:r>
      <w:r w:rsidRPr="00CE7936">
        <w:rPr>
          <w:rFonts w:cs="Times New Roman"/>
          <w:i/>
          <w:iCs/>
          <w:noProof/>
        </w:rPr>
        <w:t>42</w:t>
      </w:r>
      <w:r w:rsidRPr="00CE7936">
        <w:rPr>
          <w:rFonts w:cs="Times New Roman"/>
          <w:noProof/>
        </w:rPr>
        <w:t>(4), 348–354. https://doi.org/10.1038/ng.548</w:t>
      </w:r>
    </w:p>
    <w:p w14:paraId="55569A45" w14:textId="77777777" w:rsidR="00636B5B" w:rsidRPr="00CE7936" w:rsidRDefault="00636B5B" w:rsidP="00CE7936">
      <w:pPr>
        <w:widowControl w:val="0"/>
        <w:autoSpaceDE w:val="0"/>
        <w:autoSpaceDN w:val="0"/>
        <w:adjustRightInd w:val="0"/>
        <w:ind w:left="480" w:hanging="480"/>
        <w:rPr>
          <w:rFonts w:cs="Times New Roman"/>
          <w:noProof/>
        </w:rPr>
      </w:pPr>
      <w:r w:rsidRPr="00CE7936">
        <w:rPr>
          <w:rFonts w:cs="Times New Roman"/>
          <w:noProof/>
        </w:rPr>
        <w:t xml:space="preserve">Katoh, K., &amp; Standley, D. M. (2013). MAFFT multiple sequence alignment software version 7: Improvements in performance and usability. </w:t>
      </w:r>
      <w:r w:rsidRPr="00CE7936">
        <w:rPr>
          <w:rFonts w:cs="Times New Roman"/>
          <w:i/>
          <w:iCs/>
          <w:noProof/>
        </w:rPr>
        <w:t>Molecular Biology and Evolution</w:t>
      </w:r>
      <w:r w:rsidRPr="00CE7936">
        <w:rPr>
          <w:rFonts w:cs="Times New Roman"/>
          <w:noProof/>
        </w:rPr>
        <w:t xml:space="preserve">, </w:t>
      </w:r>
      <w:r w:rsidRPr="00CE7936">
        <w:rPr>
          <w:rFonts w:cs="Times New Roman"/>
          <w:i/>
          <w:iCs/>
          <w:noProof/>
        </w:rPr>
        <w:t>30</w:t>
      </w:r>
      <w:r w:rsidRPr="00CE7936">
        <w:rPr>
          <w:rFonts w:cs="Times New Roman"/>
          <w:noProof/>
        </w:rPr>
        <w:t>(4), 772–780. https://doi.org/10.1093/molbev/mst010</w:t>
      </w:r>
    </w:p>
    <w:p w14:paraId="76691D35" w14:textId="77777777" w:rsidR="00636B5B" w:rsidRPr="00CE7936" w:rsidRDefault="00636B5B" w:rsidP="00CE7936">
      <w:pPr>
        <w:widowControl w:val="0"/>
        <w:autoSpaceDE w:val="0"/>
        <w:autoSpaceDN w:val="0"/>
        <w:adjustRightInd w:val="0"/>
        <w:ind w:left="480" w:hanging="480"/>
        <w:rPr>
          <w:rFonts w:cs="Times New Roman"/>
          <w:noProof/>
        </w:rPr>
      </w:pPr>
      <w:r w:rsidRPr="00CE7936">
        <w:rPr>
          <w:rFonts w:cs="Times New Roman"/>
          <w:noProof/>
        </w:rPr>
        <w:t xml:space="preserve">Knowles, D. G., Mclysaght, A., Knowles, D. G., &amp; Mclysaght, A. (2009). Recent de novo origin of human protein-coding genes. </w:t>
      </w:r>
      <w:r w:rsidRPr="00CE7936">
        <w:rPr>
          <w:rFonts w:cs="Times New Roman"/>
          <w:i/>
          <w:iCs/>
          <w:noProof/>
        </w:rPr>
        <w:t>Genome Research</w:t>
      </w:r>
      <w:r w:rsidRPr="00CE7936">
        <w:rPr>
          <w:rFonts w:cs="Times New Roman"/>
          <w:noProof/>
        </w:rPr>
        <w:t xml:space="preserve">, </w:t>
      </w:r>
      <w:r w:rsidRPr="00CE7936">
        <w:rPr>
          <w:rFonts w:cs="Times New Roman"/>
          <w:i/>
          <w:iCs/>
          <w:noProof/>
        </w:rPr>
        <w:t>19</w:t>
      </w:r>
      <w:r w:rsidRPr="00CE7936">
        <w:rPr>
          <w:rFonts w:cs="Times New Roman"/>
          <w:noProof/>
        </w:rPr>
        <w:t>, 1–9. https://doi.org/10.1101/gr.095026.109</w:t>
      </w:r>
    </w:p>
    <w:p w14:paraId="399279C8" w14:textId="77777777" w:rsidR="00636B5B" w:rsidRPr="00CE7936" w:rsidRDefault="00636B5B" w:rsidP="00CE7936">
      <w:pPr>
        <w:widowControl w:val="0"/>
        <w:autoSpaceDE w:val="0"/>
        <w:autoSpaceDN w:val="0"/>
        <w:adjustRightInd w:val="0"/>
        <w:ind w:left="480" w:hanging="480"/>
        <w:rPr>
          <w:rFonts w:cs="Times New Roman"/>
          <w:noProof/>
        </w:rPr>
      </w:pPr>
      <w:r w:rsidRPr="00CE7936">
        <w:rPr>
          <w:rFonts w:cs="Times New Roman"/>
          <w:noProof/>
        </w:rPr>
        <w:t xml:space="preserve">Le Béguec, C., Wucher, V., Lagoutte, L., Cadieu, E., Botherel, N., Hédan, B., … Hitte, C. (2018). Characterisation and functional predictions of canine long non-coding RNAs. </w:t>
      </w:r>
      <w:r w:rsidRPr="00CE7936">
        <w:rPr>
          <w:rFonts w:cs="Times New Roman"/>
          <w:i/>
          <w:iCs/>
          <w:noProof/>
        </w:rPr>
        <w:t>Scientific Reports</w:t>
      </w:r>
      <w:r w:rsidRPr="00CE7936">
        <w:rPr>
          <w:rFonts w:cs="Times New Roman"/>
          <w:noProof/>
        </w:rPr>
        <w:t xml:space="preserve">, </w:t>
      </w:r>
      <w:r w:rsidRPr="00CE7936">
        <w:rPr>
          <w:rFonts w:cs="Times New Roman"/>
          <w:i/>
          <w:iCs/>
          <w:noProof/>
        </w:rPr>
        <w:t>8</w:t>
      </w:r>
      <w:r w:rsidRPr="00CE7936">
        <w:rPr>
          <w:rFonts w:cs="Times New Roman"/>
          <w:noProof/>
        </w:rPr>
        <w:t>(1), 1–12. https://doi.org/10.1038/s41598-018-31770-2</w:t>
      </w:r>
    </w:p>
    <w:p w14:paraId="4356CD7D" w14:textId="77777777" w:rsidR="00636B5B" w:rsidRPr="00CE7936" w:rsidRDefault="00636B5B" w:rsidP="00CE7936">
      <w:pPr>
        <w:widowControl w:val="0"/>
        <w:autoSpaceDE w:val="0"/>
        <w:autoSpaceDN w:val="0"/>
        <w:adjustRightInd w:val="0"/>
        <w:ind w:left="480" w:hanging="480"/>
        <w:rPr>
          <w:rFonts w:cs="Times New Roman"/>
          <w:noProof/>
        </w:rPr>
      </w:pPr>
      <w:r w:rsidRPr="00CE7936">
        <w:rPr>
          <w:rFonts w:cs="Times New Roman"/>
          <w:noProof/>
        </w:rPr>
        <w:t xml:space="preserve">Levine, M. T., Jones, C. D., Kern, A. D., Lindfors, H. A., &amp; Begun, D. J. (2006). Novel genes derived from noncoding DNA in Drosophila melanogaster are frequently X-linked and exhibit testis-biased expression. </w:t>
      </w:r>
      <w:r w:rsidRPr="00CE7936">
        <w:rPr>
          <w:rFonts w:cs="Times New Roman"/>
          <w:i/>
          <w:iCs/>
          <w:noProof/>
        </w:rPr>
        <w:t>Proceedings of the National Academy of Sciences of the United States of America</w:t>
      </w:r>
      <w:r w:rsidRPr="00CE7936">
        <w:rPr>
          <w:rFonts w:cs="Times New Roman"/>
          <w:noProof/>
        </w:rPr>
        <w:t xml:space="preserve">, </w:t>
      </w:r>
      <w:r w:rsidRPr="00CE7936">
        <w:rPr>
          <w:rFonts w:cs="Times New Roman"/>
          <w:i/>
          <w:iCs/>
          <w:noProof/>
        </w:rPr>
        <w:t>103</w:t>
      </w:r>
      <w:r w:rsidRPr="00CE7936">
        <w:rPr>
          <w:rFonts w:cs="Times New Roman"/>
          <w:noProof/>
        </w:rPr>
        <w:t>(26), 9935–9939. https://doi.org/10.1073/pnas.0509809103</w:t>
      </w:r>
    </w:p>
    <w:p w14:paraId="74161A76" w14:textId="77777777" w:rsidR="00636B5B" w:rsidRPr="00CE7936" w:rsidRDefault="00636B5B" w:rsidP="00CE7936">
      <w:pPr>
        <w:widowControl w:val="0"/>
        <w:autoSpaceDE w:val="0"/>
        <w:autoSpaceDN w:val="0"/>
        <w:adjustRightInd w:val="0"/>
        <w:ind w:left="480" w:hanging="480"/>
        <w:rPr>
          <w:rFonts w:cs="Times New Roman"/>
          <w:noProof/>
        </w:rPr>
      </w:pPr>
      <w:r w:rsidRPr="00CE7936">
        <w:rPr>
          <w:rFonts w:cs="Times New Roman"/>
          <w:noProof/>
        </w:rPr>
        <w:t xml:space="preserve">Li, C. Y., Zhang, Y., Wang, Z., Zhang, Y., Cao, C., Zhang, P. W., … Wei, L. (2010). A human-specific de novo protein-coding gene associated with human brain functions. </w:t>
      </w:r>
      <w:r w:rsidRPr="00CE7936">
        <w:rPr>
          <w:rFonts w:cs="Times New Roman"/>
          <w:i/>
          <w:iCs/>
          <w:noProof/>
        </w:rPr>
        <w:t>PLoS Computational Biology</w:t>
      </w:r>
      <w:r w:rsidRPr="00CE7936">
        <w:rPr>
          <w:rFonts w:cs="Times New Roman"/>
          <w:noProof/>
        </w:rPr>
        <w:t xml:space="preserve">, </w:t>
      </w:r>
      <w:r w:rsidRPr="00CE7936">
        <w:rPr>
          <w:rFonts w:cs="Times New Roman"/>
          <w:i/>
          <w:iCs/>
          <w:noProof/>
        </w:rPr>
        <w:t>6</w:t>
      </w:r>
      <w:r w:rsidRPr="00CE7936">
        <w:rPr>
          <w:rFonts w:cs="Times New Roman"/>
          <w:noProof/>
        </w:rPr>
        <w:t>(3). https://doi.org/10.1371/journal.pcbi.1000734</w:t>
      </w:r>
    </w:p>
    <w:p w14:paraId="0F0209D8" w14:textId="77777777" w:rsidR="00636B5B" w:rsidRPr="00CE7936" w:rsidRDefault="00636B5B" w:rsidP="00CE7936">
      <w:pPr>
        <w:widowControl w:val="0"/>
        <w:autoSpaceDE w:val="0"/>
        <w:autoSpaceDN w:val="0"/>
        <w:adjustRightInd w:val="0"/>
        <w:ind w:left="480" w:hanging="480"/>
        <w:rPr>
          <w:rFonts w:cs="Times New Roman"/>
          <w:noProof/>
        </w:rPr>
      </w:pPr>
      <w:r w:rsidRPr="00CE7936">
        <w:rPr>
          <w:rFonts w:cs="Times New Roman"/>
          <w:noProof/>
        </w:rPr>
        <w:t xml:space="preserve">Li, H. (2011). A statistical framework for SNP calling, mutation discovery, association mapping and population genetical parameter estimation from sequencing data. </w:t>
      </w:r>
      <w:r w:rsidRPr="00CE7936">
        <w:rPr>
          <w:rFonts w:cs="Times New Roman"/>
          <w:i/>
          <w:iCs/>
          <w:noProof/>
        </w:rPr>
        <w:t>Bioinformatics</w:t>
      </w:r>
      <w:r w:rsidRPr="00CE7936">
        <w:rPr>
          <w:rFonts w:cs="Times New Roman"/>
          <w:noProof/>
        </w:rPr>
        <w:t xml:space="preserve">, </w:t>
      </w:r>
      <w:r w:rsidRPr="00CE7936">
        <w:rPr>
          <w:rFonts w:cs="Times New Roman"/>
          <w:i/>
          <w:iCs/>
          <w:noProof/>
        </w:rPr>
        <w:t>27</w:t>
      </w:r>
      <w:r w:rsidRPr="00CE7936">
        <w:rPr>
          <w:rFonts w:cs="Times New Roman"/>
          <w:noProof/>
        </w:rPr>
        <w:t>(21), 2987–2993. https://doi.org/10.1093/bioinformatics/btr509</w:t>
      </w:r>
    </w:p>
    <w:p w14:paraId="5C406960" w14:textId="77777777" w:rsidR="00636B5B" w:rsidRPr="00CE7936" w:rsidRDefault="00636B5B" w:rsidP="00CE7936">
      <w:pPr>
        <w:widowControl w:val="0"/>
        <w:autoSpaceDE w:val="0"/>
        <w:autoSpaceDN w:val="0"/>
        <w:adjustRightInd w:val="0"/>
        <w:ind w:left="480" w:hanging="480"/>
        <w:rPr>
          <w:rFonts w:cs="Times New Roman"/>
          <w:noProof/>
        </w:rPr>
      </w:pPr>
      <w:r w:rsidRPr="00CE7936">
        <w:rPr>
          <w:rFonts w:cs="Times New Roman"/>
          <w:noProof/>
        </w:rPr>
        <w:t xml:space="preserve">Li, Z.-W., Chen, X., Wu, Q., Hagmann, J., Han, T.-S., Zou, Y.-P., … Guo, Y.-L. (2016). On the Origin of De Novo Genes in Arabidopsis thaliana Populations. </w:t>
      </w:r>
      <w:r w:rsidRPr="00CE7936">
        <w:rPr>
          <w:rFonts w:cs="Times New Roman"/>
          <w:i/>
          <w:iCs/>
          <w:noProof/>
        </w:rPr>
        <w:t>Genome Biology and Evolution</w:t>
      </w:r>
      <w:r w:rsidRPr="00CE7936">
        <w:rPr>
          <w:rFonts w:cs="Times New Roman"/>
          <w:noProof/>
        </w:rPr>
        <w:t xml:space="preserve">, </w:t>
      </w:r>
      <w:r w:rsidRPr="00CE7936">
        <w:rPr>
          <w:rFonts w:cs="Times New Roman"/>
          <w:i/>
          <w:iCs/>
          <w:noProof/>
        </w:rPr>
        <w:t>8</w:t>
      </w:r>
      <w:r w:rsidRPr="00CE7936">
        <w:rPr>
          <w:rFonts w:cs="Times New Roman"/>
          <w:noProof/>
        </w:rPr>
        <w:t>(7), 2190–2202. https://doi.org/10.1093/gbe/evw164</w:t>
      </w:r>
    </w:p>
    <w:p w14:paraId="2E1773C6" w14:textId="77777777" w:rsidR="00636B5B" w:rsidRPr="00CE7936" w:rsidRDefault="00636B5B" w:rsidP="00CE7936">
      <w:pPr>
        <w:widowControl w:val="0"/>
        <w:autoSpaceDE w:val="0"/>
        <w:autoSpaceDN w:val="0"/>
        <w:adjustRightInd w:val="0"/>
        <w:ind w:left="480" w:hanging="480"/>
        <w:rPr>
          <w:rFonts w:cs="Times New Roman"/>
          <w:noProof/>
        </w:rPr>
      </w:pPr>
      <w:r w:rsidRPr="00CE7936">
        <w:rPr>
          <w:rFonts w:cs="Times New Roman"/>
          <w:noProof/>
        </w:rPr>
        <w:t xml:space="preserve">Liao, Y., Smyth, G. K., &amp; Shi, W. (2014). FeatureCounts: An efficient general purpose program for assigning sequence reads to genomic features. </w:t>
      </w:r>
      <w:r w:rsidRPr="00CE7936">
        <w:rPr>
          <w:rFonts w:cs="Times New Roman"/>
          <w:i/>
          <w:iCs/>
          <w:noProof/>
        </w:rPr>
        <w:t>Bioinformatics</w:t>
      </w:r>
      <w:r w:rsidRPr="00CE7936">
        <w:rPr>
          <w:rFonts w:cs="Times New Roman"/>
          <w:noProof/>
        </w:rPr>
        <w:t xml:space="preserve">, </w:t>
      </w:r>
      <w:r w:rsidRPr="00CE7936">
        <w:rPr>
          <w:rFonts w:cs="Times New Roman"/>
          <w:i/>
          <w:iCs/>
          <w:noProof/>
        </w:rPr>
        <w:t>30</w:t>
      </w:r>
      <w:r w:rsidRPr="00CE7936">
        <w:rPr>
          <w:rFonts w:cs="Times New Roman"/>
          <w:noProof/>
        </w:rPr>
        <w:t>(7), 923–930. https://doi.org/10.1093/bioinformatics/btt656</w:t>
      </w:r>
    </w:p>
    <w:p w14:paraId="54C13BFC" w14:textId="77777777" w:rsidR="00636B5B" w:rsidRPr="00CE7936" w:rsidRDefault="00636B5B" w:rsidP="00CE7936">
      <w:pPr>
        <w:widowControl w:val="0"/>
        <w:autoSpaceDE w:val="0"/>
        <w:autoSpaceDN w:val="0"/>
        <w:adjustRightInd w:val="0"/>
        <w:ind w:left="480" w:hanging="480"/>
        <w:rPr>
          <w:rFonts w:cs="Times New Roman"/>
          <w:noProof/>
        </w:rPr>
      </w:pPr>
      <w:r w:rsidRPr="00CE7936">
        <w:rPr>
          <w:rFonts w:cs="Times New Roman"/>
          <w:noProof/>
        </w:rPr>
        <w:t xml:space="preserve">Lim, P. O., Lee, I. C., Kim, J., Kim, H. J., Ryu, J. S., Woo, H. R., &amp; Nam, H. G. (2010). Auxin response factor 2 (ARF2) plays a major role in regulating auxin-mediated leaf longevity. </w:t>
      </w:r>
      <w:r w:rsidRPr="00CE7936">
        <w:rPr>
          <w:rFonts w:cs="Times New Roman"/>
          <w:i/>
          <w:iCs/>
          <w:noProof/>
        </w:rPr>
        <w:t>Journal of Experimental Botany</w:t>
      </w:r>
      <w:r w:rsidRPr="00CE7936">
        <w:rPr>
          <w:rFonts w:cs="Times New Roman"/>
          <w:noProof/>
        </w:rPr>
        <w:t xml:space="preserve">, </w:t>
      </w:r>
      <w:r w:rsidRPr="00CE7936">
        <w:rPr>
          <w:rFonts w:cs="Times New Roman"/>
          <w:i/>
          <w:iCs/>
          <w:noProof/>
        </w:rPr>
        <w:t>61</w:t>
      </w:r>
      <w:r w:rsidRPr="00CE7936">
        <w:rPr>
          <w:rFonts w:cs="Times New Roman"/>
          <w:noProof/>
        </w:rPr>
        <w:t>(5), 1419–1430. https://doi.org/10.1093/jxb/erq010</w:t>
      </w:r>
    </w:p>
    <w:p w14:paraId="14271036" w14:textId="77777777" w:rsidR="00636B5B" w:rsidRPr="00CE7936" w:rsidRDefault="00636B5B" w:rsidP="00CE7936">
      <w:pPr>
        <w:widowControl w:val="0"/>
        <w:autoSpaceDE w:val="0"/>
        <w:autoSpaceDN w:val="0"/>
        <w:adjustRightInd w:val="0"/>
        <w:ind w:left="480" w:hanging="480"/>
        <w:rPr>
          <w:rFonts w:cs="Times New Roman"/>
          <w:noProof/>
        </w:rPr>
      </w:pPr>
      <w:r w:rsidRPr="00CE7936">
        <w:rPr>
          <w:rFonts w:cs="Times New Roman"/>
          <w:noProof/>
        </w:rPr>
        <w:t xml:space="preserve">Majic, P., &amp; Payne, J. L. (2020). Enhancers Facilitate the Birth of De Novo Genes and Gene Integration into Regulatory Networks. </w:t>
      </w:r>
      <w:r w:rsidRPr="00CE7936">
        <w:rPr>
          <w:rFonts w:cs="Times New Roman"/>
          <w:i/>
          <w:iCs/>
          <w:noProof/>
        </w:rPr>
        <w:t>Molecular Biology and Evolution</w:t>
      </w:r>
      <w:r w:rsidRPr="00CE7936">
        <w:rPr>
          <w:rFonts w:cs="Times New Roman"/>
          <w:noProof/>
        </w:rPr>
        <w:t xml:space="preserve">, </w:t>
      </w:r>
      <w:r w:rsidRPr="00CE7936">
        <w:rPr>
          <w:rFonts w:cs="Times New Roman"/>
          <w:i/>
          <w:iCs/>
          <w:noProof/>
        </w:rPr>
        <w:t>37</w:t>
      </w:r>
      <w:r w:rsidRPr="00CE7936">
        <w:rPr>
          <w:rFonts w:cs="Times New Roman"/>
          <w:noProof/>
        </w:rPr>
        <w:t>(4), 1165–1178. https://doi.org/10.1093/molbev/msz300</w:t>
      </w:r>
    </w:p>
    <w:p w14:paraId="39A59D0B" w14:textId="77777777" w:rsidR="00636B5B" w:rsidRPr="00CE7936" w:rsidRDefault="00636B5B" w:rsidP="00CE7936">
      <w:pPr>
        <w:widowControl w:val="0"/>
        <w:autoSpaceDE w:val="0"/>
        <w:autoSpaceDN w:val="0"/>
        <w:adjustRightInd w:val="0"/>
        <w:ind w:left="480" w:hanging="480"/>
        <w:rPr>
          <w:rFonts w:cs="Times New Roman"/>
          <w:noProof/>
        </w:rPr>
      </w:pPr>
      <w:r w:rsidRPr="00CE7936">
        <w:rPr>
          <w:rFonts w:cs="Times New Roman"/>
          <w:noProof/>
        </w:rPr>
        <w:t xml:space="preserve">Marçais, G., Delcher, A. L., Phillippy, A. M., Coston, R., Salzberg, S. L., &amp; Zimin, A. (2018). </w:t>
      </w:r>
      <w:r w:rsidRPr="00CE7936">
        <w:rPr>
          <w:rFonts w:cs="Times New Roman"/>
          <w:noProof/>
        </w:rPr>
        <w:lastRenderedPageBreak/>
        <w:t xml:space="preserve">MUMmer4: A fast and versatile genome alignment system. </w:t>
      </w:r>
      <w:r w:rsidRPr="00CE7936">
        <w:rPr>
          <w:rFonts w:cs="Times New Roman"/>
          <w:i/>
          <w:iCs/>
          <w:noProof/>
        </w:rPr>
        <w:t>PLoS Computational Biology</w:t>
      </w:r>
      <w:r w:rsidRPr="00CE7936">
        <w:rPr>
          <w:rFonts w:cs="Times New Roman"/>
          <w:noProof/>
        </w:rPr>
        <w:t xml:space="preserve">, </w:t>
      </w:r>
      <w:r w:rsidRPr="00CE7936">
        <w:rPr>
          <w:rFonts w:cs="Times New Roman"/>
          <w:i/>
          <w:iCs/>
          <w:noProof/>
        </w:rPr>
        <w:t>14</w:t>
      </w:r>
      <w:r w:rsidRPr="00CE7936">
        <w:rPr>
          <w:rFonts w:cs="Times New Roman"/>
          <w:noProof/>
        </w:rPr>
        <w:t>(1), 1–14. https://doi.org/10.1371/journal.pcbi.1005944</w:t>
      </w:r>
    </w:p>
    <w:p w14:paraId="21867608" w14:textId="77777777" w:rsidR="00636B5B" w:rsidRPr="00CE7936" w:rsidRDefault="00636B5B" w:rsidP="00CE7936">
      <w:pPr>
        <w:widowControl w:val="0"/>
        <w:autoSpaceDE w:val="0"/>
        <w:autoSpaceDN w:val="0"/>
        <w:adjustRightInd w:val="0"/>
        <w:ind w:left="480" w:hanging="480"/>
        <w:rPr>
          <w:rFonts w:cs="Times New Roman"/>
          <w:noProof/>
        </w:rPr>
      </w:pPr>
      <w:r w:rsidRPr="00CE7936">
        <w:rPr>
          <w:rFonts w:cs="Times New Roman"/>
          <w:noProof/>
        </w:rPr>
        <w:t xml:space="preserve">Marchler-Bauer, A., Derbyshire, M. K., Gonzales, N. R., Lu, S., Chitsaz, F., Geer, L. Y., … Bryant, S. H. (2015). CDD: NCBI’s conserved domain database. </w:t>
      </w:r>
      <w:r w:rsidRPr="00CE7936">
        <w:rPr>
          <w:rFonts w:cs="Times New Roman"/>
          <w:i/>
          <w:iCs/>
          <w:noProof/>
        </w:rPr>
        <w:t>Nucleic Acids Research</w:t>
      </w:r>
      <w:r w:rsidRPr="00CE7936">
        <w:rPr>
          <w:rFonts w:cs="Times New Roman"/>
          <w:noProof/>
        </w:rPr>
        <w:t xml:space="preserve">, </w:t>
      </w:r>
      <w:r w:rsidRPr="00CE7936">
        <w:rPr>
          <w:rFonts w:cs="Times New Roman"/>
          <w:i/>
          <w:iCs/>
          <w:noProof/>
        </w:rPr>
        <w:t>43</w:t>
      </w:r>
      <w:r w:rsidRPr="00CE7936">
        <w:rPr>
          <w:rFonts w:cs="Times New Roman"/>
          <w:noProof/>
        </w:rPr>
        <w:t>(D1), D222–D226. https://doi.org/10.1093/nar/gku1221</w:t>
      </w:r>
    </w:p>
    <w:p w14:paraId="3E6ACBE0" w14:textId="77777777" w:rsidR="00636B5B" w:rsidRPr="00CE7936" w:rsidRDefault="00636B5B" w:rsidP="00CE7936">
      <w:pPr>
        <w:widowControl w:val="0"/>
        <w:autoSpaceDE w:val="0"/>
        <w:autoSpaceDN w:val="0"/>
        <w:adjustRightInd w:val="0"/>
        <w:ind w:left="480" w:hanging="480"/>
        <w:rPr>
          <w:rFonts w:cs="Times New Roman"/>
          <w:noProof/>
        </w:rPr>
      </w:pPr>
      <w:r w:rsidRPr="00CE7936">
        <w:rPr>
          <w:rFonts w:cs="Times New Roman"/>
          <w:noProof/>
        </w:rPr>
        <w:t xml:space="preserve">McIlwain, S., Tamura, K., Kertesz-Farkas, A., Grant, C. E., Diament, B., Frewen, B., … Noble, W. S. (2014). Crux: Rapid open source protein tandem mass spectrometry analysis. </w:t>
      </w:r>
      <w:r w:rsidRPr="00CE7936">
        <w:rPr>
          <w:rFonts w:cs="Times New Roman"/>
          <w:i/>
          <w:iCs/>
          <w:noProof/>
        </w:rPr>
        <w:t>Journal of Proteome Research</w:t>
      </w:r>
      <w:r w:rsidRPr="00CE7936">
        <w:rPr>
          <w:rFonts w:cs="Times New Roman"/>
          <w:noProof/>
        </w:rPr>
        <w:t xml:space="preserve">, </w:t>
      </w:r>
      <w:r w:rsidRPr="00CE7936">
        <w:rPr>
          <w:rFonts w:cs="Times New Roman"/>
          <w:i/>
          <w:iCs/>
          <w:noProof/>
        </w:rPr>
        <w:t>13</w:t>
      </w:r>
      <w:r w:rsidRPr="00CE7936">
        <w:rPr>
          <w:rFonts w:cs="Times New Roman"/>
          <w:noProof/>
        </w:rPr>
        <w:t>(10), 4488–4491. https://doi.org/10.1021/pr500741y</w:t>
      </w:r>
    </w:p>
    <w:p w14:paraId="221C2858" w14:textId="77777777" w:rsidR="00636B5B" w:rsidRPr="00CE7936" w:rsidRDefault="00636B5B" w:rsidP="00CE7936">
      <w:pPr>
        <w:widowControl w:val="0"/>
        <w:autoSpaceDE w:val="0"/>
        <w:autoSpaceDN w:val="0"/>
        <w:adjustRightInd w:val="0"/>
        <w:ind w:left="480" w:hanging="480"/>
        <w:rPr>
          <w:rFonts w:cs="Times New Roman"/>
          <w:noProof/>
        </w:rPr>
      </w:pPr>
      <w:r w:rsidRPr="00CE7936">
        <w:rPr>
          <w:rFonts w:cs="Times New Roman"/>
          <w:noProof/>
        </w:rPr>
        <w:t xml:space="preserve">Nelson, C. W., Moncla, L. H., &amp; Hughes, A. L. (2015). SNPGenie: Estimating evolutionary parameters to detect natural selection using pooled next-generation sequencing data. </w:t>
      </w:r>
      <w:r w:rsidRPr="00CE7936">
        <w:rPr>
          <w:rFonts w:cs="Times New Roman"/>
          <w:i/>
          <w:iCs/>
          <w:noProof/>
        </w:rPr>
        <w:t>Bioinformatics</w:t>
      </w:r>
      <w:r w:rsidRPr="00CE7936">
        <w:rPr>
          <w:rFonts w:cs="Times New Roman"/>
          <w:noProof/>
        </w:rPr>
        <w:t xml:space="preserve">, </w:t>
      </w:r>
      <w:r w:rsidRPr="00CE7936">
        <w:rPr>
          <w:rFonts w:cs="Times New Roman"/>
          <w:i/>
          <w:iCs/>
          <w:noProof/>
        </w:rPr>
        <w:t>31</w:t>
      </w:r>
      <w:r w:rsidRPr="00CE7936">
        <w:rPr>
          <w:rFonts w:cs="Times New Roman"/>
          <w:noProof/>
        </w:rPr>
        <w:t>(22), 3709–3711. https://doi.org/10.1093/bioinformatics/btv449</w:t>
      </w:r>
    </w:p>
    <w:p w14:paraId="2D4474E3" w14:textId="77777777" w:rsidR="00636B5B" w:rsidRPr="00CE7936" w:rsidRDefault="00636B5B" w:rsidP="00CE7936">
      <w:pPr>
        <w:widowControl w:val="0"/>
        <w:autoSpaceDE w:val="0"/>
        <w:autoSpaceDN w:val="0"/>
        <w:adjustRightInd w:val="0"/>
        <w:ind w:left="480" w:hanging="480"/>
        <w:rPr>
          <w:rFonts w:cs="Times New Roman"/>
          <w:noProof/>
        </w:rPr>
      </w:pPr>
      <w:r w:rsidRPr="00CE7936">
        <w:rPr>
          <w:rFonts w:cs="Times New Roman"/>
          <w:noProof/>
        </w:rPr>
        <w:t xml:space="preserve">Ohno, S. (1970). The enormous diversity in genome sizes of fish as a reflection of nature’s extensive experiments with gene duplication. </w:t>
      </w:r>
      <w:r w:rsidRPr="00CE7936">
        <w:rPr>
          <w:rFonts w:cs="Times New Roman"/>
          <w:i/>
          <w:iCs/>
          <w:noProof/>
        </w:rPr>
        <w:t>Transactions of the American Fisheries Society</w:t>
      </w:r>
      <w:r w:rsidRPr="00CE7936">
        <w:rPr>
          <w:rFonts w:cs="Times New Roman"/>
          <w:noProof/>
        </w:rPr>
        <w:t>, 120–130.</w:t>
      </w:r>
    </w:p>
    <w:p w14:paraId="3644F5CB" w14:textId="77777777" w:rsidR="00636B5B" w:rsidRPr="00CE7936" w:rsidRDefault="00636B5B" w:rsidP="00CE7936">
      <w:pPr>
        <w:widowControl w:val="0"/>
        <w:autoSpaceDE w:val="0"/>
        <w:autoSpaceDN w:val="0"/>
        <w:adjustRightInd w:val="0"/>
        <w:ind w:left="480" w:hanging="480"/>
        <w:rPr>
          <w:rFonts w:cs="Times New Roman"/>
          <w:noProof/>
        </w:rPr>
      </w:pPr>
      <w:r w:rsidRPr="00CE7936">
        <w:rPr>
          <w:rFonts w:cs="Times New Roman"/>
          <w:noProof/>
        </w:rPr>
        <w:t xml:space="preserve">Prud’homme, B., Gompel, N., &amp; Carroll, S. B. (2007). Emerging principles of regulatory evolution. </w:t>
      </w:r>
      <w:r w:rsidRPr="00CE7936">
        <w:rPr>
          <w:rFonts w:cs="Times New Roman"/>
          <w:i/>
          <w:iCs/>
          <w:noProof/>
        </w:rPr>
        <w:t>In the Light of Evolution</w:t>
      </w:r>
      <w:r w:rsidRPr="00CE7936">
        <w:rPr>
          <w:rFonts w:cs="Times New Roman"/>
          <w:noProof/>
        </w:rPr>
        <w:t xml:space="preserve">, </w:t>
      </w:r>
      <w:r w:rsidRPr="00CE7936">
        <w:rPr>
          <w:rFonts w:cs="Times New Roman"/>
          <w:i/>
          <w:iCs/>
          <w:noProof/>
        </w:rPr>
        <w:t>1</w:t>
      </w:r>
      <w:r w:rsidRPr="00CE7936">
        <w:rPr>
          <w:rFonts w:cs="Times New Roman"/>
          <w:noProof/>
        </w:rPr>
        <w:t>, 109–127. https://doi.org/10.17226/11790</w:t>
      </w:r>
    </w:p>
    <w:p w14:paraId="0E96319C" w14:textId="77777777" w:rsidR="00636B5B" w:rsidRPr="00CE7936" w:rsidRDefault="00636B5B" w:rsidP="00CE7936">
      <w:pPr>
        <w:widowControl w:val="0"/>
        <w:autoSpaceDE w:val="0"/>
        <w:autoSpaceDN w:val="0"/>
        <w:adjustRightInd w:val="0"/>
        <w:ind w:left="480" w:hanging="480"/>
        <w:rPr>
          <w:rFonts w:cs="Times New Roman"/>
          <w:noProof/>
        </w:rPr>
      </w:pPr>
      <w:r w:rsidRPr="00CE7936">
        <w:rPr>
          <w:rFonts w:cs="Times New Roman"/>
          <w:noProof/>
        </w:rPr>
        <w:t xml:space="preserve">Purcell, S., Neale, B., Todd-Brown, K., Thomas, L., Ferreira, M. A. R., Bender, D., … Sham, P. C. (2007). PLINK: A tool set for whole-genome association and population-based linkage analyses. </w:t>
      </w:r>
      <w:r w:rsidRPr="00CE7936">
        <w:rPr>
          <w:rFonts w:cs="Times New Roman"/>
          <w:i/>
          <w:iCs/>
          <w:noProof/>
        </w:rPr>
        <w:t>American Journal of Human Genetics</w:t>
      </w:r>
      <w:r w:rsidRPr="00CE7936">
        <w:rPr>
          <w:rFonts w:cs="Times New Roman"/>
          <w:noProof/>
        </w:rPr>
        <w:t xml:space="preserve">, </w:t>
      </w:r>
      <w:r w:rsidRPr="00CE7936">
        <w:rPr>
          <w:rFonts w:cs="Times New Roman"/>
          <w:i/>
          <w:iCs/>
          <w:noProof/>
        </w:rPr>
        <w:t>81</w:t>
      </w:r>
      <w:r w:rsidRPr="00CE7936">
        <w:rPr>
          <w:rFonts w:cs="Times New Roman"/>
          <w:noProof/>
        </w:rPr>
        <w:t>(3), 559–575. https://doi.org/10.1086/519795</w:t>
      </w:r>
    </w:p>
    <w:p w14:paraId="32F9DE60" w14:textId="77777777" w:rsidR="00636B5B" w:rsidRPr="00CE7936" w:rsidRDefault="00636B5B" w:rsidP="00CE7936">
      <w:pPr>
        <w:widowControl w:val="0"/>
        <w:autoSpaceDE w:val="0"/>
        <w:autoSpaceDN w:val="0"/>
        <w:adjustRightInd w:val="0"/>
        <w:ind w:left="480" w:hanging="480"/>
        <w:rPr>
          <w:rFonts w:cs="Times New Roman"/>
          <w:noProof/>
        </w:rPr>
      </w:pPr>
      <w:r w:rsidRPr="00CE7936">
        <w:rPr>
          <w:rFonts w:cs="Times New Roman"/>
          <w:noProof/>
        </w:rPr>
        <w:t xml:space="preserve">Qi, M., Zheng, W., Zhao, X., Hohenstein, J. D., Kandel, Y., O’Conner, S., … Li, L. (2019). QQS orphan gene and its interactor NF-YC4 reduce susceptibility to pathogens and pests. </w:t>
      </w:r>
      <w:r w:rsidRPr="00CE7936">
        <w:rPr>
          <w:rFonts w:cs="Times New Roman"/>
          <w:i/>
          <w:iCs/>
          <w:noProof/>
        </w:rPr>
        <w:t>Plant Biotechnology Journal</w:t>
      </w:r>
      <w:r w:rsidRPr="00CE7936">
        <w:rPr>
          <w:rFonts w:cs="Times New Roman"/>
          <w:noProof/>
        </w:rPr>
        <w:t xml:space="preserve">, </w:t>
      </w:r>
      <w:r w:rsidRPr="00CE7936">
        <w:rPr>
          <w:rFonts w:cs="Times New Roman"/>
          <w:i/>
          <w:iCs/>
          <w:noProof/>
        </w:rPr>
        <w:t>17</w:t>
      </w:r>
      <w:r w:rsidRPr="00CE7936">
        <w:rPr>
          <w:rFonts w:cs="Times New Roman"/>
          <w:noProof/>
        </w:rPr>
        <w:t>(1), 252–263. https://doi.org/10.1111/pbi.12961</w:t>
      </w:r>
    </w:p>
    <w:p w14:paraId="36D4E543" w14:textId="77777777" w:rsidR="00636B5B" w:rsidRPr="00CE7936" w:rsidRDefault="00636B5B" w:rsidP="00CE7936">
      <w:pPr>
        <w:widowControl w:val="0"/>
        <w:autoSpaceDE w:val="0"/>
        <w:autoSpaceDN w:val="0"/>
        <w:adjustRightInd w:val="0"/>
        <w:ind w:left="480" w:hanging="480"/>
        <w:rPr>
          <w:rFonts w:cs="Times New Roman"/>
          <w:noProof/>
        </w:rPr>
      </w:pPr>
      <w:r w:rsidRPr="00CE7936">
        <w:rPr>
          <w:rFonts w:cs="Times New Roman"/>
          <w:noProof/>
        </w:rPr>
        <w:t xml:space="preserve">Quinlan, A. R., &amp; Hall, I. M. (2010). BEDTools: A flexible suite of utilities for comparing genomic features. </w:t>
      </w:r>
      <w:r w:rsidRPr="00CE7936">
        <w:rPr>
          <w:rFonts w:cs="Times New Roman"/>
          <w:i/>
          <w:iCs/>
          <w:noProof/>
        </w:rPr>
        <w:t>Bioinformatics</w:t>
      </w:r>
      <w:r w:rsidRPr="00CE7936">
        <w:rPr>
          <w:rFonts w:cs="Times New Roman"/>
          <w:noProof/>
        </w:rPr>
        <w:t xml:space="preserve">, </w:t>
      </w:r>
      <w:r w:rsidRPr="00CE7936">
        <w:rPr>
          <w:rFonts w:cs="Times New Roman"/>
          <w:i/>
          <w:iCs/>
          <w:noProof/>
        </w:rPr>
        <w:t>26</w:t>
      </w:r>
      <w:r w:rsidRPr="00CE7936">
        <w:rPr>
          <w:rFonts w:cs="Times New Roman"/>
          <w:noProof/>
        </w:rPr>
        <w:t>(6), 841–842. https://doi.org/10.1093/bioinformatics/btq033</w:t>
      </w:r>
    </w:p>
    <w:p w14:paraId="206C13C2" w14:textId="77777777" w:rsidR="00636B5B" w:rsidRPr="00CE7936" w:rsidRDefault="00636B5B" w:rsidP="00CE7936">
      <w:pPr>
        <w:widowControl w:val="0"/>
        <w:autoSpaceDE w:val="0"/>
        <w:autoSpaceDN w:val="0"/>
        <w:adjustRightInd w:val="0"/>
        <w:ind w:left="480" w:hanging="480"/>
        <w:rPr>
          <w:rFonts w:cs="Times New Roman"/>
          <w:noProof/>
        </w:rPr>
      </w:pPr>
      <w:r w:rsidRPr="00CE7936">
        <w:rPr>
          <w:rFonts w:cs="Times New Roman"/>
          <w:noProof/>
        </w:rPr>
        <w:t xml:space="preserve">Robinson, M. D., McCarthy, D. J., &amp; Smyth, G. K. (2009). edgeR: A Bioconductor package for differential expression analysis of digital gene expression data. </w:t>
      </w:r>
      <w:r w:rsidRPr="00CE7936">
        <w:rPr>
          <w:rFonts w:cs="Times New Roman"/>
          <w:i/>
          <w:iCs/>
          <w:noProof/>
        </w:rPr>
        <w:t>Bioinformatics</w:t>
      </w:r>
      <w:r w:rsidRPr="00CE7936">
        <w:rPr>
          <w:rFonts w:cs="Times New Roman"/>
          <w:noProof/>
        </w:rPr>
        <w:t xml:space="preserve">, </w:t>
      </w:r>
      <w:r w:rsidRPr="00CE7936">
        <w:rPr>
          <w:rFonts w:cs="Times New Roman"/>
          <w:i/>
          <w:iCs/>
          <w:noProof/>
        </w:rPr>
        <w:t>26</w:t>
      </w:r>
      <w:r w:rsidRPr="00CE7936">
        <w:rPr>
          <w:rFonts w:cs="Times New Roman"/>
          <w:noProof/>
        </w:rPr>
        <w:t>(1), 139–140. https://doi.org/10.1093/bioinformatics/btp616</w:t>
      </w:r>
    </w:p>
    <w:p w14:paraId="6D3EB9D6" w14:textId="77777777" w:rsidR="00636B5B" w:rsidRPr="00CE7936" w:rsidRDefault="00636B5B" w:rsidP="00CE7936">
      <w:pPr>
        <w:widowControl w:val="0"/>
        <w:autoSpaceDE w:val="0"/>
        <w:autoSpaceDN w:val="0"/>
        <w:adjustRightInd w:val="0"/>
        <w:ind w:left="480" w:hanging="480"/>
        <w:rPr>
          <w:rFonts w:cs="Times New Roman"/>
          <w:noProof/>
        </w:rPr>
      </w:pPr>
      <w:r w:rsidRPr="00CE7936">
        <w:rPr>
          <w:rFonts w:cs="Times New Roman"/>
          <w:noProof/>
        </w:rPr>
        <w:t xml:space="preserve">She, R., Chu, J. S., Uyar, B., Wang, J., Wang, K., &amp; Chen, N. (2011). genBlastG : using BLAST searches to build homologous gene models, </w:t>
      </w:r>
      <w:r w:rsidRPr="00CE7936">
        <w:rPr>
          <w:rFonts w:cs="Times New Roman"/>
          <w:i/>
          <w:iCs/>
          <w:noProof/>
        </w:rPr>
        <w:t>27</w:t>
      </w:r>
      <w:r w:rsidRPr="00CE7936">
        <w:rPr>
          <w:rFonts w:cs="Times New Roman"/>
          <w:noProof/>
        </w:rPr>
        <w:t>(15), 2141–2143. https://doi.org/10.1093/bioinformatics/btr342</w:t>
      </w:r>
    </w:p>
    <w:p w14:paraId="1A6C4812" w14:textId="77777777" w:rsidR="00636B5B" w:rsidRPr="00CE7936" w:rsidRDefault="00636B5B" w:rsidP="00CE7936">
      <w:pPr>
        <w:widowControl w:val="0"/>
        <w:autoSpaceDE w:val="0"/>
        <w:autoSpaceDN w:val="0"/>
        <w:adjustRightInd w:val="0"/>
        <w:ind w:left="480" w:hanging="480"/>
        <w:rPr>
          <w:rFonts w:cs="Times New Roman"/>
          <w:noProof/>
        </w:rPr>
      </w:pPr>
      <w:r w:rsidRPr="00CE7936">
        <w:rPr>
          <w:rFonts w:cs="Times New Roman"/>
          <w:noProof/>
        </w:rPr>
        <w:t xml:space="preserve">Stein, J. C., Yu, Y., Copetti, D., Zwickl, D. J., Zhang, L., Zhang, C., … Wing, R. A. (2018). Genomes of 13 domesticated and wild rice relatives highlight genetic conservation, turnover and innovation across the genus Oryza. </w:t>
      </w:r>
      <w:r w:rsidRPr="00CE7936">
        <w:rPr>
          <w:rFonts w:cs="Times New Roman"/>
          <w:i/>
          <w:iCs/>
          <w:noProof/>
        </w:rPr>
        <w:t>Nature Genetics</w:t>
      </w:r>
      <w:r w:rsidRPr="00CE7936">
        <w:rPr>
          <w:rFonts w:cs="Times New Roman"/>
          <w:noProof/>
        </w:rPr>
        <w:t xml:space="preserve">, </w:t>
      </w:r>
      <w:r w:rsidRPr="00CE7936">
        <w:rPr>
          <w:rFonts w:cs="Times New Roman"/>
          <w:i/>
          <w:iCs/>
          <w:noProof/>
        </w:rPr>
        <w:t>50</w:t>
      </w:r>
      <w:r w:rsidRPr="00CE7936">
        <w:rPr>
          <w:rFonts w:cs="Times New Roman"/>
          <w:noProof/>
        </w:rPr>
        <w:t>(2), 285–296. https://doi.org/10.1038/s41588-018-0040-0</w:t>
      </w:r>
    </w:p>
    <w:p w14:paraId="4715A1CC" w14:textId="77777777" w:rsidR="00636B5B" w:rsidRPr="00CE7936" w:rsidRDefault="00636B5B" w:rsidP="00CE7936">
      <w:pPr>
        <w:widowControl w:val="0"/>
        <w:autoSpaceDE w:val="0"/>
        <w:autoSpaceDN w:val="0"/>
        <w:adjustRightInd w:val="0"/>
        <w:ind w:left="480" w:hanging="480"/>
        <w:rPr>
          <w:rFonts w:cs="Times New Roman"/>
          <w:noProof/>
        </w:rPr>
      </w:pPr>
      <w:r w:rsidRPr="00CE7936">
        <w:rPr>
          <w:rFonts w:cs="Times New Roman"/>
          <w:noProof/>
        </w:rPr>
        <w:t xml:space="preserve">Tang, H., Bowers, J. E., Wang, X., Ming, R., Alam, M., &amp; Paterson, A. H. (2008). Synteny and Collinearity in Plant Genomes. </w:t>
      </w:r>
      <w:r w:rsidRPr="00CE7936">
        <w:rPr>
          <w:rFonts w:cs="Times New Roman"/>
          <w:i/>
          <w:iCs/>
          <w:noProof/>
        </w:rPr>
        <w:t>Science</w:t>
      </w:r>
      <w:r w:rsidRPr="00CE7936">
        <w:rPr>
          <w:rFonts w:cs="Times New Roman"/>
          <w:noProof/>
        </w:rPr>
        <w:t xml:space="preserve">, </w:t>
      </w:r>
      <w:r w:rsidRPr="00CE7936">
        <w:rPr>
          <w:rFonts w:cs="Times New Roman"/>
          <w:i/>
          <w:iCs/>
          <w:noProof/>
        </w:rPr>
        <w:t>320</w:t>
      </w:r>
      <w:r w:rsidRPr="00CE7936">
        <w:rPr>
          <w:rFonts w:cs="Times New Roman"/>
          <w:noProof/>
        </w:rPr>
        <w:t>(5875), 486–488. https://doi.org/10.1126/science.1153917</w:t>
      </w:r>
    </w:p>
    <w:p w14:paraId="23ECDEFC" w14:textId="77777777" w:rsidR="00636B5B" w:rsidRPr="00CE7936" w:rsidRDefault="00636B5B" w:rsidP="00CE7936">
      <w:pPr>
        <w:widowControl w:val="0"/>
        <w:autoSpaceDE w:val="0"/>
        <w:autoSpaceDN w:val="0"/>
        <w:adjustRightInd w:val="0"/>
        <w:ind w:left="480" w:hanging="480"/>
        <w:rPr>
          <w:rFonts w:cs="Times New Roman"/>
          <w:noProof/>
        </w:rPr>
      </w:pPr>
      <w:r w:rsidRPr="00CE7936">
        <w:rPr>
          <w:rFonts w:cs="Times New Roman"/>
          <w:noProof/>
        </w:rPr>
        <w:t xml:space="preserve">Tautz, D., &amp; Domazet-Lošo, T. (2011). The evolutionary origin of orphan genes. </w:t>
      </w:r>
      <w:r w:rsidRPr="00CE7936">
        <w:rPr>
          <w:rFonts w:cs="Times New Roman"/>
          <w:i/>
          <w:iCs/>
          <w:noProof/>
        </w:rPr>
        <w:t>Nature Reviews Genetics</w:t>
      </w:r>
      <w:r w:rsidRPr="00CE7936">
        <w:rPr>
          <w:rFonts w:cs="Times New Roman"/>
          <w:noProof/>
        </w:rPr>
        <w:t xml:space="preserve">, </w:t>
      </w:r>
      <w:r w:rsidRPr="00CE7936">
        <w:rPr>
          <w:rFonts w:cs="Times New Roman"/>
          <w:i/>
          <w:iCs/>
          <w:noProof/>
        </w:rPr>
        <w:t>12</w:t>
      </w:r>
      <w:r w:rsidRPr="00CE7936">
        <w:rPr>
          <w:rFonts w:cs="Times New Roman"/>
          <w:noProof/>
        </w:rPr>
        <w:t>(10), 692–702. https://doi.org/10.1038/nrg3053</w:t>
      </w:r>
    </w:p>
    <w:p w14:paraId="51333526" w14:textId="77777777" w:rsidR="00636B5B" w:rsidRPr="00CE7936" w:rsidRDefault="00636B5B" w:rsidP="00CE7936">
      <w:pPr>
        <w:widowControl w:val="0"/>
        <w:autoSpaceDE w:val="0"/>
        <w:autoSpaceDN w:val="0"/>
        <w:adjustRightInd w:val="0"/>
        <w:ind w:left="480" w:hanging="480"/>
        <w:rPr>
          <w:rFonts w:cs="Times New Roman"/>
          <w:noProof/>
        </w:rPr>
      </w:pPr>
      <w:r w:rsidRPr="00CE7936">
        <w:rPr>
          <w:rFonts w:cs="Times New Roman"/>
          <w:noProof/>
        </w:rPr>
        <w:t xml:space="preserve">Toll-Riera, M., Bosch, N., Bellora, N., Castelo, R., Armengol, L., Estivill, X., &amp; Mar Albà, M. (2009). Origin of primate orphan genes: A comparative genomics approach. </w:t>
      </w:r>
      <w:r w:rsidRPr="00CE7936">
        <w:rPr>
          <w:rFonts w:cs="Times New Roman"/>
          <w:i/>
          <w:iCs/>
          <w:noProof/>
        </w:rPr>
        <w:t>Molecular Biology and Evolution</w:t>
      </w:r>
      <w:r w:rsidRPr="00CE7936">
        <w:rPr>
          <w:rFonts w:cs="Times New Roman"/>
          <w:noProof/>
        </w:rPr>
        <w:t xml:space="preserve">, </w:t>
      </w:r>
      <w:r w:rsidRPr="00CE7936">
        <w:rPr>
          <w:rFonts w:cs="Times New Roman"/>
          <w:i/>
          <w:iCs/>
          <w:noProof/>
        </w:rPr>
        <w:t>26</w:t>
      </w:r>
      <w:r w:rsidRPr="00CE7936">
        <w:rPr>
          <w:rFonts w:cs="Times New Roman"/>
          <w:noProof/>
        </w:rPr>
        <w:t>(3), 603–612. https://doi.org/10.1093/molbev/msn281</w:t>
      </w:r>
    </w:p>
    <w:p w14:paraId="348AD736" w14:textId="77777777" w:rsidR="00636B5B" w:rsidRPr="00CE7936" w:rsidRDefault="00636B5B" w:rsidP="00CE7936">
      <w:pPr>
        <w:widowControl w:val="0"/>
        <w:autoSpaceDE w:val="0"/>
        <w:autoSpaceDN w:val="0"/>
        <w:adjustRightInd w:val="0"/>
        <w:ind w:left="480" w:hanging="480"/>
        <w:rPr>
          <w:rFonts w:cs="Times New Roman"/>
          <w:noProof/>
        </w:rPr>
      </w:pPr>
      <w:r w:rsidRPr="00CE7936">
        <w:rPr>
          <w:rFonts w:cs="Times New Roman"/>
          <w:noProof/>
        </w:rPr>
        <w:t xml:space="preserve">Tuskan, G. A., &amp; Torr, P. (2007). The Genome of Black Cottonwood ,. </w:t>
      </w:r>
      <w:r w:rsidRPr="00CE7936">
        <w:rPr>
          <w:rFonts w:cs="Times New Roman"/>
          <w:i/>
          <w:iCs/>
          <w:noProof/>
        </w:rPr>
        <w:t>Science</w:t>
      </w:r>
      <w:r w:rsidRPr="00CE7936">
        <w:rPr>
          <w:rFonts w:cs="Times New Roman"/>
          <w:noProof/>
        </w:rPr>
        <w:t xml:space="preserve">, </w:t>
      </w:r>
      <w:r w:rsidRPr="00CE7936">
        <w:rPr>
          <w:rFonts w:cs="Times New Roman"/>
          <w:i/>
          <w:iCs/>
          <w:noProof/>
        </w:rPr>
        <w:t>1596</w:t>
      </w:r>
      <w:r w:rsidRPr="00CE7936">
        <w:rPr>
          <w:rFonts w:cs="Times New Roman"/>
          <w:noProof/>
        </w:rPr>
        <w:t>(2006), 1596–1605. https://doi.org/10.1126/science.1128691</w:t>
      </w:r>
    </w:p>
    <w:p w14:paraId="4D6EF561" w14:textId="77777777" w:rsidR="00636B5B" w:rsidRPr="00CE7936" w:rsidRDefault="00636B5B" w:rsidP="00CE7936">
      <w:pPr>
        <w:widowControl w:val="0"/>
        <w:autoSpaceDE w:val="0"/>
        <w:autoSpaceDN w:val="0"/>
        <w:adjustRightInd w:val="0"/>
        <w:ind w:left="480" w:hanging="480"/>
        <w:rPr>
          <w:rFonts w:cs="Times New Roman"/>
          <w:noProof/>
        </w:rPr>
      </w:pPr>
      <w:r w:rsidRPr="00CE7936">
        <w:rPr>
          <w:rFonts w:cs="Times New Roman"/>
          <w:noProof/>
        </w:rPr>
        <w:lastRenderedPageBreak/>
        <w:t xml:space="preserve">Vakirlis, N., &amp; McLysaght, A. (2019). Computational prediction of De novo emerged protein-coding genes. In </w:t>
      </w:r>
      <w:r w:rsidRPr="00CE7936">
        <w:rPr>
          <w:rFonts w:cs="Times New Roman"/>
          <w:i/>
          <w:iCs/>
          <w:noProof/>
        </w:rPr>
        <w:t>Computational Methods in Protein Evolution</w:t>
      </w:r>
      <w:r w:rsidRPr="00CE7936">
        <w:rPr>
          <w:rFonts w:cs="Times New Roman"/>
          <w:noProof/>
        </w:rPr>
        <w:t xml:space="preserve"> (pp. 63–81). Springer.</w:t>
      </w:r>
    </w:p>
    <w:p w14:paraId="34C85E02" w14:textId="77777777" w:rsidR="00636B5B" w:rsidRPr="00CE7936" w:rsidRDefault="00636B5B" w:rsidP="00CE7936">
      <w:pPr>
        <w:widowControl w:val="0"/>
        <w:autoSpaceDE w:val="0"/>
        <w:autoSpaceDN w:val="0"/>
        <w:adjustRightInd w:val="0"/>
        <w:ind w:left="480" w:hanging="480"/>
        <w:rPr>
          <w:rFonts w:cs="Times New Roman"/>
          <w:noProof/>
        </w:rPr>
      </w:pPr>
      <w:r w:rsidRPr="00CE7936">
        <w:rPr>
          <w:rFonts w:cs="Times New Roman"/>
          <w:noProof/>
        </w:rPr>
        <w:t xml:space="preserve">Wang, Y., Tang, H., Debarry, J. D., Tan, X., Li, J., Wang, X., … Paterson, A. H. (2012). MCScanX: A toolkit for detection and evolutionary analysis of gene synteny and collinearity. </w:t>
      </w:r>
      <w:r w:rsidRPr="00CE7936">
        <w:rPr>
          <w:rFonts w:cs="Times New Roman"/>
          <w:i/>
          <w:iCs/>
          <w:noProof/>
        </w:rPr>
        <w:t>Nucleic Acids Research</w:t>
      </w:r>
      <w:r w:rsidRPr="00CE7936">
        <w:rPr>
          <w:rFonts w:cs="Times New Roman"/>
          <w:noProof/>
        </w:rPr>
        <w:t xml:space="preserve">, </w:t>
      </w:r>
      <w:r w:rsidRPr="00CE7936">
        <w:rPr>
          <w:rFonts w:cs="Times New Roman"/>
          <w:i/>
          <w:iCs/>
          <w:noProof/>
        </w:rPr>
        <w:t>40</w:t>
      </w:r>
      <w:r w:rsidRPr="00CE7936">
        <w:rPr>
          <w:rFonts w:cs="Times New Roman"/>
          <w:noProof/>
        </w:rPr>
        <w:t>(7). https://doi.org/10.1093/nar/gkr1293</w:t>
      </w:r>
    </w:p>
    <w:p w14:paraId="05CB4F6B" w14:textId="77777777" w:rsidR="00636B5B" w:rsidRPr="00CE7936" w:rsidRDefault="00636B5B" w:rsidP="00CE7936">
      <w:pPr>
        <w:widowControl w:val="0"/>
        <w:autoSpaceDE w:val="0"/>
        <w:autoSpaceDN w:val="0"/>
        <w:adjustRightInd w:val="0"/>
        <w:ind w:left="480" w:hanging="480"/>
        <w:rPr>
          <w:rFonts w:cs="Times New Roman"/>
          <w:noProof/>
        </w:rPr>
      </w:pPr>
      <w:r w:rsidRPr="00CE7936">
        <w:rPr>
          <w:rFonts w:cs="Times New Roman"/>
          <w:noProof/>
        </w:rPr>
        <w:t xml:space="preserve">Werner, M. S., Sieriebriennikov, B., Prabh, N., Loschko, T., Lanz, C., &amp; Sommer, R. J. (2018). Young genes have distinct gene structure, epigenetic profiles, and transcriptional regulation. </w:t>
      </w:r>
      <w:r w:rsidRPr="00CE7936">
        <w:rPr>
          <w:rFonts w:cs="Times New Roman"/>
          <w:i/>
          <w:iCs/>
          <w:noProof/>
        </w:rPr>
        <w:t>Genome Research</w:t>
      </w:r>
      <w:r w:rsidRPr="00CE7936">
        <w:rPr>
          <w:rFonts w:cs="Times New Roman"/>
          <w:noProof/>
        </w:rPr>
        <w:t xml:space="preserve">, </w:t>
      </w:r>
      <w:r w:rsidRPr="00CE7936">
        <w:rPr>
          <w:rFonts w:cs="Times New Roman"/>
          <w:i/>
          <w:iCs/>
          <w:noProof/>
        </w:rPr>
        <w:t>28</w:t>
      </w:r>
      <w:r w:rsidRPr="00CE7936">
        <w:rPr>
          <w:rFonts w:cs="Times New Roman"/>
          <w:noProof/>
        </w:rPr>
        <w:t>(11), 1675–1687. https://doi.org/10.1101/gr.234872.118</w:t>
      </w:r>
    </w:p>
    <w:p w14:paraId="63B2636E" w14:textId="77777777" w:rsidR="00636B5B" w:rsidRPr="00CE7936" w:rsidRDefault="00636B5B" w:rsidP="00CE7936">
      <w:pPr>
        <w:widowControl w:val="0"/>
        <w:autoSpaceDE w:val="0"/>
        <w:autoSpaceDN w:val="0"/>
        <w:adjustRightInd w:val="0"/>
        <w:ind w:left="480" w:hanging="480"/>
        <w:rPr>
          <w:rFonts w:cs="Times New Roman"/>
          <w:noProof/>
        </w:rPr>
      </w:pPr>
      <w:r w:rsidRPr="00CE7936">
        <w:rPr>
          <w:rFonts w:cs="Times New Roman"/>
          <w:noProof/>
        </w:rPr>
        <w:t xml:space="preserve">Wu, J. X., Li, J., Liu, Z., Yin, J., Chang, Z. Y., Rong, C., … Yao, N. (2015). The Arabidopsis ceramidase AtACER functions in disease resistance and salt tolerance. </w:t>
      </w:r>
      <w:r w:rsidRPr="00CE7936">
        <w:rPr>
          <w:rFonts w:cs="Times New Roman"/>
          <w:i/>
          <w:iCs/>
          <w:noProof/>
        </w:rPr>
        <w:t>Plant Journal</w:t>
      </w:r>
      <w:r w:rsidRPr="00CE7936">
        <w:rPr>
          <w:rFonts w:cs="Times New Roman"/>
          <w:noProof/>
        </w:rPr>
        <w:t xml:space="preserve">, </w:t>
      </w:r>
      <w:r w:rsidRPr="00CE7936">
        <w:rPr>
          <w:rFonts w:cs="Times New Roman"/>
          <w:i/>
          <w:iCs/>
          <w:noProof/>
        </w:rPr>
        <w:t>81</w:t>
      </w:r>
      <w:r w:rsidRPr="00CE7936">
        <w:rPr>
          <w:rFonts w:cs="Times New Roman"/>
          <w:noProof/>
        </w:rPr>
        <w:t>(5), 767–780. https://doi.org/10.1111/tpj.12769</w:t>
      </w:r>
    </w:p>
    <w:p w14:paraId="4D9D6F91" w14:textId="77777777" w:rsidR="00636B5B" w:rsidRPr="00CE7936" w:rsidRDefault="00636B5B" w:rsidP="00CE7936">
      <w:pPr>
        <w:widowControl w:val="0"/>
        <w:autoSpaceDE w:val="0"/>
        <w:autoSpaceDN w:val="0"/>
        <w:adjustRightInd w:val="0"/>
        <w:ind w:left="480" w:hanging="480"/>
        <w:rPr>
          <w:rFonts w:cs="Times New Roman"/>
          <w:noProof/>
        </w:rPr>
      </w:pPr>
      <w:r w:rsidRPr="00CE7936">
        <w:rPr>
          <w:rFonts w:cs="Times New Roman"/>
          <w:noProof/>
        </w:rPr>
        <w:t xml:space="preserve">Xiao, W., Liu, H., Li, Y., Li, X., Xu, C., Long, M., &amp; Wang, S. (2009). A rice gene of de novo origin negatively regulates pathogen-induced defense response. </w:t>
      </w:r>
      <w:r w:rsidRPr="00CE7936">
        <w:rPr>
          <w:rFonts w:cs="Times New Roman"/>
          <w:i/>
          <w:iCs/>
          <w:noProof/>
        </w:rPr>
        <w:t>PLoS ONE</w:t>
      </w:r>
      <w:r w:rsidRPr="00CE7936">
        <w:rPr>
          <w:rFonts w:cs="Times New Roman"/>
          <w:noProof/>
        </w:rPr>
        <w:t xml:space="preserve">, </w:t>
      </w:r>
      <w:r w:rsidRPr="00CE7936">
        <w:rPr>
          <w:rFonts w:cs="Times New Roman"/>
          <w:i/>
          <w:iCs/>
          <w:noProof/>
        </w:rPr>
        <w:t>4</w:t>
      </w:r>
      <w:r w:rsidRPr="00CE7936">
        <w:rPr>
          <w:rFonts w:cs="Times New Roman"/>
          <w:noProof/>
        </w:rPr>
        <w:t>(2), 1–12. https://doi.org/10.1371/journal.pone.0004603</w:t>
      </w:r>
    </w:p>
    <w:p w14:paraId="2BCDEA24" w14:textId="77777777" w:rsidR="00636B5B" w:rsidRPr="00CE7936" w:rsidRDefault="00636B5B" w:rsidP="00CE7936">
      <w:pPr>
        <w:widowControl w:val="0"/>
        <w:autoSpaceDE w:val="0"/>
        <w:autoSpaceDN w:val="0"/>
        <w:adjustRightInd w:val="0"/>
        <w:ind w:left="480" w:hanging="480"/>
        <w:rPr>
          <w:rFonts w:cs="Times New Roman"/>
          <w:noProof/>
        </w:rPr>
      </w:pPr>
      <w:r w:rsidRPr="00CE7936">
        <w:rPr>
          <w:rFonts w:cs="Times New Roman"/>
          <w:noProof/>
        </w:rPr>
        <w:t xml:space="preserve">Yu, G., Wang, L. G., Han, Y., &amp; He, Q. Y. (2012). ClusterProfiler: An R package for comparing biological themes among gene clusters. </w:t>
      </w:r>
      <w:r w:rsidRPr="00CE7936">
        <w:rPr>
          <w:rFonts w:cs="Times New Roman"/>
          <w:i/>
          <w:iCs/>
          <w:noProof/>
        </w:rPr>
        <w:t>OMICS A Journal of Integrative Biology</w:t>
      </w:r>
      <w:r w:rsidRPr="00CE7936">
        <w:rPr>
          <w:rFonts w:cs="Times New Roman"/>
          <w:noProof/>
        </w:rPr>
        <w:t xml:space="preserve">, </w:t>
      </w:r>
      <w:r w:rsidRPr="00CE7936">
        <w:rPr>
          <w:rFonts w:cs="Times New Roman"/>
          <w:i/>
          <w:iCs/>
          <w:noProof/>
        </w:rPr>
        <w:t>16</w:t>
      </w:r>
      <w:r w:rsidRPr="00CE7936">
        <w:rPr>
          <w:rFonts w:cs="Times New Roman"/>
          <w:noProof/>
        </w:rPr>
        <w:t>(5), 284–287. https://doi.org/10.1089/omi.2011.0118</w:t>
      </w:r>
    </w:p>
    <w:p w14:paraId="159C201A" w14:textId="77777777" w:rsidR="00636B5B" w:rsidRPr="00CE7936" w:rsidRDefault="00636B5B" w:rsidP="00CE7936">
      <w:pPr>
        <w:widowControl w:val="0"/>
        <w:autoSpaceDE w:val="0"/>
        <w:autoSpaceDN w:val="0"/>
        <w:adjustRightInd w:val="0"/>
        <w:ind w:left="480" w:hanging="480"/>
        <w:rPr>
          <w:rFonts w:cs="Times New Roman"/>
          <w:noProof/>
        </w:rPr>
      </w:pPr>
      <w:r w:rsidRPr="00CE7936">
        <w:rPr>
          <w:rFonts w:cs="Times New Roman"/>
          <w:noProof/>
        </w:rPr>
        <w:t xml:space="preserve">Zhang, J., Yang, Y., Zheng, K., Xie, M., Feng, K., Jawdy, S. S., … Muchero, W. (2018). Genome-wide association studies and expression-based quantitative trait loci analyses reveal roles of HCT2 in caffeoylquinic acid biosynthesis and its regulation by defense-responsive transcription factors in Populus. </w:t>
      </w:r>
      <w:r w:rsidRPr="00CE7936">
        <w:rPr>
          <w:rFonts w:cs="Times New Roman"/>
          <w:i/>
          <w:iCs/>
          <w:noProof/>
        </w:rPr>
        <w:t>New Phytologist</w:t>
      </w:r>
      <w:r w:rsidRPr="00CE7936">
        <w:rPr>
          <w:rFonts w:cs="Times New Roman"/>
          <w:noProof/>
        </w:rPr>
        <w:t xml:space="preserve">, </w:t>
      </w:r>
      <w:r w:rsidRPr="00CE7936">
        <w:rPr>
          <w:rFonts w:cs="Times New Roman"/>
          <w:i/>
          <w:iCs/>
          <w:noProof/>
        </w:rPr>
        <w:t>220</w:t>
      </w:r>
      <w:r w:rsidRPr="00CE7936">
        <w:rPr>
          <w:rFonts w:cs="Times New Roman"/>
          <w:noProof/>
        </w:rPr>
        <w:t>(2), 502–516. https://doi.org/10.1111/nph.15297</w:t>
      </w:r>
    </w:p>
    <w:p w14:paraId="218841B1" w14:textId="77777777" w:rsidR="00636B5B" w:rsidRPr="00CE7936" w:rsidRDefault="00636B5B" w:rsidP="00CE7936">
      <w:pPr>
        <w:widowControl w:val="0"/>
        <w:autoSpaceDE w:val="0"/>
        <w:autoSpaceDN w:val="0"/>
        <w:adjustRightInd w:val="0"/>
        <w:ind w:left="480" w:hanging="480"/>
        <w:rPr>
          <w:rFonts w:cs="Times New Roman"/>
          <w:noProof/>
        </w:rPr>
      </w:pPr>
      <w:r w:rsidRPr="00CE7936">
        <w:rPr>
          <w:rFonts w:cs="Times New Roman"/>
          <w:noProof/>
        </w:rPr>
        <w:t xml:space="preserve">Zhang, L., Ren, Y., Yang, T., Li, G., Chen, J., Gschwend, A. R., … Long, M. (2019). Rapid evolution of protein diversity by de novo origination in Oryza. </w:t>
      </w:r>
      <w:r w:rsidRPr="00CE7936">
        <w:rPr>
          <w:rFonts w:cs="Times New Roman"/>
          <w:i/>
          <w:iCs/>
          <w:noProof/>
        </w:rPr>
        <w:t>Nature Ecology and Evolution</w:t>
      </w:r>
      <w:r w:rsidRPr="00CE7936">
        <w:rPr>
          <w:rFonts w:cs="Times New Roman"/>
          <w:noProof/>
        </w:rPr>
        <w:t xml:space="preserve">, </w:t>
      </w:r>
      <w:r w:rsidRPr="00CE7936">
        <w:rPr>
          <w:rFonts w:cs="Times New Roman"/>
          <w:i/>
          <w:iCs/>
          <w:noProof/>
        </w:rPr>
        <w:t>3</w:t>
      </w:r>
      <w:r w:rsidRPr="00CE7936">
        <w:rPr>
          <w:rFonts w:cs="Times New Roman"/>
          <w:noProof/>
        </w:rPr>
        <w:t>(4), 679–690. https://doi.org/10.1038/s41559-019-0822-5</w:t>
      </w:r>
    </w:p>
    <w:p w14:paraId="034CD847" w14:textId="77777777" w:rsidR="00636B5B" w:rsidRPr="00CE7936" w:rsidRDefault="00636B5B" w:rsidP="00CE7936">
      <w:pPr>
        <w:widowControl w:val="0"/>
        <w:autoSpaceDE w:val="0"/>
        <w:autoSpaceDN w:val="0"/>
        <w:adjustRightInd w:val="0"/>
        <w:ind w:left="480" w:hanging="480"/>
        <w:rPr>
          <w:rFonts w:cs="Times New Roman"/>
          <w:noProof/>
        </w:rPr>
      </w:pPr>
      <w:r w:rsidRPr="00CE7936">
        <w:rPr>
          <w:rFonts w:cs="Times New Roman"/>
          <w:noProof/>
        </w:rPr>
        <w:t xml:space="preserve">Zhao, L., Saelao, P., Jones, C. D., &amp; Begun, D. J. (2014). Origin and Spread of de Novo Genes in Drosophila melanogaster Populations. </w:t>
      </w:r>
      <w:r w:rsidRPr="00CE7936">
        <w:rPr>
          <w:rFonts w:cs="Times New Roman"/>
          <w:i/>
          <w:iCs/>
          <w:noProof/>
        </w:rPr>
        <w:t>Science</w:t>
      </w:r>
      <w:r w:rsidRPr="00CE7936">
        <w:rPr>
          <w:rFonts w:cs="Times New Roman"/>
          <w:noProof/>
        </w:rPr>
        <w:t xml:space="preserve">, </w:t>
      </w:r>
      <w:r w:rsidRPr="00CE7936">
        <w:rPr>
          <w:rFonts w:cs="Times New Roman"/>
          <w:i/>
          <w:iCs/>
          <w:noProof/>
        </w:rPr>
        <w:t>343</w:t>
      </w:r>
      <w:r w:rsidRPr="00CE7936">
        <w:rPr>
          <w:rFonts w:cs="Times New Roman"/>
          <w:noProof/>
        </w:rPr>
        <w:t>(6172), 769–772. https://doi.org/10.1126/science.1248286</w:t>
      </w:r>
    </w:p>
    <w:p w14:paraId="3611DF61" w14:textId="77777777" w:rsidR="00636B5B" w:rsidRDefault="00636B5B" w:rsidP="00CE7936">
      <w:r>
        <w:fldChar w:fldCharType="end"/>
      </w:r>
    </w:p>
    <w:p w14:paraId="66B35FEF" w14:textId="77777777" w:rsidR="00636B5B" w:rsidRDefault="00636B5B" w:rsidP="00CE7936"/>
    <w:p w14:paraId="0A74408C" w14:textId="77777777" w:rsidR="00636B5B" w:rsidRDefault="00636B5B" w:rsidP="00CE7936"/>
    <w:p w14:paraId="28DD03D7" w14:textId="77777777" w:rsidR="00636B5B" w:rsidRDefault="00636B5B" w:rsidP="00CE7936"/>
    <w:p w14:paraId="41E925CC" w14:textId="77777777" w:rsidR="00636B5B" w:rsidRDefault="00636B5B" w:rsidP="00CE7936"/>
    <w:p w14:paraId="285BE305" w14:textId="77777777" w:rsidR="00636B5B" w:rsidRDefault="00636B5B" w:rsidP="00CE7936"/>
    <w:p w14:paraId="6820FD79" w14:textId="77777777" w:rsidR="00636B5B" w:rsidRDefault="00636B5B" w:rsidP="00CE7936"/>
    <w:p w14:paraId="54A8EFCF" w14:textId="77777777" w:rsidR="00636B5B" w:rsidRDefault="00636B5B" w:rsidP="00CE7936"/>
    <w:p w14:paraId="7004C4C5" w14:textId="77777777" w:rsidR="00636B5B" w:rsidRDefault="00636B5B" w:rsidP="00CE7936"/>
    <w:p w14:paraId="01FD9AFA" w14:textId="77777777" w:rsidR="00636B5B" w:rsidRDefault="00636B5B" w:rsidP="00CE7936"/>
    <w:p w14:paraId="792F2163" w14:textId="77777777" w:rsidR="00636B5B" w:rsidRDefault="00636B5B" w:rsidP="00CE7936"/>
    <w:p w14:paraId="2020D87E" w14:textId="77777777" w:rsidR="00636B5B" w:rsidRDefault="00636B5B" w:rsidP="00CE7936"/>
    <w:p w14:paraId="271E1831" w14:textId="77777777" w:rsidR="00636B5B" w:rsidRDefault="00636B5B" w:rsidP="00CE7936"/>
    <w:p w14:paraId="4892CF0A" w14:textId="77777777" w:rsidR="00636B5B" w:rsidRDefault="00636B5B" w:rsidP="00CE7936"/>
    <w:p w14:paraId="431D9829" w14:textId="77777777" w:rsidR="00636B5B" w:rsidRDefault="00636B5B" w:rsidP="00CE7936"/>
    <w:p w14:paraId="61633B74" w14:textId="77777777" w:rsidR="00636B5B" w:rsidRDefault="00636B5B" w:rsidP="00CE7936"/>
    <w:p w14:paraId="36ECB3D2" w14:textId="77777777" w:rsidR="00636B5B" w:rsidRDefault="00636B5B" w:rsidP="00CE7936"/>
    <w:p w14:paraId="31BB6199" w14:textId="77777777" w:rsidR="00636B5B" w:rsidRDefault="00636B5B" w:rsidP="00CE7936"/>
    <w:p w14:paraId="7C9BEA0B" w14:textId="77777777" w:rsidR="00636B5B" w:rsidRDefault="00636B5B" w:rsidP="00CE7936">
      <w:pPr>
        <w:widowControl w:val="0"/>
        <w:autoSpaceDE w:val="0"/>
        <w:autoSpaceDN w:val="0"/>
        <w:adjustRightInd w:val="0"/>
        <w:jc w:val="center"/>
        <w:rPr>
          <w:b/>
          <w:bCs/>
          <w:sz w:val="28"/>
          <w:szCs w:val="26"/>
        </w:rPr>
      </w:pPr>
      <w:r w:rsidRPr="00CC66E8">
        <w:rPr>
          <w:b/>
          <w:bCs/>
          <w:sz w:val="28"/>
          <w:szCs w:val="26"/>
        </w:rPr>
        <w:lastRenderedPageBreak/>
        <w:t>Appendix</w:t>
      </w:r>
    </w:p>
    <w:p w14:paraId="046EA26F" w14:textId="77777777" w:rsidR="00636B5B" w:rsidRDefault="00636B5B" w:rsidP="00CE7936">
      <w:pPr>
        <w:widowControl w:val="0"/>
        <w:autoSpaceDE w:val="0"/>
        <w:autoSpaceDN w:val="0"/>
        <w:adjustRightInd w:val="0"/>
        <w:rPr>
          <w:b/>
          <w:bCs/>
          <w:sz w:val="28"/>
          <w:szCs w:val="26"/>
        </w:rPr>
      </w:pPr>
      <w:r>
        <w:rPr>
          <w:noProof/>
        </w:rPr>
        <w:drawing>
          <wp:anchor distT="0" distB="0" distL="114300" distR="114300" simplePos="0" relativeHeight="251701248" behindDoc="1" locked="0" layoutInCell="1" allowOverlap="1" wp14:anchorId="6F1471EF" wp14:editId="7E63C97E">
            <wp:simplePos x="0" y="0"/>
            <wp:positionH relativeFrom="column">
              <wp:posOffset>45720</wp:posOffset>
            </wp:positionH>
            <wp:positionV relativeFrom="paragraph">
              <wp:posOffset>35560</wp:posOffset>
            </wp:positionV>
            <wp:extent cx="4136098" cy="5387975"/>
            <wp:effectExtent l="0" t="0" r="4445" b="0"/>
            <wp:wrapTight wrapText="bothSides">
              <wp:wrapPolygon edited="0">
                <wp:start x="0" y="0"/>
                <wp:lineTo x="0" y="21536"/>
                <wp:lineTo x="21557" y="21536"/>
                <wp:lineTo x="21557" y="0"/>
                <wp:lineTo x="0" y="0"/>
              </wp:wrapPolygon>
            </wp:wrapTight>
            <wp:docPr id="3" name="Picture 3"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diagram&#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136098" cy="5387975"/>
                    </a:xfrm>
                    <a:prstGeom prst="rect">
                      <a:avLst/>
                    </a:prstGeom>
                  </pic:spPr>
                </pic:pic>
              </a:graphicData>
            </a:graphic>
            <wp14:sizeRelH relativeFrom="page">
              <wp14:pctWidth>0</wp14:pctWidth>
            </wp14:sizeRelH>
            <wp14:sizeRelV relativeFrom="page">
              <wp14:pctHeight>0</wp14:pctHeight>
            </wp14:sizeRelV>
          </wp:anchor>
        </w:drawing>
      </w:r>
    </w:p>
    <w:p w14:paraId="235A284F" w14:textId="77777777" w:rsidR="00636B5B" w:rsidRDefault="00636B5B" w:rsidP="00CE7936">
      <w:pPr>
        <w:widowControl w:val="0"/>
        <w:autoSpaceDE w:val="0"/>
        <w:autoSpaceDN w:val="0"/>
        <w:adjustRightInd w:val="0"/>
        <w:rPr>
          <w:b/>
          <w:bCs/>
          <w:sz w:val="28"/>
          <w:szCs w:val="26"/>
        </w:rPr>
      </w:pPr>
    </w:p>
    <w:p w14:paraId="54C92A13" w14:textId="77777777" w:rsidR="00636B5B" w:rsidRDefault="00636B5B" w:rsidP="00CE7936">
      <w:pPr>
        <w:widowControl w:val="0"/>
        <w:autoSpaceDE w:val="0"/>
        <w:autoSpaceDN w:val="0"/>
        <w:adjustRightInd w:val="0"/>
        <w:rPr>
          <w:b/>
          <w:bCs/>
          <w:sz w:val="28"/>
          <w:szCs w:val="26"/>
        </w:rPr>
      </w:pPr>
    </w:p>
    <w:p w14:paraId="446010C4" w14:textId="77777777" w:rsidR="00636B5B" w:rsidRDefault="00636B5B" w:rsidP="00CE7936">
      <w:pPr>
        <w:widowControl w:val="0"/>
        <w:autoSpaceDE w:val="0"/>
        <w:autoSpaceDN w:val="0"/>
        <w:adjustRightInd w:val="0"/>
        <w:rPr>
          <w:b/>
          <w:bCs/>
          <w:sz w:val="28"/>
          <w:szCs w:val="26"/>
        </w:rPr>
      </w:pPr>
    </w:p>
    <w:p w14:paraId="346FFE54" w14:textId="77777777" w:rsidR="00636B5B" w:rsidRDefault="00636B5B" w:rsidP="00CE7936">
      <w:pPr>
        <w:widowControl w:val="0"/>
        <w:autoSpaceDE w:val="0"/>
        <w:autoSpaceDN w:val="0"/>
        <w:adjustRightInd w:val="0"/>
        <w:rPr>
          <w:b/>
          <w:bCs/>
          <w:sz w:val="28"/>
          <w:szCs w:val="26"/>
        </w:rPr>
      </w:pPr>
    </w:p>
    <w:p w14:paraId="477CAF29" w14:textId="77777777" w:rsidR="00636B5B" w:rsidRDefault="00636B5B" w:rsidP="00CE7936">
      <w:pPr>
        <w:widowControl w:val="0"/>
        <w:autoSpaceDE w:val="0"/>
        <w:autoSpaceDN w:val="0"/>
        <w:adjustRightInd w:val="0"/>
        <w:rPr>
          <w:b/>
          <w:bCs/>
          <w:sz w:val="28"/>
          <w:szCs w:val="26"/>
        </w:rPr>
      </w:pPr>
    </w:p>
    <w:p w14:paraId="15589F26" w14:textId="77777777" w:rsidR="00636B5B" w:rsidRDefault="00636B5B" w:rsidP="00CE7936">
      <w:pPr>
        <w:widowControl w:val="0"/>
        <w:autoSpaceDE w:val="0"/>
        <w:autoSpaceDN w:val="0"/>
        <w:adjustRightInd w:val="0"/>
        <w:rPr>
          <w:b/>
          <w:bCs/>
          <w:sz w:val="28"/>
          <w:szCs w:val="26"/>
        </w:rPr>
      </w:pPr>
    </w:p>
    <w:p w14:paraId="03DE33D3" w14:textId="77777777" w:rsidR="00636B5B" w:rsidRDefault="00636B5B" w:rsidP="00CE7936">
      <w:pPr>
        <w:widowControl w:val="0"/>
        <w:autoSpaceDE w:val="0"/>
        <w:autoSpaceDN w:val="0"/>
        <w:adjustRightInd w:val="0"/>
        <w:rPr>
          <w:b/>
          <w:bCs/>
          <w:sz w:val="28"/>
          <w:szCs w:val="26"/>
        </w:rPr>
      </w:pPr>
    </w:p>
    <w:p w14:paraId="7E76CFE9" w14:textId="77777777" w:rsidR="00636B5B" w:rsidRDefault="00636B5B" w:rsidP="00CE7936">
      <w:pPr>
        <w:widowControl w:val="0"/>
        <w:autoSpaceDE w:val="0"/>
        <w:autoSpaceDN w:val="0"/>
        <w:adjustRightInd w:val="0"/>
        <w:rPr>
          <w:b/>
          <w:bCs/>
          <w:sz w:val="28"/>
          <w:szCs w:val="26"/>
        </w:rPr>
      </w:pPr>
    </w:p>
    <w:p w14:paraId="2F130892" w14:textId="77777777" w:rsidR="00636B5B" w:rsidRDefault="00636B5B" w:rsidP="00CE7936">
      <w:pPr>
        <w:widowControl w:val="0"/>
        <w:autoSpaceDE w:val="0"/>
        <w:autoSpaceDN w:val="0"/>
        <w:adjustRightInd w:val="0"/>
        <w:rPr>
          <w:b/>
          <w:bCs/>
          <w:sz w:val="28"/>
          <w:szCs w:val="26"/>
        </w:rPr>
      </w:pPr>
    </w:p>
    <w:p w14:paraId="083C8450" w14:textId="77777777" w:rsidR="00636B5B" w:rsidRDefault="00636B5B" w:rsidP="00CE7936">
      <w:pPr>
        <w:widowControl w:val="0"/>
        <w:autoSpaceDE w:val="0"/>
        <w:autoSpaceDN w:val="0"/>
        <w:adjustRightInd w:val="0"/>
        <w:rPr>
          <w:b/>
          <w:bCs/>
          <w:sz w:val="28"/>
          <w:szCs w:val="26"/>
        </w:rPr>
      </w:pPr>
    </w:p>
    <w:p w14:paraId="14AC982E" w14:textId="77777777" w:rsidR="00636B5B" w:rsidRDefault="00636B5B" w:rsidP="00CE7936">
      <w:pPr>
        <w:widowControl w:val="0"/>
        <w:autoSpaceDE w:val="0"/>
        <w:autoSpaceDN w:val="0"/>
        <w:adjustRightInd w:val="0"/>
        <w:rPr>
          <w:b/>
          <w:bCs/>
          <w:sz w:val="28"/>
          <w:szCs w:val="26"/>
        </w:rPr>
      </w:pPr>
    </w:p>
    <w:p w14:paraId="3C56C925" w14:textId="77777777" w:rsidR="00636B5B" w:rsidRDefault="00636B5B" w:rsidP="00CE7936">
      <w:pPr>
        <w:widowControl w:val="0"/>
        <w:autoSpaceDE w:val="0"/>
        <w:autoSpaceDN w:val="0"/>
        <w:adjustRightInd w:val="0"/>
        <w:rPr>
          <w:b/>
          <w:bCs/>
          <w:sz w:val="28"/>
          <w:szCs w:val="26"/>
        </w:rPr>
      </w:pPr>
    </w:p>
    <w:p w14:paraId="686F5F44" w14:textId="77777777" w:rsidR="00636B5B" w:rsidRDefault="00636B5B" w:rsidP="00CE7936">
      <w:pPr>
        <w:widowControl w:val="0"/>
        <w:autoSpaceDE w:val="0"/>
        <w:autoSpaceDN w:val="0"/>
        <w:adjustRightInd w:val="0"/>
        <w:rPr>
          <w:b/>
          <w:bCs/>
          <w:sz w:val="28"/>
          <w:szCs w:val="26"/>
        </w:rPr>
      </w:pPr>
    </w:p>
    <w:p w14:paraId="13A690D8" w14:textId="77777777" w:rsidR="00636B5B" w:rsidRDefault="00636B5B" w:rsidP="00CE7936">
      <w:pPr>
        <w:widowControl w:val="0"/>
        <w:autoSpaceDE w:val="0"/>
        <w:autoSpaceDN w:val="0"/>
        <w:adjustRightInd w:val="0"/>
        <w:rPr>
          <w:b/>
          <w:bCs/>
          <w:sz w:val="28"/>
          <w:szCs w:val="26"/>
        </w:rPr>
      </w:pPr>
    </w:p>
    <w:p w14:paraId="780F5979" w14:textId="77777777" w:rsidR="00636B5B" w:rsidRDefault="00636B5B" w:rsidP="00CE7936">
      <w:pPr>
        <w:widowControl w:val="0"/>
        <w:autoSpaceDE w:val="0"/>
        <w:autoSpaceDN w:val="0"/>
        <w:adjustRightInd w:val="0"/>
        <w:rPr>
          <w:b/>
          <w:bCs/>
          <w:sz w:val="28"/>
          <w:szCs w:val="26"/>
        </w:rPr>
      </w:pPr>
    </w:p>
    <w:p w14:paraId="7FE88132" w14:textId="77777777" w:rsidR="00636B5B" w:rsidRDefault="00636B5B" w:rsidP="00CE7936">
      <w:pPr>
        <w:widowControl w:val="0"/>
        <w:autoSpaceDE w:val="0"/>
        <w:autoSpaceDN w:val="0"/>
        <w:adjustRightInd w:val="0"/>
        <w:rPr>
          <w:b/>
          <w:bCs/>
          <w:sz w:val="28"/>
          <w:szCs w:val="26"/>
        </w:rPr>
      </w:pPr>
    </w:p>
    <w:p w14:paraId="15B16051" w14:textId="77777777" w:rsidR="00636B5B" w:rsidRDefault="00636B5B" w:rsidP="00CE7936">
      <w:pPr>
        <w:widowControl w:val="0"/>
        <w:autoSpaceDE w:val="0"/>
        <w:autoSpaceDN w:val="0"/>
        <w:adjustRightInd w:val="0"/>
        <w:rPr>
          <w:b/>
          <w:bCs/>
          <w:sz w:val="28"/>
          <w:szCs w:val="26"/>
        </w:rPr>
      </w:pPr>
    </w:p>
    <w:p w14:paraId="50C8AE5C" w14:textId="77777777" w:rsidR="00636B5B" w:rsidRDefault="00636B5B" w:rsidP="00CE7936">
      <w:pPr>
        <w:widowControl w:val="0"/>
        <w:autoSpaceDE w:val="0"/>
        <w:autoSpaceDN w:val="0"/>
        <w:adjustRightInd w:val="0"/>
        <w:rPr>
          <w:b/>
          <w:bCs/>
          <w:sz w:val="28"/>
          <w:szCs w:val="26"/>
        </w:rPr>
      </w:pPr>
    </w:p>
    <w:p w14:paraId="3DD5DC55" w14:textId="77777777" w:rsidR="00636B5B" w:rsidRDefault="00636B5B" w:rsidP="00CE7936">
      <w:pPr>
        <w:widowControl w:val="0"/>
        <w:autoSpaceDE w:val="0"/>
        <w:autoSpaceDN w:val="0"/>
        <w:adjustRightInd w:val="0"/>
        <w:rPr>
          <w:b/>
          <w:bCs/>
          <w:sz w:val="28"/>
          <w:szCs w:val="26"/>
        </w:rPr>
      </w:pPr>
    </w:p>
    <w:p w14:paraId="50728BB5" w14:textId="77777777" w:rsidR="00636B5B" w:rsidRDefault="00636B5B" w:rsidP="00CE7936">
      <w:pPr>
        <w:widowControl w:val="0"/>
        <w:autoSpaceDE w:val="0"/>
        <w:autoSpaceDN w:val="0"/>
        <w:adjustRightInd w:val="0"/>
        <w:rPr>
          <w:b/>
          <w:bCs/>
        </w:rPr>
      </w:pPr>
    </w:p>
    <w:p w14:paraId="55668EFF" w14:textId="77777777" w:rsidR="00636B5B" w:rsidRDefault="00636B5B" w:rsidP="00CE7936">
      <w:pPr>
        <w:widowControl w:val="0"/>
        <w:autoSpaceDE w:val="0"/>
        <w:autoSpaceDN w:val="0"/>
        <w:adjustRightInd w:val="0"/>
        <w:rPr>
          <w:b/>
          <w:bCs/>
        </w:rPr>
      </w:pPr>
    </w:p>
    <w:p w14:paraId="5A88AA39" w14:textId="77777777" w:rsidR="00636B5B" w:rsidRDefault="00636B5B" w:rsidP="00CE7936">
      <w:pPr>
        <w:widowControl w:val="0"/>
        <w:autoSpaceDE w:val="0"/>
        <w:autoSpaceDN w:val="0"/>
        <w:adjustRightInd w:val="0"/>
        <w:rPr>
          <w:b/>
          <w:bCs/>
        </w:rPr>
      </w:pPr>
    </w:p>
    <w:p w14:paraId="47F72187" w14:textId="77777777" w:rsidR="00636B5B" w:rsidRDefault="00636B5B" w:rsidP="00CE7936">
      <w:pPr>
        <w:widowControl w:val="0"/>
        <w:autoSpaceDE w:val="0"/>
        <w:autoSpaceDN w:val="0"/>
        <w:adjustRightInd w:val="0"/>
        <w:rPr>
          <w:b/>
          <w:bCs/>
        </w:rPr>
      </w:pPr>
    </w:p>
    <w:p w14:paraId="6ECE0332" w14:textId="77777777" w:rsidR="00636B5B" w:rsidRDefault="00636B5B" w:rsidP="00CE7936">
      <w:pPr>
        <w:widowControl w:val="0"/>
        <w:autoSpaceDE w:val="0"/>
        <w:autoSpaceDN w:val="0"/>
        <w:adjustRightInd w:val="0"/>
        <w:rPr>
          <w:b/>
          <w:bCs/>
        </w:rPr>
      </w:pPr>
    </w:p>
    <w:p w14:paraId="705D761E" w14:textId="77777777" w:rsidR="00636B5B" w:rsidRDefault="00636B5B" w:rsidP="00CE7936">
      <w:pPr>
        <w:widowControl w:val="0"/>
        <w:autoSpaceDE w:val="0"/>
        <w:autoSpaceDN w:val="0"/>
        <w:adjustRightInd w:val="0"/>
        <w:rPr>
          <w:b/>
          <w:bCs/>
        </w:rPr>
      </w:pPr>
    </w:p>
    <w:p w14:paraId="4C895EE6" w14:textId="77777777" w:rsidR="00636B5B" w:rsidRDefault="00636B5B" w:rsidP="00CE7936">
      <w:pPr>
        <w:widowControl w:val="0"/>
        <w:autoSpaceDE w:val="0"/>
        <w:autoSpaceDN w:val="0"/>
        <w:adjustRightInd w:val="0"/>
        <w:rPr>
          <w:b/>
          <w:bCs/>
        </w:rPr>
      </w:pPr>
    </w:p>
    <w:p w14:paraId="4D0A7D16" w14:textId="77777777" w:rsidR="00636B5B" w:rsidRDefault="00636B5B" w:rsidP="00CE7936">
      <w:pPr>
        <w:widowControl w:val="0"/>
        <w:autoSpaceDE w:val="0"/>
        <w:autoSpaceDN w:val="0"/>
        <w:adjustRightInd w:val="0"/>
        <w:rPr>
          <w:b/>
          <w:bCs/>
        </w:rPr>
      </w:pPr>
    </w:p>
    <w:p w14:paraId="266DA589" w14:textId="77777777" w:rsidR="00636B5B" w:rsidRDefault="00636B5B" w:rsidP="00CE7936">
      <w:pPr>
        <w:widowControl w:val="0"/>
        <w:autoSpaceDE w:val="0"/>
        <w:autoSpaceDN w:val="0"/>
        <w:adjustRightInd w:val="0"/>
        <w:rPr>
          <w:b/>
          <w:bCs/>
        </w:rPr>
      </w:pPr>
    </w:p>
    <w:p w14:paraId="57744BDD" w14:textId="77777777" w:rsidR="00636B5B" w:rsidRPr="00094CDE" w:rsidRDefault="00636B5B" w:rsidP="00566B8A">
      <w:pPr>
        <w:jc w:val="both"/>
        <w:rPr>
          <w:color w:val="222222"/>
          <w:highlight w:val="white"/>
        </w:rPr>
      </w:pPr>
      <w:r w:rsidRPr="00094CDE">
        <w:rPr>
          <w:b/>
          <w:color w:val="222222"/>
          <w:highlight w:val="white"/>
        </w:rPr>
        <w:t>Fig</w:t>
      </w:r>
      <w:r>
        <w:rPr>
          <w:b/>
          <w:color w:val="222222"/>
          <w:highlight w:val="white"/>
        </w:rPr>
        <w:t>ure</w:t>
      </w:r>
      <w:r w:rsidRPr="00094CDE">
        <w:rPr>
          <w:b/>
          <w:color w:val="222222"/>
          <w:highlight w:val="white"/>
        </w:rPr>
        <w:t xml:space="preserve"> </w:t>
      </w:r>
      <w:r>
        <w:rPr>
          <w:b/>
          <w:color w:val="222222"/>
          <w:highlight w:val="white"/>
        </w:rPr>
        <w:t>II-</w:t>
      </w:r>
      <w:r w:rsidRPr="00094CDE">
        <w:rPr>
          <w:b/>
          <w:color w:val="222222"/>
          <w:highlight w:val="white"/>
        </w:rPr>
        <w:t>1</w:t>
      </w:r>
      <w:r w:rsidRPr="00AD2A6B">
        <w:rPr>
          <w:color w:val="222222"/>
          <w:highlight w:val="white"/>
        </w:rPr>
        <w:t xml:space="preserve">. </w:t>
      </w:r>
      <w:r>
        <w:rPr>
          <w:color w:val="222222"/>
          <w:highlight w:val="white"/>
        </w:rPr>
        <w:t xml:space="preserve">A species tree and </w:t>
      </w:r>
      <w:proofErr w:type="spellStart"/>
      <w:r>
        <w:rPr>
          <w:color w:val="222222"/>
          <w:highlight w:val="white"/>
        </w:rPr>
        <w:t>macrosynteny</w:t>
      </w:r>
      <w:proofErr w:type="spellEnd"/>
      <w:r>
        <w:rPr>
          <w:color w:val="222222"/>
          <w:highlight w:val="white"/>
        </w:rPr>
        <w:t xml:space="preserve"> relationships between </w:t>
      </w:r>
      <w:r w:rsidRPr="00333E28">
        <w:rPr>
          <w:i/>
          <w:iCs/>
          <w:color w:val="222222"/>
        </w:rPr>
        <w:t xml:space="preserve">P. </w:t>
      </w:r>
      <w:proofErr w:type="spellStart"/>
      <w:r w:rsidRPr="00333E28">
        <w:rPr>
          <w:i/>
          <w:iCs/>
          <w:color w:val="222222"/>
        </w:rPr>
        <w:t>trichocarpa</w:t>
      </w:r>
      <w:proofErr w:type="spellEnd"/>
      <w:r>
        <w:rPr>
          <w:i/>
          <w:iCs/>
          <w:color w:val="222222"/>
          <w:highlight w:val="white"/>
        </w:rPr>
        <w:t xml:space="preserve">, </w:t>
      </w:r>
      <w:r w:rsidRPr="00333E28">
        <w:rPr>
          <w:i/>
          <w:iCs/>
          <w:color w:val="222222"/>
        </w:rPr>
        <w:t xml:space="preserve">P. </w:t>
      </w:r>
      <w:proofErr w:type="spellStart"/>
      <w:r w:rsidRPr="00333E28">
        <w:rPr>
          <w:i/>
          <w:iCs/>
          <w:color w:val="222222"/>
        </w:rPr>
        <w:t>deltoides</w:t>
      </w:r>
      <w:proofErr w:type="spellEnd"/>
      <w:r>
        <w:rPr>
          <w:i/>
          <w:iCs/>
          <w:color w:val="222222"/>
          <w:highlight w:val="white"/>
        </w:rPr>
        <w:t xml:space="preserve"> </w:t>
      </w:r>
      <w:r>
        <w:rPr>
          <w:color w:val="222222"/>
          <w:highlight w:val="white"/>
        </w:rPr>
        <w:t xml:space="preserve">and </w:t>
      </w:r>
      <w:r w:rsidRPr="00A52643">
        <w:rPr>
          <w:i/>
          <w:iCs/>
          <w:color w:val="222222"/>
        </w:rPr>
        <w:t xml:space="preserve">S. purpurea </w:t>
      </w:r>
      <w:r w:rsidRPr="00F84FC9">
        <w:rPr>
          <w:color w:val="222222"/>
          <w:highlight w:val="white"/>
        </w:rPr>
        <w:t>and</w:t>
      </w:r>
      <w:r>
        <w:rPr>
          <w:color w:val="222222"/>
          <w:highlight w:val="white"/>
        </w:rPr>
        <w:t xml:space="preserve"> a</w:t>
      </w:r>
      <w:r w:rsidRPr="00AD2A6B">
        <w:rPr>
          <w:color w:val="222222"/>
          <w:highlight w:val="white"/>
        </w:rPr>
        <w:t xml:space="preserve">lignments of </w:t>
      </w:r>
      <w:r w:rsidRPr="00AD2A6B">
        <w:rPr>
          <w:i/>
          <w:color w:val="222222"/>
          <w:highlight w:val="white"/>
        </w:rPr>
        <w:t xml:space="preserve">de novo </w:t>
      </w:r>
      <w:r w:rsidRPr="00AD2A6B">
        <w:rPr>
          <w:color w:val="222222"/>
          <w:highlight w:val="white"/>
        </w:rPr>
        <w:t xml:space="preserve">genes </w:t>
      </w:r>
      <w:r w:rsidRPr="00AD2A6B">
        <w:rPr>
          <w:bCs/>
        </w:rPr>
        <w:t>Potri.001G124250</w:t>
      </w:r>
      <w:r w:rsidRPr="002B316C">
        <w:t xml:space="preserve"> </w:t>
      </w:r>
      <w:r w:rsidRPr="00AD2A6B">
        <w:rPr>
          <w:color w:val="222222"/>
          <w:highlight w:val="white"/>
        </w:rPr>
        <w:t xml:space="preserve">and </w:t>
      </w:r>
      <w:r w:rsidRPr="00AD2A6B">
        <w:rPr>
          <w:color w:val="222222"/>
        </w:rPr>
        <w:t xml:space="preserve">Potri.001G400201 </w:t>
      </w:r>
      <w:r w:rsidRPr="00AD2A6B">
        <w:rPr>
          <w:color w:val="222222"/>
          <w:highlight w:val="white"/>
        </w:rPr>
        <w:t xml:space="preserve">against their respective syntenic intergenic regions in </w:t>
      </w:r>
      <w:r w:rsidRPr="00AD2A6B">
        <w:rPr>
          <w:i/>
          <w:iCs/>
          <w:color w:val="222222"/>
          <w:highlight w:val="white"/>
        </w:rPr>
        <w:t xml:space="preserve">Populus </w:t>
      </w:r>
      <w:proofErr w:type="spellStart"/>
      <w:r w:rsidRPr="00AD2A6B">
        <w:rPr>
          <w:i/>
          <w:iCs/>
          <w:color w:val="222222"/>
          <w:highlight w:val="white"/>
        </w:rPr>
        <w:t>deltoides</w:t>
      </w:r>
      <w:proofErr w:type="spellEnd"/>
      <w:r w:rsidRPr="00AD2A6B">
        <w:rPr>
          <w:i/>
          <w:iCs/>
          <w:color w:val="222222"/>
          <w:highlight w:val="white"/>
        </w:rPr>
        <w:t xml:space="preserve"> </w:t>
      </w:r>
      <w:r w:rsidRPr="00AD2A6B">
        <w:rPr>
          <w:color w:val="222222"/>
          <w:highlight w:val="white"/>
        </w:rPr>
        <w:t xml:space="preserve">and </w:t>
      </w:r>
      <w:r w:rsidRPr="00AD2A6B">
        <w:rPr>
          <w:i/>
          <w:iCs/>
          <w:color w:val="222222"/>
          <w:highlight w:val="white"/>
        </w:rPr>
        <w:t>Salix purpurea</w:t>
      </w:r>
      <w:r w:rsidRPr="00AD2A6B">
        <w:rPr>
          <w:color w:val="222222"/>
          <w:highlight w:val="white"/>
        </w:rPr>
        <w:t>.</w:t>
      </w:r>
      <w:r>
        <w:rPr>
          <w:bCs/>
          <w:color w:val="222222"/>
          <w:highlight w:val="white"/>
        </w:rPr>
        <w:t xml:space="preserve"> </w:t>
      </w:r>
      <w:r w:rsidRPr="008B4C2B">
        <w:rPr>
          <w:bCs/>
          <w:color w:val="222222"/>
          <w:highlight w:val="white"/>
        </w:rPr>
        <w:t xml:space="preserve">Highlighted bases and residues indicate disagreements to the </w:t>
      </w:r>
      <w:r w:rsidRPr="008B4C2B">
        <w:rPr>
          <w:bCs/>
          <w:i/>
          <w:color w:val="222222"/>
          <w:highlight w:val="white"/>
        </w:rPr>
        <w:t xml:space="preserve">de novo </w:t>
      </w:r>
      <w:r w:rsidRPr="008B4C2B">
        <w:rPr>
          <w:bCs/>
          <w:color w:val="222222"/>
          <w:highlight w:val="white"/>
        </w:rPr>
        <w:t>gene</w:t>
      </w:r>
      <w:r>
        <w:rPr>
          <w:bCs/>
          <w:color w:val="222222"/>
          <w:highlight w:val="white"/>
        </w:rPr>
        <w:t xml:space="preserve"> in </w:t>
      </w:r>
      <w:r>
        <w:rPr>
          <w:bCs/>
          <w:i/>
          <w:iCs/>
          <w:color w:val="222222"/>
          <w:highlight w:val="white"/>
        </w:rPr>
        <w:t xml:space="preserve">Populus </w:t>
      </w:r>
      <w:proofErr w:type="spellStart"/>
      <w:r>
        <w:rPr>
          <w:bCs/>
          <w:i/>
          <w:iCs/>
          <w:color w:val="222222"/>
          <w:highlight w:val="white"/>
        </w:rPr>
        <w:t>trichocarpa</w:t>
      </w:r>
      <w:proofErr w:type="spellEnd"/>
      <w:r w:rsidRPr="008B4C2B">
        <w:rPr>
          <w:bCs/>
          <w:color w:val="222222"/>
          <w:highlight w:val="white"/>
        </w:rPr>
        <w:t>. Red boxes indicate disabling mutations in the intergenic syntenic sequence</w:t>
      </w:r>
      <w:r>
        <w:rPr>
          <w:color w:val="222222"/>
          <w:highlight w:val="white"/>
        </w:rPr>
        <w:t xml:space="preserve">. Both alignments follow the  sequential structure of </w:t>
      </w:r>
      <w:r w:rsidRPr="00333E28">
        <w:rPr>
          <w:i/>
          <w:iCs/>
          <w:color w:val="222222"/>
        </w:rPr>
        <w:t xml:space="preserve">P. </w:t>
      </w:r>
      <w:proofErr w:type="spellStart"/>
      <w:r w:rsidRPr="00333E28">
        <w:rPr>
          <w:i/>
          <w:iCs/>
          <w:color w:val="222222"/>
        </w:rPr>
        <w:t>trichocarpa</w:t>
      </w:r>
      <w:proofErr w:type="spellEnd"/>
      <w:r w:rsidRPr="009D344C">
        <w:rPr>
          <w:color w:val="222222"/>
        </w:rPr>
        <w:t xml:space="preserve"> (</w:t>
      </w:r>
      <w:r w:rsidRPr="00F84FC9">
        <w:rPr>
          <w:i/>
          <w:iCs/>
          <w:color w:val="222222"/>
        </w:rPr>
        <w:t>de novo</w:t>
      </w:r>
      <w:r w:rsidRPr="009D344C">
        <w:rPr>
          <w:color w:val="222222"/>
        </w:rPr>
        <w:t xml:space="preserve"> gene),  </w:t>
      </w:r>
      <w:r w:rsidRPr="00333E28">
        <w:rPr>
          <w:i/>
          <w:iCs/>
          <w:color w:val="222222"/>
        </w:rPr>
        <w:t xml:space="preserve">P. </w:t>
      </w:r>
      <w:proofErr w:type="spellStart"/>
      <w:r w:rsidRPr="00333E28">
        <w:rPr>
          <w:i/>
          <w:iCs/>
          <w:color w:val="222222"/>
        </w:rPr>
        <w:t>deltoides</w:t>
      </w:r>
      <w:proofErr w:type="spellEnd"/>
      <w:r w:rsidRPr="009D344C">
        <w:rPr>
          <w:color w:val="222222"/>
        </w:rPr>
        <w:t xml:space="preserve"> (primary syntenic region),  </w:t>
      </w:r>
      <w:r w:rsidRPr="00A52643">
        <w:rPr>
          <w:i/>
          <w:iCs/>
          <w:color w:val="222222"/>
        </w:rPr>
        <w:t xml:space="preserve">S. purpurea </w:t>
      </w:r>
      <w:r w:rsidRPr="009D344C">
        <w:rPr>
          <w:color w:val="222222"/>
        </w:rPr>
        <w:t xml:space="preserve">(primary syntenic region), </w:t>
      </w:r>
      <w:r w:rsidRPr="00333E28">
        <w:rPr>
          <w:i/>
          <w:iCs/>
          <w:color w:val="222222"/>
        </w:rPr>
        <w:t xml:space="preserve">P. </w:t>
      </w:r>
      <w:proofErr w:type="spellStart"/>
      <w:r w:rsidRPr="00333E28">
        <w:rPr>
          <w:i/>
          <w:iCs/>
          <w:color w:val="222222"/>
        </w:rPr>
        <w:t>trichocarpa</w:t>
      </w:r>
      <w:proofErr w:type="spellEnd"/>
      <w:r w:rsidRPr="009D344C">
        <w:rPr>
          <w:color w:val="222222"/>
        </w:rPr>
        <w:t xml:space="preserve"> (secondary syntenic region),  </w:t>
      </w:r>
      <w:r w:rsidRPr="00333E28">
        <w:rPr>
          <w:i/>
          <w:iCs/>
          <w:color w:val="222222"/>
        </w:rPr>
        <w:t xml:space="preserve">P. </w:t>
      </w:r>
      <w:proofErr w:type="spellStart"/>
      <w:r w:rsidRPr="00333E28">
        <w:rPr>
          <w:i/>
          <w:iCs/>
          <w:color w:val="222222"/>
        </w:rPr>
        <w:t>deltoides</w:t>
      </w:r>
      <w:proofErr w:type="spellEnd"/>
      <w:r w:rsidRPr="009D344C">
        <w:rPr>
          <w:color w:val="222222"/>
        </w:rPr>
        <w:t xml:space="preserve"> (secondary syntenic region),</w:t>
      </w:r>
      <w:r>
        <w:rPr>
          <w:color w:val="222222"/>
        </w:rPr>
        <w:t xml:space="preserve"> and</w:t>
      </w:r>
      <w:r w:rsidRPr="009D344C">
        <w:rPr>
          <w:color w:val="222222"/>
        </w:rPr>
        <w:t xml:space="preserve"> </w:t>
      </w:r>
      <w:r w:rsidRPr="00A52643">
        <w:rPr>
          <w:i/>
          <w:iCs/>
          <w:color w:val="222222"/>
        </w:rPr>
        <w:t xml:space="preserve">S. purpurea </w:t>
      </w:r>
      <w:r w:rsidRPr="009D344C">
        <w:rPr>
          <w:color w:val="222222"/>
        </w:rPr>
        <w:t xml:space="preserve"> (secondary syntenic region)</w:t>
      </w:r>
      <w:r>
        <w:rPr>
          <w:color w:val="222222"/>
          <w:highlight w:val="white"/>
        </w:rPr>
        <w:t xml:space="preserve"> (A) A species tree of the phylogeny of </w:t>
      </w:r>
      <w:r w:rsidRPr="00333E28">
        <w:rPr>
          <w:i/>
          <w:iCs/>
          <w:color w:val="222222"/>
        </w:rPr>
        <w:t xml:space="preserve">P. </w:t>
      </w:r>
      <w:proofErr w:type="spellStart"/>
      <w:r w:rsidRPr="00333E28">
        <w:rPr>
          <w:i/>
          <w:iCs/>
          <w:color w:val="222222"/>
        </w:rPr>
        <w:t>trichocarpa</w:t>
      </w:r>
      <w:proofErr w:type="spellEnd"/>
      <w:r>
        <w:rPr>
          <w:color w:val="222222"/>
          <w:highlight w:val="white"/>
        </w:rPr>
        <w:t xml:space="preserve">, </w:t>
      </w:r>
      <w:r w:rsidRPr="00333E28">
        <w:rPr>
          <w:i/>
          <w:iCs/>
          <w:color w:val="222222"/>
        </w:rPr>
        <w:t xml:space="preserve">P. </w:t>
      </w:r>
      <w:proofErr w:type="spellStart"/>
      <w:r w:rsidRPr="00333E28">
        <w:rPr>
          <w:i/>
          <w:iCs/>
          <w:color w:val="222222"/>
        </w:rPr>
        <w:t>deltoides</w:t>
      </w:r>
      <w:proofErr w:type="spellEnd"/>
      <w:r>
        <w:rPr>
          <w:color w:val="222222"/>
          <w:highlight w:val="white"/>
        </w:rPr>
        <w:t xml:space="preserve">, and </w:t>
      </w:r>
      <w:r>
        <w:rPr>
          <w:i/>
          <w:iCs/>
          <w:color w:val="222222"/>
          <w:highlight w:val="white"/>
        </w:rPr>
        <w:t>S. purpurea</w:t>
      </w:r>
      <w:r>
        <w:rPr>
          <w:color w:val="222222"/>
          <w:highlight w:val="white"/>
        </w:rPr>
        <w:t xml:space="preserve">, the red point on the root of the tree is indicative of the WGD which occurred in the ancestor of </w:t>
      </w:r>
      <w:r>
        <w:rPr>
          <w:i/>
          <w:iCs/>
          <w:color w:val="222222"/>
          <w:highlight w:val="white"/>
        </w:rPr>
        <w:t xml:space="preserve">Populus </w:t>
      </w:r>
      <w:r>
        <w:rPr>
          <w:color w:val="222222"/>
          <w:highlight w:val="white"/>
        </w:rPr>
        <w:t xml:space="preserve">and </w:t>
      </w:r>
      <w:r>
        <w:rPr>
          <w:i/>
          <w:iCs/>
          <w:color w:val="222222"/>
          <w:highlight w:val="white"/>
        </w:rPr>
        <w:t xml:space="preserve">Salix </w:t>
      </w:r>
      <w:r>
        <w:rPr>
          <w:color w:val="222222"/>
          <w:highlight w:val="white"/>
        </w:rPr>
        <w:t xml:space="preserve">(B) </w:t>
      </w:r>
      <w:proofErr w:type="spellStart"/>
      <w:r>
        <w:rPr>
          <w:color w:val="222222"/>
          <w:highlight w:val="white"/>
        </w:rPr>
        <w:t>Macrosynteny</w:t>
      </w:r>
      <w:proofErr w:type="spellEnd"/>
      <w:r>
        <w:rPr>
          <w:color w:val="222222"/>
          <w:highlight w:val="white"/>
        </w:rPr>
        <w:t xml:space="preserve"> relationships between</w:t>
      </w:r>
      <w:r w:rsidRPr="00321442">
        <w:rPr>
          <w:color w:val="222222"/>
          <w:highlight w:val="white"/>
        </w:rPr>
        <w:t xml:space="preserve"> </w:t>
      </w:r>
      <w:r w:rsidRPr="00333E28">
        <w:rPr>
          <w:i/>
          <w:color w:val="222222"/>
        </w:rPr>
        <w:t xml:space="preserve">P. </w:t>
      </w:r>
      <w:proofErr w:type="spellStart"/>
      <w:r w:rsidRPr="00333E28">
        <w:rPr>
          <w:i/>
          <w:color w:val="222222"/>
        </w:rPr>
        <w:t>trichocarpa</w:t>
      </w:r>
      <w:proofErr w:type="spellEnd"/>
      <w:r>
        <w:rPr>
          <w:i/>
          <w:iCs/>
          <w:color w:val="222222"/>
          <w:highlight w:val="white"/>
        </w:rPr>
        <w:t xml:space="preserve"> </w:t>
      </w:r>
      <w:r>
        <w:rPr>
          <w:color w:val="222222"/>
          <w:highlight w:val="white"/>
        </w:rPr>
        <w:t xml:space="preserve">and </w:t>
      </w:r>
      <w:r>
        <w:rPr>
          <w:i/>
          <w:iCs/>
          <w:color w:val="222222"/>
          <w:highlight w:val="white"/>
        </w:rPr>
        <w:t xml:space="preserve">S. purpurea, </w:t>
      </w:r>
      <w:r>
        <w:rPr>
          <w:color w:val="222222"/>
          <w:highlight w:val="white"/>
        </w:rPr>
        <w:t xml:space="preserve">and </w:t>
      </w:r>
      <w:r w:rsidRPr="00333E28">
        <w:rPr>
          <w:i/>
          <w:iCs/>
          <w:color w:val="222222"/>
        </w:rPr>
        <w:t xml:space="preserve">P. </w:t>
      </w:r>
      <w:proofErr w:type="spellStart"/>
      <w:r w:rsidRPr="00333E28">
        <w:rPr>
          <w:i/>
          <w:iCs/>
          <w:color w:val="222222"/>
        </w:rPr>
        <w:t>trichocarpa</w:t>
      </w:r>
      <w:proofErr w:type="spellEnd"/>
      <w:r>
        <w:rPr>
          <w:i/>
          <w:iCs/>
          <w:color w:val="222222"/>
          <w:highlight w:val="white"/>
        </w:rPr>
        <w:t xml:space="preserve"> </w:t>
      </w:r>
      <w:r>
        <w:rPr>
          <w:color w:val="222222"/>
          <w:highlight w:val="white"/>
        </w:rPr>
        <w:t xml:space="preserve">and </w:t>
      </w:r>
      <w:r w:rsidRPr="00333E28">
        <w:rPr>
          <w:i/>
          <w:iCs/>
          <w:color w:val="222222"/>
        </w:rPr>
        <w:t xml:space="preserve">P. </w:t>
      </w:r>
      <w:proofErr w:type="spellStart"/>
      <w:r w:rsidRPr="00333E28">
        <w:rPr>
          <w:i/>
          <w:iCs/>
          <w:color w:val="222222"/>
        </w:rPr>
        <w:t>deltoides</w:t>
      </w:r>
      <w:proofErr w:type="spellEnd"/>
      <w:r>
        <w:rPr>
          <w:color w:val="222222"/>
          <w:highlight w:val="white"/>
        </w:rPr>
        <w:t xml:space="preserve">, </w:t>
      </w:r>
      <w:r w:rsidRPr="00094CDE">
        <w:rPr>
          <w:color w:val="222222"/>
          <w:highlight w:val="white"/>
        </w:rPr>
        <w:t>(</w:t>
      </w:r>
      <w:r>
        <w:rPr>
          <w:color w:val="222222"/>
          <w:highlight w:val="white"/>
        </w:rPr>
        <w:t xml:space="preserve">C) Alignment of </w:t>
      </w:r>
      <w:r w:rsidRPr="00395A1B">
        <w:t>Potri.001G124250</w:t>
      </w:r>
      <w:r>
        <w:t xml:space="preserve"> </w:t>
      </w:r>
      <w:r>
        <w:rPr>
          <w:color w:val="222222"/>
          <w:highlight w:val="white"/>
        </w:rPr>
        <w:t xml:space="preserve">against intergenic syntenic regions, (D) Alignment of </w:t>
      </w:r>
      <w:r w:rsidRPr="00395A1B">
        <w:rPr>
          <w:bCs/>
          <w:color w:val="222222"/>
        </w:rPr>
        <w:t>Potri.001G400201</w:t>
      </w:r>
      <w:r>
        <w:rPr>
          <w:b/>
          <w:color w:val="222222"/>
        </w:rPr>
        <w:t xml:space="preserve"> </w:t>
      </w:r>
      <w:r>
        <w:rPr>
          <w:color w:val="222222"/>
          <w:highlight w:val="white"/>
        </w:rPr>
        <w:t xml:space="preserve">against intergenic syntenic regions. </w:t>
      </w:r>
    </w:p>
    <w:p w14:paraId="238F47FC" w14:textId="77777777" w:rsidR="00636B5B" w:rsidRDefault="00636B5B" w:rsidP="00CE7936">
      <w:pPr>
        <w:widowControl w:val="0"/>
        <w:autoSpaceDE w:val="0"/>
        <w:autoSpaceDN w:val="0"/>
        <w:adjustRightInd w:val="0"/>
        <w:rPr>
          <w:b/>
          <w:bCs/>
        </w:rPr>
      </w:pPr>
    </w:p>
    <w:p w14:paraId="4AC95B33" w14:textId="77777777" w:rsidR="00636B5B" w:rsidRDefault="00636B5B" w:rsidP="00CE7936">
      <w:pPr>
        <w:widowControl w:val="0"/>
        <w:autoSpaceDE w:val="0"/>
        <w:autoSpaceDN w:val="0"/>
        <w:adjustRightInd w:val="0"/>
        <w:rPr>
          <w:b/>
          <w:bCs/>
        </w:rPr>
      </w:pPr>
      <w:r>
        <w:rPr>
          <w:b/>
          <w:noProof/>
        </w:rPr>
        <w:drawing>
          <wp:inline distT="0" distB="0" distL="0" distR="0" wp14:anchorId="5535E7B9" wp14:editId="10079547">
            <wp:extent cx="5943600" cy="3347720"/>
            <wp:effectExtent l="0" t="0" r="0" b="5080"/>
            <wp:docPr id="4" name="Picture 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10;&#10;Description automatically generated"/>
                    <pic:cNvPicPr/>
                  </pic:nvPicPr>
                  <pic:blipFill>
                    <a:blip r:embed="rId18" cstate="print">
                      <a:extLst>
                        <a:ext uri="{28A0092B-C50C-407E-A947-70E740481C1C}">
                          <a14:useLocalDpi xmlns:a14="http://schemas.microsoft.com/office/drawing/2010/main"/>
                        </a:ext>
                      </a:extLst>
                    </a:blip>
                    <a:stretch>
                      <a:fillRect/>
                    </a:stretch>
                  </pic:blipFill>
                  <pic:spPr>
                    <a:xfrm>
                      <a:off x="0" y="0"/>
                      <a:ext cx="5943600" cy="3347720"/>
                    </a:xfrm>
                    <a:prstGeom prst="rect">
                      <a:avLst/>
                    </a:prstGeom>
                  </pic:spPr>
                </pic:pic>
              </a:graphicData>
            </a:graphic>
          </wp:inline>
        </w:drawing>
      </w:r>
    </w:p>
    <w:p w14:paraId="29BC8666" w14:textId="77777777" w:rsidR="00636B5B" w:rsidRDefault="00636B5B" w:rsidP="00CE7936">
      <w:pPr>
        <w:widowControl w:val="0"/>
        <w:autoSpaceDE w:val="0"/>
        <w:autoSpaceDN w:val="0"/>
        <w:adjustRightInd w:val="0"/>
        <w:rPr>
          <w:bCs/>
          <w:color w:val="000000" w:themeColor="text1"/>
        </w:rPr>
      </w:pPr>
      <w:r>
        <w:rPr>
          <w:b/>
          <w:color w:val="000000" w:themeColor="text1"/>
          <w:highlight w:val="white"/>
        </w:rPr>
        <w:t xml:space="preserve">Figure II-2. </w:t>
      </w:r>
      <w:r w:rsidRPr="00AD2A6B">
        <w:rPr>
          <w:color w:val="000000" w:themeColor="text1"/>
          <w:highlight w:val="white"/>
        </w:rPr>
        <w:t>Orphan gene impact class frequency and variant profile similarity to Nisqually-1</w:t>
      </w:r>
      <w:r>
        <w:rPr>
          <w:color w:val="000000" w:themeColor="text1"/>
          <w:highlight w:val="white"/>
        </w:rPr>
        <w:t xml:space="preserve"> (reference genome)</w:t>
      </w:r>
      <w:r>
        <w:rPr>
          <w:bCs/>
          <w:color w:val="000000" w:themeColor="text1"/>
          <w:highlight w:val="white"/>
        </w:rPr>
        <w:t>, (A) Frequency of variant impacts by mutation class (high, LOF=predicted loss of function, low, moderate, and modifier)</w:t>
      </w:r>
      <w:r>
        <w:rPr>
          <w:b/>
          <w:color w:val="000000" w:themeColor="text1"/>
          <w:highlight w:val="white"/>
        </w:rPr>
        <w:t xml:space="preserve"> </w:t>
      </w:r>
      <w:r>
        <w:rPr>
          <w:bCs/>
          <w:color w:val="000000" w:themeColor="text1"/>
          <w:highlight w:val="white"/>
        </w:rPr>
        <w:t>in 445 orphan and 42,505 non-orphan genes. Non-orphan genes are defined as genes excluded as orphan genes as a result of our curation pipeline. (</w:t>
      </w:r>
      <w:r w:rsidRPr="00BF3A7D">
        <w:rPr>
          <w:bCs/>
          <w:color w:val="000000" w:themeColor="text1"/>
        </w:rPr>
        <w:t>****</w:t>
      </w:r>
      <w:r>
        <w:rPr>
          <w:bCs/>
          <w:color w:val="000000" w:themeColor="text1"/>
        </w:rPr>
        <w:t>=</w:t>
      </w:r>
      <w:r w:rsidRPr="00250060">
        <w:rPr>
          <w:bCs/>
          <w:i/>
          <w:iCs/>
          <w:color w:val="000000" w:themeColor="text1"/>
        </w:rPr>
        <w:t>p</w:t>
      </w:r>
      <w:r>
        <w:rPr>
          <w:bCs/>
          <w:color w:val="000000" w:themeColor="text1"/>
        </w:rPr>
        <w:t>&lt;1e-4, Wilcoxon signed rank test)</w:t>
      </w:r>
      <w:r>
        <w:rPr>
          <w:bCs/>
          <w:color w:val="000000" w:themeColor="text1"/>
          <w:highlight w:val="white"/>
        </w:rPr>
        <w:t xml:space="preserve">, (B) The 13 </w:t>
      </w:r>
      <w:r>
        <w:rPr>
          <w:bCs/>
          <w:i/>
          <w:iCs/>
          <w:color w:val="000000" w:themeColor="text1"/>
          <w:highlight w:val="white"/>
        </w:rPr>
        <w:t xml:space="preserve">de novo </w:t>
      </w:r>
      <w:r>
        <w:rPr>
          <w:bCs/>
          <w:color w:val="000000" w:themeColor="text1"/>
          <w:highlight w:val="white"/>
        </w:rPr>
        <w:t>genes and similarity to Nisqually-1’s (reference genome) genotype profile, represented as mean identity by state.</w:t>
      </w:r>
    </w:p>
    <w:p w14:paraId="407CCCD9" w14:textId="77777777" w:rsidR="00636B5B" w:rsidRDefault="00636B5B" w:rsidP="00CE7936">
      <w:pPr>
        <w:widowControl w:val="0"/>
        <w:autoSpaceDE w:val="0"/>
        <w:autoSpaceDN w:val="0"/>
        <w:adjustRightInd w:val="0"/>
        <w:rPr>
          <w:bCs/>
          <w:color w:val="000000" w:themeColor="text1"/>
        </w:rPr>
      </w:pPr>
    </w:p>
    <w:p w14:paraId="0ECB79DA" w14:textId="77777777" w:rsidR="00636B5B" w:rsidRDefault="00636B5B" w:rsidP="00CE7936">
      <w:pPr>
        <w:widowControl w:val="0"/>
        <w:autoSpaceDE w:val="0"/>
        <w:autoSpaceDN w:val="0"/>
        <w:adjustRightInd w:val="0"/>
        <w:rPr>
          <w:bCs/>
          <w:color w:val="000000" w:themeColor="text1"/>
        </w:rPr>
      </w:pPr>
    </w:p>
    <w:p w14:paraId="2F0E4B95" w14:textId="77777777" w:rsidR="00636B5B" w:rsidRDefault="00636B5B" w:rsidP="00CE7936">
      <w:pPr>
        <w:widowControl w:val="0"/>
        <w:autoSpaceDE w:val="0"/>
        <w:autoSpaceDN w:val="0"/>
        <w:adjustRightInd w:val="0"/>
        <w:rPr>
          <w:bCs/>
          <w:color w:val="000000" w:themeColor="text1"/>
        </w:rPr>
      </w:pPr>
    </w:p>
    <w:p w14:paraId="52764D1F" w14:textId="77777777" w:rsidR="00636B5B" w:rsidRDefault="00636B5B" w:rsidP="00CE7936">
      <w:pPr>
        <w:widowControl w:val="0"/>
        <w:autoSpaceDE w:val="0"/>
        <w:autoSpaceDN w:val="0"/>
        <w:adjustRightInd w:val="0"/>
        <w:rPr>
          <w:bCs/>
          <w:color w:val="000000" w:themeColor="text1"/>
        </w:rPr>
      </w:pPr>
    </w:p>
    <w:p w14:paraId="1F798EBB" w14:textId="77777777" w:rsidR="00636B5B" w:rsidRDefault="00636B5B" w:rsidP="00CE7936">
      <w:pPr>
        <w:widowControl w:val="0"/>
        <w:autoSpaceDE w:val="0"/>
        <w:autoSpaceDN w:val="0"/>
        <w:adjustRightInd w:val="0"/>
        <w:rPr>
          <w:bCs/>
          <w:color w:val="000000" w:themeColor="text1"/>
        </w:rPr>
      </w:pPr>
    </w:p>
    <w:p w14:paraId="15656810" w14:textId="77777777" w:rsidR="00636B5B" w:rsidRDefault="00636B5B" w:rsidP="00CE7936">
      <w:pPr>
        <w:widowControl w:val="0"/>
        <w:autoSpaceDE w:val="0"/>
        <w:autoSpaceDN w:val="0"/>
        <w:adjustRightInd w:val="0"/>
        <w:rPr>
          <w:bCs/>
          <w:color w:val="000000" w:themeColor="text1"/>
        </w:rPr>
      </w:pPr>
    </w:p>
    <w:p w14:paraId="6E55F644" w14:textId="77777777" w:rsidR="00636B5B" w:rsidRDefault="00636B5B" w:rsidP="00CE7936">
      <w:pPr>
        <w:widowControl w:val="0"/>
        <w:autoSpaceDE w:val="0"/>
        <w:autoSpaceDN w:val="0"/>
        <w:adjustRightInd w:val="0"/>
        <w:rPr>
          <w:bCs/>
          <w:color w:val="000000" w:themeColor="text1"/>
        </w:rPr>
      </w:pPr>
    </w:p>
    <w:p w14:paraId="72D58157" w14:textId="77777777" w:rsidR="00636B5B" w:rsidRDefault="00636B5B" w:rsidP="00CE7936">
      <w:pPr>
        <w:widowControl w:val="0"/>
        <w:autoSpaceDE w:val="0"/>
        <w:autoSpaceDN w:val="0"/>
        <w:adjustRightInd w:val="0"/>
        <w:rPr>
          <w:bCs/>
          <w:color w:val="000000" w:themeColor="text1"/>
        </w:rPr>
      </w:pPr>
    </w:p>
    <w:p w14:paraId="03CFE384" w14:textId="77777777" w:rsidR="00636B5B" w:rsidRDefault="00636B5B" w:rsidP="00CE7936">
      <w:pPr>
        <w:widowControl w:val="0"/>
        <w:autoSpaceDE w:val="0"/>
        <w:autoSpaceDN w:val="0"/>
        <w:adjustRightInd w:val="0"/>
        <w:rPr>
          <w:bCs/>
          <w:color w:val="000000" w:themeColor="text1"/>
        </w:rPr>
      </w:pPr>
    </w:p>
    <w:p w14:paraId="5957EAA3" w14:textId="77777777" w:rsidR="00636B5B" w:rsidRDefault="00636B5B" w:rsidP="00CE7936">
      <w:pPr>
        <w:widowControl w:val="0"/>
        <w:autoSpaceDE w:val="0"/>
        <w:autoSpaceDN w:val="0"/>
        <w:adjustRightInd w:val="0"/>
        <w:rPr>
          <w:bCs/>
          <w:color w:val="000000" w:themeColor="text1"/>
        </w:rPr>
      </w:pPr>
    </w:p>
    <w:p w14:paraId="1CD14516" w14:textId="77777777" w:rsidR="00636B5B" w:rsidRDefault="00636B5B" w:rsidP="00CE7936">
      <w:pPr>
        <w:widowControl w:val="0"/>
        <w:autoSpaceDE w:val="0"/>
        <w:autoSpaceDN w:val="0"/>
        <w:adjustRightInd w:val="0"/>
        <w:rPr>
          <w:bCs/>
          <w:color w:val="000000" w:themeColor="text1"/>
        </w:rPr>
      </w:pPr>
    </w:p>
    <w:p w14:paraId="2354169D" w14:textId="77777777" w:rsidR="00636B5B" w:rsidRDefault="00636B5B" w:rsidP="00CE7936">
      <w:pPr>
        <w:widowControl w:val="0"/>
        <w:autoSpaceDE w:val="0"/>
        <w:autoSpaceDN w:val="0"/>
        <w:adjustRightInd w:val="0"/>
        <w:rPr>
          <w:bCs/>
          <w:color w:val="000000" w:themeColor="text1"/>
        </w:rPr>
      </w:pPr>
    </w:p>
    <w:p w14:paraId="6BF452A9" w14:textId="77777777" w:rsidR="00636B5B" w:rsidRDefault="00636B5B" w:rsidP="00CE7936">
      <w:pPr>
        <w:widowControl w:val="0"/>
        <w:autoSpaceDE w:val="0"/>
        <w:autoSpaceDN w:val="0"/>
        <w:adjustRightInd w:val="0"/>
        <w:rPr>
          <w:bCs/>
          <w:color w:val="000000" w:themeColor="text1"/>
        </w:rPr>
      </w:pPr>
    </w:p>
    <w:p w14:paraId="1713FE21" w14:textId="77777777" w:rsidR="00636B5B" w:rsidRDefault="00636B5B" w:rsidP="00CE7936">
      <w:pPr>
        <w:widowControl w:val="0"/>
        <w:autoSpaceDE w:val="0"/>
        <w:autoSpaceDN w:val="0"/>
        <w:adjustRightInd w:val="0"/>
        <w:rPr>
          <w:bCs/>
          <w:color w:val="000000" w:themeColor="text1"/>
        </w:rPr>
      </w:pPr>
    </w:p>
    <w:p w14:paraId="7508FEA5" w14:textId="77777777" w:rsidR="00636B5B" w:rsidRDefault="00636B5B" w:rsidP="00CE7936">
      <w:pPr>
        <w:widowControl w:val="0"/>
        <w:autoSpaceDE w:val="0"/>
        <w:autoSpaceDN w:val="0"/>
        <w:adjustRightInd w:val="0"/>
        <w:rPr>
          <w:bCs/>
          <w:color w:val="000000" w:themeColor="text1"/>
        </w:rPr>
      </w:pPr>
    </w:p>
    <w:p w14:paraId="751DE4CB" w14:textId="77777777" w:rsidR="00636B5B" w:rsidRDefault="00636B5B" w:rsidP="00CE7936">
      <w:pPr>
        <w:widowControl w:val="0"/>
        <w:autoSpaceDE w:val="0"/>
        <w:autoSpaceDN w:val="0"/>
        <w:adjustRightInd w:val="0"/>
        <w:rPr>
          <w:bCs/>
          <w:color w:val="000000" w:themeColor="text1"/>
        </w:rPr>
      </w:pPr>
    </w:p>
    <w:p w14:paraId="16DF2C78" w14:textId="77777777" w:rsidR="00636B5B" w:rsidRDefault="00636B5B" w:rsidP="00CE7936">
      <w:pPr>
        <w:widowControl w:val="0"/>
        <w:autoSpaceDE w:val="0"/>
        <w:autoSpaceDN w:val="0"/>
        <w:adjustRightInd w:val="0"/>
        <w:rPr>
          <w:bCs/>
          <w:color w:val="000000" w:themeColor="text1"/>
        </w:rPr>
      </w:pPr>
    </w:p>
    <w:p w14:paraId="0AB9C0A7" w14:textId="77777777" w:rsidR="00636B5B" w:rsidRPr="00537A0F" w:rsidRDefault="00636B5B" w:rsidP="00CE7936">
      <w:pPr>
        <w:widowControl w:val="0"/>
        <w:autoSpaceDE w:val="0"/>
        <w:autoSpaceDN w:val="0"/>
        <w:adjustRightInd w:val="0"/>
        <w:rPr>
          <w:b/>
          <w:color w:val="000000" w:themeColor="text1"/>
          <w:highlight w:val="white"/>
        </w:rPr>
      </w:pPr>
      <w:r>
        <w:rPr>
          <w:b/>
          <w:bCs/>
          <w:noProof/>
        </w:rPr>
        <w:lastRenderedPageBreak/>
        <w:drawing>
          <wp:anchor distT="0" distB="0" distL="114300" distR="114300" simplePos="0" relativeHeight="251659264" behindDoc="0" locked="0" layoutInCell="1" allowOverlap="1" wp14:anchorId="0DF67BF2" wp14:editId="43FD9A67">
            <wp:simplePos x="0" y="0"/>
            <wp:positionH relativeFrom="column">
              <wp:posOffset>-635</wp:posOffset>
            </wp:positionH>
            <wp:positionV relativeFrom="paragraph">
              <wp:posOffset>0</wp:posOffset>
            </wp:positionV>
            <wp:extent cx="5943600" cy="3608070"/>
            <wp:effectExtent l="0" t="0" r="0" b="0"/>
            <wp:wrapTopAndBottom/>
            <wp:docPr id="7" name="Picture 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10;&#10;Description automatically generated"/>
                    <pic:cNvPicPr/>
                  </pic:nvPicPr>
                  <pic:blipFill>
                    <a:blip r:embed="rId19" cstate="print">
                      <a:extLst>
                        <a:ext uri="{28A0092B-C50C-407E-A947-70E740481C1C}">
                          <a14:useLocalDpi xmlns:a14="http://schemas.microsoft.com/office/drawing/2010/main"/>
                        </a:ext>
                      </a:extLst>
                    </a:blip>
                    <a:stretch>
                      <a:fillRect/>
                    </a:stretch>
                  </pic:blipFill>
                  <pic:spPr>
                    <a:xfrm>
                      <a:off x="0" y="0"/>
                      <a:ext cx="5943600" cy="3608070"/>
                    </a:xfrm>
                    <a:prstGeom prst="rect">
                      <a:avLst/>
                    </a:prstGeom>
                  </pic:spPr>
                </pic:pic>
              </a:graphicData>
            </a:graphic>
            <wp14:sizeRelH relativeFrom="page">
              <wp14:pctWidth>0</wp14:pctWidth>
            </wp14:sizeRelH>
            <wp14:sizeRelV relativeFrom="page">
              <wp14:pctHeight>0</wp14:pctHeight>
            </wp14:sizeRelV>
          </wp:anchor>
        </w:drawing>
      </w:r>
      <w:r>
        <w:rPr>
          <w:b/>
          <w:color w:val="000000" w:themeColor="text1"/>
          <w:highlight w:val="white"/>
        </w:rPr>
        <w:t xml:space="preserve">Figure II-3. </w:t>
      </w:r>
      <w:r>
        <w:rPr>
          <w:bCs/>
          <w:color w:val="000000" w:themeColor="text1"/>
          <w:highlight w:val="white"/>
        </w:rPr>
        <w:t xml:space="preserve">Orphan gene </w:t>
      </w:r>
      <w:r>
        <w:rPr>
          <w:color w:val="000000" w:themeColor="text1"/>
          <w:highlight w:val="white"/>
        </w:rPr>
        <w:t>e</w:t>
      </w:r>
      <w:r w:rsidRPr="00AD2A6B">
        <w:rPr>
          <w:color w:val="000000" w:themeColor="text1"/>
          <w:highlight w:val="white"/>
        </w:rPr>
        <w:t>xpression breadth</w:t>
      </w:r>
      <w:r>
        <w:rPr>
          <w:color w:val="000000" w:themeColor="text1"/>
          <w:highlight w:val="white"/>
        </w:rPr>
        <w:t>, translation evidence, and expression variation in the GWAS mapping panel,</w:t>
      </w:r>
      <w:r>
        <w:rPr>
          <w:rFonts w:ascii="Times" w:hAnsi="Times"/>
          <w:color w:val="000000" w:themeColor="text1"/>
          <w:highlight w:val="white"/>
        </w:rPr>
        <w:t xml:space="preserve"> (A) </w:t>
      </w:r>
      <w:r w:rsidRPr="00AD2A6B">
        <w:rPr>
          <w:rFonts w:ascii="Times" w:hAnsi="Times"/>
          <w:color w:val="000000" w:themeColor="text1"/>
          <w:highlight w:val="white"/>
        </w:rPr>
        <w:t xml:space="preserve">Expression breadth across 13 </w:t>
      </w:r>
      <w:r w:rsidRPr="00AD2A6B">
        <w:rPr>
          <w:rFonts w:ascii="Times" w:hAnsi="Times"/>
          <w:i/>
          <w:iCs/>
          <w:color w:val="000000" w:themeColor="text1"/>
          <w:highlight w:val="white"/>
        </w:rPr>
        <w:t xml:space="preserve">Populus </w:t>
      </w:r>
      <w:proofErr w:type="spellStart"/>
      <w:r w:rsidRPr="00AD2A6B">
        <w:rPr>
          <w:rFonts w:ascii="Times" w:hAnsi="Times"/>
          <w:i/>
          <w:iCs/>
          <w:color w:val="000000" w:themeColor="text1"/>
          <w:highlight w:val="white"/>
        </w:rPr>
        <w:t>trichocarpa</w:t>
      </w:r>
      <w:proofErr w:type="spellEnd"/>
      <w:r w:rsidRPr="00AD2A6B">
        <w:rPr>
          <w:rFonts w:ascii="Times" w:hAnsi="Times"/>
          <w:color w:val="000000" w:themeColor="text1"/>
          <w:highlight w:val="white"/>
        </w:rPr>
        <w:t xml:space="preserve"> tissues</w:t>
      </w:r>
      <w:r>
        <w:rPr>
          <w:rFonts w:ascii="Times" w:hAnsi="Times"/>
          <w:color w:val="000000" w:themeColor="text1"/>
          <w:highlight w:val="white"/>
        </w:rPr>
        <w:t xml:space="preserve">, (B) </w:t>
      </w:r>
      <w:r w:rsidRPr="00AD2A6B">
        <w:rPr>
          <w:rFonts w:ascii="Times" w:hAnsi="Times"/>
          <w:color w:val="000000" w:themeColor="text1"/>
          <w:highlight w:val="white"/>
        </w:rPr>
        <w:t>Expression breadth distribution across 13 tissues</w:t>
      </w:r>
      <w:r>
        <w:rPr>
          <w:rFonts w:ascii="Times" w:hAnsi="Times"/>
          <w:color w:val="000000" w:themeColor="text1"/>
          <w:highlight w:val="white"/>
        </w:rPr>
        <w:t xml:space="preserve"> derived from the JGI Gene Atlas project, </w:t>
      </w:r>
      <w:r>
        <w:rPr>
          <w:rFonts w:ascii="Times" w:hAnsi="Times"/>
          <w:bCs/>
          <w:color w:val="000000" w:themeColor="text1"/>
          <w:highlight w:val="white"/>
        </w:rPr>
        <w:t>which is publicly available RNA-Seq data (Table II-S11)</w:t>
      </w:r>
      <w:r>
        <w:rPr>
          <w:rFonts w:ascii="Times" w:hAnsi="Times"/>
          <w:color w:val="000000" w:themeColor="text1"/>
          <w:highlight w:val="white"/>
        </w:rPr>
        <w:t>,</w:t>
      </w:r>
      <w:r w:rsidRPr="00AD2A6B">
        <w:rPr>
          <w:rFonts w:ascii="Times" w:hAnsi="Times"/>
          <w:color w:val="000000" w:themeColor="text1"/>
          <w:highlight w:val="white"/>
        </w:rPr>
        <w:t xml:space="preserve"> </w:t>
      </w:r>
      <w:r w:rsidRPr="00AD2A6B">
        <w:rPr>
          <w:rFonts w:ascii="Times" w:hAnsi="Times"/>
          <w:color w:val="000000" w:themeColor="text1"/>
        </w:rPr>
        <w:t xml:space="preserve">(**** = </w:t>
      </w:r>
      <w:r w:rsidRPr="00AD2A6B">
        <w:rPr>
          <w:rFonts w:ascii="Times" w:hAnsi="Times"/>
          <w:i/>
          <w:iCs/>
          <w:color w:val="000000" w:themeColor="text1"/>
        </w:rPr>
        <w:t>p</w:t>
      </w:r>
      <w:r w:rsidRPr="00AD2A6B">
        <w:rPr>
          <w:rFonts w:ascii="Times" w:hAnsi="Times"/>
          <w:color w:val="000000" w:themeColor="text1"/>
        </w:rPr>
        <w:t>&lt;1e-4</w:t>
      </w:r>
      <w:r>
        <w:rPr>
          <w:rFonts w:ascii="Times" w:hAnsi="Times"/>
          <w:color w:val="000000" w:themeColor="text1"/>
        </w:rPr>
        <w:t>, Wilcoxon signed rank test</w:t>
      </w:r>
      <w:r w:rsidRPr="00AD2A6B">
        <w:rPr>
          <w:rFonts w:ascii="Times" w:hAnsi="Times"/>
          <w:color w:val="000000" w:themeColor="text1"/>
        </w:rPr>
        <w:t>)</w:t>
      </w:r>
      <w:r>
        <w:rPr>
          <w:rFonts w:ascii="Times" w:hAnsi="Times"/>
          <w:bCs/>
          <w:color w:val="000000" w:themeColor="text1"/>
          <w:highlight w:val="white"/>
        </w:rPr>
        <w:t xml:space="preserve">, (C) 16 orphan and </w:t>
      </w:r>
      <w:r>
        <w:rPr>
          <w:rFonts w:ascii="Times" w:hAnsi="Times"/>
          <w:bCs/>
          <w:i/>
          <w:iCs/>
          <w:color w:val="000000" w:themeColor="text1"/>
          <w:highlight w:val="white"/>
        </w:rPr>
        <w:t>de novo</w:t>
      </w:r>
      <w:r>
        <w:rPr>
          <w:rFonts w:ascii="Times" w:hAnsi="Times"/>
          <w:bCs/>
          <w:color w:val="000000" w:themeColor="text1"/>
          <w:highlight w:val="white"/>
        </w:rPr>
        <w:t xml:space="preserve"> genes with proteomic data (MS/MS), shown is the mean of the log</w:t>
      </w:r>
      <w:r w:rsidRPr="00F84FC9">
        <w:rPr>
          <w:rFonts w:ascii="Times" w:hAnsi="Times"/>
          <w:bCs/>
          <w:color w:val="000000" w:themeColor="text1"/>
          <w:highlight w:val="white"/>
          <w:vertAlign w:val="subscript"/>
        </w:rPr>
        <w:t>2</w:t>
      </w:r>
      <w:r>
        <w:rPr>
          <w:rFonts w:ascii="Times" w:hAnsi="Times"/>
          <w:bCs/>
          <w:color w:val="000000" w:themeColor="text1"/>
          <w:highlight w:val="white"/>
        </w:rPr>
        <w:t xml:space="preserve"> transformed abundance values across six </w:t>
      </w:r>
      <w:r w:rsidRPr="00333E28">
        <w:rPr>
          <w:bCs/>
          <w:i/>
          <w:iCs/>
          <w:color w:val="000000" w:themeColor="text1"/>
        </w:rPr>
        <w:t xml:space="preserve">P. </w:t>
      </w:r>
      <w:proofErr w:type="spellStart"/>
      <w:r w:rsidRPr="00333E28">
        <w:rPr>
          <w:bCs/>
          <w:i/>
          <w:iCs/>
          <w:color w:val="000000" w:themeColor="text1"/>
        </w:rPr>
        <w:t>trichocarpa</w:t>
      </w:r>
      <w:proofErr w:type="spellEnd"/>
      <w:r>
        <w:rPr>
          <w:rFonts w:ascii="Times" w:hAnsi="Times"/>
          <w:bCs/>
          <w:color w:val="000000" w:themeColor="text1"/>
          <w:highlight w:val="white"/>
        </w:rPr>
        <w:t xml:space="preserve"> genotypes</w:t>
      </w:r>
      <w:r>
        <w:rPr>
          <w:rFonts w:ascii="Times" w:hAnsi="Times"/>
          <w:bCs/>
          <w:i/>
          <w:iCs/>
          <w:color w:val="000000" w:themeColor="text1"/>
          <w:highlight w:val="white"/>
        </w:rPr>
        <w:t xml:space="preserve"> </w:t>
      </w:r>
      <w:r>
        <w:rPr>
          <w:rFonts w:ascii="Times" w:hAnsi="Times"/>
          <w:bCs/>
          <w:color w:val="000000" w:themeColor="text1"/>
          <w:highlight w:val="white"/>
        </w:rPr>
        <w:t xml:space="preserve">(D) </w:t>
      </w:r>
      <w:r w:rsidRPr="00AD2A6B">
        <w:rPr>
          <w:rFonts w:ascii="Times" w:hAnsi="Times"/>
          <w:bCs/>
          <w:color w:val="000000" w:themeColor="text1"/>
          <w:highlight w:val="white"/>
        </w:rPr>
        <w:t>Expression variation distribution in xylem (533 genotypes) and leaf (470 genotypes)</w:t>
      </w:r>
      <w:r>
        <w:rPr>
          <w:rFonts w:ascii="Times" w:hAnsi="Times"/>
          <w:bCs/>
          <w:color w:val="000000" w:themeColor="text1"/>
          <w:highlight w:val="white"/>
        </w:rPr>
        <w:t xml:space="preserve"> from publicly available RNA-Seq data (Table II-S11) for all </w:t>
      </w:r>
      <w:r w:rsidRPr="00333E28">
        <w:rPr>
          <w:bCs/>
          <w:i/>
          <w:iCs/>
          <w:color w:val="000000" w:themeColor="text1"/>
        </w:rPr>
        <w:t xml:space="preserve">P. </w:t>
      </w:r>
      <w:proofErr w:type="spellStart"/>
      <w:r w:rsidRPr="00333E28">
        <w:rPr>
          <w:bCs/>
          <w:i/>
          <w:iCs/>
          <w:color w:val="000000" w:themeColor="text1"/>
        </w:rPr>
        <w:t>trichocarpa</w:t>
      </w:r>
      <w:proofErr w:type="spellEnd"/>
      <w:r>
        <w:rPr>
          <w:rFonts w:ascii="Times" w:hAnsi="Times"/>
          <w:bCs/>
          <w:i/>
          <w:iCs/>
          <w:color w:val="000000" w:themeColor="text1"/>
          <w:highlight w:val="white"/>
        </w:rPr>
        <w:t xml:space="preserve"> </w:t>
      </w:r>
      <w:r>
        <w:rPr>
          <w:rFonts w:ascii="Times" w:hAnsi="Times"/>
          <w:bCs/>
          <w:color w:val="000000" w:themeColor="text1"/>
          <w:highlight w:val="white"/>
        </w:rPr>
        <w:t>genes with expression evidence, o</w:t>
      </w:r>
      <w:r w:rsidRPr="00AD2A6B">
        <w:rPr>
          <w:rFonts w:ascii="Times" w:hAnsi="Times"/>
          <w:bCs/>
          <w:color w:val="000000" w:themeColor="text1"/>
          <w:highlight w:val="white"/>
        </w:rPr>
        <w:t>rphan genes are highlighted as red points</w:t>
      </w:r>
      <w:r>
        <w:rPr>
          <w:rFonts w:ascii="Times" w:hAnsi="Times"/>
          <w:bCs/>
          <w:color w:val="000000" w:themeColor="text1"/>
          <w:highlight w:val="white"/>
        </w:rPr>
        <w:t>.</w:t>
      </w:r>
    </w:p>
    <w:p w14:paraId="13207DF8" w14:textId="77777777" w:rsidR="00636B5B" w:rsidRDefault="00636B5B" w:rsidP="00CE7936">
      <w:pPr>
        <w:widowControl w:val="0"/>
        <w:autoSpaceDE w:val="0"/>
        <w:autoSpaceDN w:val="0"/>
        <w:adjustRightInd w:val="0"/>
        <w:rPr>
          <w:bCs/>
          <w:color w:val="000000" w:themeColor="text1"/>
        </w:rPr>
      </w:pPr>
    </w:p>
    <w:p w14:paraId="608D4884" w14:textId="77777777" w:rsidR="00636B5B" w:rsidRDefault="00636B5B" w:rsidP="00CE7936">
      <w:pPr>
        <w:widowControl w:val="0"/>
        <w:autoSpaceDE w:val="0"/>
        <w:autoSpaceDN w:val="0"/>
        <w:adjustRightInd w:val="0"/>
        <w:rPr>
          <w:bCs/>
          <w:color w:val="000000" w:themeColor="text1"/>
        </w:rPr>
      </w:pPr>
    </w:p>
    <w:p w14:paraId="2723DD5A" w14:textId="77777777" w:rsidR="00636B5B" w:rsidRDefault="00636B5B" w:rsidP="00CE7936">
      <w:pPr>
        <w:widowControl w:val="0"/>
        <w:autoSpaceDE w:val="0"/>
        <w:autoSpaceDN w:val="0"/>
        <w:adjustRightInd w:val="0"/>
        <w:rPr>
          <w:bCs/>
          <w:color w:val="000000" w:themeColor="text1"/>
        </w:rPr>
      </w:pPr>
    </w:p>
    <w:p w14:paraId="25EF80AA" w14:textId="77777777" w:rsidR="00636B5B" w:rsidRDefault="00636B5B" w:rsidP="00CE7936">
      <w:pPr>
        <w:widowControl w:val="0"/>
        <w:autoSpaceDE w:val="0"/>
        <w:autoSpaceDN w:val="0"/>
        <w:adjustRightInd w:val="0"/>
        <w:rPr>
          <w:bCs/>
          <w:color w:val="000000" w:themeColor="text1"/>
        </w:rPr>
      </w:pPr>
    </w:p>
    <w:p w14:paraId="7027D1B9" w14:textId="77777777" w:rsidR="00636B5B" w:rsidRDefault="00636B5B" w:rsidP="00CE7936">
      <w:pPr>
        <w:widowControl w:val="0"/>
        <w:autoSpaceDE w:val="0"/>
        <w:autoSpaceDN w:val="0"/>
        <w:adjustRightInd w:val="0"/>
        <w:rPr>
          <w:bCs/>
          <w:color w:val="000000" w:themeColor="text1"/>
        </w:rPr>
      </w:pPr>
    </w:p>
    <w:p w14:paraId="42A5897D" w14:textId="77777777" w:rsidR="00636B5B" w:rsidRDefault="00636B5B" w:rsidP="00CE7936">
      <w:pPr>
        <w:widowControl w:val="0"/>
        <w:autoSpaceDE w:val="0"/>
        <w:autoSpaceDN w:val="0"/>
        <w:adjustRightInd w:val="0"/>
        <w:rPr>
          <w:bCs/>
          <w:color w:val="000000" w:themeColor="text1"/>
        </w:rPr>
      </w:pPr>
    </w:p>
    <w:p w14:paraId="63984DCF" w14:textId="77777777" w:rsidR="00636B5B" w:rsidRDefault="00636B5B" w:rsidP="00CE7936">
      <w:pPr>
        <w:jc w:val="both"/>
        <w:rPr>
          <w:b/>
        </w:rPr>
      </w:pPr>
    </w:p>
    <w:p w14:paraId="64EDF063" w14:textId="77777777" w:rsidR="00636B5B" w:rsidRDefault="00636B5B" w:rsidP="00CE7936">
      <w:pPr>
        <w:jc w:val="both"/>
        <w:rPr>
          <w:b/>
        </w:rPr>
      </w:pPr>
    </w:p>
    <w:p w14:paraId="172BFF47" w14:textId="77777777" w:rsidR="00636B5B" w:rsidRDefault="00636B5B" w:rsidP="00CE7936">
      <w:pPr>
        <w:jc w:val="both"/>
        <w:rPr>
          <w:b/>
        </w:rPr>
      </w:pPr>
    </w:p>
    <w:p w14:paraId="0DECFD32" w14:textId="77777777" w:rsidR="00636B5B" w:rsidRDefault="00636B5B" w:rsidP="00CE7936">
      <w:pPr>
        <w:jc w:val="both"/>
        <w:rPr>
          <w:b/>
        </w:rPr>
      </w:pPr>
    </w:p>
    <w:p w14:paraId="57BA15B2" w14:textId="77777777" w:rsidR="00636B5B" w:rsidRDefault="00636B5B" w:rsidP="00CE7936">
      <w:pPr>
        <w:jc w:val="both"/>
        <w:rPr>
          <w:b/>
        </w:rPr>
      </w:pPr>
    </w:p>
    <w:p w14:paraId="18DF1FCA" w14:textId="77777777" w:rsidR="00636B5B" w:rsidRDefault="00636B5B" w:rsidP="00CE7936">
      <w:pPr>
        <w:jc w:val="both"/>
        <w:rPr>
          <w:b/>
        </w:rPr>
      </w:pPr>
    </w:p>
    <w:p w14:paraId="42D33EDB" w14:textId="77777777" w:rsidR="00636B5B" w:rsidRDefault="00636B5B" w:rsidP="00CE7936">
      <w:pPr>
        <w:jc w:val="both"/>
        <w:rPr>
          <w:b/>
        </w:rPr>
      </w:pPr>
    </w:p>
    <w:p w14:paraId="3D1F336C" w14:textId="77777777" w:rsidR="00636B5B" w:rsidRDefault="00636B5B" w:rsidP="00CE7936">
      <w:pPr>
        <w:jc w:val="both"/>
        <w:rPr>
          <w:b/>
        </w:rPr>
      </w:pPr>
    </w:p>
    <w:p w14:paraId="7104843B" w14:textId="77777777" w:rsidR="00636B5B" w:rsidRDefault="00636B5B" w:rsidP="00CE7936">
      <w:pPr>
        <w:jc w:val="both"/>
        <w:rPr>
          <w:b/>
        </w:rPr>
      </w:pPr>
    </w:p>
    <w:p w14:paraId="5551CF02" w14:textId="77777777" w:rsidR="00636B5B" w:rsidRPr="00537A0F" w:rsidRDefault="00636B5B" w:rsidP="00CE7936">
      <w:pPr>
        <w:jc w:val="both"/>
        <w:rPr>
          <w:b/>
        </w:rPr>
      </w:pPr>
      <w:r w:rsidRPr="00EA6757">
        <w:rPr>
          <w:bCs/>
          <w:noProof/>
        </w:rPr>
        <w:lastRenderedPageBreak/>
        <w:drawing>
          <wp:anchor distT="0" distB="0" distL="114300" distR="114300" simplePos="0" relativeHeight="251660288" behindDoc="0" locked="0" layoutInCell="1" allowOverlap="1" wp14:anchorId="731930B0" wp14:editId="286DD6E3">
            <wp:simplePos x="0" y="0"/>
            <wp:positionH relativeFrom="column">
              <wp:posOffset>635</wp:posOffset>
            </wp:positionH>
            <wp:positionV relativeFrom="paragraph">
              <wp:posOffset>0</wp:posOffset>
            </wp:positionV>
            <wp:extent cx="5943600" cy="4061460"/>
            <wp:effectExtent l="0" t="0" r="0" b="2540"/>
            <wp:wrapSquare wrapText="bothSides"/>
            <wp:docPr id="10" name="Picture 3" descr="A picture containing screenshot&#10;&#10;Description automatically generated">
              <a:extLst xmlns:a="http://schemas.openxmlformats.org/drawingml/2006/main">
                <a:ext uri="{FF2B5EF4-FFF2-40B4-BE49-F238E27FC236}">
                  <a16:creationId xmlns:a16="http://schemas.microsoft.com/office/drawing/2014/main" id="{3E92F35B-4E5B-7F4C-B887-F2C8404FBD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picture containing screenshot&#10;&#10;Description automatically generated">
                      <a:extLst>
                        <a:ext uri="{FF2B5EF4-FFF2-40B4-BE49-F238E27FC236}">
                          <a16:creationId xmlns:a16="http://schemas.microsoft.com/office/drawing/2014/main" id="{3E92F35B-4E5B-7F4C-B887-F2C8404FBD4E}"/>
                        </a:ext>
                      </a:extLst>
                    </pic:cNvPr>
                    <pic:cNvPicPr>
                      <a:picLocks noChangeAspect="1"/>
                    </pic:cNvPicPr>
                  </pic:nvPicPr>
                  <pic:blipFill>
                    <a:blip r:embed="rId20" cstate="print">
                      <a:extLst>
                        <a:ext uri="{28A0092B-C50C-407E-A947-70E740481C1C}">
                          <a14:useLocalDpi xmlns:a14="http://schemas.microsoft.com/office/drawing/2010/main"/>
                        </a:ext>
                      </a:extLst>
                    </a:blip>
                    <a:stretch>
                      <a:fillRect/>
                    </a:stretch>
                  </pic:blipFill>
                  <pic:spPr>
                    <a:xfrm>
                      <a:off x="0" y="0"/>
                      <a:ext cx="5943600" cy="4061460"/>
                    </a:xfrm>
                    <a:prstGeom prst="rect">
                      <a:avLst/>
                    </a:prstGeom>
                  </pic:spPr>
                </pic:pic>
              </a:graphicData>
            </a:graphic>
            <wp14:sizeRelH relativeFrom="page">
              <wp14:pctWidth>0</wp14:pctWidth>
            </wp14:sizeRelH>
            <wp14:sizeRelV relativeFrom="page">
              <wp14:pctHeight>0</wp14:pctHeight>
            </wp14:sizeRelV>
          </wp:anchor>
        </w:drawing>
      </w:r>
      <w:r w:rsidRPr="00142CEC">
        <w:rPr>
          <w:b/>
        </w:rPr>
        <w:t>Fig</w:t>
      </w:r>
      <w:r>
        <w:rPr>
          <w:b/>
        </w:rPr>
        <w:t>ure</w:t>
      </w:r>
      <w:r w:rsidRPr="00142CEC">
        <w:rPr>
          <w:b/>
        </w:rPr>
        <w:t xml:space="preserve"> </w:t>
      </w:r>
      <w:r>
        <w:rPr>
          <w:b/>
        </w:rPr>
        <w:t>II-4</w:t>
      </w:r>
      <w:r w:rsidRPr="00142CEC">
        <w:rPr>
          <w:b/>
        </w:rPr>
        <w:t>.</w:t>
      </w:r>
      <w:r>
        <w:rPr>
          <w:b/>
        </w:rPr>
        <w:t xml:space="preserve"> </w:t>
      </w:r>
      <w:r w:rsidRPr="00AD2A6B">
        <w:rPr>
          <w:i/>
          <w:iCs/>
        </w:rPr>
        <w:t>cis</w:t>
      </w:r>
      <w:r w:rsidRPr="00AD2A6B">
        <w:rPr>
          <w:i/>
          <w:iCs/>
        </w:rPr>
        <w:softHyphen/>
      </w:r>
      <w:r w:rsidRPr="00AD2A6B">
        <w:t>-</w:t>
      </w:r>
      <w:proofErr w:type="spellStart"/>
      <w:r w:rsidRPr="00AD2A6B">
        <w:t>eQTL</w:t>
      </w:r>
      <w:proofErr w:type="spellEnd"/>
      <w:r w:rsidRPr="00AD2A6B">
        <w:t xml:space="preserve"> analysis facilitates assignment and reconstruction </w:t>
      </w:r>
      <w:r>
        <w:t xml:space="preserve">of </w:t>
      </w:r>
      <w:r w:rsidRPr="00AD2A6B">
        <w:t>probable proximal regulatory elements</w:t>
      </w:r>
      <w:r>
        <w:rPr>
          <w:bCs/>
        </w:rPr>
        <w:t xml:space="preserve">, (A) </w:t>
      </w:r>
      <w:r w:rsidRPr="00395A1B">
        <w:rPr>
          <w:bCs/>
          <w:color w:val="222222"/>
        </w:rPr>
        <w:t>Potri.001G400201</w:t>
      </w:r>
      <w:r>
        <w:rPr>
          <w:bCs/>
          <w:color w:val="222222"/>
        </w:rPr>
        <w:t xml:space="preserve"> Manhattan plot depicting the </w:t>
      </w:r>
      <w:r>
        <w:rPr>
          <w:bCs/>
          <w:i/>
          <w:iCs/>
          <w:color w:val="222222"/>
        </w:rPr>
        <w:t>cis</w:t>
      </w:r>
      <w:r>
        <w:rPr>
          <w:bCs/>
          <w:color w:val="222222"/>
        </w:rPr>
        <w:t>-</w:t>
      </w:r>
      <w:proofErr w:type="spellStart"/>
      <w:r>
        <w:rPr>
          <w:bCs/>
          <w:color w:val="222222"/>
        </w:rPr>
        <w:t>eQTL</w:t>
      </w:r>
      <w:proofErr w:type="spellEnd"/>
      <w:r>
        <w:rPr>
          <w:bCs/>
          <w:color w:val="222222"/>
        </w:rPr>
        <w:t xml:space="preserve"> interval, the red dot is the most significant SNP, with a significant match to a homeobox TFBS</w:t>
      </w:r>
      <w:r>
        <w:rPr>
          <w:rFonts w:ascii="Times" w:hAnsi="Times"/>
          <w:bCs/>
          <w:color w:val="000000" w:themeColor="text1"/>
        </w:rPr>
        <w:t xml:space="preserve">, (B) The reconstructed homeobox TFBS from the most significant SNP in </w:t>
      </w:r>
      <w:r w:rsidRPr="00395A1B">
        <w:rPr>
          <w:bCs/>
          <w:color w:val="222222"/>
        </w:rPr>
        <w:t>Potri.001G400201</w:t>
      </w:r>
      <w:r>
        <w:rPr>
          <w:bCs/>
          <w:color w:val="222222"/>
        </w:rPr>
        <w:t xml:space="preserve">’s </w:t>
      </w:r>
      <w:r>
        <w:rPr>
          <w:bCs/>
          <w:i/>
          <w:iCs/>
          <w:color w:val="222222"/>
        </w:rPr>
        <w:t>cis</w:t>
      </w:r>
      <w:r>
        <w:rPr>
          <w:bCs/>
          <w:color w:val="222222"/>
        </w:rPr>
        <w:t>-</w:t>
      </w:r>
      <w:proofErr w:type="spellStart"/>
      <w:r>
        <w:rPr>
          <w:bCs/>
          <w:color w:val="222222"/>
        </w:rPr>
        <w:t>eQTL</w:t>
      </w:r>
      <w:proofErr w:type="spellEnd"/>
      <w:r>
        <w:rPr>
          <w:bCs/>
          <w:color w:val="222222"/>
        </w:rPr>
        <w:t xml:space="preserve"> interval</w:t>
      </w:r>
      <w:r>
        <w:rPr>
          <w:rFonts w:ascii="Times" w:hAnsi="Times"/>
          <w:bCs/>
          <w:color w:val="000000" w:themeColor="text1"/>
        </w:rPr>
        <w:t xml:space="preserve"> (C) </w:t>
      </w:r>
      <w:r w:rsidRPr="00F07B82">
        <w:rPr>
          <w:bCs/>
        </w:rPr>
        <w:t>Potri.002G037600</w:t>
      </w:r>
      <w:r>
        <w:rPr>
          <w:bCs/>
        </w:rPr>
        <w:t xml:space="preserve"> Manhattan plot depicting the </w:t>
      </w:r>
      <w:r>
        <w:rPr>
          <w:bCs/>
          <w:i/>
          <w:iCs/>
        </w:rPr>
        <w:t>cis</w:t>
      </w:r>
      <w:r>
        <w:rPr>
          <w:bCs/>
        </w:rPr>
        <w:t>-</w:t>
      </w:r>
      <w:proofErr w:type="spellStart"/>
      <w:r>
        <w:rPr>
          <w:bCs/>
        </w:rPr>
        <w:t>eQTL</w:t>
      </w:r>
      <w:proofErr w:type="spellEnd"/>
      <w:r>
        <w:rPr>
          <w:bCs/>
        </w:rPr>
        <w:t xml:space="preserve"> interval, the three points within the exon are all non-synonymous SNPs, (D) SNP effect on gene expression for </w:t>
      </w:r>
      <w:r w:rsidRPr="00F07B82">
        <w:rPr>
          <w:bCs/>
        </w:rPr>
        <w:t>Potri.002G037600</w:t>
      </w:r>
      <w:r>
        <w:rPr>
          <w:bCs/>
        </w:rPr>
        <w:t xml:space="preserve">, for three </w:t>
      </w:r>
      <w:proofErr w:type="spellStart"/>
      <w:r>
        <w:rPr>
          <w:bCs/>
        </w:rPr>
        <w:t>exonic</w:t>
      </w:r>
      <w:proofErr w:type="spellEnd"/>
      <w:r>
        <w:rPr>
          <w:bCs/>
        </w:rPr>
        <w:t xml:space="preserve"> SNPs, Chr02:2428758, Chr02:2428788, and Chr02:2428932.</w:t>
      </w:r>
    </w:p>
    <w:p w14:paraId="3E7F5811" w14:textId="77777777" w:rsidR="00636B5B" w:rsidRDefault="00636B5B" w:rsidP="00CE7936">
      <w:pPr>
        <w:spacing w:line="360" w:lineRule="auto"/>
        <w:jc w:val="both"/>
        <w:rPr>
          <w:bCs/>
        </w:rPr>
      </w:pPr>
    </w:p>
    <w:p w14:paraId="366263EF" w14:textId="77777777" w:rsidR="00636B5B" w:rsidRDefault="00636B5B" w:rsidP="00CE7936">
      <w:pPr>
        <w:spacing w:line="360" w:lineRule="auto"/>
        <w:jc w:val="both"/>
        <w:rPr>
          <w:bCs/>
        </w:rPr>
      </w:pPr>
    </w:p>
    <w:p w14:paraId="77A0A6E8" w14:textId="77777777" w:rsidR="00636B5B" w:rsidRDefault="00636B5B" w:rsidP="00CE7936">
      <w:pPr>
        <w:spacing w:line="360" w:lineRule="auto"/>
        <w:jc w:val="both"/>
        <w:rPr>
          <w:bCs/>
        </w:rPr>
      </w:pPr>
    </w:p>
    <w:p w14:paraId="692FFF60" w14:textId="77777777" w:rsidR="00636B5B" w:rsidRDefault="00636B5B" w:rsidP="00CE7936">
      <w:pPr>
        <w:spacing w:line="360" w:lineRule="auto"/>
        <w:jc w:val="both"/>
        <w:rPr>
          <w:bCs/>
        </w:rPr>
      </w:pPr>
    </w:p>
    <w:p w14:paraId="7164F1B2" w14:textId="77777777" w:rsidR="00636B5B" w:rsidRDefault="00636B5B" w:rsidP="00CE7936">
      <w:pPr>
        <w:spacing w:line="360" w:lineRule="auto"/>
        <w:jc w:val="both"/>
        <w:rPr>
          <w:bCs/>
        </w:rPr>
      </w:pPr>
    </w:p>
    <w:p w14:paraId="4899221D" w14:textId="77777777" w:rsidR="00636B5B" w:rsidRDefault="00636B5B" w:rsidP="00CE7936">
      <w:pPr>
        <w:spacing w:line="360" w:lineRule="auto"/>
        <w:jc w:val="both"/>
        <w:rPr>
          <w:bCs/>
        </w:rPr>
      </w:pPr>
    </w:p>
    <w:p w14:paraId="35BE9478" w14:textId="77777777" w:rsidR="00636B5B" w:rsidRDefault="00636B5B" w:rsidP="00CE7936">
      <w:pPr>
        <w:spacing w:line="360" w:lineRule="auto"/>
        <w:jc w:val="both"/>
        <w:rPr>
          <w:bCs/>
        </w:rPr>
      </w:pPr>
    </w:p>
    <w:p w14:paraId="6B528294" w14:textId="77777777" w:rsidR="00636B5B" w:rsidRDefault="00636B5B" w:rsidP="00CE7936">
      <w:pPr>
        <w:spacing w:line="360" w:lineRule="auto"/>
        <w:jc w:val="both"/>
        <w:rPr>
          <w:bCs/>
        </w:rPr>
      </w:pPr>
    </w:p>
    <w:p w14:paraId="57685070" w14:textId="77777777" w:rsidR="00636B5B" w:rsidRDefault="00636B5B" w:rsidP="00CE7936">
      <w:pPr>
        <w:spacing w:line="360" w:lineRule="auto"/>
        <w:jc w:val="both"/>
        <w:rPr>
          <w:bCs/>
        </w:rPr>
      </w:pPr>
    </w:p>
    <w:p w14:paraId="57E2CF73" w14:textId="77777777" w:rsidR="00636B5B" w:rsidRDefault="00636B5B" w:rsidP="00CE7936">
      <w:pPr>
        <w:spacing w:line="360" w:lineRule="auto"/>
        <w:jc w:val="both"/>
        <w:rPr>
          <w:bCs/>
        </w:rPr>
      </w:pPr>
    </w:p>
    <w:p w14:paraId="333D44CC" w14:textId="77777777" w:rsidR="00636B5B" w:rsidRDefault="00636B5B" w:rsidP="00CE7936">
      <w:pPr>
        <w:spacing w:line="360" w:lineRule="auto"/>
        <w:jc w:val="both"/>
        <w:rPr>
          <w:bCs/>
        </w:rPr>
      </w:pPr>
    </w:p>
    <w:p w14:paraId="50850DAA" w14:textId="77777777" w:rsidR="00636B5B" w:rsidRDefault="00636B5B" w:rsidP="00CE7936">
      <w:pPr>
        <w:spacing w:line="360" w:lineRule="auto"/>
        <w:jc w:val="both"/>
        <w:rPr>
          <w:bCs/>
        </w:rPr>
      </w:pPr>
      <w:r w:rsidRPr="00594534">
        <w:rPr>
          <w:bCs/>
          <w:noProof/>
        </w:rPr>
        <w:lastRenderedPageBreak/>
        <w:drawing>
          <wp:inline distT="0" distB="0" distL="0" distR="0" wp14:anchorId="18D97B30" wp14:editId="6A57A72B">
            <wp:extent cx="5943600" cy="4232275"/>
            <wp:effectExtent l="0" t="0" r="0" b="0"/>
            <wp:docPr id="11" name="Content Placeholder 6" descr="Graphical user interface, application&#10;&#10;Description automatically generated">
              <a:extLst xmlns:a="http://schemas.openxmlformats.org/drawingml/2006/main">
                <a:ext uri="{FF2B5EF4-FFF2-40B4-BE49-F238E27FC236}">
                  <a16:creationId xmlns:a16="http://schemas.microsoft.com/office/drawing/2014/main" id="{1ABDC906-92FC-D740-802E-36023D6747C9}"/>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9" name="Content Placeholder 6" descr="Graphical user interface, application&#10;&#10;Description automatically generated">
                      <a:extLst>
                        <a:ext uri="{FF2B5EF4-FFF2-40B4-BE49-F238E27FC236}">
                          <a16:creationId xmlns:a16="http://schemas.microsoft.com/office/drawing/2014/main" id="{1ABDC906-92FC-D740-802E-36023D6747C9}"/>
                        </a:ext>
                      </a:extLst>
                    </pic:cNvPr>
                    <pic:cNvPicPr>
                      <a:picLocks noGrp="1" noChangeAspect="1"/>
                    </pic:cNvPicPr>
                  </pic:nvPicPr>
                  <pic:blipFill>
                    <a:blip r:embed="rId21" cstate="print">
                      <a:extLst>
                        <a:ext uri="{28A0092B-C50C-407E-A947-70E740481C1C}">
                          <a14:useLocalDpi xmlns:a14="http://schemas.microsoft.com/office/drawing/2010/main"/>
                        </a:ext>
                      </a:extLst>
                    </a:blip>
                    <a:stretch>
                      <a:fillRect/>
                    </a:stretch>
                  </pic:blipFill>
                  <pic:spPr>
                    <a:xfrm>
                      <a:off x="0" y="0"/>
                      <a:ext cx="5943600" cy="4232275"/>
                    </a:xfrm>
                    <a:prstGeom prst="rect">
                      <a:avLst/>
                    </a:prstGeom>
                  </pic:spPr>
                </pic:pic>
              </a:graphicData>
            </a:graphic>
          </wp:inline>
        </w:drawing>
      </w:r>
    </w:p>
    <w:p w14:paraId="1B6A1E82" w14:textId="77777777" w:rsidR="00636B5B" w:rsidRDefault="00636B5B" w:rsidP="00CE7936">
      <w:pPr>
        <w:jc w:val="both"/>
        <w:rPr>
          <w:bCs/>
        </w:rPr>
      </w:pPr>
      <w:r>
        <w:rPr>
          <w:rFonts w:ascii="Times" w:hAnsi="Times"/>
          <w:b/>
          <w:color w:val="000000" w:themeColor="text1"/>
          <w:highlight w:val="white"/>
        </w:rPr>
        <w:t xml:space="preserve">Figure II-5.  </w:t>
      </w:r>
      <w:r w:rsidRPr="00AD2A6B">
        <w:rPr>
          <w:rFonts w:ascii="Times" w:hAnsi="Times"/>
          <w:i/>
          <w:iCs/>
          <w:color w:val="000000" w:themeColor="text1"/>
          <w:highlight w:val="white"/>
        </w:rPr>
        <w:t>trans</w:t>
      </w:r>
      <w:r w:rsidRPr="00AD2A6B">
        <w:rPr>
          <w:rFonts w:ascii="Times" w:hAnsi="Times"/>
          <w:color w:val="000000" w:themeColor="text1"/>
          <w:highlight w:val="white"/>
        </w:rPr>
        <w:t>-</w:t>
      </w:r>
      <w:proofErr w:type="spellStart"/>
      <w:r w:rsidRPr="00AD2A6B">
        <w:rPr>
          <w:rFonts w:ascii="Times" w:hAnsi="Times"/>
          <w:color w:val="000000" w:themeColor="text1"/>
          <w:highlight w:val="white"/>
        </w:rPr>
        <w:t>eQTL</w:t>
      </w:r>
      <w:proofErr w:type="spellEnd"/>
      <w:r w:rsidRPr="00AD2A6B">
        <w:rPr>
          <w:rFonts w:ascii="Times" w:hAnsi="Times"/>
          <w:color w:val="000000" w:themeColor="text1"/>
          <w:highlight w:val="white"/>
        </w:rPr>
        <w:t xml:space="preserve"> analysis of orphan genes in the GWAS mapping panel</w:t>
      </w:r>
      <w:r>
        <w:rPr>
          <w:rFonts w:ascii="Times" w:hAnsi="Times"/>
          <w:bCs/>
          <w:color w:val="000000" w:themeColor="text1"/>
          <w:highlight w:val="white"/>
        </w:rPr>
        <w:t xml:space="preserve"> (A) Count of genes regulated by putative </w:t>
      </w:r>
      <w:r>
        <w:rPr>
          <w:rFonts w:ascii="Times" w:hAnsi="Times"/>
          <w:bCs/>
          <w:i/>
          <w:iCs/>
          <w:color w:val="000000" w:themeColor="text1"/>
          <w:highlight w:val="white"/>
        </w:rPr>
        <w:t>trans</w:t>
      </w:r>
      <w:r>
        <w:rPr>
          <w:rFonts w:ascii="Times" w:hAnsi="Times"/>
          <w:bCs/>
          <w:color w:val="000000" w:themeColor="text1"/>
          <w:highlight w:val="white"/>
        </w:rPr>
        <w:t>-</w:t>
      </w:r>
      <w:proofErr w:type="spellStart"/>
      <w:r>
        <w:rPr>
          <w:rFonts w:ascii="Times" w:hAnsi="Times"/>
          <w:bCs/>
          <w:color w:val="000000" w:themeColor="text1"/>
          <w:highlight w:val="white"/>
        </w:rPr>
        <w:t>eQTL</w:t>
      </w:r>
      <w:proofErr w:type="spellEnd"/>
      <w:r>
        <w:rPr>
          <w:rFonts w:ascii="Times" w:hAnsi="Times"/>
          <w:bCs/>
          <w:color w:val="000000" w:themeColor="text1"/>
          <w:highlight w:val="white"/>
        </w:rPr>
        <w:t xml:space="preserve"> (SNPs) in leaf and xylem, all trans-</w:t>
      </w:r>
      <w:proofErr w:type="spellStart"/>
      <w:r>
        <w:rPr>
          <w:rFonts w:ascii="Times" w:hAnsi="Times"/>
          <w:bCs/>
          <w:color w:val="000000" w:themeColor="text1"/>
          <w:highlight w:val="white"/>
        </w:rPr>
        <w:t>eQTL</w:t>
      </w:r>
      <w:proofErr w:type="spellEnd"/>
      <w:r>
        <w:rPr>
          <w:rFonts w:ascii="Times" w:hAnsi="Times"/>
          <w:bCs/>
          <w:color w:val="000000" w:themeColor="text1"/>
          <w:highlight w:val="white"/>
        </w:rPr>
        <w:t xml:space="preserve"> shown putatively regulate one or more orphan gene, (B) </w:t>
      </w:r>
      <w:r>
        <w:rPr>
          <w:rFonts w:ascii="Times" w:hAnsi="Times"/>
          <w:bCs/>
          <w:i/>
          <w:iCs/>
          <w:color w:val="000000" w:themeColor="text1"/>
          <w:highlight w:val="white"/>
        </w:rPr>
        <w:t>trans-</w:t>
      </w:r>
      <w:proofErr w:type="spellStart"/>
      <w:r>
        <w:rPr>
          <w:rFonts w:ascii="Times" w:hAnsi="Times"/>
          <w:bCs/>
          <w:color w:val="000000" w:themeColor="text1"/>
          <w:highlight w:val="white"/>
        </w:rPr>
        <w:t>eQTL</w:t>
      </w:r>
      <w:proofErr w:type="spellEnd"/>
      <w:r>
        <w:rPr>
          <w:rFonts w:ascii="Times" w:hAnsi="Times"/>
          <w:bCs/>
          <w:color w:val="000000" w:themeColor="text1"/>
          <w:highlight w:val="white"/>
        </w:rPr>
        <w:t xml:space="preserve"> analysis in leaf and xylem for </w:t>
      </w:r>
      <w:r w:rsidRPr="00915184">
        <w:rPr>
          <w:bCs/>
        </w:rPr>
        <w:t>Potri.003G199150</w:t>
      </w:r>
      <w:r>
        <w:rPr>
          <w:bCs/>
        </w:rPr>
        <w:t xml:space="preserve">, (C) Functional enrichment of three </w:t>
      </w:r>
      <w:r>
        <w:rPr>
          <w:bCs/>
          <w:i/>
          <w:iCs/>
        </w:rPr>
        <w:t>trans-</w:t>
      </w:r>
      <w:proofErr w:type="spellStart"/>
      <w:r>
        <w:rPr>
          <w:bCs/>
        </w:rPr>
        <w:t>eQTL</w:t>
      </w:r>
      <w:proofErr w:type="spellEnd"/>
      <w:r>
        <w:rPr>
          <w:bCs/>
        </w:rPr>
        <w:t xml:space="preserve"> intervals with similar functional roles, all three GO ontologies are represented in this figure.</w:t>
      </w:r>
    </w:p>
    <w:p w14:paraId="51211C58" w14:textId="77777777" w:rsidR="00636B5B" w:rsidRDefault="00636B5B" w:rsidP="00CE7936">
      <w:pPr>
        <w:spacing w:line="360" w:lineRule="auto"/>
        <w:jc w:val="both"/>
        <w:rPr>
          <w:bCs/>
        </w:rPr>
      </w:pPr>
    </w:p>
    <w:p w14:paraId="7E4941DE" w14:textId="77777777" w:rsidR="00636B5B" w:rsidRDefault="00636B5B" w:rsidP="00CE7936">
      <w:pPr>
        <w:widowControl w:val="0"/>
        <w:autoSpaceDE w:val="0"/>
        <w:autoSpaceDN w:val="0"/>
        <w:adjustRightInd w:val="0"/>
        <w:rPr>
          <w:bCs/>
          <w:color w:val="000000" w:themeColor="text1"/>
        </w:rPr>
      </w:pPr>
    </w:p>
    <w:p w14:paraId="5B70E30C" w14:textId="77777777" w:rsidR="00636B5B" w:rsidRDefault="00636B5B" w:rsidP="00CE7936">
      <w:pPr>
        <w:widowControl w:val="0"/>
        <w:autoSpaceDE w:val="0"/>
        <w:autoSpaceDN w:val="0"/>
        <w:adjustRightInd w:val="0"/>
        <w:rPr>
          <w:bCs/>
          <w:color w:val="000000" w:themeColor="text1"/>
        </w:rPr>
      </w:pPr>
    </w:p>
    <w:p w14:paraId="14C337E0" w14:textId="77777777" w:rsidR="00636B5B" w:rsidRDefault="00636B5B" w:rsidP="00CE7936">
      <w:pPr>
        <w:widowControl w:val="0"/>
        <w:autoSpaceDE w:val="0"/>
        <w:autoSpaceDN w:val="0"/>
        <w:adjustRightInd w:val="0"/>
        <w:rPr>
          <w:bCs/>
          <w:color w:val="000000" w:themeColor="text1"/>
        </w:rPr>
      </w:pPr>
    </w:p>
    <w:p w14:paraId="20435129" w14:textId="77777777" w:rsidR="00636B5B" w:rsidRDefault="00636B5B" w:rsidP="00CE7936">
      <w:pPr>
        <w:widowControl w:val="0"/>
        <w:autoSpaceDE w:val="0"/>
        <w:autoSpaceDN w:val="0"/>
        <w:adjustRightInd w:val="0"/>
        <w:rPr>
          <w:bCs/>
          <w:color w:val="000000" w:themeColor="text1"/>
        </w:rPr>
      </w:pPr>
    </w:p>
    <w:p w14:paraId="518D61FE" w14:textId="77777777" w:rsidR="00636B5B" w:rsidRDefault="00636B5B" w:rsidP="00CE7936">
      <w:pPr>
        <w:widowControl w:val="0"/>
        <w:autoSpaceDE w:val="0"/>
        <w:autoSpaceDN w:val="0"/>
        <w:adjustRightInd w:val="0"/>
        <w:rPr>
          <w:bCs/>
          <w:color w:val="000000" w:themeColor="text1"/>
        </w:rPr>
      </w:pPr>
    </w:p>
    <w:p w14:paraId="37F52DC8" w14:textId="77777777" w:rsidR="00636B5B" w:rsidRDefault="00636B5B" w:rsidP="00CE7936">
      <w:pPr>
        <w:widowControl w:val="0"/>
        <w:autoSpaceDE w:val="0"/>
        <w:autoSpaceDN w:val="0"/>
        <w:adjustRightInd w:val="0"/>
        <w:rPr>
          <w:bCs/>
          <w:color w:val="000000" w:themeColor="text1"/>
        </w:rPr>
      </w:pPr>
    </w:p>
    <w:p w14:paraId="53EA29B2" w14:textId="77777777" w:rsidR="00636B5B" w:rsidRDefault="00636B5B" w:rsidP="00CE7936">
      <w:pPr>
        <w:widowControl w:val="0"/>
        <w:autoSpaceDE w:val="0"/>
        <w:autoSpaceDN w:val="0"/>
        <w:adjustRightInd w:val="0"/>
        <w:rPr>
          <w:bCs/>
          <w:color w:val="000000" w:themeColor="text1"/>
        </w:rPr>
      </w:pPr>
    </w:p>
    <w:p w14:paraId="594E7BE9" w14:textId="77777777" w:rsidR="00636B5B" w:rsidRDefault="00636B5B" w:rsidP="00CE7936">
      <w:pPr>
        <w:widowControl w:val="0"/>
        <w:autoSpaceDE w:val="0"/>
        <w:autoSpaceDN w:val="0"/>
        <w:adjustRightInd w:val="0"/>
        <w:rPr>
          <w:bCs/>
          <w:color w:val="000000" w:themeColor="text1"/>
        </w:rPr>
      </w:pPr>
    </w:p>
    <w:p w14:paraId="32F48937" w14:textId="77777777" w:rsidR="00636B5B" w:rsidRDefault="00636B5B" w:rsidP="00CE7936">
      <w:pPr>
        <w:widowControl w:val="0"/>
        <w:autoSpaceDE w:val="0"/>
        <w:autoSpaceDN w:val="0"/>
        <w:adjustRightInd w:val="0"/>
        <w:rPr>
          <w:bCs/>
          <w:color w:val="000000" w:themeColor="text1"/>
        </w:rPr>
      </w:pPr>
    </w:p>
    <w:p w14:paraId="6A40C836" w14:textId="77777777" w:rsidR="00636B5B" w:rsidRDefault="00636B5B" w:rsidP="00CE7936">
      <w:pPr>
        <w:widowControl w:val="0"/>
        <w:autoSpaceDE w:val="0"/>
        <w:autoSpaceDN w:val="0"/>
        <w:adjustRightInd w:val="0"/>
        <w:rPr>
          <w:bCs/>
          <w:color w:val="000000" w:themeColor="text1"/>
        </w:rPr>
      </w:pPr>
    </w:p>
    <w:p w14:paraId="524DB986" w14:textId="77777777" w:rsidR="00636B5B" w:rsidRDefault="00636B5B" w:rsidP="00CE7936">
      <w:pPr>
        <w:widowControl w:val="0"/>
        <w:autoSpaceDE w:val="0"/>
        <w:autoSpaceDN w:val="0"/>
        <w:adjustRightInd w:val="0"/>
        <w:rPr>
          <w:bCs/>
          <w:color w:val="000000" w:themeColor="text1"/>
        </w:rPr>
      </w:pPr>
    </w:p>
    <w:p w14:paraId="0AD337D4" w14:textId="77777777" w:rsidR="00636B5B" w:rsidRDefault="00636B5B" w:rsidP="00CE7936">
      <w:pPr>
        <w:widowControl w:val="0"/>
        <w:autoSpaceDE w:val="0"/>
        <w:autoSpaceDN w:val="0"/>
        <w:adjustRightInd w:val="0"/>
        <w:rPr>
          <w:bCs/>
          <w:color w:val="000000" w:themeColor="text1"/>
        </w:rPr>
      </w:pPr>
    </w:p>
    <w:p w14:paraId="641173F0" w14:textId="77777777" w:rsidR="00636B5B" w:rsidRDefault="00636B5B" w:rsidP="00CE7936">
      <w:pPr>
        <w:widowControl w:val="0"/>
        <w:autoSpaceDE w:val="0"/>
        <w:autoSpaceDN w:val="0"/>
        <w:adjustRightInd w:val="0"/>
        <w:rPr>
          <w:bCs/>
          <w:color w:val="000000" w:themeColor="text1"/>
        </w:rPr>
      </w:pPr>
    </w:p>
    <w:p w14:paraId="0C99B9AC" w14:textId="77777777" w:rsidR="00636B5B" w:rsidRDefault="00636B5B" w:rsidP="00CE7936">
      <w:pPr>
        <w:widowControl w:val="0"/>
        <w:autoSpaceDE w:val="0"/>
        <w:autoSpaceDN w:val="0"/>
        <w:adjustRightInd w:val="0"/>
        <w:rPr>
          <w:bCs/>
          <w:color w:val="000000" w:themeColor="text1"/>
        </w:rPr>
      </w:pPr>
    </w:p>
    <w:p w14:paraId="0074BC27" w14:textId="77777777" w:rsidR="00636B5B" w:rsidRDefault="00636B5B" w:rsidP="00CE7936">
      <w:pPr>
        <w:widowControl w:val="0"/>
        <w:autoSpaceDE w:val="0"/>
        <w:autoSpaceDN w:val="0"/>
        <w:adjustRightInd w:val="0"/>
        <w:rPr>
          <w:bCs/>
          <w:color w:val="000000" w:themeColor="text1"/>
        </w:rPr>
      </w:pPr>
    </w:p>
    <w:p w14:paraId="1962CE48" w14:textId="77777777" w:rsidR="00636B5B" w:rsidRDefault="00636B5B" w:rsidP="00CE7936">
      <w:pPr>
        <w:widowControl w:val="0"/>
        <w:autoSpaceDE w:val="0"/>
        <w:autoSpaceDN w:val="0"/>
        <w:adjustRightInd w:val="0"/>
        <w:rPr>
          <w:bCs/>
          <w:color w:val="000000" w:themeColor="text1"/>
        </w:rPr>
      </w:pPr>
      <w:r w:rsidRPr="00887E4E">
        <w:rPr>
          <w:bCs/>
          <w:noProof/>
          <w:color w:val="000000" w:themeColor="text1"/>
        </w:rPr>
        <w:lastRenderedPageBreak/>
        <w:drawing>
          <wp:anchor distT="0" distB="0" distL="114300" distR="114300" simplePos="0" relativeHeight="251661312" behindDoc="1" locked="0" layoutInCell="1" allowOverlap="1" wp14:anchorId="3FB50871" wp14:editId="6E77400B">
            <wp:simplePos x="0" y="0"/>
            <wp:positionH relativeFrom="column">
              <wp:posOffset>2242820</wp:posOffset>
            </wp:positionH>
            <wp:positionV relativeFrom="paragraph">
              <wp:posOffset>91440</wp:posOffset>
            </wp:positionV>
            <wp:extent cx="1460240" cy="7223760"/>
            <wp:effectExtent l="0" t="0" r="635" b="2540"/>
            <wp:wrapTight wrapText="bothSides">
              <wp:wrapPolygon edited="0">
                <wp:start x="0" y="0"/>
                <wp:lineTo x="0" y="21570"/>
                <wp:lineTo x="21421" y="21570"/>
                <wp:lineTo x="21421" y="0"/>
                <wp:lineTo x="0" y="0"/>
              </wp:wrapPolygon>
            </wp:wrapTight>
            <wp:docPr id="1" name="Picture 2" descr="Diagram&#10;&#10;Description automatically generated">
              <a:extLst xmlns:a="http://schemas.openxmlformats.org/drawingml/2006/main">
                <a:ext uri="{FF2B5EF4-FFF2-40B4-BE49-F238E27FC236}">
                  <a16:creationId xmlns:a16="http://schemas.microsoft.com/office/drawing/2014/main" id="{6C384958-0CF1-1248-B077-E93FB3320B2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Diagram&#10;&#10;Description automatically generated">
                      <a:extLst>
                        <a:ext uri="{FF2B5EF4-FFF2-40B4-BE49-F238E27FC236}">
                          <a16:creationId xmlns:a16="http://schemas.microsoft.com/office/drawing/2014/main" id="{6C384958-0CF1-1248-B077-E93FB3320B2E}"/>
                        </a:ext>
                      </a:extLst>
                    </pic:cNvPr>
                    <pic:cNvPicPr>
                      <a:picLocks noChangeAspect="1"/>
                    </pic:cNvPicPr>
                  </pic:nvPicPr>
                  <pic:blipFill>
                    <a:blip r:embed="rId22" cstate="print">
                      <a:extLst>
                        <a:ext uri="{28A0092B-C50C-407E-A947-70E740481C1C}">
                          <a14:useLocalDpi xmlns:a14="http://schemas.microsoft.com/office/drawing/2010/main"/>
                        </a:ext>
                      </a:extLst>
                    </a:blip>
                    <a:stretch>
                      <a:fillRect/>
                    </a:stretch>
                  </pic:blipFill>
                  <pic:spPr>
                    <a:xfrm>
                      <a:off x="0" y="0"/>
                      <a:ext cx="1460240" cy="7223760"/>
                    </a:xfrm>
                    <a:prstGeom prst="rect">
                      <a:avLst/>
                    </a:prstGeom>
                  </pic:spPr>
                </pic:pic>
              </a:graphicData>
            </a:graphic>
            <wp14:sizeRelH relativeFrom="page">
              <wp14:pctWidth>0</wp14:pctWidth>
            </wp14:sizeRelH>
            <wp14:sizeRelV relativeFrom="page">
              <wp14:pctHeight>0</wp14:pctHeight>
            </wp14:sizeRelV>
          </wp:anchor>
        </w:drawing>
      </w:r>
    </w:p>
    <w:p w14:paraId="7E9056C7" w14:textId="77777777" w:rsidR="00636B5B" w:rsidRDefault="00636B5B" w:rsidP="00CE7936">
      <w:pPr>
        <w:widowControl w:val="0"/>
        <w:autoSpaceDE w:val="0"/>
        <w:autoSpaceDN w:val="0"/>
        <w:adjustRightInd w:val="0"/>
        <w:rPr>
          <w:bCs/>
          <w:color w:val="000000" w:themeColor="text1"/>
        </w:rPr>
      </w:pPr>
    </w:p>
    <w:p w14:paraId="025E0599" w14:textId="77777777" w:rsidR="00636B5B" w:rsidRDefault="00636B5B" w:rsidP="00CE7936">
      <w:pPr>
        <w:widowControl w:val="0"/>
        <w:autoSpaceDE w:val="0"/>
        <w:autoSpaceDN w:val="0"/>
        <w:adjustRightInd w:val="0"/>
        <w:rPr>
          <w:bCs/>
          <w:color w:val="000000" w:themeColor="text1"/>
        </w:rPr>
      </w:pPr>
    </w:p>
    <w:p w14:paraId="6C096CA9" w14:textId="77777777" w:rsidR="00636B5B" w:rsidRDefault="00636B5B" w:rsidP="00CE7936">
      <w:pPr>
        <w:widowControl w:val="0"/>
        <w:autoSpaceDE w:val="0"/>
        <w:autoSpaceDN w:val="0"/>
        <w:adjustRightInd w:val="0"/>
        <w:rPr>
          <w:bCs/>
          <w:color w:val="000000" w:themeColor="text1"/>
        </w:rPr>
      </w:pPr>
    </w:p>
    <w:p w14:paraId="409A846F" w14:textId="77777777" w:rsidR="00636B5B" w:rsidRDefault="00636B5B" w:rsidP="00CE7936">
      <w:pPr>
        <w:widowControl w:val="0"/>
        <w:autoSpaceDE w:val="0"/>
        <w:autoSpaceDN w:val="0"/>
        <w:adjustRightInd w:val="0"/>
        <w:rPr>
          <w:bCs/>
          <w:color w:val="000000" w:themeColor="text1"/>
        </w:rPr>
      </w:pPr>
    </w:p>
    <w:p w14:paraId="02D77C9B" w14:textId="77777777" w:rsidR="00636B5B" w:rsidRDefault="00636B5B" w:rsidP="00CE7936">
      <w:pPr>
        <w:widowControl w:val="0"/>
        <w:autoSpaceDE w:val="0"/>
        <w:autoSpaceDN w:val="0"/>
        <w:adjustRightInd w:val="0"/>
        <w:rPr>
          <w:bCs/>
          <w:color w:val="000000" w:themeColor="text1"/>
        </w:rPr>
      </w:pPr>
    </w:p>
    <w:p w14:paraId="1FD3F777" w14:textId="77777777" w:rsidR="00636B5B" w:rsidRDefault="00636B5B" w:rsidP="00CE7936">
      <w:pPr>
        <w:widowControl w:val="0"/>
        <w:autoSpaceDE w:val="0"/>
        <w:autoSpaceDN w:val="0"/>
        <w:adjustRightInd w:val="0"/>
        <w:rPr>
          <w:bCs/>
          <w:color w:val="000000" w:themeColor="text1"/>
        </w:rPr>
      </w:pPr>
    </w:p>
    <w:p w14:paraId="21C949B4" w14:textId="77777777" w:rsidR="00636B5B" w:rsidRDefault="00636B5B" w:rsidP="00CE7936">
      <w:pPr>
        <w:widowControl w:val="0"/>
        <w:autoSpaceDE w:val="0"/>
        <w:autoSpaceDN w:val="0"/>
        <w:adjustRightInd w:val="0"/>
        <w:rPr>
          <w:bCs/>
          <w:color w:val="000000" w:themeColor="text1"/>
        </w:rPr>
      </w:pPr>
    </w:p>
    <w:p w14:paraId="421D5515" w14:textId="77777777" w:rsidR="00636B5B" w:rsidRDefault="00636B5B" w:rsidP="00CE7936">
      <w:pPr>
        <w:widowControl w:val="0"/>
        <w:autoSpaceDE w:val="0"/>
        <w:autoSpaceDN w:val="0"/>
        <w:adjustRightInd w:val="0"/>
        <w:rPr>
          <w:bCs/>
          <w:color w:val="000000" w:themeColor="text1"/>
        </w:rPr>
      </w:pPr>
    </w:p>
    <w:p w14:paraId="7A55E689" w14:textId="77777777" w:rsidR="00636B5B" w:rsidRPr="009C3CBA" w:rsidRDefault="00636B5B" w:rsidP="00CE7936">
      <w:pPr>
        <w:widowControl w:val="0"/>
        <w:autoSpaceDE w:val="0"/>
        <w:autoSpaceDN w:val="0"/>
        <w:adjustRightInd w:val="0"/>
        <w:rPr>
          <w:b/>
          <w:bCs/>
        </w:rPr>
      </w:pPr>
    </w:p>
    <w:p w14:paraId="4C7A02CA" w14:textId="77777777" w:rsidR="00636B5B" w:rsidRDefault="00636B5B" w:rsidP="00CE7936">
      <w:pPr>
        <w:widowControl w:val="0"/>
        <w:autoSpaceDE w:val="0"/>
        <w:autoSpaceDN w:val="0"/>
        <w:adjustRightInd w:val="0"/>
        <w:rPr>
          <w:b/>
          <w:bCs/>
        </w:rPr>
      </w:pPr>
    </w:p>
    <w:p w14:paraId="7FC9E44F" w14:textId="77777777" w:rsidR="00636B5B" w:rsidRDefault="00636B5B" w:rsidP="00CE7936">
      <w:pPr>
        <w:widowControl w:val="0"/>
        <w:autoSpaceDE w:val="0"/>
        <w:autoSpaceDN w:val="0"/>
        <w:adjustRightInd w:val="0"/>
        <w:rPr>
          <w:b/>
          <w:bCs/>
        </w:rPr>
      </w:pPr>
    </w:p>
    <w:p w14:paraId="7F489E3C" w14:textId="77777777" w:rsidR="00636B5B" w:rsidRDefault="00636B5B" w:rsidP="00CE7936">
      <w:pPr>
        <w:widowControl w:val="0"/>
        <w:autoSpaceDE w:val="0"/>
        <w:autoSpaceDN w:val="0"/>
        <w:adjustRightInd w:val="0"/>
        <w:rPr>
          <w:b/>
          <w:bCs/>
        </w:rPr>
      </w:pPr>
    </w:p>
    <w:p w14:paraId="1FEB6799" w14:textId="77777777" w:rsidR="00636B5B" w:rsidRDefault="00636B5B" w:rsidP="00CE7936">
      <w:pPr>
        <w:widowControl w:val="0"/>
        <w:autoSpaceDE w:val="0"/>
        <w:autoSpaceDN w:val="0"/>
        <w:adjustRightInd w:val="0"/>
        <w:rPr>
          <w:b/>
          <w:bCs/>
        </w:rPr>
      </w:pPr>
    </w:p>
    <w:p w14:paraId="24F21F8B" w14:textId="77777777" w:rsidR="00636B5B" w:rsidRDefault="00636B5B" w:rsidP="00CE7936">
      <w:pPr>
        <w:widowControl w:val="0"/>
        <w:autoSpaceDE w:val="0"/>
        <w:autoSpaceDN w:val="0"/>
        <w:adjustRightInd w:val="0"/>
        <w:rPr>
          <w:b/>
          <w:bCs/>
        </w:rPr>
      </w:pPr>
    </w:p>
    <w:p w14:paraId="77B0CB7E" w14:textId="77777777" w:rsidR="00636B5B" w:rsidRDefault="00636B5B" w:rsidP="00CE7936">
      <w:pPr>
        <w:widowControl w:val="0"/>
        <w:autoSpaceDE w:val="0"/>
        <w:autoSpaceDN w:val="0"/>
        <w:adjustRightInd w:val="0"/>
        <w:rPr>
          <w:b/>
          <w:bCs/>
        </w:rPr>
      </w:pPr>
    </w:p>
    <w:p w14:paraId="547BA339" w14:textId="77777777" w:rsidR="00636B5B" w:rsidRDefault="00636B5B" w:rsidP="00CE7936">
      <w:pPr>
        <w:widowControl w:val="0"/>
        <w:autoSpaceDE w:val="0"/>
        <w:autoSpaceDN w:val="0"/>
        <w:adjustRightInd w:val="0"/>
        <w:rPr>
          <w:b/>
          <w:bCs/>
        </w:rPr>
      </w:pPr>
    </w:p>
    <w:p w14:paraId="2631A4B0" w14:textId="77777777" w:rsidR="00636B5B" w:rsidRDefault="00636B5B" w:rsidP="00CE7936">
      <w:pPr>
        <w:widowControl w:val="0"/>
        <w:autoSpaceDE w:val="0"/>
        <w:autoSpaceDN w:val="0"/>
        <w:adjustRightInd w:val="0"/>
        <w:rPr>
          <w:b/>
          <w:bCs/>
        </w:rPr>
      </w:pPr>
    </w:p>
    <w:p w14:paraId="5987CBC1" w14:textId="77777777" w:rsidR="00636B5B" w:rsidRDefault="00636B5B" w:rsidP="00CE7936">
      <w:pPr>
        <w:widowControl w:val="0"/>
        <w:autoSpaceDE w:val="0"/>
        <w:autoSpaceDN w:val="0"/>
        <w:adjustRightInd w:val="0"/>
        <w:rPr>
          <w:b/>
          <w:bCs/>
        </w:rPr>
      </w:pPr>
    </w:p>
    <w:p w14:paraId="49A08075" w14:textId="77777777" w:rsidR="00636B5B" w:rsidRDefault="00636B5B" w:rsidP="00CE7936">
      <w:pPr>
        <w:widowControl w:val="0"/>
        <w:autoSpaceDE w:val="0"/>
        <w:autoSpaceDN w:val="0"/>
        <w:adjustRightInd w:val="0"/>
        <w:rPr>
          <w:b/>
          <w:bCs/>
        </w:rPr>
      </w:pPr>
    </w:p>
    <w:p w14:paraId="2D6CDE13" w14:textId="77777777" w:rsidR="00636B5B" w:rsidRDefault="00636B5B" w:rsidP="00CE7936">
      <w:pPr>
        <w:widowControl w:val="0"/>
        <w:autoSpaceDE w:val="0"/>
        <w:autoSpaceDN w:val="0"/>
        <w:adjustRightInd w:val="0"/>
        <w:rPr>
          <w:b/>
          <w:bCs/>
        </w:rPr>
      </w:pPr>
    </w:p>
    <w:p w14:paraId="44904303" w14:textId="77777777" w:rsidR="00636B5B" w:rsidRDefault="00636B5B" w:rsidP="00CE7936">
      <w:pPr>
        <w:widowControl w:val="0"/>
        <w:autoSpaceDE w:val="0"/>
        <w:autoSpaceDN w:val="0"/>
        <w:adjustRightInd w:val="0"/>
        <w:rPr>
          <w:b/>
          <w:bCs/>
        </w:rPr>
      </w:pPr>
    </w:p>
    <w:p w14:paraId="6D67A833" w14:textId="77777777" w:rsidR="00636B5B" w:rsidRDefault="00636B5B" w:rsidP="00CE7936">
      <w:pPr>
        <w:widowControl w:val="0"/>
        <w:autoSpaceDE w:val="0"/>
        <w:autoSpaceDN w:val="0"/>
        <w:adjustRightInd w:val="0"/>
        <w:rPr>
          <w:b/>
          <w:bCs/>
        </w:rPr>
      </w:pPr>
    </w:p>
    <w:p w14:paraId="3CAC8BC3" w14:textId="77777777" w:rsidR="00636B5B" w:rsidRDefault="00636B5B" w:rsidP="00CE7936">
      <w:pPr>
        <w:widowControl w:val="0"/>
        <w:autoSpaceDE w:val="0"/>
        <w:autoSpaceDN w:val="0"/>
        <w:adjustRightInd w:val="0"/>
        <w:rPr>
          <w:b/>
          <w:bCs/>
        </w:rPr>
      </w:pPr>
    </w:p>
    <w:p w14:paraId="427A8C95" w14:textId="77777777" w:rsidR="00636B5B" w:rsidRDefault="00636B5B" w:rsidP="00CE7936">
      <w:pPr>
        <w:widowControl w:val="0"/>
        <w:autoSpaceDE w:val="0"/>
        <w:autoSpaceDN w:val="0"/>
        <w:adjustRightInd w:val="0"/>
        <w:rPr>
          <w:b/>
          <w:bCs/>
        </w:rPr>
      </w:pPr>
    </w:p>
    <w:p w14:paraId="72701AAD" w14:textId="77777777" w:rsidR="00636B5B" w:rsidRDefault="00636B5B" w:rsidP="00CE7936">
      <w:pPr>
        <w:widowControl w:val="0"/>
        <w:autoSpaceDE w:val="0"/>
        <w:autoSpaceDN w:val="0"/>
        <w:adjustRightInd w:val="0"/>
        <w:rPr>
          <w:b/>
          <w:bCs/>
        </w:rPr>
      </w:pPr>
    </w:p>
    <w:p w14:paraId="51BC43ED" w14:textId="77777777" w:rsidR="00636B5B" w:rsidRDefault="00636B5B" w:rsidP="00CE7936">
      <w:pPr>
        <w:widowControl w:val="0"/>
        <w:autoSpaceDE w:val="0"/>
        <w:autoSpaceDN w:val="0"/>
        <w:adjustRightInd w:val="0"/>
        <w:rPr>
          <w:b/>
          <w:bCs/>
        </w:rPr>
      </w:pPr>
    </w:p>
    <w:p w14:paraId="3E86B649" w14:textId="77777777" w:rsidR="00636B5B" w:rsidRDefault="00636B5B" w:rsidP="00CE7936">
      <w:pPr>
        <w:widowControl w:val="0"/>
        <w:autoSpaceDE w:val="0"/>
        <w:autoSpaceDN w:val="0"/>
        <w:adjustRightInd w:val="0"/>
        <w:rPr>
          <w:b/>
          <w:bCs/>
        </w:rPr>
      </w:pPr>
    </w:p>
    <w:p w14:paraId="510BEA88" w14:textId="77777777" w:rsidR="00636B5B" w:rsidRDefault="00636B5B" w:rsidP="00CE7936">
      <w:pPr>
        <w:widowControl w:val="0"/>
        <w:autoSpaceDE w:val="0"/>
        <w:autoSpaceDN w:val="0"/>
        <w:adjustRightInd w:val="0"/>
        <w:rPr>
          <w:b/>
          <w:bCs/>
        </w:rPr>
      </w:pPr>
    </w:p>
    <w:p w14:paraId="51313F58" w14:textId="77777777" w:rsidR="00636B5B" w:rsidRDefault="00636B5B" w:rsidP="00CE7936">
      <w:pPr>
        <w:widowControl w:val="0"/>
        <w:autoSpaceDE w:val="0"/>
        <w:autoSpaceDN w:val="0"/>
        <w:adjustRightInd w:val="0"/>
        <w:rPr>
          <w:b/>
          <w:bCs/>
        </w:rPr>
      </w:pPr>
    </w:p>
    <w:p w14:paraId="6957E7EF" w14:textId="77777777" w:rsidR="00636B5B" w:rsidRDefault="00636B5B" w:rsidP="00CE7936">
      <w:pPr>
        <w:widowControl w:val="0"/>
        <w:autoSpaceDE w:val="0"/>
        <w:autoSpaceDN w:val="0"/>
        <w:adjustRightInd w:val="0"/>
        <w:rPr>
          <w:b/>
          <w:bCs/>
        </w:rPr>
      </w:pPr>
    </w:p>
    <w:p w14:paraId="6C69BB46" w14:textId="77777777" w:rsidR="00636B5B" w:rsidRDefault="00636B5B" w:rsidP="00CE7936">
      <w:pPr>
        <w:widowControl w:val="0"/>
        <w:autoSpaceDE w:val="0"/>
        <w:autoSpaceDN w:val="0"/>
        <w:adjustRightInd w:val="0"/>
        <w:rPr>
          <w:b/>
          <w:bCs/>
        </w:rPr>
      </w:pPr>
    </w:p>
    <w:p w14:paraId="2F426B82" w14:textId="77777777" w:rsidR="00636B5B" w:rsidRDefault="00636B5B" w:rsidP="00CE7936">
      <w:pPr>
        <w:widowControl w:val="0"/>
        <w:autoSpaceDE w:val="0"/>
        <w:autoSpaceDN w:val="0"/>
        <w:adjustRightInd w:val="0"/>
        <w:rPr>
          <w:b/>
          <w:bCs/>
        </w:rPr>
      </w:pPr>
    </w:p>
    <w:p w14:paraId="22233677" w14:textId="77777777" w:rsidR="00636B5B" w:rsidRDefault="00636B5B" w:rsidP="00CE7936">
      <w:pPr>
        <w:widowControl w:val="0"/>
        <w:autoSpaceDE w:val="0"/>
        <w:autoSpaceDN w:val="0"/>
        <w:adjustRightInd w:val="0"/>
        <w:rPr>
          <w:b/>
          <w:bCs/>
        </w:rPr>
      </w:pPr>
    </w:p>
    <w:p w14:paraId="3BED3DB6" w14:textId="77777777" w:rsidR="00636B5B" w:rsidRDefault="00636B5B" w:rsidP="00CE7936">
      <w:pPr>
        <w:widowControl w:val="0"/>
        <w:autoSpaceDE w:val="0"/>
        <w:autoSpaceDN w:val="0"/>
        <w:adjustRightInd w:val="0"/>
        <w:rPr>
          <w:b/>
          <w:bCs/>
        </w:rPr>
      </w:pPr>
    </w:p>
    <w:p w14:paraId="176537BA" w14:textId="77777777" w:rsidR="00636B5B" w:rsidRDefault="00636B5B" w:rsidP="00CE7936">
      <w:pPr>
        <w:widowControl w:val="0"/>
        <w:autoSpaceDE w:val="0"/>
        <w:autoSpaceDN w:val="0"/>
        <w:adjustRightInd w:val="0"/>
        <w:rPr>
          <w:b/>
          <w:bCs/>
        </w:rPr>
      </w:pPr>
    </w:p>
    <w:p w14:paraId="21178E6C" w14:textId="77777777" w:rsidR="00636B5B" w:rsidRDefault="00636B5B" w:rsidP="00CE7936">
      <w:pPr>
        <w:widowControl w:val="0"/>
        <w:autoSpaceDE w:val="0"/>
        <w:autoSpaceDN w:val="0"/>
        <w:adjustRightInd w:val="0"/>
        <w:rPr>
          <w:b/>
          <w:bCs/>
        </w:rPr>
      </w:pPr>
    </w:p>
    <w:p w14:paraId="1FBF9363" w14:textId="77777777" w:rsidR="00636B5B" w:rsidRDefault="00636B5B" w:rsidP="00CE7936">
      <w:pPr>
        <w:widowControl w:val="0"/>
        <w:autoSpaceDE w:val="0"/>
        <w:autoSpaceDN w:val="0"/>
        <w:adjustRightInd w:val="0"/>
        <w:rPr>
          <w:b/>
          <w:bCs/>
        </w:rPr>
      </w:pPr>
    </w:p>
    <w:p w14:paraId="138601C1" w14:textId="77777777" w:rsidR="00636B5B" w:rsidRDefault="00636B5B" w:rsidP="00CE7936">
      <w:pPr>
        <w:widowControl w:val="0"/>
        <w:autoSpaceDE w:val="0"/>
        <w:autoSpaceDN w:val="0"/>
        <w:adjustRightInd w:val="0"/>
        <w:rPr>
          <w:b/>
          <w:bCs/>
        </w:rPr>
      </w:pPr>
    </w:p>
    <w:p w14:paraId="16FDF2DA" w14:textId="77777777" w:rsidR="00636B5B" w:rsidRDefault="00636B5B" w:rsidP="00CE7936">
      <w:pPr>
        <w:widowControl w:val="0"/>
        <w:autoSpaceDE w:val="0"/>
        <w:autoSpaceDN w:val="0"/>
        <w:adjustRightInd w:val="0"/>
        <w:rPr>
          <w:b/>
          <w:bCs/>
        </w:rPr>
      </w:pPr>
    </w:p>
    <w:p w14:paraId="275A4F57" w14:textId="77777777" w:rsidR="00636B5B" w:rsidRDefault="00636B5B" w:rsidP="00CE7936">
      <w:pPr>
        <w:widowControl w:val="0"/>
        <w:autoSpaceDE w:val="0"/>
        <w:autoSpaceDN w:val="0"/>
        <w:adjustRightInd w:val="0"/>
        <w:rPr>
          <w:b/>
          <w:bCs/>
        </w:rPr>
      </w:pPr>
    </w:p>
    <w:p w14:paraId="4EA294A5" w14:textId="77777777" w:rsidR="00636B5B" w:rsidRDefault="00636B5B" w:rsidP="00CE7936">
      <w:pPr>
        <w:widowControl w:val="0"/>
        <w:autoSpaceDE w:val="0"/>
        <w:autoSpaceDN w:val="0"/>
        <w:adjustRightInd w:val="0"/>
        <w:rPr>
          <w:b/>
          <w:bCs/>
        </w:rPr>
      </w:pPr>
    </w:p>
    <w:p w14:paraId="4E2D6830" w14:textId="77777777" w:rsidR="00636B5B" w:rsidRDefault="00636B5B" w:rsidP="00FA27B0">
      <w:pPr>
        <w:widowControl w:val="0"/>
        <w:autoSpaceDE w:val="0"/>
        <w:autoSpaceDN w:val="0"/>
        <w:adjustRightInd w:val="0"/>
      </w:pPr>
      <w:r>
        <w:rPr>
          <w:b/>
          <w:bCs/>
        </w:rPr>
        <w:t xml:space="preserve">Figure II-S1. </w:t>
      </w:r>
      <w:r>
        <w:t xml:space="preserve">Orphan and </w:t>
      </w:r>
      <w:r>
        <w:rPr>
          <w:i/>
          <w:iCs/>
        </w:rPr>
        <w:t xml:space="preserve">de novo </w:t>
      </w:r>
      <w:r>
        <w:t>gene curation pipeline.</w:t>
      </w:r>
    </w:p>
    <w:p w14:paraId="3F02E902" w14:textId="77777777" w:rsidR="00636B5B" w:rsidRDefault="00636B5B" w:rsidP="00CE7936">
      <w:pPr>
        <w:widowControl w:val="0"/>
        <w:autoSpaceDE w:val="0"/>
        <w:autoSpaceDN w:val="0"/>
        <w:adjustRightInd w:val="0"/>
      </w:pPr>
    </w:p>
    <w:p w14:paraId="6DB1B6F5" w14:textId="77777777" w:rsidR="00636B5B" w:rsidRDefault="00636B5B" w:rsidP="00CE7936">
      <w:pPr>
        <w:widowControl w:val="0"/>
        <w:autoSpaceDE w:val="0"/>
        <w:autoSpaceDN w:val="0"/>
        <w:adjustRightInd w:val="0"/>
      </w:pPr>
    </w:p>
    <w:p w14:paraId="55C4CEE9" w14:textId="77777777" w:rsidR="00636B5B" w:rsidRDefault="00636B5B" w:rsidP="00CE7936">
      <w:pPr>
        <w:widowControl w:val="0"/>
        <w:autoSpaceDE w:val="0"/>
        <w:autoSpaceDN w:val="0"/>
        <w:adjustRightInd w:val="0"/>
      </w:pPr>
    </w:p>
    <w:p w14:paraId="7A42AEDC" w14:textId="77777777" w:rsidR="00636B5B" w:rsidRPr="00887E4E" w:rsidRDefault="00636B5B" w:rsidP="00CE7936">
      <w:pPr>
        <w:widowControl w:val="0"/>
        <w:autoSpaceDE w:val="0"/>
        <w:autoSpaceDN w:val="0"/>
        <w:adjustRightInd w:val="0"/>
      </w:pPr>
      <w:r w:rsidRPr="00887E4E">
        <w:rPr>
          <w:noProof/>
        </w:rPr>
        <w:lastRenderedPageBreak/>
        <w:drawing>
          <wp:anchor distT="0" distB="0" distL="114300" distR="114300" simplePos="0" relativeHeight="251662336" behindDoc="0" locked="0" layoutInCell="1" allowOverlap="1" wp14:anchorId="06EC7349" wp14:editId="25B7592F">
            <wp:simplePos x="0" y="0"/>
            <wp:positionH relativeFrom="margin">
              <wp:align>center</wp:align>
            </wp:positionH>
            <wp:positionV relativeFrom="paragraph">
              <wp:posOffset>129540</wp:posOffset>
            </wp:positionV>
            <wp:extent cx="5486400" cy="2941906"/>
            <wp:effectExtent l="0" t="0" r="0" b="5080"/>
            <wp:wrapNone/>
            <wp:docPr id="5" name="Picture 3" descr="A screenshot of a cell phone&#10;&#10;Description automatically generated">
              <a:extLst xmlns:a="http://schemas.openxmlformats.org/drawingml/2006/main">
                <a:ext uri="{FF2B5EF4-FFF2-40B4-BE49-F238E27FC236}">
                  <a16:creationId xmlns:a16="http://schemas.microsoft.com/office/drawing/2014/main" id="{6F2D9EFE-4C68-BF44-BE94-E1B4BE19F27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screenshot of a cell phone&#10;&#10;Description automatically generated">
                      <a:extLst>
                        <a:ext uri="{FF2B5EF4-FFF2-40B4-BE49-F238E27FC236}">
                          <a16:creationId xmlns:a16="http://schemas.microsoft.com/office/drawing/2014/main" id="{6F2D9EFE-4C68-BF44-BE94-E1B4BE19F27E}"/>
                        </a:ext>
                      </a:extLst>
                    </pic:cNvPr>
                    <pic:cNvPicPr>
                      <a:picLocks noChangeAspect="1"/>
                    </pic:cNvPicPr>
                  </pic:nvPicPr>
                  <pic:blipFill>
                    <a:blip r:embed="rId23" cstate="print">
                      <a:extLst>
                        <a:ext uri="{28A0092B-C50C-407E-A947-70E740481C1C}">
                          <a14:useLocalDpi xmlns:a14="http://schemas.microsoft.com/office/drawing/2010/main"/>
                        </a:ext>
                      </a:extLst>
                    </a:blip>
                    <a:stretch>
                      <a:fillRect/>
                    </a:stretch>
                  </pic:blipFill>
                  <pic:spPr>
                    <a:xfrm>
                      <a:off x="0" y="0"/>
                      <a:ext cx="5486400" cy="2941906"/>
                    </a:xfrm>
                    <a:prstGeom prst="rect">
                      <a:avLst/>
                    </a:prstGeom>
                  </pic:spPr>
                </pic:pic>
              </a:graphicData>
            </a:graphic>
            <wp14:sizeRelH relativeFrom="margin">
              <wp14:pctWidth>0</wp14:pctWidth>
            </wp14:sizeRelH>
            <wp14:sizeRelV relativeFrom="margin">
              <wp14:pctHeight>0</wp14:pctHeight>
            </wp14:sizeRelV>
          </wp:anchor>
        </w:drawing>
      </w:r>
    </w:p>
    <w:p w14:paraId="6B3B358A" w14:textId="77777777" w:rsidR="00636B5B" w:rsidRDefault="00636B5B" w:rsidP="00CE7936">
      <w:pPr>
        <w:widowControl w:val="0"/>
        <w:autoSpaceDE w:val="0"/>
        <w:autoSpaceDN w:val="0"/>
        <w:adjustRightInd w:val="0"/>
        <w:rPr>
          <w:b/>
          <w:bCs/>
        </w:rPr>
      </w:pPr>
    </w:p>
    <w:p w14:paraId="5981E6A4" w14:textId="77777777" w:rsidR="00636B5B" w:rsidRDefault="00636B5B" w:rsidP="00CE7936">
      <w:pPr>
        <w:widowControl w:val="0"/>
        <w:autoSpaceDE w:val="0"/>
        <w:autoSpaceDN w:val="0"/>
        <w:adjustRightInd w:val="0"/>
        <w:rPr>
          <w:b/>
          <w:bCs/>
        </w:rPr>
      </w:pPr>
    </w:p>
    <w:p w14:paraId="677A16FD" w14:textId="77777777" w:rsidR="00636B5B" w:rsidRDefault="00636B5B" w:rsidP="00CE7936">
      <w:pPr>
        <w:widowControl w:val="0"/>
        <w:autoSpaceDE w:val="0"/>
        <w:autoSpaceDN w:val="0"/>
        <w:adjustRightInd w:val="0"/>
        <w:rPr>
          <w:b/>
          <w:bCs/>
        </w:rPr>
      </w:pPr>
    </w:p>
    <w:p w14:paraId="51D0D9F3" w14:textId="77777777" w:rsidR="00636B5B" w:rsidRDefault="00636B5B" w:rsidP="00CE7936">
      <w:pPr>
        <w:widowControl w:val="0"/>
        <w:autoSpaceDE w:val="0"/>
        <w:autoSpaceDN w:val="0"/>
        <w:adjustRightInd w:val="0"/>
        <w:rPr>
          <w:b/>
          <w:bCs/>
        </w:rPr>
      </w:pPr>
    </w:p>
    <w:p w14:paraId="54462AA6" w14:textId="77777777" w:rsidR="00636B5B" w:rsidRDefault="00636B5B" w:rsidP="00CE7936">
      <w:pPr>
        <w:widowControl w:val="0"/>
        <w:autoSpaceDE w:val="0"/>
        <w:autoSpaceDN w:val="0"/>
        <w:adjustRightInd w:val="0"/>
        <w:rPr>
          <w:b/>
          <w:bCs/>
        </w:rPr>
      </w:pPr>
    </w:p>
    <w:p w14:paraId="22DF074F" w14:textId="77777777" w:rsidR="00636B5B" w:rsidRDefault="00636B5B" w:rsidP="00CE7936">
      <w:pPr>
        <w:widowControl w:val="0"/>
        <w:autoSpaceDE w:val="0"/>
        <w:autoSpaceDN w:val="0"/>
        <w:adjustRightInd w:val="0"/>
        <w:rPr>
          <w:b/>
          <w:bCs/>
        </w:rPr>
      </w:pPr>
    </w:p>
    <w:p w14:paraId="612835D8" w14:textId="77777777" w:rsidR="00636B5B" w:rsidRDefault="00636B5B" w:rsidP="00CE7936">
      <w:pPr>
        <w:widowControl w:val="0"/>
        <w:autoSpaceDE w:val="0"/>
        <w:autoSpaceDN w:val="0"/>
        <w:adjustRightInd w:val="0"/>
        <w:rPr>
          <w:b/>
          <w:bCs/>
        </w:rPr>
      </w:pPr>
    </w:p>
    <w:p w14:paraId="5EA678A2" w14:textId="77777777" w:rsidR="00636B5B" w:rsidRDefault="00636B5B" w:rsidP="00CE7936">
      <w:pPr>
        <w:widowControl w:val="0"/>
        <w:autoSpaceDE w:val="0"/>
        <w:autoSpaceDN w:val="0"/>
        <w:adjustRightInd w:val="0"/>
        <w:rPr>
          <w:b/>
          <w:bCs/>
        </w:rPr>
      </w:pPr>
    </w:p>
    <w:p w14:paraId="336EBE89" w14:textId="77777777" w:rsidR="00636B5B" w:rsidRDefault="00636B5B" w:rsidP="00CE7936">
      <w:pPr>
        <w:widowControl w:val="0"/>
        <w:autoSpaceDE w:val="0"/>
        <w:autoSpaceDN w:val="0"/>
        <w:adjustRightInd w:val="0"/>
        <w:rPr>
          <w:b/>
          <w:bCs/>
        </w:rPr>
      </w:pPr>
    </w:p>
    <w:p w14:paraId="3A9065E3" w14:textId="77777777" w:rsidR="00636B5B" w:rsidRDefault="00636B5B" w:rsidP="00CE7936">
      <w:pPr>
        <w:widowControl w:val="0"/>
        <w:autoSpaceDE w:val="0"/>
        <w:autoSpaceDN w:val="0"/>
        <w:adjustRightInd w:val="0"/>
        <w:rPr>
          <w:b/>
          <w:bCs/>
        </w:rPr>
      </w:pPr>
    </w:p>
    <w:p w14:paraId="50A18051" w14:textId="77777777" w:rsidR="00636B5B" w:rsidRDefault="00636B5B" w:rsidP="00CE7936">
      <w:pPr>
        <w:widowControl w:val="0"/>
        <w:autoSpaceDE w:val="0"/>
        <w:autoSpaceDN w:val="0"/>
        <w:adjustRightInd w:val="0"/>
        <w:rPr>
          <w:b/>
          <w:bCs/>
        </w:rPr>
      </w:pPr>
    </w:p>
    <w:p w14:paraId="5EC48EDF" w14:textId="77777777" w:rsidR="00636B5B" w:rsidRDefault="00636B5B" w:rsidP="00CE7936">
      <w:pPr>
        <w:widowControl w:val="0"/>
        <w:autoSpaceDE w:val="0"/>
        <w:autoSpaceDN w:val="0"/>
        <w:adjustRightInd w:val="0"/>
        <w:rPr>
          <w:b/>
          <w:bCs/>
        </w:rPr>
      </w:pPr>
    </w:p>
    <w:p w14:paraId="35A9ECFC" w14:textId="77777777" w:rsidR="00636B5B" w:rsidRDefault="00636B5B" w:rsidP="00CE7936">
      <w:pPr>
        <w:widowControl w:val="0"/>
        <w:autoSpaceDE w:val="0"/>
        <w:autoSpaceDN w:val="0"/>
        <w:adjustRightInd w:val="0"/>
        <w:rPr>
          <w:b/>
          <w:bCs/>
        </w:rPr>
      </w:pPr>
    </w:p>
    <w:p w14:paraId="52F54F92" w14:textId="77777777" w:rsidR="00636B5B" w:rsidRDefault="00636B5B" w:rsidP="00CE7936">
      <w:pPr>
        <w:widowControl w:val="0"/>
        <w:autoSpaceDE w:val="0"/>
        <w:autoSpaceDN w:val="0"/>
        <w:adjustRightInd w:val="0"/>
        <w:rPr>
          <w:b/>
          <w:bCs/>
        </w:rPr>
      </w:pPr>
    </w:p>
    <w:p w14:paraId="27FA6D95" w14:textId="77777777" w:rsidR="00636B5B" w:rsidRDefault="00636B5B" w:rsidP="00CE7936">
      <w:pPr>
        <w:widowControl w:val="0"/>
        <w:autoSpaceDE w:val="0"/>
        <w:autoSpaceDN w:val="0"/>
        <w:adjustRightInd w:val="0"/>
        <w:rPr>
          <w:b/>
          <w:bCs/>
        </w:rPr>
      </w:pPr>
    </w:p>
    <w:p w14:paraId="4D4AA2ED" w14:textId="77777777" w:rsidR="00636B5B" w:rsidRDefault="00636B5B" w:rsidP="00CE7936">
      <w:pPr>
        <w:widowControl w:val="0"/>
        <w:autoSpaceDE w:val="0"/>
        <w:autoSpaceDN w:val="0"/>
        <w:adjustRightInd w:val="0"/>
        <w:rPr>
          <w:b/>
          <w:bCs/>
        </w:rPr>
      </w:pPr>
    </w:p>
    <w:p w14:paraId="435947F9" w14:textId="51814AF8" w:rsidR="00636B5B" w:rsidRDefault="00636B5B" w:rsidP="00CE7936">
      <w:pPr>
        <w:widowControl w:val="0"/>
        <w:autoSpaceDE w:val="0"/>
        <w:autoSpaceDN w:val="0"/>
        <w:adjustRightInd w:val="0"/>
        <w:rPr>
          <w:b/>
          <w:bCs/>
        </w:rPr>
      </w:pPr>
    </w:p>
    <w:p w14:paraId="532AE82F" w14:textId="6825E21C" w:rsidR="00636B5B" w:rsidRDefault="00752AE5" w:rsidP="00CE7936">
      <w:pPr>
        <w:widowControl w:val="0"/>
        <w:autoSpaceDE w:val="0"/>
        <w:autoSpaceDN w:val="0"/>
        <w:adjustRightInd w:val="0"/>
        <w:rPr>
          <w:b/>
          <w:bCs/>
        </w:rPr>
      </w:pPr>
      <w:r w:rsidRPr="00887E4E">
        <w:rPr>
          <w:noProof/>
        </w:rPr>
        <mc:AlternateContent>
          <mc:Choice Requires="wps">
            <w:drawing>
              <wp:anchor distT="0" distB="0" distL="114300" distR="114300" simplePos="0" relativeHeight="251663360" behindDoc="0" locked="0" layoutInCell="1" allowOverlap="1" wp14:anchorId="42C4E798" wp14:editId="38779903">
                <wp:simplePos x="0" y="0"/>
                <wp:positionH relativeFrom="margin">
                  <wp:align>left</wp:align>
                </wp:positionH>
                <wp:positionV relativeFrom="paragraph">
                  <wp:posOffset>173355</wp:posOffset>
                </wp:positionV>
                <wp:extent cx="5943600" cy="522605"/>
                <wp:effectExtent l="0" t="0" r="0" b="0"/>
                <wp:wrapNone/>
                <wp:docPr id="2" name="Rectangle 1">
                  <a:extLst xmlns:a="http://schemas.openxmlformats.org/drawingml/2006/main">
                    <a:ext uri="{FF2B5EF4-FFF2-40B4-BE49-F238E27FC236}">
                      <a16:creationId xmlns:a16="http://schemas.microsoft.com/office/drawing/2014/main" id="{C4D48C03-E7FC-2348-9C4D-44D6A25E5034}"/>
                    </a:ext>
                  </a:extLst>
                </wp:docPr>
                <wp:cNvGraphicFramePr/>
                <a:graphic xmlns:a="http://schemas.openxmlformats.org/drawingml/2006/main">
                  <a:graphicData uri="http://schemas.microsoft.com/office/word/2010/wordprocessingShape">
                    <wps:wsp>
                      <wps:cNvSpPr/>
                      <wps:spPr>
                        <a:xfrm>
                          <a:off x="0" y="0"/>
                          <a:ext cx="5943600" cy="522605"/>
                        </a:xfrm>
                        <a:prstGeom prst="rect">
                          <a:avLst/>
                        </a:prstGeom>
                      </wps:spPr>
                      <wps:txbx>
                        <w:txbxContent>
                          <w:p w14:paraId="3686C1DF" w14:textId="77777777" w:rsidR="00636B5B" w:rsidRPr="00A36E25" w:rsidRDefault="00636B5B" w:rsidP="00CE7936">
                            <w:pPr>
                              <w:jc w:val="both"/>
                              <w:rPr>
                                <w:rFonts w:eastAsia="Times New Roman" w:cstheme="minorBidi"/>
                                <w:color w:val="222222"/>
                                <w:kern w:val="24"/>
                              </w:rPr>
                            </w:pPr>
                            <w:r w:rsidRPr="00A36E25">
                              <w:rPr>
                                <w:rFonts w:eastAsia="Times New Roman" w:cstheme="minorBidi"/>
                                <w:b/>
                                <w:bCs/>
                                <w:color w:val="222222"/>
                                <w:kern w:val="24"/>
                              </w:rPr>
                              <w:t>Fig</w:t>
                            </w:r>
                            <w:r>
                              <w:rPr>
                                <w:rFonts w:eastAsia="Times New Roman" w:cstheme="minorBidi"/>
                                <w:b/>
                                <w:bCs/>
                                <w:color w:val="222222"/>
                                <w:kern w:val="24"/>
                              </w:rPr>
                              <w:t>ure</w:t>
                            </w:r>
                            <w:r w:rsidRPr="00A36E25">
                              <w:rPr>
                                <w:rFonts w:eastAsia="Times New Roman" w:cstheme="minorBidi"/>
                                <w:b/>
                                <w:bCs/>
                                <w:color w:val="222222"/>
                                <w:kern w:val="24"/>
                              </w:rPr>
                              <w:t xml:space="preserve"> II-S2</w:t>
                            </w:r>
                            <w:r>
                              <w:rPr>
                                <w:rFonts w:eastAsia="Times New Roman" w:cstheme="minorBidi"/>
                                <w:b/>
                                <w:bCs/>
                                <w:color w:val="222222"/>
                                <w:kern w:val="24"/>
                              </w:rPr>
                              <w:t>.</w:t>
                            </w:r>
                            <w:r w:rsidRPr="00A36E25">
                              <w:rPr>
                                <w:rFonts w:eastAsia="Times New Roman" w:cstheme="minorBidi"/>
                                <w:b/>
                                <w:bCs/>
                                <w:color w:val="222222"/>
                                <w:kern w:val="24"/>
                              </w:rPr>
                              <w:t xml:space="preserve"> </w:t>
                            </w:r>
                            <w:r w:rsidRPr="00A36E25">
                              <w:rPr>
                                <w:rFonts w:eastAsia="Times New Roman" w:cstheme="minorBidi"/>
                                <w:color w:val="222222"/>
                                <w:kern w:val="24"/>
                              </w:rPr>
                              <w:t xml:space="preserve">Expression and proteomic evidence for the 13 </w:t>
                            </w:r>
                            <w:r w:rsidRPr="00A36E25">
                              <w:rPr>
                                <w:rFonts w:eastAsia="Times New Roman" w:cstheme="minorBidi"/>
                                <w:i/>
                                <w:iCs/>
                                <w:color w:val="222222"/>
                                <w:kern w:val="24"/>
                              </w:rPr>
                              <w:t xml:space="preserve">P. </w:t>
                            </w:r>
                            <w:proofErr w:type="spellStart"/>
                            <w:r w:rsidRPr="00A36E25">
                              <w:rPr>
                                <w:rFonts w:eastAsia="Times New Roman" w:cstheme="minorBidi"/>
                                <w:i/>
                                <w:iCs/>
                                <w:color w:val="222222"/>
                                <w:kern w:val="24"/>
                              </w:rPr>
                              <w:t>trichocarpa</w:t>
                            </w:r>
                            <w:proofErr w:type="spellEnd"/>
                            <w:r w:rsidRPr="00A36E25">
                              <w:rPr>
                                <w:rFonts w:eastAsia="Times New Roman" w:cstheme="minorBidi"/>
                                <w:color w:val="222222"/>
                                <w:kern w:val="24"/>
                              </w:rPr>
                              <w:t xml:space="preserve"> </w:t>
                            </w:r>
                            <w:r w:rsidRPr="00A36E25">
                              <w:rPr>
                                <w:rFonts w:eastAsia="Times New Roman" w:cstheme="minorBidi"/>
                                <w:i/>
                                <w:iCs/>
                                <w:color w:val="222222"/>
                                <w:kern w:val="24"/>
                              </w:rPr>
                              <w:t>de novo</w:t>
                            </w:r>
                            <w:r w:rsidRPr="00A36E25">
                              <w:rPr>
                                <w:rFonts w:eastAsia="Times New Roman" w:cstheme="minorBidi"/>
                                <w:color w:val="222222"/>
                                <w:kern w:val="24"/>
                              </w:rPr>
                              <w:t xml:space="preserve"> genes. All RNA-Seq data displayed here is publicly available (Table </w:t>
                            </w:r>
                            <w:r>
                              <w:rPr>
                                <w:rFonts w:eastAsia="Times New Roman" w:cstheme="minorBidi"/>
                                <w:color w:val="222222"/>
                                <w:kern w:val="24"/>
                              </w:rPr>
                              <w:t>II-</w:t>
                            </w:r>
                            <w:r w:rsidRPr="00A36E25">
                              <w:rPr>
                                <w:rFonts w:eastAsia="Times New Roman" w:cstheme="minorBidi"/>
                                <w:color w:val="222222"/>
                                <w:kern w:val="24"/>
                              </w:rPr>
                              <w:t>S11).</w:t>
                            </w:r>
                          </w:p>
                        </w:txbxContent>
                      </wps:txbx>
                      <wps:bodyPr wrap="square">
                        <a:spAutoFit/>
                      </wps:bodyPr>
                    </wps:wsp>
                  </a:graphicData>
                </a:graphic>
                <wp14:sizeRelH relativeFrom="margin">
                  <wp14:pctWidth>0</wp14:pctWidth>
                </wp14:sizeRelH>
              </wp:anchor>
            </w:drawing>
          </mc:Choice>
          <mc:Fallback>
            <w:pict>
              <v:rect w14:anchorId="42C4E798" id="Rectangle 1" o:spid="_x0000_s1026" style="position:absolute;margin-left:0;margin-top:13.65pt;width:468pt;height:41.15pt;z-index:25166336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" filled="f" stroked="f">
                <v:textbox style="mso-fit-shape-to-text:t">
                  <w:txbxContent>
                    <w:p w14:paraId="3686C1DF" w14:textId="77777777" w:rsidR="00636B5B" w:rsidRPr="00A36E25" w:rsidRDefault="00636B5B" w:rsidP="00CE7936">
                      <w:pPr>
                        <w:jc w:val="both"/>
                        <w:rPr>
                          <w:rFonts w:eastAsia="Times New Roman" w:cstheme="minorBidi"/>
                          <w:color w:val="222222"/>
                          <w:kern w:val="24"/>
                        </w:rPr>
                      </w:pPr>
                      <w:r w:rsidRPr="00A36E25">
                        <w:rPr>
                          <w:rFonts w:eastAsia="Times New Roman" w:cstheme="minorBidi"/>
                          <w:b/>
                          <w:bCs/>
                          <w:color w:val="222222"/>
                          <w:kern w:val="24"/>
                        </w:rPr>
                        <w:t>Fig</w:t>
                      </w:r>
                      <w:r>
                        <w:rPr>
                          <w:rFonts w:eastAsia="Times New Roman" w:cstheme="minorBidi"/>
                          <w:b/>
                          <w:bCs/>
                          <w:color w:val="222222"/>
                          <w:kern w:val="24"/>
                        </w:rPr>
                        <w:t>ure</w:t>
                      </w:r>
                      <w:r w:rsidRPr="00A36E25">
                        <w:rPr>
                          <w:rFonts w:eastAsia="Times New Roman" w:cstheme="minorBidi"/>
                          <w:b/>
                          <w:bCs/>
                          <w:color w:val="222222"/>
                          <w:kern w:val="24"/>
                        </w:rPr>
                        <w:t xml:space="preserve"> II-S2</w:t>
                      </w:r>
                      <w:r>
                        <w:rPr>
                          <w:rFonts w:eastAsia="Times New Roman" w:cstheme="minorBidi"/>
                          <w:b/>
                          <w:bCs/>
                          <w:color w:val="222222"/>
                          <w:kern w:val="24"/>
                        </w:rPr>
                        <w:t>.</w:t>
                      </w:r>
                      <w:r w:rsidRPr="00A36E25">
                        <w:rPr>
                          <w:rFonts w:eastAsia="Times New Roman" w:cstheme="minorBidi"/>
                          <w:b/>
                          <w:bCs/>
                          <w:color w:val="222222"/>
                          <w:kern w:val="24"/>
                        </w:rPr>
                        <w:t xml:space="preserve"> </w:t>
                      </w:r>
                      <w:r w:rsidRPr="00A36E25">
                        <w:rPr>
                          <w:rFonts w:eastAsia="Times New Roman" w:cstheme="minorBidi"/>
                          <w:color w:val="222222"/>
                          <w:kern w:val="24"/>
                        </w:rPr>
                        <w:t xml:space="preserve">Expression and proteomic evidence for the 13 </w:t>
                      </w:r>
                      <w:r w:rsidRPr="00A36E25">
                        <w:rPr>
                          <w:rFonts w:eastAsia="Times New Roman" w:cstheme="minorBidi"/>
                          <w:i/>
                          <w:iCs/>
                          <w:color w:val="222222"/>
                          <w:kern w:val="24"/>
                        </w:rPr>
                        <w:t xml:space="preserve">P. </w:t>
                      </w:r>
                      <w:proofErr w:type="spellStart"/>
                      <w:r w:rsidRPr="00A36E25">
                        <w:rPr>
                          <w:rFonts w:eastAsia="Times New Roman" w:cstheme="minorBidi"/>
                          <w:i/>
                          <w:iCs/>
                          <w:color w:val="222222"/>
                          <w:kern w:val="24"/>
                        </w:rPr>
                        <w:t>trichocarpa</w:t>
                      </w:r>
                      <w:proofErr w:type="spellEnd"/>
                      <w:r w:rsidRPr="00A36E25">
                        <w:rPr>
                          <w:rFonts w:eastAsia="Times New Roman" w:cstheme="minorBidi"/>
                          <w:color w:val="222222"/>
                          <w:kern w:val="24"/>
                        </w:rPr>
                        <w:t xml:space="preserve"> </w:t>
                      </w:r>
                      <w:r w:rsidRPr="00A36E25">
                        <w:rPr>
                          <w:rFonts w:eastAsia="Times New Roman" w:cstheme="minorBidi"/>
                          <w:i/>
                          <w:iCs/>
                          <w:color w:val="222222"/>
                          <w:kern w:val="24"/>
                        </w:rPr>
                        <w:t>de novo</w:t>
                      </w:r>
                      <w:r w:rsidRPr="00A36E25">
                        <w:rPr>
                          <w:rFonts w:eastAsia="Times New Roman" w:cstheme="minorBidi"/>
                          <w:color w:val="222222"/>
                          <w:kern w:val="24"/>
                        </w:rPr>
                        <w:t xml:space="preserve"> genes. All RNA-Seq data displayed here is publicly available (Table </w:t>
                      </w:r>
                      <w:r>
                        <w:rPr>
                          <w:rFonts w:eastAsia="Times New Roman" w:cstheme="minorBidi"/>
                          <w:color w:val="222222"/>
                          <w:kern w:val="24"/>
                        </w:rPr>
                        <w:t>II-</w:t>
                      </w:r>
                      <w:r w:rsidRPr="00A36E25">
                        <w:rPr>
                          <w:rFonts w:eastAsia="Times New Roman" w:cstheme="minorBidi"/>
                          <w:color w:val="222222"/>
                          <w:kern w:val="24"/>
                        </w:rPr>
                        <w:t>S11).</w:t>
                      </w:r>
                    </w:p>
                  </w:txbxContent>
                </v:textbox>
                <w10:wrap anchorx="margin"/>
              </v:rect>
            </w:pict>
          </mc:Fallback>
        </mc:AlternateContent>
      </w:r>
    </w:p>
    <w:p w14:paraId="301A2CEA" w14:textId="77777777" w:rsidR="00636B5B" w:rsidRDefault="00636B5B" w:rsidP="00CE7936">
      <w:pPr>
        <w:widowControl w:val="0"/>
        <w:autoSpaceDE w:val="0"/>
        <w:autoSpaceDN w:val="0"/>
        <w:adjustRightInd w:val="0"/>
        <w:rPr>
          <w:b/>
          <w:bCs/>
        </w:rPr>
      </w:pPr>
    </w:p>
    <w:p w14:paraId="7739DEAD" w14:textId="77777777" w:rsidR="00636B5B" w:rsidRDefault="00636B5B" w:rsidP="00CE7936">
      <w:pPr>
        <w:widowControl w:val="0"/>
        <w:autoSpaceDE w:val="0"/>
        <w:autoSpaceDN w:val="0"/>
        <w:adjustRightInd w:val="0"/>
        <w:rPr>
          <w:b/>
          <w:bCs/>
        </w:rPr>
      </w:pPr>
    </w:p>
    <w:p w14:paraId="0220929B" w14:textId="77777777" w:rsidR="00636B5B" w:rsidRDefault="00636B5B" w:rsidP="00CE7936">
      <w:pPr>
        <w:widowControl w:val="0"/>
        <w:autoSpaceDE w:val="0"/>
        <w:autoSpaceDN w:val="0"/>
        <w:adjustRightInd w:val="0"/>
        <w:rPr>
          <w:b/>
          <w:bCs/>
        </w:rPr>
      </w:pPr>
    </w:p>
    <w:p w14:paraId="36A4EC3F" w14:textId="77777777" w:rsidR="00636B5B" w:rsidRDefault="00636B5B" w:rsidP="00CE7936">
      <w:pPr>
        <w:widowControl w:val="0"/>
        <w:autoSpaceDE w:val="0"/>
        <w:autoSpaceDN w:val="0"/>
        <w:adjustRightInd w:val="0"/>
        <w:rPr>
          <w:b/>
          <w:bCs/>
        </w:rPr>
      </w:pPr>
      <w:r w:rsidRPr="007B4B92">
        <w:rPr>
          <w:b/>
          <w:bCs/>
          <w:noProof/>
        </w:rPr>
        <w:drawing>
          <wp:anchor distT="0" distB="0" distL="114300" distR="114300" simplePos="0" relativeHeight="251664384" behindDoc="1" locked="0" layoutInCell="1" allowOverlap="1" wp14:anchorId="63811ED6" wp14:editId="20C969DA">
            <wp:simplePos x="0" y="0"/>
            <wp:positionH relativeFrom="margin">
              <wp:align>center</wp:align>
            </wp:positionH>
            <wp:positionV relativeFrom="page">
              <wp:posOffset>5015865</wp:posOffset>
            </wp:positionV>
            <wp:extent cx="5943600" cy="3447415"/>
            <wp:effectExtent l="0" t="0" r="0" b="0"/>
            <wp:wrapTight wrapText="bothSides">
              <wp:wrapPolygon edited="0">
                <wp:start x="0" y="0"/>
                <wp:lineTo x="0" y="21485"/>
                <wp:lineTo x="21554" y="21485"/>
                <wp:lineTo x="21554" y="0"/>
                <wp:lineTo x="0" y="0"/>
              </wp:wrapPolygon>
            </wp:wrapTight>
            <wp:docPr id="8" name="Content Placeholder 4" descr="Chart&#10;&#10;Description automatically generated">
              <a:extLst xmlns:a="http://schemas.openxmlformats.org/drawingml/2006/main">
                <a:ext uri="{FF2B5EF4-FFF2-40B4-BE49-F238E27FC236}">
                  <a16:creationId xmlns:a16="http://schemas.microsoft.com/office/drawing/2014/main" id="{4180732C-2E39-E34A-8385-8AD9A38C5B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ontent Placeholder 4" descr="Chart&#10;&#10;Description automatically generated">
                      <a:extLst>
                        <a:ext uri="{FF2B5EF4-FFF2-40B4-BE49-F238E27FC236}">
                          <a16:creationId xmlns:a16="http://schemas.microsoft.com/office/drawing/2014/main" id="{4180732C-2E39-E34A-8385-8AD9A38C5B6C}"/>
                        </a:ext>
                      </a:extLst>
                    </pic:cNvPr>
                    <pic:cNvPicPr>
                      <a:picLocks noChangeAspect="1"/>
                    </pic:cNvPicPr>
                  </pic:nvPicPr>
                  <pic:blipFill>
                    <a:blip r:embed="rId24" cstate="print">
                      <a:extLst>
                        <a:ext uri="{28A0092B-C50C-407E-A947-70E740481C1C}">
                          <a14:useLocalDpi xmlns:a14="http://schemas.microsoft.com/office/drawing/2010/main"/>
                        </a:ext>
                      </a:extLst>
                    </a:blip>
                    <a:stretch>
                      <a:fillRect/>
                    </a:stretch>
                  </pic:blipFill>
                  <pic:spPr>
                    <a:xfrm>
                      <a:off x="0" y="0"/>
                      <a:ext cx="5943600" cy="3447415"/>
                    </a:xfrm>
                    <a:prstGeom prst="rect">
                      <a:avLst/>
                    </a:prstGeom>
                  </pic:spPr>
                </pic:pic>
              </a:graphicData>
            </a:graphic>
            <wp14:sizeRelH relativeFrom="margin">
              <wp14:pctWidth>0</wp14:pctWidth>
            </wp14:sizeRelH>
            <wp14:sizeRelV relativeFrom="margin">
              <wp14:pctHeight>0</wp14:pctHeight>
            </wp14:sizeRelV>
          </wp:anchor>
        </w:drawing>
      </w:r>
    </w:p>
    <w:p w14:paraId="7007FF9B" w14:textId="77777777" w:rsidR="00636B5B" w:rsidRDefault="00636B5B" w:rsidP="00CE7936">
      <w:pPr>
        <w:widowControl w:val="0"/>
        <w:autoSpaceDE w:val="0"/>
        <w:autoSpaceDN w:val="0"/>
        <w:adjustRightInd w:val="0"/>
        <w:rPr>
          <w:b/>
          <w:bCs/>
        </w:rPr>
      </w:pPr>
      <w:r w:rsidRPr="007B4B92">
        <w:rPr>
          <w:b/>
          <w:bCs/>
          <w:noProof/>
        </w:rPr>
        <mc:AlternateContent>
          <mc:Choice Requires="wps">
            <w:drawing>
              <wp:anchor distT="0" distB="0" distL="114300" distR="114300" simplePos="0" relativeHeight="251665408" behindDoc="0" locked="0" layoutInCell="1" allowOverlap="1" wp14:anchorId="7EEAC41C" wp14:editId="5F35CB1D">
                <wp:simplePos x="0" y="0"/>
                <wp:positionH relativeFrom="margin">
                  <wp:align>left</wp:align>
                </wp:positionH>
                <wp:positionV relativeFrom="page">
                  <wp:posOffset>8458200</wp:posOffset>
                </wp:positionV>
                <wp:extent cx="5943600" cy="704850"/>
                <wp:effectExtent l="0" t="0" r="0" b="0"/>
                <wp:wrapNone/>
                <wp:docPr id="6" name="Rectangle 1"/>
                <wp:cNvGraphicFramePr/>
                <a:graphic xmlns:a="http://schemas.openxmlformats.org/drawingml/2006/main">
                  <a:graphicData uri="http://schemas.microsoft.com/office/word/2010/wordprocessingShape">
                    <wps:wsp>
                      <wps:cNvSpPr/>
                      <wps:spPr>
                        <a:xfrm>
                          <a:off x="0" y="0"/>
                          <a:ext cx="5943600" cy="704850"/>
                        </a:xfrm>
                        <a:prstGeom prst="rect">
                          <a:avLst/>
                        </a:prstGeom>
                      </wps:spPr>
                      <wps:txbx>
                        <w:txbxContent>
                          <w:p w14:paraId="22846F35" w14:textId="77777777" w:rsidR="00636B5B" w:rsidRPr="00E74506" w:rsidRDefault="00636B5B" w:rsidP="00CE7936">
                            <w:pPr>
                              <w:shd w:val="clear" w:color="auto" w:fill="FFFFFF"/>
                              <w:jc w:val="both"/>
                              <w:rPr>
                                <w:rFonts w:eastAsia="Times New Roman" w:cstheme="minorBidi"/>
                                <w:color w:val="222222"/>
                                <w:kern w:val="24"/>
                              </w:rPr>
                            </w:pPr>
                            <w:r w:rsidRPr="00E74506">
                              <w:rPr>
                                <w:rFonts w:eastAsia="Times New Roman" w:cstheme="minorBidi"/>
                                <w:b/>
                                <w:bCs/>
                                <w:color w:val="222222"/>
                                <w:kern w:val="24"/>
                                <w:highlight w:val="white"/>
                              </w:rPr>
                              <w:t>Figure II-S3.</w:t>
                            </w:r>
                            <w:r w:rsidRPr="00E74506">
                              <w:rPr>
                                <w:rFonts w:eastAsia="Times New Roman" w:cstheme="minorBidi"/>
                                <w:color w:val="222222"/>
                                <w:kern w:val="24"/>
                                <w:highlight w:val="white"/>
                              </w:rPr>
                              <w:t xml:space="preserve"> Identity plots to syntenic regions, (A) Identity of the noncoding syntenic region to the </w:t>
                            </w:r>
                            <w:r w:rsidRPr="00E74506">
                              <w:rPr>
                                <w:rFonts w:eastAsia="Times New Roman" w:cstheme="minorBidi"/>
                                <w:i/>
                                <w:iCs/>
                                <w:color w:val="222222"/>
                                <w:kern w:val="24"/>
                                <w:highlight w:val="white"/>
                              </w:rPr>
                              <w:t>de novo gene</w:t>
                            </w:r>
                            <w:r w:rsidRPr="00E74506">
                              <w:rPr>
                                <w:rFonts w:eastAsia="Times New Roman" w:cstheme="minorBidi"/>
                                <w:color w:val="222222"/>
                                <w:kern w:val="24"/>
                              </w:rPr>
                              <w:t xml:space="preserve">, (B) identity of the noncoding </w:t>
                            </w:r>
                            <w:r w:rsidRPr="00E74506">
                              <w:rPr>
                                <w:rFonts w:eastAsia="Times New Roman" w:cstheme="minorBidi"/>
                                <w:i/>
                                <w:iCs/>
                                <w:color w:val="222222"/>
                                <w:kern w:val="24"/>
                              </w:rPr>
                              <w:t xml:space="preserve">P. </w:t>
                            </w:r>
                            <w:proofErr w:type="spellStart"/>
                            <w:r w:rsidRPr="00E74506">
                              <w:rPr>
                                <w:rFonts w:eastAsia="Times New Roman" w:cstheme="minorBidi"/>
                                <w:i/>
                                <w:iCs/>
                                <w:color w:val="222222"/>
                                <w:kern w:val="24"/>
                              </w:rPr>
                              <w:t>trichocarpa</w:t>
                            </w:r>
                            <w:proofErr w:type="spellEnd"/>
                            <w:r w:rsidRPr="00E74506">
                              <w:rPr>
                                <w:rFonts w:eastAsia="Times New Roman" w:cstheme="minorBidi"/>
                                <w:color w:val="222222"/>
                                <w:kern w:val="24"/>
                              </w:rPr>
                              <w:t xml:space="preserve"> secondary syntenic region to the other syntenic positions.</w:t>
                            </w:r>
                            <w:r w:rsidRPr="00E74506">
                              <w:rPr>
                                <w:rFonts w:eastAsia="Times New Roman" w:cstheme="minorBidi"/>
                                <w:i/>
                                <w:iCs/>
                                <w:color w:val="222222"/>
                                <w:kern w:val="24"/>
                              </w:rPr>
                              <w:t xml:space="preserve"> </w:t>
                            </w:r>
                          </w:p>
                        </w:txbxContent>
                      </wps:txbx>
                      <wps:bodyPr wrap="square">
                        <a:spAutoFit/>
                      </wps:bodyPr>
                    </wps:wsp>
                  </a:graphicData>
                </a:graphic>
                <wp14:sizeRelH relativeFrom="margin">
                  <wp14:pctWidth>0</wp14:pctWidth>
                </wp14:sizeRelH>
              </wp:anchor>
            </w:drawing>
          </mc:Choice>
          <mc:Fallback>
            <w:pict>
              <v:rect w14:anchorId="7EEAC41C" id="_x0000_s1027" style="position:absolute;margin-left:0;margin-top:666pt;width:468pt;height:55.5pt;z-index:251665408;visibility:visible;mso-wrap-style:square;mso-width-percent:0;mso-wrap-distance-left:9pt;mso-wrap-distance-top:0;mso-wrap-distance-right:9pt;mso-wrap-distance-bottom:0;mso-position-horizontal:left;mso-position-horizontal-relative:margin;mso-position-vertical:absolute;mso-position-vertical-relative:page;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" filled="f" stroked="f">
                <v:textbox style="mso-fit-shape-to-text:t">
                  <w:txbxContent>
                    <w:p w14:paraId="22846F35" w14:textId="77777777" w:rsidR="00636B5B" w:rsidRPr="00E74506" w:rsidRDefault="00636B5B" w:rsidP="00CE7936">
                      <w:pPr>
                        <w:shd w:val="clear" w:color="auto" w:fill="FFFFFF"/>
                        <w:jc w:val="both"/>
                        <w:rPr>
                          <w:rFonts w:eastAsia="Times New Roman" w:cstheme="minorBidi"/>
                          <w:color w:val="222222"/>
                          <w:kern w:val="24"/>
                        </w:rPr>
                      </w:pPr>
                      <w:r w:rsidRPr="00E74506">
                        <w:rPr>
                          <w:rFonts w:eastAsia="Times New Roman" w:cstheme="minorBidi"/>
                          <w:b/>
                          <w:bCs/>
                          <w:color w:val="222222"/>
                          <w:kern w:val="24"/>
                          <w:highlight w:val="white"/>
                        </w:rPr>
                        <w:t>Figure II-S3.</w:t>
                      </w:r>
                      <w:r w:rsidRPr="00E74506">
                        <w:rPr>
                          <w:rFonts w:eastAsia="Times New Roman" w:cstheme="minorBidi"/>
                          <w:color w:val="222222"/>
                          <w:kern w:val="24"/>
                          <w:highlight w:val="white"/>
                        </w:rPr>
                        <w:t xml:space="preserve"> Identity plots to syntenic regions, (A) Identity of the noncoding syntenic region to the </w:t>
                      </w:r>
                      <w:r w:rsidRPr="00E74506">
                        <w:rPr>
                          <w:rFonts w:eastAsia="Times New Roman" w:cstheme="minorBidi"/>
                          <w:i/>
                          <w:iCs/>
                          <w:color w:val="222222"/>
                          <w:kern w:val="24"/>
                          <w:highlight w:val="white"/>
                        </w:rPr>
                        <w:t>de novo gene</w:t>
                      </w:r>
                      <w:r w:rsidRPr="00E74506">
                        <w:rPr>
                          <w:rFonts w:eastAsia="Times New Roman" w:cstheme="minorBidi"/>
                          <w:color w:val="222222"/>
                          <w:kern w:val="24"/>
                        </w:rPr>
                        <w:t xml:space="preserve">, (B) identity of the noncoding </w:t>
                      </w:r>
                      <w:r w:rsidRPr="00E74506">
                        <w:rPr>
                          <w:rFonts w:eastAsia="Times New Roman" w:cstheme="minorBidi"/>
                          <w:i/>
                          <w:iCs/>
                          <w:color w:val="222222"/>
                          <w:kern w:val="24"/>
                        </w:rPr>
                        <w:t xml:space="preserve">P. </w:t>
                      </w:r>
                      <w:proofErr w:type="spellStart"/>
                      <w:r w:rsidRPr="00E74506">
                        <w:rPr>
                          <w:rFonts w:eastAsia="Times New Roman" w:cstheme="minorBidi"/>
                          <w:i/>
                          <w:iCs/>
                          <w:color w:val="222222"/>
                          <w:kern w:val="24"/>
                        </w:rPr>
                        <w:t>trichocarpa</w:t>
                      </w:r>
                      <w:proofErr w:type="spellEnd"/>
                      <w:r w:rsidRPr="00E74506">
                        <w:rPr>
                          <w:rFonts w:eastAsia="Times New Roman" w:cstheme="minorBidi"/>
                          <w:color w:val="222222"/>
                          <w:kern w:val="24"/>
                        </w:rPr>
                        <w:t xml:space="preserve"> secondary syntenic region to the other syntenic positions.</w:t>
                      </w:r>
                      <w:r w:rsidRPr="00E74506">
                        <w:rPr>
                          <w:rFonts w:eastAsia="Times New Roman" w:cstheme="minorBidi"/>
                          <w:i/>
                          <w:iCs/>
                          <w:color w:val="222222"/>
                          <w:kern w:val="24"/>
                        </w:rPr>
                        <w:t xml:space="preserve"> </w:t>
                      </w:r>
                    </w:p>
                  </w:txbxContent>
                </v:textbox>
                <w10:wrap anchorx="margin" anchory="page"/>
              </v:rect>
            </w:pict>
          </mc:Fallback>
        </mc:AlternateContent>
      </w:r>
    </w:p>
    <w:p w14:paraId="7DE5E287" w14:textId="77777777" w:rsidR="00636B5B" w:rsidRDefault="00636B5B" w:rsidP="00CE7936">
      <w:pPr>
        <w:widowControl w:val="0"/>
        <w:autoSpaceDE w:val="0"/>
        <w:autoSpaceDN w:val="0"/>
        <w:adjustRightInd w:val="0"/>
        <w:rPr>
          <w:b/>
          <w:bCs/>
        </w:rPr>
      </w:pPr>
    </w:p>
    <w:p w14:paraId="773053BE" w14:textId="77777777" w:rsidR="00636B5B" w:rsidRDefault="00636B5B" w:rsidP="00CE7936">
      <w:pPr>
        <w:widowControl w:val="0"/>
        <w:autoSpaceDE w:val="0"/>
        <w:autoSpaceDN w:val="0"/>
        <w:adjustRightInd w:val="0"/>
        <w:rPr>
          <w:b/>
          <w:bCs/>
        </w:rPr>
      </w:pPr>
    </w:p>
    <w:p w14:paraId="1409A639" w14:textId="77777777" w:rsidR="00636B5B" w:rsidRDefault="00636B5B" w:rsidP="00CE7936">
      <w:pPr>
        <w:widowControl w:val="0"/>
        <w:autoSpaceDE w:val="0"/>
        <w:autoSpaceDN w:val="0"/>
        <w:adjustRightInd w:val="0"/>
        <w:rPr>
          <w:b/>
          <w:bCs/>
        </w:rPr>
      </w:pPr>
      <w:r w:rsidRPr="00D05ADC">
        <w:rPr>
          <w:b/>
          <w:bCs/>
          <w:noProof/>
        </w:rPr>
        <w:lastRenderedPageBreak/>
        <w:drawing>
          <wp:anchor distT="0" distB="0" distL="114300" distR="114300" simplePos="0" relativeHeight="251667456" behindDoc="0" locked="0" layoutInCell="1" allowOverlap="1" wp14:anchorId="3404B4A8" wp14:editId="0A01B6DC">
            <wp:simplePos x="0" y="0"/>
            <wp:positionH relativeFrom="margin">
              <wp:align>center</wp:align>
            </wp:positionH>
            <wp:positionV relativeFrom="margin">
              <wp:posOffset>271145</wp:posOffset>
            </wp:positionV>
            <wp:extent cx="5486400" cy="2472983"/>
            <wp:effectExtent l="0" t="0" r="0" b="3810"/>
            <wp:wrapNone/>
            <wp:docPr id="20" name="Content Placeholder 19" descr="Calendar&#10;&#10;Description automatically generated">
              <a:extLst xmlns:a="http://schemas.openxmlformats.org/drawingml/2006/main">
                <a:ext uri="{FF2B5EF4-FFF2-40B4-BE49-F238E27FC236}">
                  <a16:creationId xmlns:a16="http://schemas.microsoft.com/office/drawing/2014/main" id="{3F470558-F0F8-554D-9F7B-895D0D799237}"/>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0" name="Content Placeholder 19" descr="Calendar&#10;&#10;Description automatically generated">
                      <a:extLst>
                        <a:ext uri="{FF2B5EF4-FFF2-40B4-BE49-F238E27FC236}">
                          <a16:creationId xmlns:a16="http://schemas.microsoft.com/office/drawing/2014/main" id="{3F470558-F0F8-554D-9F7B-895D0D799237}"/>
                        </a:ext>
                      </a:extLst>
                    </pic:cNvPr>
                    <pic:cNvPicPr>
                      <a:picLocks noGrp="1" noChangeAspect="1"/>
                    </pic:cNvPicPr>
                  </pic:nvPicPr>
                  <pic:blipFill>
                    <a:blip r:embed="rId25" cstate="print">
                      <a:extLst>
                        <a:ext uri="{28A0092B-C50C-407E-A947-70E740481C1C}">
                          <a14:useLocalDpi xmlns:a14="http://schemas.microsoft.com/office/drawing/2010/main"/>
                        </a:ext>
                      </a:extLst>
                    </a:blip>
                    <a:stretch>
                      <a:fillRect/>
                    </a:stretch>
                  </pic:blipFill>
                  <pic:spPr>
                    <a:xfrm>
                      <a:off x="0" y="0"/>
                      <a:ext cx="5486400" cy="2472983"/>
                    </a:xfrm>
                    <a:prstGeom prst="rect">
                      <a:avLst/>
                    </a:prstGeom>
                  </pic:spPr>
                </pic:pic>
              </a:graphicData>
            </a:graphic>
            <wp14:sizeRelH relativeFrom="margin">
              <wp14:pctWidth>0</wp14:pctWidth>
            </wp14:sizeRelH>
            <wp14:sizeRelV relativeFrom="margin">
              <wp14:pctHeight>0</wp14:pctHeight>
            </wp14:sizeRelV>
          </wp:anchor>
        </w:drawing>
      </w:r>
    </w:p>
    <w:p w14:paraId="513A9878" w14:textId="77777777" w:rsidR="00636B5B" w:rsidRDefault="00636B5B" w:rsidP="00CE7936">
      <w:pPr>
        <w:widowControl w:val="0"/>
        <w:autoSpaceDE w:val="0"/>
        <w:autoSpaceDN w:val="0"/>
        <w:adjustRightInd w:val="0"/>
        <w:rPr>
          <w:b/>
          <w:bCs/>
        </w:rPr>
      </w:pPr>
    </w:p>
    <w:p w14:paraId="4FF82389" w14:textId="77777777" w:rsidR="00636B5B" w:rsidRDefault="00636B5B" w:rsidP="00CE7936">
      <w:pPr>
        <w:widowControl w:val="0"/>
        <w:autoSpaceDE w:val="0"/>
        <w:autoSpaceDN w:val="0"/>
        <w:adjustRightInd w:val="0"/>
        <w:rPr>
          <w:b/>
          <w:bCs/>
        </w:rPr>
      </w:pPr>
    </w:p>
    <w:p w14:paraId="7D7826D7" w14:textId="77777777" w:rsidR="00636B5B" w:rsidRDefault="00636B5B" w:rsidP="00CE7936">
      <w:pPr>
        <w:widowControl w:val="0"/>
        <w:autoSpaceDE w:val="0"/>
        <w:autoSpaceDN w:val="0"/>
        <w:adjustRightInd w:val="0"/>
        <w:rPr>
          <w:b/>
          <w:bCs/>
        </w:rPr>
      </w:pPr>
    </w:p>
    <w:p w14:paraId="057711C7" w14:textId="77777777" w:rsidR="00636B5B" w:rsidRDefault="00636B5B" w:rsidP="00CE7936">
      <w:pPr>
        <w:widowControl w:val="0"/>
        <w:autoSpaceDE w:val="0"/>
        <w:autoSpaceDN w:val="0"/>
        <w:adjustRightInd w:val="0"/>
        <w:rPr>
          <w:b/>
          <w:bCs/>
        </w:rPr>
      </w:pPr>
    </w:p>
    <w:p w14:paraId="43F1A296" w14:textId="77777777" w:rsidR="00636B5B" w:rsidRDefault="00636B5B" w:rsidP="00CE7936">
      <w:pPr>
        <w:widowControl w:val="0"/>
        <w:autoSpaceDE w:val="0"/>
        <w:autoSpaceDN w:val="0"/>
        <w:adjustRightInd w:val="0"/>
        <w:rPr>
          <w:b/>
          <w:bCs/>
        </w:rPr>
      </w:pPr>
    </w:p>
    <w:p w14:paraId="27F71D2D" w14:textId="77777777" w:rsidR="00636B5B" w:rsidRDefault="00636B5B" w:rsidP="00CE7936">
      <w:pPr>
        <w:widowControl w:val="0"/>
        <w:autoSpaceDE w:val="0"/>
        <w:autoSpaceDN w:val="0"/>
        <w:adjustRightInd w:val="0"/>
        <w:rPr>
          <w:b/>
          <w:bCs/>
        </w:rPr>
      </w:pPr>
    </w:p>
    <w:p w14:paraId="4E27022A" w14:textId="77777777" w:rsidR="00636B5B" w:rsidRDefault="00636B5B" w:rsidP="00CE7936">
      <w:pPr>
        <w:widowControl w:val="0"/>
        <w:autoSpaceDE w:val="0"/>
        <w:autoSpaceDN w:val="0"/>
        <w:adjustRightInd w:val="0"/>
        <w:rPr>
          <w:b/>
          <w:bCs/>
        </w:rPr>
      </w:pPr>
    </w:p>
    <w:p w14:paraId="498AF5A6" w14:textId="77777777" w:rsidR="00636B5B" w:rsidRDefault="00636B5B" w:rsidP="00CE7936">
      <w:pPr>
        <w:widowControl w:val="0"/>
        <w:autoSpaceDE w:val="0"/>
        <w:autoSpaceDN w:val="0"/>
        <w:adjustRightInd w:val="0"/>
        <w:rPr>
          <w:b/>
          <w:bCs/>
        </w:rPr>
      </w:pPr>
    </w:p>
    <w:p w14:paraId="72FECCD3" w14:textId="77777777" w:rsidR="00636B5B" w:rsidRDefault="00636B5B" w:rsidP="00CE7936">
      <w:pPr>
        <w:widowControl w:val="0"/>
        <w:autoSpaceDE w:val="0"/>
        <w:autoSpaceDN w:val="0"/>
        <w:adjustRightInd w:val="0"/>
        <w:rPr>
          <w:b/>
          <w:bCs/>
        </w:rPr>
      </w:pPr>
    </w:p>
    <w:p w14:paraId="3404AD98" w14:textId="77777777" w:rsidR="00636B5B" w:rsidRDefault="00636B5B" w:rsidP="00CE7936">
      <w:pPr>
        <w:widowControl w:val="0"/>
        <w:autoSpaceDE w:val="0"/>
        <w:autoSpaceDN w:val="0"/>
        <w:adjustRightInd w:val="0"/>
        <w:rPr>
          <w:b/>
          <w:bCs/>
        </w:rPr>
      </w:pPr>
    </w:p>
    <w:p w14:paraId="32846C46" w14:textId="77777777" w:rsidR="00636B5B" w:rsidRDefault="00636B5B" w:rsidP="00CE7936">
      <w:pPr>
        <w:widowControl w:val="0"/>
        <w:autoSpaceDE w:val="0"/>
        <w:autoSpaceDN w:val="0"/>
        <w:adjustRightInd w:val="0"/>
        <w:rPr>
          <w:b/>
          <w:bCs/>
        </w:rPr>
      </w:pPr>
    </w:p>
    <w:p w14:paraId="1D3A7AEB" w14:textId="77777777" w:rsidR="00636B5B" w:rsidRDefault="00636B5B" w:rsidP="00CE7936">
      <w:pPr>
        <w:widowControl w:val="0"/>
        <w:autoSpaceDE w:val="0"/>
        <w:autoSpaceDN w:val="0"/>
        <w:adjustRightInd w:val="0"/>
        <w:rPr>
          <w:b/>
          <w:bCs/>
        </w:rPr>
      </w:pPr>
    </w:p>
    <w:p w14:paraId="678A59C4" w14:textId="77777777" w:rsidR="00636B5B" w:rsidRDefault="00636B5B" w:rsidP="00CE7936">
      <w:pPr>
        <w:widowControl w:val="0"/>
        <w:autoSpaceDE w:val="0"/>
        <w:autoSpaceDN w:val="0"/>
        <w:adjustRightInd w:val="0"/>
        <w:rPr>
          <w:b/>
          <w:bCs/>
        </w:rPr>
      </w:pPr>
    </w:p>
    <w:p w14:paraId="41A2B096" w14:textId="77777777" w:rsidR="00636B5B" w:rsidRDefault="00636B5B" w:rsidP="00CE7936">
      <w:pPr>
        <w:widowControl w:val="0"/>
        <w:autoSpaceDE w:val="0"/>
        <w:autoSpaceDN w:val="0"/>
        <w:adjustRightInd w:val="0"/>
        <w:rPr>
          <w:b/>
          <w:bCs/>
        </w:rPr>
      </w:pPr>
    </w:p>
    <w:p w14:paraId="195D320D" w14:textId="77777777" w:rsidR="00636B5B" w:rsidRDefault="00636B5B" w:rsidP="00CE7936">
      <w:pPr>
        <w:widowControl w:val="0"/>
        <w:autoSpaceDE w:val="0"/>
        <w:autoSpaceDN w:val="0"/>
        <w:adjustRightInd w:val="0"/>
        <w:rPr>
          <w:b/>
          <w:bCs/>
        </w:rPr>
      </w:pPr>
      <w:r w:rsidRPr="00D05ADC">
        <w:rPr>
          <w:b/>
          <w:bCs/>
          <w:noProof/>
        </w:rPr>
        <mc:AlternateContent>
          <mc:Choice Requires="wps">
            <w:drawing>
              <wp:anchor distT="0" distB="0" distL="114300" distR="114300" simplePos="0" relativeHeight="251666432" behindDoc="0" locked="0" layoutInCell="1" allowOverlap="1" wp14:anchorId="36FC7B44" wp14:editId="2DBDF08D">
                <wp:simplePos x="0" y="0"/>
                <wp:positionH relativeFrom="margin">
                  <wp:align>left</wp:align>
                </wp:positionH>
                <wp:positionV relativeFrom="page">
                  <wp:posOffset>3656330</wp:posOffset>
                </wp:positionV>
                <wp:extent cx="5943600" cy="909320"/>
                <wp:effectExtent l="0" t="0" r="0" b="0"/>
                <wp:wrapNone/>
                <wp:docPr id="9" name="Rectangle 9"/>
                <wp:cNvGraphicFramePr/>
                <a:graphic xmlns:a="http://schemas.openxmlformats.org/drawingml/2006/main">
                  <a:graphicData uri="http://schemas.microsoft.com/office/word/2010/wordprocessingShape">
                    <wps:wsp>
                      <wps:cNvSpPr/>
                      <wps:spPr>
                        <a:xfrm>
                          <a:off x="0" y="0"/>
                          <a:ext cx="5943600" cy="909320"/>
                        </a:xfrm>
                        <a:prstGeom prst="rect">
                          <a:avLst/>
                        </a:prstGeom>
                      </wps:spPr>
                      <wps:txbx>
                        <w:txbxContent>
                          <w:p w14:paraId="370AA346" w14:textId="77777777" w:rsidR="00636B5B" w:rsidRPr="00E74506" w:rsidRDefault="00636B5B" w:rsidP="00CE7936">
                            <w:pPr>
                              <w:shd w:val="clear" w:color="auto" w:fill="FFFFFF"/>
                              <w:jc w:val="both"/>
                              <w:rPr>
                                <w:rFonts w:eastAsia="Times New Roman" w:cstheme="minorBidi"/>
                                <w:color w:val="222222"/>
                                <w:kern w:val="24"/>
                              </w:rPr>
                            </w:pPr>
                            <w:r w:rsidRPr="00E74506">
                              <w:rPr>
                                <w:rFonts w:eastAsia="Times New Roman" w:cstheme="minorBidi"/>
                                <w:b/>
                                <w:bCs/>
                                <w:color w:val="222222"/>
                                <w:kern w:val="24"/>
                                <w:highlight w:val="white"/>
                              </w:rPr>
                              <w:t>Figure II-S4.</w:t>
                            </w:r>
                            <w:r w:rsidRPr="00E74506">
                              <w:rPr>
                                <w:rFonts w:eastAsia="Times New Roman" w:cstheme="minorBidi"/>
                                <w:color w:val="222222"/>
                                <w:kern w:val="24"/>
                                <w:highlight w:val="white"/>
                              </w:rPr>
                              <w:t xml:space="preserve"> Alignment of </w:t>
                            </w:r>
                            <w:r w:rsidRPr="00E74506">
                              <w:rPr>
                                <w:rFonts w:eastAsia="Times New Roman" w:cstheme="minorBidi"/>
                                <w:i/>
                                <w:iCs/>
                                <w:color w:val="222222"/>
                                <w:kern w:val="24"/>
                                <w:highlight w:val="white"/>
                              </w:rPr>
                              <w:t xml:space="preserve">de novo </w:t>
                            </w:r>
                            <w:r w:rsidRPr="00E74506">
                              <w:rPr>
                                <w:rFonts w:eastAsia="Times New Roman" w:cstheme="minorBidi"/>
                                <w:color w:val="222222"/>
                                <w:kern w:val="24"/>
                                <w:highlight w:val="white"/>
                              </w:rPr>
                              <w:t xml:space="preserve">gene </w:t>
                            </w:r>
                            <w:r w:rsidRPr="00E74506">
                              <w:rPr>
                                <w:rFonts w:eastAsia="Times New Roman" w:cstheme="minorBidi"/>
                                <w:color w:val="222222"/>
                                <w:kern w:val="24"/>
                              </w:rPr>
                              <w:t xml:space="preserve">Potri.001G257200 against its non-coding syntenic regions. Highlighting shows disagreement to the </w:t>
                            </w:r>
                            <w:r w:rsidRPr="00E74506">
                              <w:rPr>
                                <w:rFonts w:eastAsia="Times New Roman" w:cstheme="minorBidi"/>
                                <w:i/>
                                <w:iCs/>
                                <w:color w:val="222222"/>
                                <w:kern w:val="24"/>
                              </w:rPr>
                              <w:t xml:space="preserve">de novo </w:t>
                            </w:r>
                            <w:r w:rsidRPr="00E74506">
                              <w:rPr>
                                <w:rFonts w:eastAsia="Times New Roman" w:cstheme="minorBidi"/>
                                <w:color w:val="222222"/>
                                <w:kern w:val="24"/>
                              </w:rPr>
                              <w:t xml:space="preserve">gene. The sequence label includes information about species and coordinates for the region; pd = </w:t>
                            </w:r>
                            <w:r w:rsidRPr="00E74506">
                              <w:rPr>
                                <w:rFonts w:eastAsia="Times New Roman" w:cstheme="minorBidi"/>
                                <w:i/>
                                <w:iCs/>
                                <w:color w:val="222222"/>
                                <w:kern w:val="24"/>
                              </w:rPr>
                              <w:t xml:space="preserve">P. </w:t>
                            </w:r>
                            <w:proofErr w:type="spellStart"/>
                            <w:r w:rsidRPr="00E74506">
                              <w:rPr>
                                <w:rFonts w:eastAsia="Times New Roman" w:cstheme="minorBidi"/>
                                <w:i/>
                                <w:iCs/>
                                <w:color w:val="222222"/>
                                <w:kern w:val="24"/>
                              </w:rPr>
                              <w:t>deltoides</w:t>
                            </w:r>
                            <w:proofErr w:type="spellEnd"/>
                            <w:r w:rsidRPr="00E74506">
                              <w:rPr>
                                <w:rFonts w:eastAsia="Times New Roman" w:cstheme="minorBidi"/>
                                <w:i/>
                                <w:iCs/>
                                <w:color w:val="222222"/>
                                <w:kern w:val="24"/>
                              </w:rPr>
                              <w:t xml:space="preserve">, </w:t>
                            </w:r>
                            <w:proofErr w:type="spellStart"/>
                            <w:r w:rsidRPr="00E74506">
                              <w:rPr>
                                <w:rFonts w:eastAsia="Times New Roman" w:cstheme="minorBidi"/>
                                <w:color w:val="222222"/>
                                <w:kern w:val="24"/>
                              </w:rPr>
                              <w:t>sp</w:t>
                            </w:r>
                            <w:proofErr w:type="spellEnd"/>
                            <w:r w:rsidRPr="00E74506">
                              <w:rPr>
                                <w:rFonts w:eastAsia="Times New Roman" w:cstheme="minorBidi"/>
                                <w:color w:val="222222"/>
                                <w:kern w:val="24"/>
                              </w:rPr>
                              <w:t xml:space="preserve"> = </w:t>
                            </w:r>
                            <w:r w:rsidRPr="00E74506">
                              <w:rPr>
                                <w:rFonts w:eastAsia="Times New Roman" w:cstheme="minorBidi"/>
                                <w:i/>
                                <w:iCs/>
                                <w:color w:val="222222"/>
                                <w:kern w:val="24"/>
                              </w:rPr>
                              <w:t>S. purpurea</w:t>
                            </w:r>
                            <w:r w:rsidRPr="00E74506">
                              <w:rPr>
                                <w:rFonts w:eastAsia="Times New Roman" w:cstheme="minorBidi"/>
                                <w:color w:val="222222"/>
                                <w:kern w:val="24"/>
                              </w:rPr>
                              <w:t xml:space="preserve">, </w:t>
                            </w:r>
                            <w:proofErr w:type="spellStart"/>
                            <w:r w:rsidRPr="00E74506">
                              <w:rPr>
                                <w:rFonts w:eastAsia="Times New Roman" w:cstheme="minorBidi"/>
                                <w:color w:val="222222"/>
                                <w:kern w:val="24"/>
                              </w:rPr>
                              <w:t>pt</w:t>
                            </w:r>
                            <w:proofErr w:type="spellEnd"/>
                            <w:r w:rsidRPr="00E74506">
                              <w:rPr>
                                <w:rFonts w:eastAsia="Times New Roman" w:cstheme="minorBidi"/>
                                <w:color w:val="222222"/>
                                <w:kern w:val="24"/>
                              </w:rPr>
                              <w:t xml:space="preserve"> = </w:t>
                            </w:r>
                            <w:r w:rsidRPr="00E74506">
                              <w:rPr>
                                <w:rFonts w:eastAsia="Times New Roman" w:cstheme="minorBidi"/>
                                <w:i/>
                                <w:iCs/>
                                <w:color w:val="222222"/>
                                <w:kern w:val="24"/>
                              </w:rPr>
                              <w:t xml:space="preserve">P. </w:t>
                            </w:r>
                            <w:proofErr w:type="spellStart"/>
                            <w:r w:rsidRPr="00E74506">
                              <w:rPr>
                                <w:rFonts w:eastAsia="Times New Roman" w:cstheme="minorBidi"/>
                                <w:i/>
                                <w:iCs/>
                                <w:color w:val="222222"/>
                                <w:kern w:val="24"/>
                              </w:rPr>
                              <w:t>trichocarpa</w:t>
                            </w:r>
                            <w:proofErr w:type="spellEnd"/>
                            <w:r w:rsidRPr="00E74506">
                              <w:rPr>
                                <w:rFonts w:eastAsia="Times New Roman" w:cstheme="minorBidi"/>
                                <w:color w:val="222222"/>
                                <w:kern w:val="24"/>
                              </w:rPr>
                              <w:t>.</w:t>
                            </w:r>
                          </w:p>
                        </w:txbxContent>
                      </wps:txbx>
                      <wps:bodyPr wrap="square">
                        <a:spAutoFit/>
                      </wps:bodyPr>
                    </wps:wsp>
                  </a:graphicData>
                </a:graphic>
                <wp14:sizeRelH relativeFrom="margin">
                  <wp14:pctWidth>0</wp14:pctWidth>
                </wp14:sizeRelH>
              </wp:anchor>
            </w:drawing>
          </mc:Choice>
          <mc:Fallback>
            <w:pict>
              <v:rect w14:anchorId="36FC7B44" id="Rectangle 9" o:spid="_x0000_s1028" style="position:absolute;margin-left:0;margin-top:287.9pt;width:468pt;height:71.6pt;z-index:251666432;visibility:visible;mso-wrap-style:square;mso-width-percent:0;mso-wrap-distance-left:9pt;mso-wrap-distance-top:0;mso-wrap-distance-right:9pt;mso-wrap-distance-bottom:0;mso-position-horizontal:left;mso-position-horizontal-relative:margin;mso-position-vertical:absolute;mso-position-vertical-relative:page;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" filled="f" stroked="f">
                <v:textbox style="mso-fit-shape-to-text:t">
                  <w:txbxContent>
                    <w:p w14:paraId="370AA346" w14:textId="77777777" w:rsidR="00636B5B" w:rsidRPr="00E74506" w:rsidRDefault="00636B5B" w:rsidP="00CE7936">
                      <w:pPr>
                        <w:shd w:val="clear" w:color="auto" w:fill="FFFFFF"/>
                        <w:jc w:val="both"/>
                        <w:rPr>
                          <w:rFonts w:eastAsia="Times New Roman" w:cstheme="minorBidi"/>
                          <w:color w:val="222222"/>
                          <w:kern w:val="24"/>
                        </w:rPr>
                      </w:pPr>
                      <w:r w:rsidRPr="00E74506">
                        <w:rPr>
                          <w:rFonts w:eastAsia="Times New Roman" w:cstheme="minorBidi"/>
                          <w:b/>
                          <w:bCs/>
                          <w:color w:val="222222"/>
                          <w:kern w:val="24"/>
                          <w:highlight w:val="white"/>
                        </w:rPr>
                        <w:t>Figure II-S4.</w:t>
                      </w:r>
                      <w:r w:rsidRPr="00E74506">
                        <w:rPr>
                          <w:rFonts w:eastAsia="Times New Roman" w:cstheme="minorBidi"/>
                          <w:color w:val="222222"/>
                          <w:kern w:val="24"/>
                          <w:highlight w:val="white"/>
                        </w:rPr>
                        <w:t xml:space="preserve"> Alignment of </w:t>
                      </w:r>
                      <w:r w:rsidRPr="00E74506">
                        <w:rPr>
                          <w:rFonts w:eastAsia="Times New Roman" w:cstheme="minorBidi"/>
                          <w:i/>
                          <w:iCs/>
                          <w:color w:val="222222"/>
                          <w:kern w:val="24"/>
                          <w:highlight w:val="white"/>
                        </w:rPr>
                        <w:t xml:space="preserve">de novo </w:t>
                      </w:r>
                      <w:r w:rsidRPr="00E74506">
                        <w:rPr>
                          <w:rFonts w:eastAsia="Times New Roman" w:cstheme="minorBidi"/>
                          <w:color w:val="222222"/>
                          <w:kern w:val="24"/>
                          <w:highlight w:val="white"/>
                        </w:rPr>
                        <w:t xml:space="preserve">gene </w:t>
                      </w:r>
                      <w:r w:rsidRPr="00E74506">
                        <w:rPr>
                          <w:rFonts w:eastAsia="Times New Roman" w:cstheme="minorBidi"/>
                          <w:color w:val="222222"/>
                          <w:kern w:val="24"/>
                        </w:rPr>
                        <w:t xml:space="preserve">Potri.001G257200 against its non-coding syntenic regions. Highlighting shows disagreement to the </w:t>
                      </w:r>
                      <w:r w:rsidRPr="00E74506">
                        <w:rPr>
                          <w:rFonts w:eastAsia="Times New Roman" w:cstheme="minorBidi"/>
                          <w:i/>
                          <w:iCs/>
                          <w:color w:val="222222"/>
                          <w:kern w:val="24"/>
                        </w:rPr>
                        <w:t xml:space="preserve">de novo </w:t>
                      </w:r>
                      <w:r w:rsidRPr="00E74506">
                        <w:rPr>
                          <w:rFonts w:eastAsia="Times New Roman" w:cstheme="minorBidi"/>
                          <w:color w:val="222222"/>
                          <w:kern w:val="24"/>
                        </w:rPr>
                        <w:t xml:space="preserve">gene. The sequence label includes information about species and coordinates for the region; pd = </w:t>
                      </w:r>
                      <w:r w:rsidRPr="00E74506">
                        <w:rPr>
                          <w:rFonts w:eastAsia="Times New Roman" w:cstheme="minorBidi"/>
                          <w:i/>
                          <w:iCs/>
                          <w:color w:val="222222"/>
                          <w:kern w:val="24"/>
                        </w:rPr>
                        <w:t xml:space="preserve">P. </w:t>
                      </w:r>
                      <w:proofErr w:type="spellStart"/>
                      <w:r w:rsidRPr="00E74506">
                        <w:rPr>
                          <w:rFonts w:eastAsia="Times New Roman" w:cstheme="minorBidi"/>
                          <w:i/>
                          <w:iCs/>
                          <w:color w:val="222222"/>
                          <w:kern w:val="24"/>
                        </w:rPr>
                        <w:t>deltoides</w:t>
                      </w:r>
                      <w:proofErr w:type="spellEnd"/>
                      <w:r w:rsidRPr="00E74506">
                        <w:rPr>
                          <w:rFonts w:eastAsia="Times New Roman" w:cstheme="minorBidi"/>
                          <w:i/>
                          <w:iCs/>
                          <w:color w:val="222222"/>
                          <w:kern w:val="24"/>
                        </w:rPr>
                        <w:t xml:space="preserve">, </w:t>
                      </w:r>
                      <w:proofErr w:type="spellStart"/>
                      <w:r w:rsidRPr="00E74506">
                        <w:rPr>
                          <w:rFonts w:eastAsia="Times New Roman" w:cstheme="minorBidi"/>
                          <w:color w:val="222222"/>
                          <w:kern w:val="24"/>
                        </w:rPr>
                        <w:t>sp</w:t>
                      </w:r>
                      <w:proofErr w:type="spellEnd"/>
                      <w:r w:rsidRPr="00E74506">
                        <w:rPr>
                          <w:rFonts w:eastAsia="Times New Roman" w:cstheme="minorBidi"/>
                          <w:color w:val="222222"/>
                          <w:kern w:val="24"/>
                        </w:rPr>
                        <w:t xml:space="preserve"> = </w:t>
                      </w:r>
                      <w:r w:rsidRPr="00E74506">
                        <w:rPr>
                          <w:rFonts w:eastAsia="Times New Roman" w:cstheme="minorBidi"/>
                          <w:i/>
                          <w:iCs/>
                          <w:color w:val="222222"/>
                          <w:kern w:val="24"/>
                        </w:rPr>
                        <w:t>S. purpurea</w:t>
                      </w:r>
                      <w:r w:rsidRPr="00E74506">
                        <w:rPr>
                          <w:rFonts w:eastAsia="Times New Roman" w:cstheme="minorBidi"/>
                          <w:color w:val="222222"/>
                          <w:kern w:val="24"/>
                        </w:rPr>
                        <w:t xml:space="preserve">, </w:t>
                      </w:r>
                      <w:proofErr w:type="spellStart"/>
                      <w:r w:rsidRPr="00E74506">
                        <w:rPr>
                          <w:rFonts w:eastAsia="Times New Roman" w:cstheme="minorBidi"/>
                          <w:color w:val="222222"/>
                          <w:kern w:val="24"/>
                        </w:rPr>
                        <w:t>pt</w:t>
                      </w:r>
                      <w:proofErr w:type="spellEnd"/>
                      <w:r w:rsidRPr="00E74506">
                        <w:rPr>
                          <w:rFonts w:eastAsia="Times New Roman" w:cstheme="minorBidi"/>
                          <w:color w:val="222222"/>
                          <w:kern w:val="24"/>
                        </w:rPr>
                        <w:t xml:space="preserve"> = </w:t>
                      </w:r>
                      <w:r w:rsidRPr="00E74506">
                        <w:rPr>
                          <w:rFonts w:eastAsia="Times New Roman" w:cstheme="minorBidi"/>
                          <w:i/>
                          <w:iCs/>
                          <w:color w:val="222222"/>
                          <w:kern w:val="24"/>
                        </w:rPr>
                        <w:t xml:space="preserve">P. </w:t>
                      </w:r>
                      <w:proofErr w:type="spellStart"/>
                      <w:r w:rsidRPr="00E74506">
                        <w:rPr>
                          <w:rFonts w:eastAsia="Times New Roman" w:cstheme="minorBidi"/>
                          <w:i/>
                          <w:iCs/>
                          <w:color w:val="222222"/>
                          <w:kern w:val="24"/>
                        </w:rPr>
                        <w:t>trichocarpa</w:t>
                      </w:r>
                      <w:proofErr w:type="spellEnd"/>
                      <w:r w:rsidRPr="00E74506">
                        <w:rPr>
                          <w:rFonts w:eastAsia="Times New Roman" w:cstheme="minorBidi"/>
                          <w:color w:val="222222"/>
                          <w:kern w:val="24"/>
                        </w:rPr>
                        <w:t>.</w:t>
                      </w:r>
                    </w:p>
                  </w:txbxContent>
                </v:textbox>
                <w10:wrap anchorx="margin" anchory="page"/>
              </v:rect>
            </w:pict>
          </mc:Fallback>
        </mc:AlternateContent>
      </w:r>
    </w:p>
    <w:p w14:paraId="2755E21C" w14:textId="77777777" w:rsidR="00636B5B" w:rsidRDefault="00636B5B" w:rsidP="00CE7936">
      <w:pPr>
        <w:widowControl w:val="0"/>
        <w:autoSpaceDE w:val="0"/>
        <w:autoSpaceDN w:val="0"/>
        <w:adjustRightInd w:val="0"/>
        <w:rPr>
          <w:b/>
          <w:bCs/>
        </w:rPr>
      </w:pPr>
    </w:p>
    <w:p w14:paraId="24D0074B" w14:textId="77777777" w:rsidR="00636B5B" w:rsidRDefault="00636B5B" w:rsidP="00CE7936">
      <w:pPr>
        <w:widowControl w:val="0"/>
        <w:autoSpaceDE w:val="0"/>
        <w:autoSpaceDN w:val="0"/>
        <w:adjustRightInd w:val="0"/>
        <w:rPr>
          <w:b/>
          <w:bCs/>
        </w:rPr>
      </w:pPr>
    </w:p>
    <w:p w14:paraId="5BB487C9" w14:textId="77777777" w:rsidR="00636B5B" w:rsidRDefault="00636B5B" w:rsidP="00CE7936">
      <w:pPr>
        <w:widowControl w:val="0"/>
        <w:autoSpaceDE w:val="0"/>
        <w:autoSpaceDN w:val="0"/>
        <w:adjustRightInd w:val="0"/>
        <w:rPr>
          <w:b/>
          <w:bCs/>
        </w:rPr>
      </w:pPr>
    </w:p>
    <w:p w14:paraId="37CA050F" w14:textId="77777777" w:rsidR="00636B5B" w:rsidRDefault="00636B5B" w:rsidP="00CE7936">
      <w:pPr>
        <w:widowControl w:val="0"/>
        <w:autoSpaceDE w:val="0"/>
        <w:autoSpaceDN w:val="0"/>
        <w:adjustRightInd w:val="0"/>
        <w:rPr>
          <w:b/>
          <w:bCs/>
        </w:rPr>
      </w:pPr>
    </w:p>
    <w:p w14:paraId="5C30DE86" w14:textId="77777777" w:rsidR="00636B5B" w:rsidRDefault="00636B5B" w:rsidP="00CE7936">
      <w:pPr>
        <w:widowControl w:val="0"/>
        <w:autoSpaceDE w:val="0"/>
        <w:autoSpaceDN w:val="0"/>
        <w:adjustRightInd w:val="0"/>
        <w:rPr>
          <w:b/>
          <w:bCs/>
        </w:rPr>
      </w:pPr>
    </w:p>
    <w:p w14:paraId="59D59EDC" w14:textId="77777777" w:rsidR="00636B5B" w:rsidRDefault="00636B5B" w:rsidP="00CE7936">
      <w:pPr>
        <w:widowControl w:val="0"/>
        <w:autoSpaceDE w:val="0"/>
        <w:autoSpaceDN w:val="0"/>
        <w:adjustRightInd w:val="0"/>
        <w:rPr>
          <w:b/>
          <w:bCs/>
        </w:rPr>
      </w:pPr>
    </w:p>
    <w:p w14:paraId="733C3223" w14:textId="6181B842" w:rsidR="00636B5B" w:rsidRDefault="00752AE5" w:rsidP="00CE7936">
      <w:pPr>
        <w:widowControl w:val="0"/>
        <w:autoSpaceDE w:val="0"/>
        <w:autoSpaceDN w:val="0"/>
        <w:adjustRightInd w:val="0"/>
        <w:rPr>
          <w:b/>
          <w:bCs/>
        </w:rPr>
      </w:pPr>
      <w:r w:rsidRPr="00BD2A1C">
        <w:rPr>
          <w:b/>
          <w:bCs/>
          <w:noProof/>
        </w:rPr>
        <w:drawing>
          <wp:anchor distT="0" distB="0" distL="114300" distR="114300" simplePos="0" relativeHeight="251669504" behindDoc="0" locked="0" layoutInCell="1" allowOverlap="1" wp14:anchorId="34784D25" wp14:editId="7AB96117">
            <wp:simplePos x="0" y="0"/>
            <wp:positionH relativeFrom="margin">
              <wp:posOffset>240030</wp:posOffset>
            </wp:positionH>
            <wp:positionV relativeFrom="margin">
              <wp:posOffset>3884295</wp:posOffset>
            </wp:positionV>
            <wp:extent cx="5463540" cy="3449320"/>
            <wp:effectExtent l="0" t="0" r="0" b="5080"/>
            <wp:wrapNone/>
            <wp:docPr id="13" name="Content Placeholder 19" descr="Graphical user interface&#10;&#10;Description automatically generated with low confidence">
              <a:extLst xmlns:a="http://schemas.openxmlformats.org/drawingml/2006/main">
                <a:ext uri="{FF2B5EF4-FFF2-40B4-BE49-F238E27FC236}">
                  <a16:creationId xmlns:a16="http://schemas.microsoft.com/office/drawing/2014/main" id="{591E36E2-D4D4-9746-9D8D-0F4B318D8E28}"/>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3" name="Content Placeholder 19" descr="Graphical user interface&#10;&#10;Description automatically generated with low confidence">
                      <a:extLst>
                        <a:ext uri="{FF2B5EF4-FFF2-40B4-BE49-F238E27FC236}">
                          <a16:creationId xmlns:a16="http://schemas.microsoft.com/office/drawing/2014/main" id="{591E36E2-D4D4-9746-9D8D-0F4B318D8E28}"/>
                        </a:ext>
                      </a:extLst>
                    </pic:cNvPr>
                    <pic:cNvPicPr>
                      <a:picLocks noGrp="1" noChangeAspect="1"/>
                    </pic:cNvPicPr>
                  </pic:nvPicPr>
                  <pic:blipFill>
                    <a:blip r:embed="rId26" cstate="print">
                      <a:extLst>
                        <a:ext uri="{28A0092B-C50C-407E-A947-70E740481C1C}">
                          <a14:useLocalDpi xmlns:a14="http://schemas.microsoft.com/office/drawing/2010/main"/>
                        </a:ext>
                      </a:extLst>
                    </a:blip>
                    <a:stretch>
                      <a:fillRect/>
                    </a:stretch>
                  </pic:blipFill>
                  <pic:spPr>
                    <a:xfrm>
                      <a:off x="0" y="0"/>
                      <a:ext cx="5463540" cy="3449320"/>
                    </a:xfrm>
                    <a:prstGeom prst="rect">
                      <a:avLst/>
                    </a:prstGeom>
                  </pic:spPr>
                </pic:pic>
              </a:graphicData>
            </a:graphic>
            <wp14:sizeRelH relativeFrom="margin">
              <wp14:pctWidth>0</wp14:pctWidth>
            </wp14:sizeRelH>
            <wp14:sizeRelV relativeFrom="margin">
              <wp14:pctHeight>0</wp14:pctHeight>
            </wp14:sizeRelV>
          </wp:anchor>
        </w:drawing>
      </w:r>
    </w:p>
    <w:p w14:paraId="675C6F36" w14:textId="3DE6FCEC" w:rsidR="00636B5B" w:rsidRDefault="00636B5B" w:rsidP="00CE7936">
      <w:pPr>
        <w:widowControl w:val="0"/>
        <w:autoSpaceDE w:val="0"/>
        <w:autoSpaceDN w:val="0"/>
        <w:adjustRightInd w:val="0"/>
        <w:rPr>
          <w:b/>
          <w:bCs/>
        </w:rPr>
      </w:pPr>
    </w:p>
    <w:p w14:paraId="60234641" w14:textId="77777777" w:rsidR="00636B5B" w:rsidRDefault="00636B5B" w:rsidP="00CE7936">
      <w:pPr>
        <w:widowControl w:val="0"/>
        <w:autoSpaceDE w:val="0"/>
        <w:autoSpaceDN w:val="0"/>
        <w:adjustRightInd w:val="0"/>
        <w:rPr>
          <w:b/>
          <w:bCs/>
        </w:rPr>
      </w:pPr>
    </w:p>
    <w:p w14:paraId="444B0B12" w14:textId="77777777" w:rsidR="00636B5B" w:rsidRDefault="00636B5B" w:rsidP="00CE7936">
      <w:pPr>
        <w:widowControl w:val="0"/>
        <w:autoSpaceDE w:val="0"/>
        <w:autoSpaceDN w:val="0"/>
        <w:adjustRightInd w:val="0"/>
        <w:rPr>
          <w:b/>
          <w:bCs/>
        </w:rPr>
      </w:pPr>
    </w:p>
    <w:p w14:paraId="0DF49B1E" w14:textId="77777777" w:rsidR="00636B5B" w:rsidRDefault="00636B5B" w:rsidP="00CE7936">
      <w:pPr>
        <w:widowControl w:val="0"/>
        <w:autoSpaceDE w:val="0"/>
        <w:autoSpaceDN w:val="0"/>
        <w:adjustRightInd w:val="0"/>
        <w:rPr>
          <w:b/>
          <w:bCs/>
        </w:rPr>
      </w:pPr>
    </w:p>
    <w:p w14:paraId="7BEF7EC0" w14:textId="77777777" w:rsidR="00636B5B" w:rsidRDefault="00636B5B" w:rsidP="00CE7936">
      <w:pPr>
        <w:widowControl w:val="0"/>
        <w:autoSpaceDE w:val="0"/>
        <w:autoSpaceDN w:val="0"/>
        <w:adjustRightInd w:val="0"/>
        <w:rPr>
          <w:b/>
          <w:bCs/>
        </w:rPr>
      </w:pPr>
    </w:p>
    <w:p w14:paraId="2DDE7613" w14:textId="77777777" w:rsidR="00636B5B" w:rsidRDefault="00636B5B" w:rsidP="00CE7936">
      <w:pPr>
        <w:widowControl w:val="0"/>
        <w:autoSpaceDE w:val="0"/>
        <w:autoSpaceDN w:val="0"/>
        <w:adjustRightInd w:val="0"/>
        <w:rPr>
          <w:b/>
          <w:bCs/>
        </w:rPr>
      </w:pPr>
    </w:p>
    <w:p w14:paraId="4A648726" w14:textId="77777777" w:rsidR="00636B5B" w:rsidRDefault="00636B5B" w:rsidP="00CE7936">
      <w:pPr>
        <w:widowControl w:val="0"/>
        <w:autoSpaceDE w:val="0"/>
        <w:autoSpaceDN w:val="0"/>
        <w:adjustRightInd w:val="0"/>
        <w:rPr>
          <w:b/>
          <w:bCs/>
        </w:rPr>
      </w:pPr>
    </w:p>
    <w:p w14:paraId="0DA1AB41" w14:textId="77777777" w:rsidR="00636B5B" w:rsidRDefault="00636B5B" w:rsidP="00CE7936">
      <w:pPr>
        <w:widowControl w:val="0"/>
        <w:autoSpaceDE w:val="0"/>
        <w:autoSpaceDN w:val="0"/>
        <w:adjustRightInd w:val="0"/>
        <w:rPr>
          <w:b/>
          <w:bCs/>
        </w:rPr>
      </w:pPr>
    </w:p>
    <w:p w14:paraId="0E33860D" w14:textId="77777777" w:rsidR="00636B5B" w:rsidRDefault="00636B5B" w:rsidP="00CE7936">
      <w:pPr>
        <w:widowControl w:val="0"/>
        <w:autoSpaceDE w:val="0"/>
        <w:autoSpaceDN w:val="0"/>
        <w:adjustRightInd w:val="0"/>
        <w:rPr>
          <w:b/>
          <w:bCs/>
        </w:rPr>
      </w:pPr>
    </w:p>
    <w:p w14:paraId="69AA655B" w14:textId="77777777" w:rsidR="00636B5B" w:rsidRDefault="00636B5B" w:rsidP="00CE7936">
      <w:pPr>
        <w:widowControl w:val="0"/>
        <w:autoSpaceDE w:val="0"/>
        <w:autoSpaceDN w:val="0"/>
        <w:adjustRightInd w:val="0"/>
        <w:rPr>
          <w:b/>
          <w:bCs/>
        </w:rPr>
      </w:pPr>
    </w:p>
    <w:p w14:paraId="48FF3C95" w14:textId="77777777" w:rsidR="00636B5B" w:rsidRDefault="00636B5B" w:rsidP="00CE7936">
      <w:pPr>
        <w:widowControl w:val="0"/>
        <w:autoSpaceDE w:val="0"/>
        <w:autoSpaceDN w:val="0"/>
        <w:adjustRightInd w:val="0"/>
        <w:rPr>
          <w:b/>
          <w:bCs/>
        </w:rPr>
      </w:pPr>
    </w:p>
    <w:p w14:paraId="02C408E2" w14:textId="77777777" w:rsidR="00636B5B" w:rsidRDefault="00636B5B" w:rsidP="00CE7936">
      <w:pPr>
        <w:widowControl w:val="0"/>
        <w:autoSpaceDE w:val="0"/>
        <w:autoSpaceDN w:val="0"/>
        <w:adjustRightInd w:val="0"/>
        <w:rPr>
          <w:b/>
          <w:bCs/>
        </w:rPr>
      </w:pPr>
    </w:p>
    <w:p w14:paraId="35957708" w14:textId="77777777" w:rsidR="00636B5B" w:rsidRDefault="00636B5B" w:rsidP="00CE7936">
      <w:pPr>
        <w:widowControl w:val="0"/>
        <w:autoSpaceDE w:val="0"/>
        <w:autoSpaceDN w:val="0"/>
        <w:adjustRightInd w:val="0"/>
        <w:rPr>
          <w:b/>
          <w:bCs/>
        </w:rPr>
      </w:pPr>
    </w:p>
    <w:p w14:paraId="420438D6" w14:textId="77777777" w:rsidR="00636B5B" w:rsidRDefault="00636B5B" w:rsidP="00CE7936">
      <w:pPr>
        <w:widowControl w:val="0"/>
        <w:autoSpaceDE w:val="0"/>
        <w:autoSpaceDN w:val="0"/>
        <w:adjustRightInd w:val="0"/>
        <w:rPr>
          <w:b/>
          <w:bCs/>
        </w:rPr>
      </w:pPr>
    </w:p>
    <w:p w14:paraId="37054CCC" w14:textId="77777777" w:rsidR="00636B5B" w:rsidRDefault="00636B5B" w:rsidP="00CE7936">
      <w:pPr>
        <w:widowControl w:val="0"/>
        <w:autoSpaceDE w:val="0"/>
        <w:autoSpaceDN w:val="0"/>
        <w:adjustRightInd w:val="0"/>
        <w:rPr>
          <w:b/>
          <w:bCs/>
        </w:rPr>
      </w:pPr>
    </w:p>
    <w:p w14:paraId="61600CE4" w14:textId="77777777" w:rsidR="00636B5B" w:rsidRDefault="00636B5B" w:rsidP="00CE7936">
      <w:pPr>
        <w:widowControl w:val="0"/>
        <w:autoSpaceDE w:val="0"/>
        <w:autoSpaceDN w:val="0"/>
        <w:adjustRightInd w:val="0"/>
        <w:rPr>
          <w:b/>
          <w:bCs/>
        </w:rPr>
      </w:pPr>
    </w:p>
    <w:p w14:paraId="3CDB7E6A" w14:textId="77777777" w:rsidR="00636B5B" w:rsidRDefault="00636B5B" w:rsidP="00CE7936">
      <w:pPr>
        <w:widowControl w:val="0"/>
        <w:autoSpaceDE w:val="0"/>
        <w:autoSpaceDN w:val="0"/>
        <w:adjustRightInd w:val="0"/>
        <w:rPr>
          <w:b/>
          <w:bCs/>
        </w:rPr>
      </w:pPr>
    </w:p>
    <w:p w14:paraId="4B8D7E73" w14:textId="77777777" w:rsidR="00636B5B" w:rsidRDefault="00636B5B" w:rsidP="00CE7936">
      <w:pPr>
        <w:widowControl w:val="0"/>
        <w:autoSpaceDE w:val="0"/>
        <w:autoSpaceDN w:val="0"/>
        <w:adjustRightInd w:val="0"/>
        <w:rPr>
          <w:b/>
          <w:bCs/>
        </w:rPr>
      </w:pPr>
    </w:p>
    <w:p w14:paraId="0E38E8BB" w14:textId="21F133E1" w:rsidR="00636B5B" w:rsidRDefault="00752AE5" w:rsidP="00CE7936">
      <w:pPr>
        <w:widowControl w:val="0"/>
        <w:autoSpaceDE w:val="0"/>
        <w:autoSpaceDN w:val="0"/>
        <w:adjustRightInd w:val="0"/>
        <w:rPr>
          <w:b/>
          <w:bCs/>
        </w:rPr>
      </w:pPr>
      <w:r w:rsidRPr="00BD2A1C">
        <w:rPr>
          <w:b/>
          <w:bCs/>
          <w:noProof/>
        </w:rPr>
        <mc:AlternateContent>
          <mc:Choice Requires="wps">
            <w:drawing>
              <wp:anchor distT="0" distB="0" distL="114300" distR="114300" simplePos="0" relativeHeight="251668480" behindDoc="0" locked="0" layoutInCell="1" allowOverlap="1" wp14:anchorId="219BE722" wp14:editId="6AC222F8">
                <wp:simplePos x="0" y="0"/>
                <wp:positionH relativeFrom="margin">
                  <wp:align>left</wp:align>
                </wp:positionH>
                <wp:positionV relativeFrom="margin">
                  <wp:posOffset>7315200</wp:posOffset>
                </wp:positionV>
                <wp:extent cx="5943600" cy="953770"/>
                <wp:effectExtent l="0" t="0" r="0" b="0"/>
                <wp:wrapNone/>
                <wp:docPr id="12" name="Rectangle 5"/>
                <wp:cNvGraphicFramePr/>
                <a:graphic xmlns:a="http://schemas.openxmlformats.org/drawingml/2006/main">
                  <a:graphicData uri="http://schemas.microsoft.com/office/word/2010/wordprocessingShape">
                    <wps:wsp>
                      <wps:cNvSpPr/>
                      <wps:spPr>
                        <a:xfrm>
                          <a:off x="0" y="0"/>
                          <a:ext cx="5943600" cy="953770"/>
                        </a:xfrm>
                        <a:prstGeom prst="rect">
                          <a:avLst/>
                        </a:prstGeom>
                      </wps:spPr>
                      <wps:txbx>
                        <w:txbxContent>
                          <w:p w14:paraId="1649D478" w14:textId="77777777" w:rsidR="00636B5B" w:rsidRPr="00E74506" w:rsidRDefault="00636B5B" w:rsidP="00CE7936">
                            <w:pPr>
                              <w:shd w:val="clear" w:color="auto" w:fill="FFFFFF"/>
                              <w:jc w:val="both"/>
                              <w:rPr>
                                <w:rFonts w:eastAsia="Times New Roman" w:cstheme="minorBidi"/>
                                <w:b/>
                                <w:bCs/>
                                <w:color w:val="222222"/>
                                <w:kern w:val="24"/>
                              </w:rPr>
                            </w:pPr>
                            <w:r w:rsidRPr="00E74506">
                              <w:rPr>
                                <w:rFonts w:eastAsia="Times New Roman" w:cstheme="minorBidi"/>
                                <w:b/>
                                <w:bCs/>
                                <w:color w:val="222222"/>
                                <w:kern w:val="24"/>
                                <w:highlight w:val="white"/>
                              </w:rPr>
                              <w:t xml:space="preserve">Figure II-S5. </w:t>
                            </w:r>
                            <w:r w:rsidRPr="00E74506">
                              <w:rPr>
                                <w:rFonts w:eastAsia="Times New Roman" w:cstheme="minorBidi"/>
                                <w:color w:val="222222"/>
                                <w:kern w:val="24"/>
                                <w:highlight w:val="white"/>
                              </w:rPr>
                              <w:t xml:space="preserve">Alignment of </w:t>
                            </w:r>
                            <w:r w:rsidRPr="00E74506">
                              <w:rPr>
                                <w:rFonts w:eastAsia="Times New Roman" w:cstheme="minorBidi"/>
                                <w:i/>
                                <w:iCs/>
                                <w:color w:val="222222"/>
                                <w:kern w:val="24"/>
                                <w:highlight w:val="white"/>
                              </w:rPr>
                              <w:t xml:space="preserve">de novo </w:t>
                            </w:r>
                            <w:r w:rsidRPr="00E74506">
                              <w:rPr>
                                <w:rFonts w:eastAsia="Times New Roman" w:cstheme="minorBidi"/>
                                <w:color w:val="222222"/>
                                <w:kern w:val="24"/>
                                <w:highlight w:val="white"/>
                              </w:rPr>
                              <w:t xml:space="preserve">gene </w:t>
                            </w:r>
                            <w:r w:rsidRPr="00E74506">
                              <w:rPr>
                                <w:rFonts w:eastAsia="Times New Roman" w:cstheme="minorBidi"/>
                                <w:color w:val="222222"/>
                                <w:kern w:val="24"/>
                              </w:rPr>
                              <w:t xml:space="preserve">Potri.002G037600 against its non-coding syntenic regions. Highlighting shows disagreement to the </w:t>
                            </w:r>
                            <w:r w:rsidRPr="00E74506">
                              <w:rPr>
                                <w:rFonts w:eastAsia="Times New Roman" w:cstheme="minorBidi"/>
                                <w:i/>
                                <w:iCs/>
                                <w:color w:val="222222"/>
                                <w:kern w:val="24"/>
                              </w:rPr>
                              <w:t xml:space="preserve">de novo </w:t>
                            </w:r>
                            <w:r w:rsidRPr="00E74506">
                              <w:rPr>
                                <w:rFonts w:eastAsia="Times New Roman" w:cstheme="minorBidi"/>
                                <w:color w:val="222222"/>
                                <w:kern w:val="24"/>
                              </w:rPr>
                              <w:t xml:space="preserve">gene. The sequence label includes information about species and coordinates for region; pd = </w:t>
                            </w:r>
                            <w:r w:rsidRPr="00E74506">
                              <w:rPr>
                                <w:rFonts w:eastAsia="Times New Roman" w:cstheme="minorBidi"/>
                                <w:i/>
                                <w:iCs/>
                                <w:color w:val="222222"/>
                                <w:kern w:val="24"/>
                              </w:rPr>
                              <w:t xml:space="preserve">P. </w:t>
                            </w:r>
                            <w:proofErr w:type="spellStart"/>
                            <w:r w:rsidRPr="00E74506">
                              <w:rPr>
                                <w:rFonts w:eastAsia="Times New Roman" w:cstheme="minorBidi"/>
                                <w:i/>
                                <w:iCs/>
                                <w:color w:val="222222"/>
                                <w:kern w:val="24"/>
                              </w:rPr>
                              <w:t>deltoides</w:t>
                            </w:r>
                            <w:proofErr w:type="spellEnd"/>
                            <w:r w:rsidRPr="00E74506">
                              <w:rPr>
                                <w:rFonts w:eastAsia="Times New Roman" w:cstheme="minorBidi"/>
                                <w:i/>
                                <w:iCs/>
                                <w:color w:val="222222"/>
                                <w:kern w:val="24"/>
                              </w:rPr>
                              <w:t xml:space="preserve">, </w:t>
                            </w:r>
                            <w:proofErr w:type="spellStart"/>
                            <w:r w:rsidRPr="00E74506">
                              <w:rPr>
                                <w:rFonts w:eastAsia="Times New Roman" w:cstheme="minorBidi"/>
                                <w:color w:val="222222"/>
                                <w:kern w:val="24"/>
                              </w:rPr>
                              <w:t>sp</w:t>
                            </w:r>
                            <w:proofErr w:type="spellEnd"/>
                            <w:r w:rsidRPr="00E74506">
                              <w:rPr>
                                <w:rFonts w:eastAsia="Times New Roman" w:cstheme="minorBidi"/>
                                <w:color w:val="222222"/>
                                <w:kern w:val="24"/>
                              </w:rPr>
                              <w:t xml:space="preserve"> = </w:t>
                            </w:r>
                            <w:r w:rsidRPr="00E74506">
                              <w:rPr>
                                <w:rFonts w:eastAsia="Times New Roman" w:cstheme="minorBidi"/>
                                <w:i/>
                                <w:iCs/>
                                <w:color w:val="222222"/>
                                <w:kern w:val="24"/>
                              </w:rPr>
                              <w:t>S. purpurea</w:t>
                            </w:r>
                            <w:r w:rsidRPr="00E74506">
                              <w:rPr>
                                <w:rFonts w:eastAsia="Times New Roman" w:cstheme="minorBidi"/>
                                <w:color w:val="222222"/>
                                <w:kern w:val="24"/>
                              </w:rPr>
                              <w:t xml:space="preserve">, </w:t>
                            </w:r>
                            <w:proofErr w:type="spellStart"/>
                            <w:r w:rsidRPr="00E74506">
                              <w:rPr>
                                <w:rFonts w:eastAsia="Times New Roman" w:cstheme="minorBidi"/>
                                <w:color w:val="222222"/>
                                <w:kern w:val="24"/>
                              </w:rPr>
                              <w:t>pt</w:t>
                            </w:r>
                            <w:proofErr w:type="spellEnd"/>
                            <w:r w:rsidRPr="00E74506">
                              <w:rPr>
                                <w:rFonts w:eastAsia="Times New Roman" w:cstheme="minorBidi"/>
                                <w:color w:val="222222"/>
                                <w:kern w:val="24"/>
                              </w:rPr>
                              <w:t xml:space="preserve"> = </w:t>
                            </w:r>
                            <w:r w:rsidRPr="00E74506">
                              <w:rPr>
                                <w:rFonts w:eastAsia="Times New Roman" w:cstheme="minorBidi"/>
                                <w:i/>
                                <w:iCs/>
                                <w:color w:val="222222"/>
                                <w:kern w:val="24"/>
                              </w:rPr>
                              <w:t xml:space="preserve">P. </w:t>
                            </w:r>
                            <w:proofErr w:type="spellStart"/>
                            <w:r w:rsidRPr="00E74506">
                              <w:rPr>
                                <w:rFonts w:eastAsia="Times New Roman" w:cstheme="minorBidi"/>
                                <w:i/>
                                <w:iCs/>
                                <w:color w:val="222222"/>
                                <w:kern w:val="24"/>
                              </w:rPr>
                              <w:t>trichocarpa</w:t>
                            </w:r>
                            <w:proofErr w:type="spellEnd"/>
                            <w:r w:rsidRPr="00E74506">
                              <w:rPr>
                                <w:rFonts w:eastAsia="Times New Roman" w:cstheme="minorBidi"/>
                                <w:color w:val="222222"/>
                                <w:kern w:val="24"/>
                              </w:rPr>
                              <w:t>.</w:t>
                            </w:r>
                          </w:p>
                        </w:txbxContent>
                      </wps:txbx>
                      <wps:bodyPr wrap="square">
                        <a:spAutoFit/>
                      </wps:bodyPr>
                    </wps:wsp>
                  </a:graphicData>
                </a:graphic>
                <wp14:sizeRelH relativeFrom="margin">
                  <wp14:pctWidth>0</wp14:pctWidth>
                </wp14:sizeRelH>
              </wp:anchor>
            </w:drawing>
          </mc:Choice>
          <mc:Fallback>
            <w:pict>
              <v:rect w14:anchorId="219BE722" id="Rectangle 5" o:spid="_x0000_s1029" style="position:absolute;margin-left:0;margin-top:8in;width:468pt;height:75.1pt;z-index:251668480;visibility:visible;mso-wrap-style:square;mso-width-percent:0;mso-wrap-distance-left:9pt;mso-wrap-distance-top:0;mso-wrap-distance-right:9pt;mso-wrap-distance-bottom:0;mso-position-horizontal:left;mso-position-horizontal-relative:margin;mso-position-vertical:absolute;mso-position-vertical-relative:margin;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" filled="f" stroked="f">
                <v:textbox style="mso-fit-shape-to-text:t">
                  <w:txbxContent>
                    <w:p w14:paraId="1649D478" w14:textId="77777777" w:rsidR="00636B5B" w:rsidRPr="00E74506" w:rsidRDefault="00636B5B" w:rsidP="00CE7936">
                      <w:pPr>
                        <w:shd w:val="clear" w:color="auto" w:fill="FFFFFF"/>
                        <w:jc w:val="both"/>
                        <w:rPr>
                          <w:rFonts w:eastAsia="Times New Roman" w:cstheme="minorBidi"/>
                          <w:b/>
                          <w:bCs/>
                          <w:color w:val="222222"/>
                          <w:kern w:val="24"/>
                        </w:rPr>
                      </w:pPr>
                      <w:r w:rsidRPr="00E74506">
                        <w:rPr>
                          <w:rFonts w:eastAsia="Times New Roman" w:cstheme="minorBidi"/>
                          <w:b/>
                          <w:bCs/>
                          <w:color w:val="222222"/>
                          <w:kern w:val="24"/>
                          <w:highlight w:val="white"/>
                        </w:rPr>
                        <w:t xml:space="preserve">Figure II-S5. </w:t>
                      </w:r>
                      <w:r w:rsidRPr="00E74506">
                        <w:rPr>
                          <w:rFonts w:eastAsia="Times New Roman" w:cstheme="minorBidi"/>
                          <w:color w:val="222222"/>
                          <w:kern w:val="24"/>
                          <w:highlight w:val="white"/>
                        </w:rPr>
                        <w:t xml:space="preserve">Alignment of </w:t>
                      </w:r>
                      <w:r w:rsidRPr="00E74506">
                        <w:rPr>
                          <w:rFonts w:eastAsia="Times New Roman" w:cstheme="minorBidi"/>
                          <w:i/>
                          <w:iCs/>
                          <w:color w:val="222222"/>
                          <w:kern w:val="24"/>
                          <w:highlight w:val="white"/>
                        </w:rPr>
                        <w:t xml:space="preserve">de novo </w:t>
                      </w:r>
                      <w:r w:rsidRPr="00E74506">
                        <w:rPr>
                          <w:rFonts w:eastAsia="Times New Roman" w:cstheme="minorBidi"/>
                          <w:color w:val="222222"/>
                          <w:kern w:val="24"/>
                          <w:highlight w:val="white"/>
                        </w:rPr>
                        <w:t xml:space="preserve">gene </w:t>
                      </w:r>
                      <w:r w:rsidRPr="00E74506">
                        <w:rPr>
                          <w:rFonts w:eastAsia="Times New Roman" w:cstheme="minorBidi"/>
                          <w:color w:val="222222"/>
                          <w:kern w:val="24"/>
                        </w:rPr>
                        <w:t xml:space="preserve">Potri.002G037600 against its non-coding syntenic regions. Highlighting shows disagreement to the </w:t>
                      </w:r>
                      <w:r w:rsidRPr="00E74506">
                        <w:rPr>
                          <w:rFonts w:eastAsia="Times New Roman" w:cstheme="minorBidi"/>
                          <w:i/>
                          <w:iCs/>
                          <w:color w:val="222222"/>
                          <w:kern w:val="24"/>
                        </w:rPr>
                        <w:t xml:space="preserve">de novo </w:t>
                      </w:r>
                      <w:r w:rsidRPr="00E74506">
                        <w:rPr>
                          <w:rFonts w:eastAsia="Times New Roman" w:cstheme="minorBidi"/>
                          <w:color w:val="222222"/>
                          <w:kern w:val="24"/>
                        </w:rPr>
                        <w:t xml:space="preserve">gene. The sequence label includes information about species and coordinates for region; pd = </w:t>
                      </w:r>
                      <w:r w:rsidRPr="00E74506">
                        <w:rPr>
                          <w:rFonts w:eastAsia="Times New Roman" w:cstheme="minorBidi"/>
                          <w:i/>
                          <w:iCs/>
                          <w:color w:val="222222"/>
                          <w:kern w:val="24"/>
                        </w:rPr>
                        <w:t xml:space="preserve">P. </w:t>
                      </w:r>
                      <w:proofErr w:type="spellStart"/>
                      <w:r w:rsidRPr="00E74506">
                        <w:rPr>
                          <w:rFonts w:eastAsia="Times New Roman" w:cstheme="minorBidi"/>
                          <w:i/>
                          <w:iCs/>
                          <w:color w:val="222222"/>
                          <w:kern w:val="24"/>
                        </w:rPr>
                        <w:t>deltoides</w:t>
                      </w:r>
                      <w:proofErr w:type="spellEnd"/>
                      <w:r w:rsidRPr="00E74506">
                        <w:rPr>
                          <w:rFonts w:eastAsia="Times New Roman" w:cstheme="minorBidi"/>
                          <w:i/>
                          <w:iCs/>
                          <w:color w:val="222222"/>
                          <w:kern w:val="24"/>
                        </w:rPr>
                        <w:t xml:space="preserve">, </w:t>
                      </w:r>
                      <w:proofErr w:type="spellStart"/>
                      <w:r w:rsidRPr="00E74506">
                        <w:rPr>
                          <w:rFonts w:eastAsia="Times New Roman" w:cstheme="minorBidi"/>
                          <w:color w:val="222222"/>
                          <w:kern w:val="24"/>
                        </w:rPr>
                        <w:t>sp</w:t>
                      </w:r>
                      <w:proofErr w:type="spellEnd"/>
                      <w:r w:rsidRPr="00E74506">
                        <w:rPr>
                          <w:rFonts w:eastAsia="Times New Roman" w:cstheme="minorBidi"/>
                          <w:color w:val="222222"/>
                          <w:kern w:val="24"/>
                        </w:rPr>
                        <w:t xml:space="preserve"> = </w:t>
                      </w:r>
                      <w:r w:rsidRPr="00E74506">
                        <w:rPr>
                          <w:rFonts w:eastAsia="Times New Roman" w:cstheme="minorBidi"/>
                          <w:i/>
                          <w:iCs/>
                          <w:color w:val="222222"/>
                          <w:kern w:val="24"/>
                        </w:rPr>
                        <w:t>S. purpurea</w:t>
                      </w:r>
                      <w:r w:rsidRPr="00E74506">
                        <w:rPr>
                          <w:rFonts w:eastAsia="Times New Roman" w:cstheme="minorBidi"/>
                          <w:color w:val="222222"/>
                          <w:kern w:val="24"/>
                        </w:rPr>
                        <w:t xml:space="preserve">, </w:t>
                      </w:r>
                      <w:proofErr w:type="spellStart"/>
                      <w:r w:rsidRPr="00E74506">
                        <w:rPr>
                          <w:rFonts w:eastAsia="Times New Roman" w:cstheme="minorBidi"/>
                          <w:color w:val="222222"/>
                          <w:kern w:val="24"/>
                        </w:rPr>
                        <w:t>pt</w:t>
                      </w:r>
                      <w:proofErr w:type="spellEnd"/>
                      <w:r w:rsidRPr="00E74506">
                        <w:rPr>
                          <w:rFonts w:eastAsia="Times New Roman" w:cstheme="minorBidi"/>
                          <w:color w:val="222222"/>
                          <w:kern w:val="24"/>
                        </w:rPr>
                        <w:t xml:space="preserve"> = </w:t>
                      </w:r>
                      <w:r w:rsidRPr="00E74506">
                        <w:rPr>
                          <w:rFonts w:eastAsia="Times New Roman" w:cstheme="minorBidi"/>
                          <w:i/>
                          <w:iCs/>
                          <w:color w:val="222222"/>
                          <w:kern w:val="24"/>
                        </w:rPr>
                        <w:t xml:space="preserve">P. </w:t>
                      </w:r>
                      <w:proofErr w:type="spellStart"/>
                      <w:r w:rsidRPr="00E74506">
                        <w:rPr>
                          <w:rFonts w:eastAsia="Times New Roman" w:cstheme="minorBidi"/>
                          <w:i/>
                          <w:iCs/>
                          <w:color w:val="222222"/>
                          <w:kern w:val="24"/>
                        </w:rPr>
                        <w:t>trichocarpa</w:t>
                      </w:r>
                      <w:proofErr w:type="spellEnd"/>
                      <w:r w:rsidRPr="00E74506">
                        <w:rPr>
                          <w:rFonts w:eastAsia="Times New Roman" w:cstheme="minorBidi"/>
                          <w:color w:val="222222"/>
                          <w:kern w:val="24"/>
                        </w:rPr>
                        <w:t>.</w:t>
                      </w:r>
                    </w:p>
                  </w:txbxContent>
                </v:textbox>
                <w10:wrap anchorx="margin" anchory="margin"/>
              </v:rect>
            </w:pict>
          </mc:Fallback>
        </mc:AlternateContent>
      </w:r>
    </w:p>
    <w:p w14:paraId="38451770" w14:textId="617A0A7C" w:rsidR="00636B5B" w:rsidRDefault="00636B5B" w:rsidP="00CE7936">
      <w:pPr>
        <w:widowControl w:val="0"/>
        <w:autoSpaceDE w:val="0"/>
        <w:autoSpaceDN w:val="0"/>
        <w:adjustRightInd w:val="0"/>
        <w:rPr>
          <w:b/>
          <w:bCs/>
        </w:rPr>
      </w:pPr>
    </w:p>
    <w:p w14:paraId="4DA104CB" w14:textId="1C9977B8" w:rsidR="00636B5B" w:rsidRDefault="00636B5B" w:rsidP="00CE7936">
      <w:pPr>
        <w:widowControl w:val="0"/>
        <w:autoSpaceDE w:val="0"/>
        <w:autoSpaceDN w:val="0"/>
        <w:adjustRightInd w:val="0"/>
        <w:rPr>
          <w:b/>
          <w:bCs/>
        </w:rPr>
      </w:pPr>
    </w:p>
    <w:p w14:paraId="3541C92C" w14:textId="77777777" w:rsidR="00636B5B" w:rsidRDefault="00636B5B" w:rsidP="00CE7936">
      <w:pPr>
        <w:widowControl w:val="0"/>
        <w:autoSpaceDE w:val="0"/>
        <w:autoSpaceDN w:val="0"/>
        <w:adjustRightInd w:val="0"/>
        <w:rPr>
          <w:b/>
          <w:bCs/>
        </w:rPr>
      </w:pPr>
    </w:p>
    <w:p w14:paraId="37CF6644" w14:textId="43F1A147" w:rsidR="00636B5B" w:rsidRDefault="00636B5B" w:rsidP="00CE7936">
      <w:pPr>
        <w:widowControl w:val="0"/>
        <w:autoSpaceDE w:val="0"/>
        <w:autoSpaceDN w:val="0"/>
        <w:adjustRightInd w:val="0"/>
        <w:rPr>
          <w:b/>
          <w:bCs/>
        </w:rPr>
      </w:pPr>
    </w:p>
    <w:p w14:paraId="2A930AE8" w14:textId="77777777" w:rsidR="00636B5B" w:rsidRDefault="00636B5B" w:rsidP="00CE7936">
      <w:pPr>
        <w:widowControl w:val="0"/>
        <w:autoSpaceDE w:val="0"/>
        <w:autoSpaceDN w:val="0"/>
        <w:adjustRightInd w:val="0"/>
        <w:rPr>
          <w:b/>
          <w:bCs/>
        </w:rPr>
      </w:pPr>
    </w:p>
    <w:p w14:paraId="661635B4" w14:textId="77777777" w:rsidR="00636B5B" w:rsidRDefault="00636B5B" w:rsidP="00CE7936">
      <w:pPr>
        <w:widowControl w:val="0"/>
        <w:autoSpaceDE w:val="0"/>
        <w:autoSpaceDN w:val="0"/>
        <w:adjustRightInd w:val="0"/>
        <w:rPr>
          <w:b/>
          <w:bCs/>
        </w:rPr>
      </w:pPr>
    </w:p>
    <w:p w14:paraId="7D1728E8" w14:textId="3DAC35C0" w:rsidR="00636B5B" w:rsidRDefault="00636B5B" w:rsidP="00CE7936">
      <w:pPr>
        <w:widowControl w:val="0"/>
        <w:autoSpaceDE w:val="0"/>
        <w:autoSpaceDN w:val="0"/>
        <w:adjustRightInd w:val="0"/>
        <w:rPr>
          <w:b/>
          <w:bCs/>
        </w:rPr>
      </w:pPr>
    </w:p>
    <w:p w14:paraId="7C894968" w14:textId="1296DF2B" w:rsidR="00636B5B" w:rsidRDefault="00752AE5" w:rsidP="00CE7936">
      <w:pPr>
        <w:widowControl w:val="0"/>
        <w:autoSpaceDE w:val="0"/>
        <w:autoSpaceDN w:val="0"/>
        <w:adjustRightInd w:val="0"/>
        <w:rPr>
          <w:b/>
          <w:bCs/>
        </w:rPr>
      </w:pPr>
      <w:r w:rsidRPr="00BD2A1C">
        <w:rPr>
          <w:b/>
          <w:bCs/>
          <w:noProof/>
        </w:rPr>
        <w:drawing>
          <wp:anchor distT="0" distB="0" distL="114300" distR="114300" simplePos="0" relativeHeight="251702272" behindDoc="0" locked="0" layoutInCell="1" allowOverlap="1" wp14:anchorId="55A64671" wp14:editId="26898283">
            <wp:simplePos x="0" y="0"/>
            <wp:positionH relativeFrom="margin">
              <wp:posOffset>235585</wp:posOffset>
            </wp:positionH>
            <wp:positionV relativeFrom="margin">
              <wp:posOffset>685800</wp:posOffset>
            </wp:positionV>
            <wp:extent cx="5472598" cy="1859280"/>
            <wp:effectExtent l="0" t="0" r="1270" b="0"/>
            <wp:wrapNone/>
            <wp:docPr id="18" name="Content Placeholder 15" descr="Calendar&#10;&#10;Description automatically generated with low confidence">
              <a:extLst xmlns:a="http://schemas.openxmlformats.org/drawingml/2006/main">
                <a:ext uri="{FF2B5EF4-FFF2-40B4-BE49-F238E27FC236}">
                  <a16:creationId xmlns:a16="http://schemas.microsoft.com/office/drawing/2014/main" id="{DADB8C5E-8FDE-9E44-95CD-92FD3FF96770}"/>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6" name="Content Placeholder 15" descr="Calendar&#10;&#10;Description automatically generated with low confidence">
                      <a:extLst>
                        <a:ext uri="{FF2B5EF4-FFF2-40B4-BE49-F238E27FC236}">
                          <a16:creationId xmlns:a16="http://schemas.microsoft.com/office/drawing/2014/main" id="{DADB8C5E-8FDE-9E44-95CD-92FD3FF96770}"/>
                        </a:ext>
                      </a:extLst>
                    </pic:cNvPr>
                    <pic:cNvPicPr>
                      <a:picLocks noGrp="1" noChangeAspect="1"/>
                    </pic:cNvPicPr>
                  </pic:nvPicPr>
                  <pic:blipFill>
                    <a:blip r:embed="rId27" cstate="print">
                      <a:extLst>
                        <a:ext uri="{28A0092B-C50C-407E-A947-70E740481C1C}">
                          <a14:useLocalDpi xmlns:a14="http://schemas.microsoft.com/office/drawing/2010/main"/>
                        </a:ext>
                      </a:extLst>
                    </a:blip>
                    <a:stretch>
                      <a:fillRect/>
                    </a:stretch>
                  </pic:blipFill>
                  <pic:spPr>
                    <a:xfrm>
                      <a:off x="0" y="0"/>
                      <a:ext cx="5479905" cy="1861763"/>
                    </a:xfrm>
                    <a:prstGeom prst="rect">
                      <a:avLst/>
                    </a:prstGeom>
                  </pic:spPr>
                </pic:pic>
              </a:graphicData>
            </a:graphic>
            <wp14:sizeRelH relativeFrom="margin">
              <wp14:pctWidth>0</wp14:pctWidth>
            </wp14:sizeRelH>
            <wp14:sizeRelV relativeFrom="margin">
              <wp14:pctHeight>0</wp14:pctHeight>
            </wp14:sizeRelV>
          </wp:anchor>
        </w:drawing>
      </w:r>
    </w:p>
    <w:p w14:paraId="39D2282C" w14:textId="77777777" w:rsidR="00636B5B" w:rsidRDefault="00636B5B" w:rsidP="00CE7936">
      <w:pPr>
        <w:widowControl w:val="0"/>
        <w:autoSpaceDE w:val="0"/>
        <w:autoSpaceDN w:val="0"/>
        <w:adjustRightInd w:val="0"/>
        <w:rPr>
          <w:b/>
          <w:bCs/>
        </w:rPr>
      </w:pPr>
    </w:p>
    <w:p w14:paraId="4E5BF088" w14:textId="77777777" w:rsidR="00636B5B" w:rsidRDefault="00636B5B" w:rsidP="00CE7936">
      <w:pPr>
        <w:widowControl w:val="0"/>
        <w:autoSpaceDE w:val="0"/>
        <w:autoSpaceDN w:val="0"/>
        <w:adjustRightInd w:val="0"/>
        <w:rPr>
          <w:b/>
          <w:bCs/>
        </w:rPr>
      </w:pPr>
    </w:p>
    <w:p w14:paraId="3827755D" w14:textId="77777777" w:rsidR="00636B5B" w:rsidRDefault="00636B5B" w:rsidP="00CE7936">
      <w:pPr>
        <w:widowControl w:val="0"/>
        <w:autoSpaceDE w:val="0"/>
        <w:autoSpaceDN w:val="0"/>
        <w:adjustRightInd w:val="0"/>
        <w:rPr>
          <w:b/>
          <w:bCs/>
        </w:rPr>
      </w:pPr>
    </w:p>
    <w:p w14:paraId="5CCE3019" w14:textId="77777777" w:rsidR="00636B5B" w:rsidRDefault="00636B5B" w:rsidP="00CE7936">
      <w:pPr>
        <w:widowControl w:val="0"/>
        <w:autoSpaceDE w:val="0"/>
        <w:autoSpaceDN w:val="0"/>
        <w:adjustRightInd w:val="0"/>
        <w:rPr>
          <w:b/>
          <w:bCs/>
        </w:rPr>
      </w:pPr>
    </w:p>
    <w:p w14:paraId="6D181B93" w14:textId="77777777" w:rsidR="00636B5B" w:rsidRDefault="00636B5B" w:rsidP="00CE7936">
      <w:pPr>
        <w:widowControl w:val="0"/>
        <w:autoSpaceDE w:val="0"/>
        <w:autoSpaceDN w:val="0"/>
        <w:adjustRightInd w:val="0"/>
        <w:rPr>
          <w:b/>
          <w:bCs/>
        </w:rPr>
      </w:pPr>
    </w:p>
    <w:p w14:paraId="50E6D734" w14:textId="77777777" w:rsidR="00636B5B" w:rsidRDefault="00636B5B" w:rsidP="00CE7936">
      <w:pPr>
        <w:widowControl w:val="0"/>
        <w:autoSpaceDE w:val="0"/>
        <w:autoSpaceDN w:val="0"/>
        <w:adjustRightInd w:val="0"/>
        <w:rPr>
          <w:b/>
          <w:bCs/>
        </w:rPr>
      </w:pPr>
    </w:p>
    <w:p w14:paraId="42DAC905" w14:textId="77777777" w:rsidR="00636B5B" w:rsidRDefault="00636B5B" w:rsidP="00CE7936">
      <w:pPr>
        <w:widowControl w:val="0"/>
        <w:autoSpaceDE w:val="0"/>
        <w:autoSpaceDN w:val="0"/>
        <w:adjustRightInd w:val="0"/>
        <w:rPr>
          <w:b/>
          <w:bCs/>
        </w:rPr>
      </w:pPr>
    </w:p>
    <w:p w14:paraId="5E5EAA91" w14:textId="77777777" w:rsidR="00636B5B" w:rsidRDefault="00636B5B" w:rsidP="00CE7936">
      <w:pPr>
        <w:widowControl w:val="0"/>
        <w:autoSpaceDE w:val="0"/>
        <w:autoSpaceDN w:val="0"/>
        <w:adjustRightInd w:val="0"/>
        <w:rPr>
          <w:b/>
          <w:bCs/>
        </w:rPr>
      </w:pPr>
    </w:p>
    <w:p w14:paraId="70C27023" w14:textId="77777777" w:rsidR="00636B5B" w:rsidRDefault="00636B5B" w:rsidP="00CE7936">
      <w:pPr>
        <w:widowControl w:val="0"/>
        <w:autoSpaceDE w:val="0"/>
        <w:autoSpaceDN w:val="0"/>
        <w:adjustRightInd w:val="0"/>
        <w:rPr>
          <w:b/>
          <w:bCs/>
        </w:rPr>
      </w:pPr>
    </w:p>
    <w:p w14:paraId="6E54EB65" w14:textId="77777777" w:rsidR="00636B5B" w:rsidRDefault="00636B5B" w:rsidP="00CE7936">
      <w:pPr>
        <w:widowControl w:val="0"/>
        <w:autoSpaceDE w:val="0"/>
        <w:autoSpaceDN w:val="0"/>
        <w:adjustRightInd w:val="0"/>
        <w:rPr>
          <w:b/>
          <w:bCs/>
        </w:rPr>
      </w:pPr>
    </w:p>
    <w:p w14:paraId="4AD7651F" w14:textId="77777777" w:rsidR="00636B5B" w:rsidRDefault="00636B5B" w:rsidP="00CE7936">
      <w:pPr>
        <w:widowControl w:val="0"/>
        <w:autoSpaceDE w:val="0"/>
        <w:autoSpaceDN w:val="0"/>
        <w:adjustRightInd w:val="0"/>
        <w:rPr>
          <w:b/>
          <w:bCs/>
        </w:rPr>
      </w:pPr>
      <w:r w:rsidRPr="00BD2A1C">
        <w:rPr>
          <w:b/>
          <w:bCs/>
          <w:noProof/>
        </w:rPr>
        <mc:AlternateContent>
          <mc:Choice Requires="wps">
            <w:drawing>
              <wp:anchor distT="0" distB="0" distL="114300" distR="114300" simplePos="0" relativeHeight="251670528" behindDoc="0" locked="0" layoutInCell="1" allowOverlap="1" wp14:anchorId="1D642990" wp14:editId="34C46474">
                <wp:simplePos x="0" y="0"/>
                <wp:positionH relativeFrom="margin">
                  <wp:align>left</wp:align>
                </wp:positionH>
                <wp:positionV relativeFrom="paragraph">
                  <wp:posOffset>71120</wp:posOffset>
                </wp:positionV>
                <wp:extent cx="5943600" cy="953770"/>
                <wp:effectExtent l="0" t="0" r="0" b="0"/>
                <wp:wrapNone/>
                <wp:docPr id="14" name="Rectangle 5"/>
                <wp:cNvGraphicFramePr/>
                <a:graphic xmlns:a="http://schemas.openxmlformats.org/drawingml/2006/main">
                  <a:graphicData uri="http://schemas.microsoft.com/office/word/2010/wordprocessingShape">
                    <wps:wsp>
                      <wps:cNvSpPr/>
                      <wps:spPr>
                        <a:xfrm>
                          <a:off x="0" y="0"/>
                          <a:ext cx="5943600" cy="953770"/>
                        </a:xfrm>
                        <a:prstGeom prst="rect">
                          <a:avLst/>
                        </a:prstGeom>
                      </wps:spPr>
                      <wps:txbx>
                        <w:txbxContent>
                          <w:p w14:paraId="30DE48E2" w14:textId="77777777" w:rsidR="00636B5B" w:rsidRPr="004E77BF" w:rsidRDefault="00636B5B" w:rsidP="00CE7936">
                            <w:pPr>
                              <w:shd w:val="clear" w:color="auto" w:fill="FFFFFF"/>
                              <w:jc w:val="both"/>
                              <w:rPr>
                                <w:rFonts w:eastAsia="Times New Roman" w:cstheme="minorBidi"/>
                                <w:color w:val="222222"/>
                                <w:kern w:val="24"/>
                              </w:rPr>
                            </w:pPr>
                            <w:r w:rsidRPr="004E77BF">
                              <w:rPr>
                                <w:rFonts w:eastAsia="Times New Roman" w:cstheme="minorBidi"/>
                                <w:b/>
                                <w:bCs/>
                                <w:color w:val="222222"/>
                                <w:kern w:val="24"/>
                                <w:highlight w:val="white"/>
                              </w:rPr>
                              <w:t xml:space="preserve">Figure II-S6. </w:t>
                            </w:r>
                            <w:r w:rsidRPr="004E77BF">
                              <w:rPr>
                                <w:rFonts w:eastAsia="Times New Roman" w:cstheme="minorBidi"/>
                                <w:color w:val="222222"/>
                                <w:kern w:val="24"/>
                                <w:highlight w:val="white"/>
                              </w:rPr>
                              <w:t xml:space="preserve">Alignment of </w:t>
                            </w:r>
                            <w:r w:rsidRPr="004E77BF">
                              <w:rPr>
                                <w:rFonts w:eastAsia="Times New Roman" w:cstheme="minorBidi"/>
                                <w:i/>
                                <w:iCs/>
                                <w:color w:val="222222"/>
                                <w:kern w:val="24"/>
                                <w:highlight w:val="white"/>
                              </w:rPr>
                              <w:t xml:space="preserve">de novo </w:t>
                            </w:r>
                            <w:r w:rsidRPr="004E77BF">
                              <w:rPr>
                                <w:rFonts w:eastAsia="Times New Roman" w:cstheme="minorBidi"/>
                                <w:color w:val="222222"/>
                                <w:kern w:val="24"/>
                                <w:highlight w:val="white"/>
                              </w:rPr>
                              <w:t xml:space="preserve">gene </w:t>
                            </w:r>
                            <w:r w:rsidRPr="004E77BF">
                              <w:rPr>
                                <w:rFonts w:eastAsia="Times New Roman" w:cstheme="minorBidi"/>
                                <w:color w:val="222222"/>
                                <w:kern w:val="24"/>
                              </w:rPr>
                              <w:t xml:space="preserve">Potri.002G127150 against its non-coding syntenic regions. Highlighting shows disagreement to the </w:t>
                            </w:r>
                            <w:r w:rsidRPr="004E77BF">
                              <w:rPr>
                                <w:rFonts w:eastAsia="Times New Roman" w:cstheme="minorBidi"/>
                                <w:i/>
                                <w:iCs/>
                                <w:color w:val="222222"/>
                                <w:kern w:val="24"/>
                              </w:rPr>
                              <w:t xml:space="preserve">de novo </w:t>
                            </w:r>
                            <w:r w:rsidRPr="004E77BF">
                              <w:rPr>
                                <w:rFonts w:eastAsia="Times New Roman" w:cstheme="minorBidi"/>
                                <w:color w:val="222222"/>
                                <w:kern w:val="24"/>
                              </w:rPr>
                              <w:t xml:space="preserve">gene. The sequence label includes information about species and coordinates for the region; pd = </w:t>
                            </w:r>
                            <w:r w:rsidRPr="004E77BF">
                              <w:rPr>
                                <w:rFonts w:eastAsia="Times New Roman" w:cstheme="minorBidi"/>
                                <w:i/>
                                <w:iCs/>
                                <w:color w:val="222222"/>
                                <w:kern w:val="24"/>
                              </w:rPr>
                              <w:t xml:space="preserve">P. </w:t>
                            </w:r>
                            <w:proofErr w:type="spellStart"/>
                            <w:r w:rsidRPr="004E77BF">
                              <w:rPr>
                                <w:rFonts w:eastAsia="Times New Roman" w:cstheme="minorBidi"/>
                                <w:i/>
                                <w:iCs/>
                                <w:color w:val="222222"/>
                                <w:kern w:val="24"/>
                              </w:rPr>
                              <w:t>deltoides</w:t>
                            </w:r>
                            <w:proofErr w:type="spellEnd"/>
                            <w:r w:rsidRPr="004E77BF">
                              <w:rPr>
                                <w:rFonts w:eastAsia="Times New Roman" w:cstheme="minorBidi"/>
                                <w:i/>
                                <w:iCs/>
                                <w:color w:val="222222"/>
                                <w:kern w:val="24"/>
                              </w:rPr>
                              <w:t xml:space="preserve">, </w:t>
                            </w:r>
                            <w:proofErr w:type="spellStart"/>
                            <w:r w:rsidRPr="004E77BF">
                              <w:rPr>
                                <w:rFonts w:eastAsia="Times New Roman" w:cstheme="minorBidi"/>
                                <w:color w:val="222222"/>
                                <w:kern w:val="24"/>
                              </w:rPr>
                              <w:t>sp</w:t>
                            </w:r>
                            <w:proofErr w:type="spellEnd"/>
                            <w:r w:rsidRPr="004E77BF">
                              <w:rPr>
                                <w:rFonts w:eastAsia="Times New Roman" w:cstheme="minorBidi"/>
                                <w:color w:val="222222"/>
                                <w:kern w:val="24"/>
                              </w:rPr>
                              <w:t xml:space="preserve"> = </w:t>
                            </w:r>
                            <w:r w:rsidRPr="004E77BF">
                              <w:rPr>
                                <w:rFonts w:eastAsia="Times New Roman" w:cstheme="minorBidi"/>
                                <w:i/>
                                <w:iCs/>
                                <w:color w:val="222222"/>
                                <w:kern w:val="24"/>
                              </w:rPr>
                              <w:t>S. purpurea</w:t>
                            </w:r>
                            <w:r w:rsidRPr="004E77BF">
                              <w:rPr>
                                <w:rFonts w:eastAsia="Times New Roman" w:cstheme="minorBidi"/>
                                <w:color w:val="222222"/>
                                <w:kern w:val="24"/>
                              </w:rPr>
                              <w:t xml:space="preserve">, </w:t>
                            </w:r>
                            <w:proofErr w:type="spellStart"/>
                            <w:r w:rsidRPr="004E77BF">
                              <w:rPr>
                                <w:rFonts w:eastAsia="Times New Roman" w:cstheme="minorBidi"/>
                                <w:color w:val="222222"/>
                                <w:kern w:val="24"/>
                              </w:rPr>
                              <w:t>pt</w:t>
                            </w:r>
                            <w:proofErr w:type="spellEnd"/>
                            <w:r w:rsidRPr="004E77BF">
                              <w:rPr>
                                <w:rFonts w:eastAsia="Times New Roman" w:cstheme="minorBidi"/>
                                <w:color w:val="222222"/>
                                <w:kern w:val="24"/>
                              </w:rPr>
                              <w:t xml:space="preserve"> = </w:t>
                            </w:r>
                            <w:r w:rsidRPr="004E77BF">
                              <w:rPr>
                                <w:rFonts w:eastAsia="Times New Roman" w:cstheme="minorBidi"/>
                                <w:i/>
                                <w:iCs/>
                                <w:color w:val="222222"/>
                                <w:kern w:val="24"/>
                              </w:rPr>
                              <w:t xml:space="preserve">P. </w:t>
                            </w:r>
                            <w:proofErr w:type="spellStart"/>
                            <w:r w:rsidRPr="004E77BF">
                              <w:rPr>
                                <w:rFonts w:eastAsia="Times New Roman" w:cstheme="minorBidi"/>
                                <w:i/>
                                <w:iCs/>
                                <w:color w:val="222222"/>
                                <w:kern w:val="24"/>
                              </w:rPr>
                              <w:t>trichocarpa</w:t>
                            </w:r>
                            <w:proofErr w:type="spellEnd"/>
                            <w:r w:rsidRPr="004E77BF">
                              <w:rPr>
                                <w:rFonts w:eastAsia="Times New Roman" w:cstheme="minorBidi"/>
                                <w:color w:val="222222"/>
                                <w:kern w:val="24"/>
                              </w:rPr>
                              <w:t>.</w:t>
                            </w:r>
                          </w:p>
                        </w:txbxContent>
                      </wps:txbx>
                      <wps:bodyPr wrap="square">
                        <a:spAutoFit/>
                      </wps:bodyPr>
                    </wps:wsp>
                  </a:graphicData>
                </a:graphic>
                <wp14:sizeRelH relativeFrom="margin">
                  <wp14:pctWidth>0</wp14:pctWidth>
                </wp14:sizeRelH>
              </wp:anchor>
            </w:drawing>
          </mc:Choice>
          <mc:Fallback>
            <w:pict>
              <v:rect w14:anchorId="1D642990" id="_x0000_s1030" style="position:absolute;margin-left:0;margin-top:5.6pt;width:468pt;height:75.1pt;z-index:25167052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" filled="f" stroked="f">
                <v:textbox style="mso-fit-shape-to-text:t">
                  <w:txbxContent>
                    <w:p w14:paraId="30DE48E2" w14:textId="77777777" w:rsidR="00636B5B" w:rsidRPr="004E77BF" w:rsidRDefault="00636B5B" w:rsidP="00CE7936">
                      <w:pPr>
                        <w:shd w:val="clear" w:color="auto" w:fill="FFFFFF"/>
                        <w:jc w:val="both"/>
                        <w:rPr>
                          <w:rFonts w:eastAsia="Times New Roman" w:cstheme="minorBidi"/>
                          <w:color w:val="222222"/>
                          <w:kern w:val="24"/>
                        </w:rPr>
                      </w:pPr>
                      <w:r w:rsidRPr="004E77BF">
                        <w:rPr>
                          <w:rFonts w:eastAsia="Times New Roman" w:cstheme="minorBidi"/>
                          <w:b/>
                          <w:bCs/>
                          <w:color w:val="222222"/>
                          <w:kern w:val="24"/>
                          <w:highlight w:val="white"/>
                        </w:rPr>
                        <w:t xml:space="preserve">Figure II-S6. </w:t>
                      </w:r>
                      <w:r w:rsidRPr="004E77BF">
                        <w:rPr>
                          <w:rFonts w:eastAsia="Times New Roman" w:cstheme="minorBidi"/>
                          <w:color w:val="222222"/>
                          <w:kern w:val="24"/>
                          <w:highlight w:val="white"/>
                        </w:rPr>
                        <w:t xml:space="preserve">Alignment of </w:t>
                      </w:r>
                      <w:r w:rsidRPr="004E77BF">
                        <w:rPr>
                          <w:rFonts w:eastAsia="Times New Roman" w:cstheme="minorBidi"/>
                          <w:i/>
                          <w:iCs/>
                          <w:color w:val="222222"/>
                          <w:kern w:val="24"/>
                          <w:highlight w:val="white"/>
                        </w:rPr>
                        <w:t xml:space="preserve">de novo </w:t>
                      </w:r>
                      <w:r w:rsidRPr="004E77BF">
                        <w:rPr>
                          <w:rFonts w:eastAsia="Times New Roman" w:cstheme="minorBidi"/>
                          <w:color w:val="222222"/>
                          <w:kern w:val="24"/>
                          <w:highlight w:val="white"/>
                        </w:rPr>
                        <w:t xml:space="preserve">gene </w:t>
                      </w:r>
                      <w:r w:rsidRPr="004E77BF">
                        <w:rPr>
                          <w:rFonts w:eastAsia="Times New Roman" w:cstheme="minorBidi"/>
                          <w:color w:val="222222"/>
                          <w:kern w:val="24"/>
                        </w:rPr>
                        <w:t xml:space="preserve">Potri.002G127150 against its non-coding syntenic regions. Highlighting shows disagreement to the </w:t>
                      </w:r>
                      <w:r w:rsidRPr="004E77BF">
                        <w:rPr>
                          <w:rFonts w:eastAsia="Times New Roman" w:cstheme="minorBidi"/>
                          <w:i/>
                          <w:iCs/>
                          <w:color w:val="222222"/>
                          <w:kern w:val="24"/>
                        </w:rPr>
                        <w:t xml:space="preserve">de novo </w:t>
                      </w:r>
                      <w:r w:rsidRPr="004E77BF">
                        <w:rPr>
                          <w:rFonts w:eastAsia="Times New Roman" w:cstheme="minorBidi"/>
                          <w:color w:val="222222"/>
                          <w:kern w:val="24"/>
                        </w:rPr>
                        <w:t xml:space="preserve">gene. The sequence label includes information about species and coordinates for the region; pd = </w:t>
                      </w:r>
                      <w:r w:rsidRPr="004E77BF">
                        <w:rPr>
                          <w:rFonts w:eastAsia="Times New Roman" w:cstheme="minorBidi"/>
                          <w:i/>
                          <w:iCs/>
                          <w:color w:val="222222"/>
                          <w:kern w:val="24"/>
                        </w:rPr>
                        <w:t xml:space="preserve">P. </w:t>
                      </w:r>
                      <w:proofErr w:type="spellStart"/>
                      <w:r w:rsidRPr="004E77BF">
                        <w:rPr>
                          <w:rFonts w:eastAsia="Times New Roman" w:cstheme="minorBidi"/>
                          <w:i/>
                          <w:iCs/>
                          <w:color w:val="222222"/>
                          <w:kern w:val="24"/>
                        </w:rPr>
                        <w:t>deltoides</w:t>
                      </w:r>
                      <w:proofErr w:type="spellEnd"/>
                      <w:r w:rsidRPr="004E77BF">
                        <w:rPr>
                          <w:rFonts w:eastAsia="Times New Roman" w:cstheme="minorBidi"/>
                          <w:i/>
                          <w:iCs/>
                          <w:color w:val="222222"/>
                          <w:kern w:val="24"/>
                        </w:rPr>
                        <w:t xml:space="preserve">, </w:t>
                      </w:r>
                      <w:proofErr w:type="spellStart"/>
                      <w:r w:rsidRPr="004E77BF">
                        <w:rPr>
                          <w:rFonts w:eastAsia="Times New Roman" w:cstheme="minorBidi"/>
                          <w:color w:val="222222"/>
                          <w:kern w:val="24"/>
                        </w:rPr>
                        <w:t>sp</w:t>
                      </w:r>
                      <w:proofErr w:type="spellEnd"/>
                      <w:r w:rsidRPr="004E77BF">
                        <w:rPr>
                          <w:rFonts w:eastAsia="Times New Roman" w:cstheme="minorBidi"/>
                          <w:color w:val="222222"/>
                          <w:kern w:val="24"/>
                        </w:rPr>
                        <w:t xml:space="preserve"> = </w:t>
                      </w:r>
                      <w:r w:rsidRPr="004E77BF">
                        <w:rPr>
                          <w:rFonts w:eastAsia="Times New Roman" w:cstheme="minorBidi"/>
                          <w:i/>
                          <w:iCs/>
                          <w:color w:val="222222"/>
                          <w:kern w:val="24"/>
                        </w:rPr>
                        <w:t>S. purpurea</w:t>
                      </w:r>
                      <w:r w:rsidRPr="004E77BF">
                        <w:rPr>
                          <w:rFonts w:eastAsia="Times New Roman" w:cstheme="minorBidi"/>
                          <w:color w:val="222222"/>
                          <w:kern w:val="24"/>
                        </w:rPr>
                        <w:t xml:space="preserve">, </w:t>
                      </w:r>
                      <w:proofErr w:type="spellStart"/>
                      <w:r w:rsidRPr="004E77BF">
                        <w:rPr>
                          <w:rFonts w:eastAsia="Times New Roman" w:cstheme="minorBidi"/>
                          <w:color w:val="222222"/>
                          <w:kern w:val="24"/>
                        </w:rPr>
                        <w:t>pt</w:t>
                      </w:r>
                      <w:proofErr w:type="spellEnd"/>
                      <w:r w:rsidRPr="004E77BF">
                        <w:rPr>
                          <w:rFonts w:eastAsia="Times New Roman" w:cstheme="minorBidi"/>
                          <w:color w:val="222222"/>
                          <w:kern w:val="24"/>
                        </w:rPr>
                        <w:t xml:space="preserve"> = </w:t>
                      </w:r>
                      <w:r w:rsidRPr="004E77BF">
                        <w:rPr>
                          <w:rFonts w:eastAsia="Times New Roman" w:cstheme="minorBidi"/>
                          <w:i/>
                          <w:iCs/>
                          <w:color w:val="222222"/>
                          <w:kern w:val="24"/>
                        </w:rPr>
                        <w:t xml:space="preserve">P. </w:t>
                      </w:r>
                      <w:proofErr w:type="spellStart"/>
                      <w:r w:rsidRPr="004E77BF">
                        <w:rPr>
                          <w:rFonts w:eastAsia="Times New Roman" w:cstheme="minorBidi"/>
                          <w:i/>
                          <w:iCs/>
                          <w:color w:val="222222"/>
                          <w:kern w:val="24"/>
                        </w:rPr>
                        <w:t>trichocarpa</w:t>
                      </w:r>
                      <w:proofErr w:type="spellEnd"/>
                      <w:r w:rsidRPr="004E77BF">
                        <w:rPr>
                          <w:rFonts w:eastAsia="Times New Roman" w:cstheme="minorBidi"/>
                          <w:color w:val="222222"/>
                          <w:kern w:val="24"/>
                        </w:rPr>
                        <w:t>.</w:t>
                      </w:r>
                    </w:p>
                  </w:txbxContent>
                </v:textbox>
                <w10:wrap anchorx="margin"/>
              </v:rect>
            </w:pict>
          </mc:Fallback>
        </mc:AlternateContent>
      </w:r>
    </w:p>
    <w:p w14:paraId="444F3199" w14:textId="77777777" w:rsidR="00636B5B" w:rsidRDefault="00636B5B" w:rsidP="00CE7936">
      <w:pPr>
        <w:widowControl w:val="0"/>
        <w:autoSpaceDE w:val="0"/>
        <w:autoSpaceDN w:val="0"/>
        <w:adjustRightInd w:val="0"/>
        <w:rPr>
          <w:b/>
          <w:bCs/>
        </w:rPr>
      </w:pPr>
    </w:p>
    <w:p w14:paraId="2D2EA488" w14:textId="77777777" w:rsidR="00636B5B" w:rsidRDefault="00636B5B" w:rsidP="00CE7936">
      <w:pPr>
        <w:widowControl w:val="0"/>
        <w:autoSpaceDE w:val="0"/>
        <w:autoSpaceDN w:val="0"/>
        <w:adjustRightInd w:val="0"/>
        <w:rPr>
          <w:b/>
          <w:bCs/>
        </w:rPr>
      </w:pPr>
    </w:p>
    <w:p w14:paraId="716AC919" w14:textId="77777777" w:rsidR="00636B5B" w:rsidRDefault="00636B5B" w:rsidP="00CE7936">
      <w:pPr>
        <w:widowControl w:val="0"/>
        <w:autoSpaceDE w:val="0"/>
        <w:autoSpaceDN w:val="0"/>
        <w:adjustRightInd w:val="0"/>
        <w:rPr>
          <w:b/>
          <w:bCs/>
        </w:rPr>
      </w:pPr>
    </w:p>
    <w:p w14:paraId="28B1C02A" w14:textId="77777777" w:rsidR="00636B5B" w:rsidRDefault="00636B5B" w:rsidP="00CE7936">
      <w:pPr>
        <w:widowControl w:val="0"/>
        <w:autoSpaceDE w:val="0"/>
        <w:autoSpaceDN w:val="0"/>
        <w:adjustRightInd w:val="0"/>
        <w:rPr>
          <w:b/>
          <w:bCs/>
        </w:rPr>
      </w:pPr>
    </w:p>
    <w:p w14:paraId="4625DD4E" w14:textId="77777777" w:rsidR="00636B5B" w:rsidRDefault="00636B5B" w:rsidP="00CE7936">
      <w:pPr>
        <w:widowControl w:val="0"/>
        <w:autoSpaceDE w:val="0"/>
        <w:autoSpaceDN w:val="0"/>
        <w:adjustRightInd w:val="0"/>
        <w:rPr>
          <w:b/>
          <w:bCs/>
        </w:rPr>
      </w:pPr>
    </w:p>
    <w:p w14:paraId="35A7CF34" w14:textId="77777777" w:rsidR="00636B5B" w:rsidRDefault="00636B5B" w:rsidP="00CE7936">
      <w:pPr>
        <w:widowControl w:val="0"/>
        <w:autoSpaceDE w:val="0"/>
        <w:autoSpaceDN w:val="0"/>
        <w:adjustRightInd w:val="0"/>
        <w:rPr>
          <w:b/>
          <w:bCs/>
        </w:rPr>
      </w:pPr>
    </w:p>
    <w:p w14:paraId="01C4DDE1" w14:textId="77777777" w:rsidR="00636B5B" w:rsidRDefault="00636B5B" w:rsidP="00CE7936">
      <w:pPr>
        <w:widowControl w:val="0"/>
        <w:autoSpaceDE w:val="0"/>
        <w:autoSpaceDN w:val="0"/>
        <w:adjustRightInd w:val="0"/>
        <w:rPr>
          <w:b/>
          <w:bCs/>
        </w:rPr>
      </w:pPr>
    </w:p>
    <w:p w14:paraId="7880A7FF" w14:textId="77777777" w:rsidR="00636B5B" w:rsidRDefault="00636B5B" w:rsidP="00CE7936">
      <w:pPr>
        <w:widowControl w:val="0"/>
        <w:autoSpaceDE w:val="0"/>
        <w:autoSpaceDN w:val="0"/>
        <w:adjustRightInd w:val="0"/>
        <w:rPr>
          <w:b/>
          <w:bCs/>
        </w:rPr>
      </w:pPr>
    </w:p>
    <w:p w14:paraId="7AB9E8BB" w14:textId="77777777" w:rsidR="00636B5B" w:rsidRDefault="00636B5B" w:rsidP="00CE7936">
      <w:pPr>
        <w:widowControl w:val="0"/>
        <w:autoSpaceDE w:val="0"/>
        <w:autoSpaceDN w:val="0"/>
        <w:adjustRightInd w:val="0"/>
        <w:rPr>
          <w:b/>
          <w:bCs/>
        </w:rPr>
      </w:pPr>
    </w:p>
    <w:p w14:paraId="492251E2" w14:textId="77777777" w:rsidR="00636B5B" w:rsidRDefault="00636B5B" w:rsidP="00CE7936">
      <w:pPr>
        <w:widowControl w:val="0"/>
        <w:autoSpaceDE w:val="0"/>
        <w:autoSpaceDN w:val="0"/>
        <w:adjustRightInd w:val="0"/>
        <w:rPr>
          <w:b/>
          <w:bCs/>
        </w:rPr>
      </w:pPr>
    </w:p>
    <w:p w14:paraId="44AC1FFF" w14:textId="77777777" w:rsidR="00636B5B" w:rsidRDefault="00636B5B" w:rsidP="00CE7936">
      <w:pPr>
        <w:widowControl w:val="0"/>
        <w:autoSpaceDE w:val="0"/>
        <w:autoSpaceDN w:val="0"/>
        <w:adjustRightInd w:val="0"/>
        <w:rPr>
          <w:b/>
          <w:bCs/>
        </w:rPr>
      </w:pPr>
    </w:p>
    <w:p w14:paraId="1A544BC3" w14:textId="77777777" w:rsidR="00636B5B" w:rsidRDefault="00636B5B" w:rsidP="00CE7936">
      <w:pPr>
        <w:widowControl w:val="0"/>
        <w:autoSpaceDE w:val="0"/>
        <w:autoSpaceDN w:val="0"/>
        <w:adjustRightInd w:val="0"/>
        <w:rPr>
          <w:b/>
          <w:bCs/>
        </w:rPr>
      </w:pPr>
      <w:r w:rsidRPr="00BD2A1C">
        <w:rPr>
          <w:b/>
          <w:bCs/>
          <w:noProof/>
        </w:rPr>
        <w:drawing>
          <wp:anchor distT="0" distB="0" distL="114300" distR="114300" simplePos="0" relativeHeight="251673600" behindDoc="0" locked="0" layoutInCell="1" allowOverlap="1" wp14:anchorId="2996789E" wp14:editId="7B0D1D0B">
            <wp:simplePos x="0" y="0"/>
            <wp:positionH relativeFrom="margin">
              <wp:posOffset>228600</wp:posOffset>
            </wp:positionH>
            <wp:positionV relativeFrom="paragraph">
              <wp:posOffset>127635</wp:posOffset>
            </wp:positionV>
            <wp:extent cx="5486400" cy="2478258"/>
            <wp:effectExtent l="0" t="0" r="0" b="0"/>
            <wp:wrapNone/>
            <wp:docPr id="17" name="Content Placeholder 11" descr="Table&#10;&#10;Description automatically generated with medium confidence">
              <a:extLst xmlns:a="http://schemas.openxmlformats.org/drawingml/2006/main">
                <a:ext uri="{FF2B5EF4-FFF2-40B4-BE49-F238E27FC236}">
                  <a16:creationId xmlns:a16="http://schemas.microsoft.com/office/drawing/2014/main" id="{386EBC2B-3B84-AF45-AE43-60EBADA00A1B}"/>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7" name="Content Placeholder 11" descr="Table&#10;&#10;Description automatically generated with medium confidence">
                      <a:extLst>
                        <a:ext uri="{FF2B5EF4-FFF2-40B4-BE49-F238E27FC236}">
                          <a16:creationId xmlns:a16="http://schemas.microsoft.com/office/drawing/2014/main" id="{386EBC2B-3B84-AF45-AE43-60EBADA00A1B}"/>
                        </a:ext>
                      </a:extLst>
                    </pic:cNvPr>
                    <pic:cNvPicPr>
                      <a:picLocks noGrp="1" noChangeAspect="1"/>
                    </pic:cNvPicPr>
                  </pic:nvPicPr>
                  <pic:blipFill>
                    <a:blip r:embed="rId28" cstate="print">
                      <a:extLst>
                        <a:ext uri="{28A0092B-C50C-407E-A947-70E740481C1C}">
                          <a14:useLocalDpi xmlns:a14="http://schemas.microsoft.com/office/drawing/2010/main"/>
                        </a:ext>
                      </a:extLst>
                    </a:blip>
                    <a:stretch>
                      <a:fillRect/>
                    </a:stretch>
                  </pic:blipFill>
                  <pic:spPr>
                    <a:xfrm>
                      <a:off x="0" y="0"/>
                      <a:ext cx="5486400" cy="2478258"/>
                    </a:xfrm>
                    <a:prstGeom prst="rect">
                      <a:avLst/>
                    </a:prstGeom>
                  </pic:spPr>
                </pic:pic>
              </a:graphicData>
            </a:graphic>
            <wp14:sizeRelH relativeFrom="margin">
              <wp14:pctWidth>0</wp14:pctWidth>
            </wp14:sizeRelH>
            <wp14:sizeRelV relativeFrom="margin">
              <wp14:pctHeight>0</wp14:pctHeight>
            </wp14:sizeRelV>
          </wp:anchor>
        </w:drawing>
      </w:r>
    </w:p>
    <w:p w14:paraId="2EEB2E50" w14:textId="77777777" w:rsidR="00636B5B" w:rsidRDefault="00636B5B" w:rsidP="00CE7936">
      <w:pPr>
        <w:widowControl w:val="0"/>
        <w:autoSpaceDE w:val="0"/>
        <w:autoSpaceDN w:val="0"/>
        <w:adjustRightInd w:val="0"/>
        <w:rPr>
          <w:b/>
          <w:bCs/>
        </w:rPr>
      </w:pPr>
    </w:p>
    <w:p w14:paraId="0F5C8EEE" w14:textId="77777777" w:rsidR="00636B5B" w:rsidRDefault="00636B5B" w:rsidP="00CE7936">
      <w:pPr>
        <w:widowControl w:val="0"/>
        <w:autoSpaceDE w:val="0"/>
        <w:autoSpaceDN w:val="0"/>
        <w:adjustRightInd w:val="0"/>
        <w:rPr>
          <w:b/>
          <w:bCs/>
        </w:rPr>
      </w:pPr>
    </w:p>
    <w:p w14:paraId="6CE3E818" w14:textId="77777777" w:rsidR="00636B5B" w:rsidRDefault="00636B5B" w:rsidP="00CE7936">
      <w:pPr>
        <w:widowControl w:val="0"/>
        <w:autoSpaceDE w:val="0"/>
        <w:autoSpaceDN w:val="0"/>
        <w:adjustRightInd w:val="0"/>
        <w:rPr>
          <w:b/>
          <w:bCs/>
        </w:rPr>
      </w:pPr>
    </w:p>
    <w:p w14:paraId="7E4BE44A" w14:textId="77777777" w:rsidR="00636B5B" w:rsidRDefault="00636B5B" w:rsidP="00CE7936">
      <w:pPr>
        <w:widowControl w:val="0"/>
        <w:autoSpaceDE w:val="0"/>
        <w:autoSpaceDN w:val="0"/>
        <w:adjustRightInd w:val="0"/>
        <w:rPr>
          <w:b/>
          <w:bCs/>
        </w:rPr>
      </w:pPr>
    </w:p>
    <w:p w14:paraId="4081E996" w14:textId="77777777" w:rsidR="00636B5B" w:rsidRDefault="00636B5B" w:rsidP="00CE7936">
      <w:pPr>
        <w:widowControl w:val="0"/>
        <w:autoSpaceDE w:val="0"/>
        <w:autoSpaceDN w:val="0"/>
        <w:adjustRightInd w:val="0"/>
        <w:rPr>
          <w:b/>
          <w:bCs/>
        </w:rPr>
      </w:pPr>
    </w:p>
    <w:p w14:paraId="52EAFF53" w14:textId="77777777" w:rsidR="00636B5B" w:rsidRDefault="00636B5B" w:rsidP="00CE7936">
      <w:pPr>
        <w:widowControl w:val="0"/>
        <w:autoSpaceDE w:val="0"/>
        <w:autoSpaceDN w:val="0"/>
        <w:adjustRightInd w:val="0"/>
        <w:rPr>
          <w:b/>
          <w:bCs/>
        </w:rPr>
      </w:pPr>
    </w:p>
    <w:p w14:paraId="1C51F935" w14:textId="77777777" w:rsidR="00636B5B" w:rsidRDefault="00636B5B" w:rsidP="00CE7936">
      <w:pPr>
        <w:widowControl w:val="0"/>
        <w:autoSpaceDE w:val="0"/>
        <w:autoSpaceDN w:val="0"/>
        <w:adjustRightInd w:val="0"/>
        <w:rPr>
          <w:b/>
          <w:bCs/>
        </w:rPr>
      </w:pPr>
    </w:p>
    <w:p w14:paraId="0FD228DE" w14:textId="77777777" w:rsidR="00636B5B" w:rsidRDefault="00636B5B" w:rsidP="00CE7936">
      <w:pPr>
        <w:widowControl w:val="0"/>
        <w:autoSpaceDE w:val="0"/>
        <w:autoSpaceDN w:val="0"/>
        <w:adjustRightInd w:val="0"/>
        <w:rPr>
          <w:b/>
          <w:bCs/>
        </w:rPr>
      </w:pPr>
    </w:p>
    <w:p w14:paraId="0C76927C" w14:textId="77777777" w:rsidR="00636B5B" w:rsidRDefault="00636B5B" w:rsidP="00CE7936">
      <w:pPr>
        <w:widowControl w:val="0"/>
        <w:autoSpaceDE w:val="0"/>
        <w:autoSpaceDN w:val="0"/>
        <w:adjustRightInd w:val="0"/>
        <w:rPr>
          <w:b/>
          <w:bCs/>
        </w:rPr>
      </w:pPr>
    </w:p>
    <w:p w14:paraId="3BDE5D9D" w14:textId="77777777" w:rsidR="00636B5B" w:rsidRDefault="00636B5B" w:rsidP="00CE7936">
      <w:pPr>
        <w:widowControl w:val="0"/>
        <w:autoSpaceDE w:val="0"/>
        <w:autoSpaceDN w:val="0"/>
        <w:adjustRightInd w:val="0"/>
        <w:rPr>
          <w:b/>
          <w:bCs/>
        </w:rPr>
      </w:pPr>
    </w:p>
    <w:p w14:paraId="5CBA1D36" w14:textId="77777777" w:rsidR="00636B5B" w:rsidRDefault="00636B5B" w:rsidP="00CE7936">
      <w:pPr>
        <w:widowControl w:val="0"/>
        <w:autoSpaceDE w:val="0"/>
        <w:autoSpaceDN w:val="0"/>
        <w:adjustRightInd w:val="0"/>
        <w:rPr>
          <w:b/>
          <w:bCs/>
        </w:rPr>
      </w:pPr>
    </w:p>
    <w:p w14:paraId="6AFF7DE7" w14:textId="77777777" w:rsidR="00636B5B" w:rsidRDefault="00636B5B" w:rsidP="00CE7936">
      <w:pPr>
        <w:widowControl w:val="0"/>
        <w:autoSpaceDE w:val="0"/>
        <w:autoSpaceDN w:val="0"/>
        <w:adjustRightInd w:val="0"/>
        <w:rPr>
          <w:b/>
          <w:bCs/>
        </w:rPr>
      </w:pPr>
    </w:p>
    <w:p w14:paraId="668DE63A" w14:textId="77777777" w:rsidR="00636B5B" w:rsidRDefault="00636B5B" w:rsidP="00CE7936">
      <w:pPr>
        <w:widowControl w:val="0"/>
        <w:autoSpaceDE w:val="0"/>
        <w:autoSpaceDN w:val="0"/>
        <w:adjustRightInd w:val="0"/>
        <w:rPr>
          <w:b/>
          <w:bCs/>
        </w:rPr>
      </w:pPr>
    </w:p>
    <w:p w14:paraId="6CC61AB5" w14:textId="77777777" w:rsidR="00636B5B" w:rsidRDefault="00636B5B" w:rsidP="00CE7936">
      <w:pPr>
        <w:widowControl w:val="0"/>
        <w:autoSpaceDE w:val="0"/>
        <w:autoSpaceDN w:val="0"/>
        <w:adjustRightInd w:val="0"/>
        <w:rPr>
          <w:b/>
          <w:bCs/>
        </w:rPr>
      </w:pPr>
    </w:p>
    <w:p w14:paraId="06FB7137" w14:textId="4D4B40D7" w:rsidR="00636B5B" w:rsidRDefault="00752AE5" w:rsidP="00CE7936">
      <w:pPr>
        <w:widowControl w:val="0"/>
        <w:autoSpaceDE w:val="0"/>
        <w:autoSpaceDN w:val="0"/>
        <w:adjustRightInd w:val="0"/>
        <w:rPr>
          <w:b/>
          <w:bCs/>
        </w:rPr>
      </w:pPr>
      <w:r w:rsidRPr="00BD2A1C">
        <w:rPr>
          <w:b/>
          <w:bCs/>
          <w:noProof/>
        </w:rPr>
        <mc:AlternateContent>
          <mc:Choice Requires="wps">
            <w:drawing>
              <wp:anchor distT="0" distB="0" distL="114300" distR="114300" simplePos="0" relativeHeight="251672576" behindDoc="0" locked="0" layoutInCell="1" allowOverlap="1" wp14:anchorId="26DF72D4" wp14:editId="6D4E803E">
                <wp:simplePos x="0" y="0"/>
                <wp:positionH relativeFrom="margin">
                  <wp:align>left</wp:align>
                </wp:positionH>
                <wp:positionV relativeFrom="margin">
                  <wp:posOffset>7200900</wp:posOffset>
                </wp:positionV>
                <wp:extent cx="5943600" cy="953770"/>
                <wp:effectExtent l="0" t="0" r="0" b="0"/>
                <wp:wrapNone/>
                <wp:docPr id="15" name="Rectangle 5"/>
                <wp:cNvGraphicFramePr/>
                <a:graphic xmlns:a="http://schemas.openxmlformats.org/drawingml/2006/main">
                  <a:graphicData uri="http://schemas.microsoft.com/office/word/2010/wordprocessingShape">
                    <wps:wsp>
                      <wps:cNvSpPr/>
                      <wps:spPr>
                        <a:xfrm>
                          <a:off x="0" y="0"/>
                          <a:ext cx="5943600" cy="953770"/>
                        </a:xfrm>
                        <a:prstGeom prst="rect">
                          <a:avLst/>
                        </a:prstGeom>
                      </wps:spPr>
                      <wps:txbx>
                        <w:txbxContent>
                          <w:p w14:paraId="1C526E9B" w14:textId="77777777" w:rsidR="00636B5B" w:rsidRPr="00CD2646" w:rsidRDefault="00636B5B" w:rsidP="00CE7936">
                            <w:pPr>
                              <w:shd w:val="clear" w:color="auto" w:fill="FFFFFF"/>
                              <w:jc w:val="both"/>
                              <w:rPr>
                                <w:rFonts w:eastAsia="Times New Roman" w:cstheme="minorBidi"/>
                                <w:b/>
                                <w:bCs/>
                                <w:color w:val="222222"/>
                                <w:kern w:val="24"/>
                              </w:rPr>
                            </w:pPr>
                            <w:r w:rsidRPr="00CD2646">
                              <w:rPr>
                                <w:rFonts w:eastAsia="Times New Roman" w:cstheme="minorBidi"/>
                                <w:b/>
                                <w:bCs/>
                                <w:color w:val="222222"/>
                                <w:kern w:val="24"/>
                                <w:highlight w:val="white"/>
                              </w:rPr>
                              <w:t xml:space="preserve">Figure II-S7. </w:t>
                            </w:r>
                            <w:r w:rsidRPr="00CD2646">
                              <w:rPr>
                                <w:rFonts w:eastAsia="Times New Roman" w:cstheme="minorBidi"/>
                                <w:color w:val="222222"/>
                                <w:kern w:val="24"/>
                                <w:highlight w:val="white"/>
                              </w:rPr>
                              <w:t xml:space="preserve">Alignment of </w:t>
                            </w:r>
                            <w:r w:rsidRPr="00CD2646">
                              <w:rPr>
                                <w:rFonts w:eastAsia="Times New Roman" w:cstheme="minorBidi"/>
                                <w:i/>
                                <w:iCs/>
                                <w:color w:val="222222"/>
                                <w:kern w:val="24"/>
                                <w:highlight w:val="white"/>
                              </w:rPr>
                              <w:t xml:space="preserve">de novo </w:t>
                            </w:r>
                            <w:r w:rsidRPr="00CD2646">
                              <w:rPr>
                                <w:rFonts w:eastAsia="Times New Roman" w:cstheme="minorBidi"/>
                                <w:color w:val="222222"/>
                                <w:kern w:val="24"/>
                                <w:highlight w:val="white"/>
                              </w:rPr>
                              <w:t xml:space="preserve">gene </w:t>
                            </w:r>
                            <w:r w:rsidRPr="00CD2646">
                              <w:rPr>
                                <w:rFonts w:eastAsia="Times New Roman" w:cstheme="minorBidi"/>
                                <w:color w:val="222222"/>
                                <w:kern w:val="24"/>
                              </w:rPr>
                              <w:t xml:space="preserve">Potri.005G061300 against its non-coding syntenic regions. Highlighting shows disagreement to the </w:t>
                            </w:r>
                            <w:r w:rsidRPr="00CD2646">
                              <w:rPr>
                                <w:rFonts w:eastAsia="Times New Roman" w:cstheme="minorBidi"/>
                                <w:i/>
                                <w:iCs/>
                                <w:color w:val="222222"/>
                                <w:kern w:val="24"/>
                              </w:rPr>
                              <w:t xml:space="preserve">de novo </w:t>
                            </w:r>
                            <w:r w:rsidRPr="00CD2646">
                              <w:rPr>
                                <w:rFonts w:eastAsia="Times New Roman" w:cstheme="minorBidi"/>
                                <w:color w:val="222222"/>
                                <w:kern w:val="24"/>
                              </w:rPr>
                              <w:t xml:space="preserve">gene. The sequence label includes information about species and coordinates for the region; pd = </w:t>
                            </w:r>
                            <w:r w:rsidRPr="00CD2646">
                              <w:rPr>
                                <w:rFonts w:eastAsia="Times New Roman" w:cstheme="minorBidi"/>
                                <w:i/>
                                <w:iCs/>
                                <w:color w:val="222222"/>
                                <w:kern w:val="24"/>
                              </w:rPr>
                              <w:t xml:space="preserve">P. </w:t>
                            </w:r>
                            <w:proofErr w:type="spellStart"/>
                            <w:r w:rsidRPr="00CD2646">
                              <w:rPr>
                                <w:rFonts w:eastAsia="Times New Roman" w:cstheme="minorBidi"/>
                                <w:i/>
                                <w:iCs/>
                                <w:color w:val="222222"/>
                                <w:kern w:val="24"/>
                              </w:rPr>
                              <w:t>deltoides</w:t>
                            </w:r>
                            <w:proofErr w:type="spellEnd"/>
                            <w:r w:rsidRPr="00CD2646">
                              <w:rPr>
                                <w:rFonts w:eastAsia="Times New Roman" w:cstheme="minorBidi"/>
                                <w:i/>
                                <w:iCs/>
                                <w:color w:val="222222"/>
                                <w:kern w:val="24"/>
                              </w:rPr>
                              <w:t xml:space="preserve">, </w:t>
                            </w:r>
                            <w:proofErr w:type="spellStart"/>
                            <w:r w:rsidRPr="00CD2646">
                              <w:rPr>
                                <w:rFonts w:eastAsia="Times New Roman" w:cstheme="minorBidi"/>
                                <w:color w:val="222222"/>
                                <w:kern w:val="24"/>
                              </w:rPr>
                              <w:t>sp</w:t>
                            </w:r>
                            <w:proofErr w:type="spellEnd"/>
                            <w:r w:rsidRPr="00CD2646">
                              <w:rPr>
                                <w:rFonts w:eastAsia="Times New Roman" w:cstheme="minorBidi"/>
                                <w:color w:val="222222"/>
                                <w:kern w:val="24"/>
                              </w:rPr>
                              <w:t xml:space="preserve"> = </w:t>
                            </w:r>
                            <w:r w:rsidRPr="00CD2646">
                              <w:rPr>
                                <w:rFonts w:eastAsia="Times New Roman" w:cstheme="minorBidi"/>
                                <w:i/>
                                <w:iCs/>
                                <w:color w:val="222222"/>
                                <w:kern w:val="24"/>
                              </w:rPr>
                              <w:t>S. purpurea</w:t>
                            </w:r>
                            <w:r w:rsidRPr="00CD2646">
                              <w:rPr>
                                <w:rFonts w:eastAsia="Times New Roman" w:cstheme="minorBidi"/>
                                <w:color w:val="222222"/>
                                <w:kern w:val="24"/>
                              </w:rPr>
                              <w:t xml:space="preserve">, </w:t>
                            </w:r>
                            <w:proofErr w:type="spellStart"/>
                            <w:r w:rsidRPr="00CD2646">
                              <w:rPr>
                                <w:rFonts w:eastAsia="Times New Roman" w:cstheme="minorBidi"/>
                                <w:color w:val="222222"/>
                                <w:kern w:val="24"/>
                              </w:rPr>
                              <w:t>pt</w:t>
                            </w:r>
                            <w:proofErr w:type="spellEnd"/>
                            <w:r w:rsidRPr="00CD2646">
                              <w:rPr>
                                <w:rFonts w:eastAsia="Times New Roman" w:cstheme="minorBidi"/>
                                <w:color w:val="222222"/>
                                <w:kern w:val="24"/>
                              </w:rPr>
                              <w:t xml:space="preserve"> = </w:t>
                            </w:r>
                            <w:r w:rsidRPr="00CD2646">
                              <w:rPr>
                                <w:rFonts w:eastAsia="Times New Roman" w:cstheme="minorBidi"/>
                                <w:i/>
                                <w:iCs/>
                                <w:color w:val="222222"/>
                                <w:kern w:val="24"/>
                              </w:rPr>
                              <w:t xml:space="preserve">P. </w:t>
                            </w:r>
                            <w:proofErr w:type="spellStart"/>
                            <w:r w:rsidRPr="00CD2646">
                              <w:rPr>
                                <w:rFonts w:eastAsia="Times New Roman" w:cstheme="minorBidi"/>
                                <w:i/>
                                <w:iCs/>
                                <w:color w:val="222222"/>
                                <w:kern w:val="24"/>
                              </w:rPr>
                              <w:t>trichocarpa</w:t>
                            </w:r>
                            <w:proofErr w:type="spellEnd"/>
                            <w:r w:rsidRPr="00CD2646">
                              <w:rPr>
                                <w:rFonts w:eastAsia="Times New Roman" w:cstheme="minorBidi"/>
                                <w:color w:val="222222"/>
                                <w:kern w:val="24"/>
                              </w:rPr>
                              <w:t>.</w:t>
                            </w:r>
                          </w:p>
                        </w:txbxContent>
                      </wps:txbx>
                      <wps:bodyPr wrap="square">
                        <a:spAutoFit/>
                      </wps:bodyPr>
                    </wps:wsp>
                  </a:graphicData>
                </a:graphic>
                <wp14:sizeRelH relativeFrom="margin">
                  <wp14:pctWidth>0</wp14:pctWidth>
                </wp14:sizeRelH>
              </wp:anchor>
            </w:drawing>
          </mc:Choice>
          <mc:Fallback>
            <w:pict>
              <v:rect w14:anchorId="26DF72D4" id="_x0000_s1031" style="position:absolute;margin-left:0;margin-top:567pt;width:468pt;height:75.1pt;z-index:251672576;visibility:visible;mso-wrap-style:square;mso-width-percent:0;mso-wrap-distance-left:9pt;mso-wrap-distance-top:0;mso-wrap-distance-right:9pt;mso-wrap-distance-bottom:0;mso-position-horizontal:left;mso-position-horizontal-relative:margin;mso-position-vertical:absolute;mso-position-vertical-relative:margin;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" filled="f" stroked="f">
                <v:textbox style="mso-fit-shape-to-text:t">
                  <w:txbxContent>
                    <w:p w14:paraId="1C526E9B" w14:textId="77777777" w:rsidR="00636B5B" w:rsidRPr="00CD2646" w:rsidRDefault="00636B5B" w:rsidP="00CE7936">
                      <w:pPr>
                        <w:shd w:val="clear" w:color="auto" w:fill="FFFFFF"/>
                        <w:jc w:val="both"/>
                        <w:rPr>
                          <w:rFonts w:eastAsia="Times New Roman" w:cstheme="minorBidi"/>
                          <w:b/>
                          <w:bCs/>
                          <w:color w:val="222222"/>
                          <w:kern w:val="24"/>
                        </w:rPr>
                      </w:pPr>
                      <w:r w:rsidRPr="00CD2646">
                        <w:rPr>
                          <w:rFonts w:eastAsia="Times New Roman" w:cstheme="minorBidi"/>
                          <w:b/>
                          <w:bCs/>
                          <w:color w:val="222222"/>
                          <w:kern w:val="24"/>
                          <w:highlight w:val="white"/>
                        </w:rPr>
                        <w:t xml:space="preserve">Figure II-S7. </w:t>
                      </w:r>
                      <w:r w:rsidRPr="00CD2646">
                        <w:rPr>
                          <w:rFonts w:eastAsia="Times New Roman" w:cstheme="minorBidi"/>
                          <w:color w:val="222222"/>
                          <w:kern w:val="24"/>
                          <w:highlight w:val="white"/>
                        </w:rPr>
                        <w:t xml:space="preserve">Alignment of </w:t>
                      </w:r>
                      <w:r w:rsidRPr="00CD2646">
                        <w:rPr>
                          <w:rFonts w:eastAsia="Times New Roman" w:cstheme="minorBidi"/>
                          <w:i/>
                          <w:iCs/>
                          <w:color w:val="222222"/>
                          <w:kern w:val="24"/>
                          <w:highlight w:val="white"/>
                        </w:rPr>
                        <w:t xml:space="preserve">de novo </w:t>
                      </w:r>
                      <w:r w:rsidRPr="00CD2646">
                        <w:rPr>
                          <w:rFonts w:eastAsia="Times New Roman" w:cstheme="minorBidi"/>
                          <w:color w:val="222222"/>
                          <w:kern w:val="24"/>
                          <w:highlight w:val="white"/>
                        </w:rPr>
                        <w:t xml:space="preserve">gene </w:t>
                      </w:r>
                      <w:r w:rsidRPr="00CD2646">
                        <w:rPr>
                          <w:rFonts w:eastAsia="Times New Roman" w:cstheme="minorBidi"/>
                          <w:color w:val="222222"/>
                          <w:kern w:val="24"/>
                        </w:rPr>
                        <w:t xml:space="preserve">Potri.005G061300 against its non-coding syntenic regions. Highlighting shows disagreement to the </w:t>
                      </w:r>
                      <w:r w:rsidRPr="00CD2646">
                        <w:rPr>
                          <w:rFonts w:eastAsia="Times New Roman" w:cstheme="minorBidi"/>
                          <w:i/>
                          <w:iCs/>
                          <w:color w:val="222222"/>
                          <w:kern w:val="24"/>
                        </w:rPr>
                        <w:t xml:space="preserve">de novo </w:t>
                      </w:r>
                      <w:r w:rsidRPr="00CD2646">
                        <w:rPr>
                          <w:rFonts w:eastAsia="Times New Roman" w:cstheme="minorBidi"/>
                          <w:color w:val="222222"/>
                          <w:kern w:val="24"/>
                        </w:rPr>
                        <w:t xml:space="preserve">gene. The sequence label includes information about species and coordinates for the region; pd = </w:t>
                      </w:r>
                      <w:r w:rsidRPr="00CD2646">
                        <w:rPr>
                          <w:rFonts w:eastAsia="Times New Roman" w:cstheme="minorBidi"/>
                          <w:i/>
                          <w:iCs/>
                          <w:color w:val="222222"/>
                          <w:kern w:val="24"/>
                        </w:rPr>
                        <w:t xml:space="preserve">P. </w:t>
                      </w:r>
                      <w:proofErr w:type="spellStart"/>
                      <w:r w:rsidRPr="00CD2646">
                        <w:rPr>
                          <w:rFonts w:eastAsia="Times New Roman" w:cstheme="minorBidi"/>
                          <w:i/>
                          <w:iCs/>
                          <w:color w:val="222222"/>
                          <w:kern w:val="24"/>
                        </w:rPr>
                        <w:t>deltoides</w:t>
                      </w:r>
                      <w:proofErr w:type="spellEnd"/>
                      <w:r w:rsidRPr="00CD2646">
                        <w:rPr>
                          <w:rFonts w:eastAsia="Times New Roman" w:cstheme="minorBidi"/>
                          <w:i/>
                          <w:iCs/>
                          <w:color w:val="222222"/>
                          <w:kern w:val="24"/>
                        </w:rPr>
                        <w:t xml:space="preserve">, </w:t>
                      </w:r>
                      <w:proofErr w:type="spellStart"/>
                      <w:r w:rsidRPr="00CD2646">
                        <w:rPr>
                          <w:rFonts w:eastAsia="Times New Roman" w:cstheme="minorBidi"/>
                          <w:color w:val="222222"/>
                          <w:kern w:val="24"/>
                        </w:rPr>
                        <w:t>sp</w:t>
                      </w:r>
                      <w:proofErr w:type="spellEnd"/>
                      <w:r w:rsidRPr="00CD2646">
                        <w:rPr>
                          <w:rFonts w:eastAsia="Times New Roman" w:cstheme="minorBidi"/>
                          <w:color w:val="222222"/>
                          <w:kern w:val="24"/>
                        </w:rPr>
                        <w:t xml:space="preserve"> = </w:t>
                      </w:r>
                      <w:r w:rsidRPr="00CD2646">
                        <w:rPr>
                          <w:rFonts w:eastAsia="Times New Roman" w:cstheme="minorBidi"/>
                          <w:i/>
                          <w:iCs/>
                          <w:color w:val="222222"/>
                          <w:kern w:val="24"/>
                        </w:rPr>
                        <w:t>S. purpurea</w:t>
                      </w:r>
                      <w:r w:rsidRPr="00CD2646">
                        <w:rPr>
                          <w:rFonts w:eastAsia="Times New Roman" w:cstheme="minorBidi"/>
                          <w:color w:val="222222"/>
                          <w:kern w:val="24"/>
                        </w:rPr>
                        <w:t xml:space="preserve">, </w:t>
                      </w:r>
                      <w:proofErr w:type="spellStart"/>
                      <w:r w:rsidRPr="00CD2646">
                        <w:rPr>
                          <w:rFonts w:eastAsia="Times New Roman" w:cstheme="minorBidi"/>
                          <w:color w:val="222222"/>
                          <w:kern w:val="24"/>
                        </w:rPr>
                        <w:t>pt</w:t>
                      </w:r>
                      <w:proofErr w:type="spellEnd"/>
                      <w:r w:rsidRPr="00CD2646">
                        <w:rPr>
                          <w:rFonts w:eastAsia="Times New Roman" w:cstheme="minorBidi"/>
                          <w:color w:val="222222"/>
                          <w:kern w:val="24"/>
                        </w:rPr>
                        <w:t xml:space="preserve"> = </w:t>
                      </w:r>
                      <w:r w:rsidRPr="00CD2646">
                        <w:rPr>
                          <w:rFonts w:eastAsia="Times New Roman" w:cstheme="minorBidi"/>
                          <w:i/>
                          <w:iCs/>
                          <w:color w:val="222222"/>
                          <w:kern w:val="24"/>
                        </w:rPr>
                        <w:t xml:space="preserve">P. </w:t>
                      </w:r>
                      <w:proofErr w:type="spellStart"/>
                      <w:r w:rsidRPr="00CD2646">
                        <w:rPr>
                          <w:rFonts w:eastAsia="Times New Roman" w:cstheme="minorBidi"/>
                          <w:i/>
                          <w:iCs/>
                          <w:color w:val="222222"/>
                          <w:kern w:val="24"/>
                        </w:rPr>
                        <w:t>trichocarpa</w:t>
                      </w:r>
                      <w:proofErr w:type="spellEnd"/>
                      <w:r w:rsidRPr="00CD2646">
                        <w:rPr>
                          <w:rFonts w:eastAsia="Times New Roman" w:cstheme="minorBidi"/>
                          <w:color w:val="222222"/>
                          <w:kern w:val="24"/>
                        </w:rPr>
                        <w:t>.</w:t>
                      </w:r>
                    </w:p>
                  </w:txbxContent>
                </v:textbox>
                <w10:wrap anchorx="margin" anchory="margin"/>
              </v:rect>
            </w:pict>
          </mc:Fallback>
        </mc:AlternateContent>
      </w:r>
    </w:p>
    <w:p w14:paraId="77330E57" w14:textId="77777777" w:rsidR="00636B5B" w:rsidRDefault="00636B5B" w:rsidP="00CE7936">
      <w:pPr>
        <w:widowControl w:val="0"/>
        <w:autoSpaceDE w:val="0"/>
        <w:autoSpaceDN w:val="0"/>
        <w:adjustRightInd w:val="0"/>
        <w:rPr>
          <w:b/>
          <w:bCs/>
        </w:rPr>
      </w:pPr>
    </w:p>
    <w:p w14:paraId="7CBA04C1" w14:textId="1AA52A0F" w:rsidR="00636B5B" w:rsidRDefault="00636B5B" w:rsidP="00CE7936">
      <w:pPr>
        <w:widowControl w:val="0"/>
        <w:autoSpaceDE w:val="0"/>
        <w:autoSpaceDN w:val="0"/>
        <w:adjustRightInd w:val="0"/>
        <w:rPr>
          <w:b/>
          <w:bCs/>
        </w:rPr>
      </w:pPr>
    </w:p>
    <w:p w14:paraId="075568B6" w14:textId="77777777" w:rsidR="00636B5B" w:rsidRDefault="00636B5B" w:rsidP="00CE7936">
      <w:pPr>
        <w:widowControl w:val="0"/>
        <w:autoSpaceDE w:val="0"/>
        <w:autoSpaceDN w:val="0"/>
        <w:adjustRightInd w:val="0"/>
        <w:rPr>
          <w:b/>
          <w:bCs/>
        </w:rPr>
      </w:pPr>
    </w:p>
    <w:p w14:paraId="729EC6AF" w14:textId="77777777" w:rsidR="00636B5B" w:rsidRDefault="00636B5B" w:rsidP="00CE7936">
      <w:pPr>
        <w:widowControl w:val="0"/>
        <w:autoSpaceDE w:val="0"/>
        <w:autoSpaceDN w:val="0"/>
        <w:adjustRightInd w:val="0"/>
        <w:rPr>
          <w:b/>
          <w:bCs/>
        </w:rPr>
      </w:pPr>
    </w:p>
    <w:p w14:paraId="50392D19" w14:textId="77777777" w:rsidR="00636B5B" w:rsidRDefault="00636B5B" w:rsidP="00CE7936">
      <w:pPr>
        <w:widowControl w:val="0"/>
        <w:autoSpaceDE w:val="0"/>
        <w:autoSpaceDN w:val="0"/>
        <w:adjustRightInd w:val="0"/>
        <w:rPr>
          <w:b/>
          <w:bCs/>
        </w:rPr>
      </w:pPr>
      <w:r w:rsidRPr="00E74506">
        <w:rPr>
          <w:b/>
          <w:bCs/>
          <w:noProof/>
        </w:rPr>
        <w:lastRenderedPageBreak/>
        <w:drawing>
          <wp:anchor distT="0" distB="0" distL="114300" distR="114300" simplePos="0" relativeHeight="251675648" behindDoc="0" locked="0" layoutInCell="1" allowOverlap="1" wp14:anchorId="2207870A" wp14:editId="0A3769E6">
            <wp:simplePos x="0" y="0"/>
            <wp:positionH relativeFrom="margin">
              <wp:posOffset>228600</wp:posOffset>
            </wp:positionH>
            <wp:positionV relativeFrom="margin">
              <wp:posOffset>114300</wp:posOffset>
            </wp:positionV>
            <wp:extent cx="5486400" cy="2960077"/>
            <wp:effectExtent l="0" t="0" r="0" b="0"/>
            <wp:wrapNone/>
            <wp:docPr id="22" name="Content Placeholder 11" descr="Calendar&#10;&#10;Description automatically generated with medium confidence">
              <a:extLst xmlns:a="http://schemas.openxmlformats.org/drawingml/2006/main">
                <a:ext uri="{FF2B5EF4-FFF2-40B4-BE49-F238E27FC236}">
                  <a16:creationId xmlns:a16="http://schemas.microsoft.com/office/drawing/2014/main" id="{1009A232-D293-E342-973A-00B74CC91E11}"/>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2" name="Content Placeholder 11" descr="Calendar&#10;&#10;Description automatically generated with medium confidence">
                      <a:extLst>
                        <a:ext uri="{FF2B5EF4-FFF2-40B4-BE49-F238E27FC236}">
                          <a16:creationId xmlns:a16="http://schemas.microsoft.com/office/drawing/2014/main" id="{1009A232-D293-E342-973A-00B74CC91E11}"/>
                        </a:ext>
                      </a:extLst>
                    </pic:cNvPr>
                    <pic:cNvPicPr>
                      <a:picLocks noGrp="1" noChangeAspect="1"/>
                    </pic:cNvPicPr>
                  </pic:nvPicPr>
                  <pic:blipFill>
                    <a:blip r:embed="rId29" cstate="print">
                      <a:extLst>
                        <a:ext uri="{28A0092B-C50C-407E-A947-70E740481C1C}">
                          <a14:useLocalDpi xmlns:a14="http://schemas.microsoft.com/office/drawing/2010/main"/>
                        </a:ext>
                      </a:extLst>
                    </a:blip>
                    <a:stretch>
                      <a:fillRect/>
                    </a:stretch>
                  </pic:blipFill>
                  <pic:spPr>
                    <a:xfrm>
                      <a:off x="0" y="0"/>
                      <a:ext cx="5486400" cy="2960077"/>
                    </a:xfrm>
                    <a:prstGeom prst="rect">
                      <a:avLst/>
                    </a:prstGeom>
                  </pic:spPr>
                </pic:pic>
              </a:graphicData>
            </a:graphic>
            <wp14:sizeRelH relativeFrom="margin">
              <wp14:pctWidth>0</wp14:pctWidth>
            </wp14:sizeRelH>
            <wp14:sizeRelV relativeFrom="margin">
              <wp14:pctHeight>0</wp14:pctHeight>
            </wp14:sizeRelV>
          </wp:anchor>
        </w:drawing>
      </w:r>
    </w:p>
    <w:p w14:paraId="3C83E5EF" w14:textId="77777777" w:rsidR="00636B5B" w:rsidRDefault="00636B5B" w:rsidP="00CE7936">
      <w:pPr>
        <w:widowControl w:val="0"/>
        <w:autoSpaceDE w:val="0"/>
        <w:autoSpaceDN w:val="0"/>
        <w:adjustRightInd w:val="0"/>
        <w:rPr>
          <w:b/>
          <w:bCs/>
        </w:rPr>
      </w:pPr>
    </w:p>
    <w:p w14:paraId="2B18D11A" w14:textId="77777777" w:rsidR="00636B5B" w:rsidRDefault="00636B5B" w:rsidP="00CE7936">
      <w:pPr>
        <w:widowControl w:val="0"/>
        <w:autoSpaceDE w:val="0"/>
        <w:autoSpaceDN w:val="0"/>
        <w:adjustRightInd w:val="0"/>
        <w:rPr>
          <w:b/>
          <w:bCs/>
        </w:rPr>
      </w:pPr>
    </w:p>
    <w:p w14:paraId="721A8CA9" w14:textId="77777777" w:rsidR="00636B5B" w:rsidRDefault="00636B5B" w:rsidP="00CE7936">
      <w:pPr>
        <w:widowControl w:val="0"/>
        <w:autoSpaceDE w:val="0"/>
        <w:autoSpaceDN w:val="0"/>
        <w:adjustRightInd w:val="0"/>
        <w:rPr>
          <w:b/>
          <w:bCs/>
        </w:rPr>
      </w:pPr>
    </w:p>
    <w:p w14:paraId="7F9334C3" w14:textId="77777777" w:rsidR="00636B5B" w:rsidRDefault="00636B5B" w:rsidP="00CE7936">
      <w:pPr>
        <w:widowControl w:val="0"/>
        <w:autoSpaceDE w:val="0"/>
        <w:autoSpaceDN w:val="0"/>
        <w:adjustRightInd w:val="0"/>
        <w:rPr>
          <w:b/>
          <w:bCs/>
        </w:rPr>
      </w:pPr>
    </w:p>
    <w:p w14:paraId="4D5C2954" w14:textId="77777777" w:rsidR="00636B5B" w:rsidRDefault="00636B5B" w:rsidP="00CE7936">
      <w:pPr>
        <w:widowControl w:val="0"/>
        <w:autoSpaceDE w:val="0"/>
        <w:autoSpaceDN w:val="0"/>
        <w:adjustRightInd w:val="0"/>
        <w:rPr>
          <w:b/>
          <w:bCs/>
        </w:rPr>
      </w:pPr>
    </w:p>
    <w:p w14:paraId="63AA6B88" w14:textId="77777777" w:rsidR="00636B5B" w:rsidRDefault="00636B5B" w:rsidP="00CE7936">
      <w:pPr>
        <w:widowControl w:val="0"/>
        <w:autoSpaceDE w:val="0"/>
        <w:autoSpaceDN w:val="0"/>
        <w:adjustRightInd w:val="0"/>
        <w:rPr>
          <w:b/>
          <w:bCs/>
        </w:rPr>
      </w:pPr>
    </w:p>
    <w:p w14:paraId="1BEC2F74" w14:textId="77777777" w:rsidR="00636B5B" w:rsidRDefault="00636B5B" w:rsidP="00CE7936">
      <w:pPr>
        <w:widowControl w:val="0"/>
        <w:autoSpaceDE w:val="0"/>
        <w:autoSpaceDN w:val="0"/>
        <w:adjustRightInd w:val="0"/>
        <w:rPr>
          <w:b/>
          <w:bCs/>
        </w:rPr>
      </w:pPr>
    </w:p>
    <w:p w14:paraId="4EE52FF5" w14:textId="77777777" w:rsidR="00636B5B" w:rsidRDefault="00636B5B" w:rsidP="00CE7936">
      <w:pPr>
        <w:widowControl w:val="0"/>
        <w:autoSpaceDE w:val="0"/>
        <w:autoSpaceDN w:val="0"/>
        <w:adjustRightInd w:val="0"/>
        <w:rPr>
          <w:b/>
          <w:bCs/>
        </w:rPr>
      </w:pPr>
    </w:p>
    <w:p w14:paraId="496DBA65" w14:textId="77777777" w:rsidR="00636B5B" w:rsidRDefault="00636B5B" w:rsidP="00CE7936">
      <w:pPr>
        <w:widowControl w:val="0"/>
        <w:autoSpaceDE w:val="0"/>
        <w:autoSpaceDN w:val="0"/>
        <w:adjustRightInd w:val="0"/>
        <w:rPr>
          <w:b/>
          <w:bCs/>
        </w:rPr>
      </w:pPr>
    </w:p>
    <w:p w14:paraId="1194A037" w14:textId="77777777" w:rsidR="00636B5B" w:rsidRDefault="00636B5B" w:rsidP="00CE7936">
      <w:pPr>
        <w:widowControl w:val="0"/>
        <w:autoSpaceDE w:val="0"/>
        <w:autoSpaceDN w:val="0"/>
        <w:adjustRightInd w:val="0"/>
        <w:rPr>
          <w:b/>
          <w:bCs/>
        </w:rPr>
      </w:pPr>
    </w:p>
    <w:p w14:paraId="0DD32A90" w14:textId="77777777" w:rsidR="00636B5B" w:rsidRDefault="00636B5B" w:rsidP="00CE7936">
      <w:pPr>
        <w:widowControl w:val="0"/>
        <w:autoSpaceDE w:val="0"/>
        <w:autoSpaceDN w:val="0"/>
        <w:adjustRightInd w:val="0"/>
        <w:rPr>
          <w:b/>
          <w:bCs/>
        </w:rPr>
      </w:pPr>
    </w:p>
    <w:p w14:paraId="79147BD9" w14:textId="77777777" w:rsidR="00636B5B" w:rsidRDefault="00636B5B" w:rsidP="00CE7936">
      <w:pPr>
        <w:widowControl w:val="0"/>
        <w:autoSpaceDE w:val="0"/>
        <w:autoSpaceDN w:val="0"/>
        <w:adjustRightInd w:val="0"/>
        <w:rPr>
          <w:b/>
          <w:bCs/>
        </w:rPr>
      </w:pPr>
    </w:p>
    <w:p w14:paraId="21E0341D" w14:textId="77777777" w:rsidR="00636B5B" w:rsidRDefault="00636B5B" w:rsidP="00CE7936">
      <w:pPr>
        <w:widowControl w:val="0"/>
        <w:autoSpaceDE w:val="0"/>
        <w:autoSpaceDN w:val="0"/>
        <w:adjustRightInd w:val="0"/>
        <w:rPr>
          <w:b/>
          <w:bCs/>
        </w:rPr>
      </w:pPr>
    </w:p>
    <w:p w14:paraId="313BEED0" w14:textId="77777777" w:rsidR="00636B5B" w:rsidRDefault="00636B5B" w:rsidP="00CE7936">
      <w:pPr>
        <w:widowControl w:val="0"/>
        <w:autoSpaceDE w:val="0"/>
        <w:autoSpaceDN w:val="0"/>
        <w:adjustRightInd w:val="0"/>
        <w:rPr>
          <w:b/>
          <w:bCs/>
        </w:rPr>
      </w:pPr>
    </w:p>
    <w:p w14:paraId="634576D4" w14:textId="1D12D7B1" w:rsidR="00636B5B" w:rsidRDefault="00636B5B" w:rsidP="00CE7936">
      <w:pPr>
        <w:widowControl w:val="0"/>
        <w:autoSpaceDE w:val="0"/>
        <w:autoSpaceDN w:val="0"/>
        <w:adjustRightInd w:val="0"/>
        <w:rPr>
          <w:b/>
          <w:bCs/>
        </w:rPr>
      </w:pPr>
    </w:p>
    <w:p w14:paraId="7AEC97FA" w14:textId="4C45E51C" w:rsidR="00636B5B" w:rsidRDefault="00636B5B" w:rsidP="00CE7936">
      <w:pPr>
        <w:widowControl w:val="0"/>
        <w:autoSpaceDE w:val="0"/>
        <w:autoSpaceDN w:val="0"/>
        <w:adjustRightInd w:val="0"/>
        <w:rPr>
          <w:b/>
          <w:bCs/>
        </w:rPr>
      </w:pPr>
    </w:p>
    <w:p w14:paraId="618F406A" w14:textId="3073331F" w:rsidR="00636B5B" w:rsidRDefault="00752AE5" w:rsidP="00CE7936">
      <w:pPr>
        <w:widowControl w:val="0"/>
        <w:autoSpaceDE w:val="0"/>
        <w:autoSpaceDN w:val="0"/>
        <w:adjustRightInd w:val="0"/>
        <w:rPr>
          <w:b/>
          <w:bCs/>
        </w:rPr>
      </w:pPr>
      <w:r w:rsidRPr="00E74506">
        <w:rPr>
          <w:b/>
          <w:bCs/>
          <w:noProof/>
        </w:rPr>
        <mc:AlternateContent>
          <mc:Choice Requires="wps">
            <w:drawing>
              <wp:anchor distT="0" distB="0" distL="114300" distR="114300" simplePos="0" relativeHeight="251674624" behindDoc="0" locked="0" layoutInCell="1" allowOverlap="1" wp14:anchorId="0ADB2449" wp14:editId="779ABD03">
                <wp:simplePos x="0" y="0"/>
                <wp:positionH relativeFrom="margin">
                  <wp:align>left</wp:align>
                </wp:positionH>
                <wp:positionV relativeFrom="paragraph">
                  <wp:posOffset>117475</wp:posOffset>
                </wp:positionV>
                <wp:extent cx="5943600" cy="953770"/>
                <wp:effectExtent l="0" t="0" r="0" b="0"/>
                <wp:wrapNone/>
                <wp:docPr id="21" name="Rectangle 5"/>
                <wp:cNvGraphicFramePr/>
                <a:graphic xmlns:a="http://schemas.openxmlformats.org/drawingml/2006/main">
                  <a:graphicData uri="http://schemas.microsoft.com/office/word/2010/wordprocessingShape">
                    <wps:wsp>
                      <wps:cNvSpPr/>
                      <wps:spPr>
                        <a:xfrm>
                          <a:off x="0" y="0"/>
                          <a:ext cx="5943600" cy="953770"/>
                        </a:xfrm>
                        <a:prstGeom prst="rect">
                          <a:avLst/>
                        </a:prstGeom>
                      </wps:spPr>
                      <wps:txbx>
                        <w:txbxContent>
                          <w:p w14:paraId="7637A8FB" w14:textId="77777777" w:rsidR="00636B5B" w:rsidRPr="00CD2646" w:rsidRDefault="00636B5B" w:rsidP="00CE7936">
                            <w:pPr>
                              <w:shd w:val="clear" w:color="auto" w:fill="FFFFFF"/>
                              <w:jc w:val="both"/>
                              <w:rPr>
                                <w:rFonts w:eastAsia="Times New Roman" w:cstheme="minorBidi"/>
                                <w:b/>
                                <w:bCs/>
                                <w:color w:val="222222"/>
                                <w:kern w:val="24"/>
                              </w:rPr>
                            </w:pPr>
                            <w:r w:rsidRPr="00CD2646">
                              <w:rPr>
                                <w:rFonts w:eastAsia="Times New Roman" w:cstheme="minorBidi"/>
                                <w:b/>
                                <w:bCs/>
                                <w:color w:val="222222"/>
                                <w:kern w:val="24"/>
                                <w:highlight w:val="white"/>
                              </w:rPr>
                              <w:t xml:space="preserve">Figure II-S8. </w:t>
                            </w:r>
                            <w:r w:rsidRPr="00CD2646">
                              <w:rPr>
                                <w:rFonts w:eastAsia="Times New Roman" w:cstheme="minorBidi"/>
                                <w:color w:val="222222"/>
                                <w:kern w:val="24"/>
                                <w:highlight w:val="white"/>
                              </w:rPr>
                              <w:t xml:space="preserve">Alignment of </w:t>
                            </w:r>
                            <w:r w:rsidRPr="00CD2646">
                              <w:rPr>
                                <w:rFonts w:eastAsia="Times New Roman" w:cstheme="minorBidi"/>
                                <w:i/>
                                <w:iCs/>
                                <w:color w:val="222222"/>
                                <w:kern w:val="24"/>
                                <w:highlight w:val="white"/>
                              </w:rPr>
                              <w:t xml:space="preserve">de novo </w:t>
                            </w:r>
                            <w:r w:rsidRPr="00CD2646">
                              <w:rPr>
                                <w:rFonts w:eastAsia="Times New Roman" w:cstheme="minorBidi"/>
                                <w:color w:val="222222"/>
                                <w:kern w:val="24"/>
                                <w:highlight w:val="white"/>
                              </w:rPr>
                              <w:t xml:space="preserve">gene </w:t>
                            </w:r>
                            <w:r w:rsidRPr="00CD2646">
                              <w:rPr>
                                <w:rFonts w:eastAsia="Times New Roman" w:cstheme="minorBidi"/>
                                <w:color w:val="222222"/>
                                <w:kern w:val="24"/>
                              </w:rPr>
                              <w:t xml:space="preserve">Potri.005G213700 against its non-coding syntenic regions. Highlighting shows disagreement to the </w:t>
                            </w:r>
                            <w:r w:rsidRPr="00CD2646">
                              <w:rPr>
                                <w:rFonts w:eastAsia="Times New Roman" w:cstheme="minorBidi"/>
                                <w:i/>
                                <w:iCs/>
                                <w:color w:val="222222"/>
                                <w:kern w:val="24"/>
                              </w:rPr>
                              <w:t xml:space="preserve">de novo </w:t>
                            </w:r>
                            <w:r w:rsidRPr="00CD2646">
                              <w:rPr>
                                <w:rFonts w:eastAsia="Times New Roman" w:cstheme="minorBidi"/>
                                <w:color w:val="222222"/>
                                <w:kern w:val="24"/>
                              </w:rPr>
                              <w:t xml:space="preserve">gene. The sequence label includes information about species and coordinates for the region; pd = </w:t>
                            </w:r>
                            <w:r w:rsidRPr="00CD2646">
                              <w:rPr>
                                <w:rFonts w:eastAsia="Times New Roman" w:cstheme="minorBidi"/>
                                <w:i/>
                                <w:iCs/>
                                <w:color w:val="222222"/>
                                <w:kern w:val="24"/>
                              </w:rPr>
                              <w:t xml:space="preserve">P. </w:t>
                            </w:r>
                            <w:proofErr w:type="spellStart"/>
                            <w:r w:rsidRPr="00CD2646">
                              <w:rPr>
                                <w:rFonts w:eastAsia="Times New Roman" w:cstheme="minorBidi"/>
                                <w:i/>
                                <w:iCs/>
                                <w:color w:val="222222"/>
                                <w:kern w:val="24"/>
                              </w:rPr>
                              <w:t>deltoides</w:t>
                            </w:r>
                            <w:proofErr w:type="spellEnd"/>
                            <w:r w:rsidRPr="00CD2646">
                              <w:rPr>
                                <w:rFonts w:eastAsia="Times New Roman" w:cstheme="minorBidi"/>
                                <w:i/>
                                <w:iCs/>
                                <w:color w:val="222222"/>
                                <w:kern w:val="24"/>
                              </w:rPr>
                              <w:t xml:space="preserve">, </w:t>
                            </w:r>
                            <w:proofErr w:type="spellStart"/>
                            <w:r w:rsidRPr="00CD2646">
                              <w:rPr>
                                <w:rFonts w:eastAsia="Times New Roman" w:cstheme="minorBidi"/>
                                <w:color w:val="222222"/>
                                <w:kern w:val="24"/>
                              </w:rPr>
                              <w:t>sp</w:t>
                            </w:r>
                            <w:proofErr w:type="spellEnd"/>
                            <w:r w:rsidRPr="00CD2646">
                              <w:rPr>
                                <w:rFonts w:eastAsia="Times New Roman" w:cstheme="minorBidi"/>
                                <w:color w:val="222222"/>
                                <w:kern w:val="24"/>
                              </w:rPr>
                              <w:t xml:space="preserve"> = </w:t>
                            </w:r>
                            <w:r w:rsidRPr="00CD2646">
                              <w:rPr>
                                <w:rFonts w:eastAsia="Times New Roman" w:cstheme="minorBidi"/>
                                <w:i/>
                                <w:iCs/>
                                <w:color w:val="222222"/>
                                <w:kern w:val="24"/>
                              </w:rPr>
                              <w:t>S. purpurea</w:t>
                            </w:r>
                            <w:r w:rsidRPr="00CD2646">
                              <w:rPr>
                                <w:rFonts w:eastAsia="Times New Roman" w:cstheme="minorBidi"/>
                                <w:color w:val="222222"/>
                                <w:kern w:val="24"/>
                              </w:rPr>
                              <w:t xml:space="preserve">, </w:t>
                            </w:r>
                            <w:proofErr w:type="spellStart"/>
                            <w:r w:rsidRPr="00CD2646">
                              <w:rPr>
                                <w:rFonts w:eastAsia="Times New Roman" w:cstheme="minorBidi"/>
                                <w:color w:val="222222"/>
                                <w:kern w:val="24"/>
                              </w:rPr>
                              <w:t>pt</w:t>
                            </w:r>
                            <w:proofErr w:type="spellEnd"/>
                            <w:r w:rsidRPr="00CD2646">
                              <w:rPr>
                                <w:rFonts w:eastAsia="Times New Roman" w:cstheme="minorBidi"/>
                                <w:color w:val="222222"/>
                                <w:kern w:val="24"/>
                              </w:rPr>
                              <w:t xml:space="preserve"> = </w:t>
                            </w:r>
                            <w:r w:rsidRPr="00CD2646">
                              <w:rPr>
                                <w:rFonts w:eastAsia="Times New Roman" w:cstheme="minorBidi"/>
                                <w:i/>
                                <w:iCs/>
                                <w:color w:val="222222"/>
                                <w:kern w:val="24"/>
                              </w:rPr>
                              <w:t>P. trichocarpa</w:t>
                            </w:r>
                            <w:r w:rsidRPr="00CD2646">
                              <w:rPr>
                                <w:rFonts w:eastAsia="Times New Roman" w:cstheme="minorBidi"/>
                                <w:color w:val="222222"/>
                                <w:kern w:val="24"/>
                              </w:rPr>
                              <w:t>.</w:t>
                            </w:r>
                          </w:p>
                        </w:txbxContent>
                      </wps:txbx>
                      <wps:bodyPr wrap="square">
                        <a:spAutoFit/>
                      </wps:bodyPr>
                    </wps:wsp>
                  </a:graphicData>
                </a:graphic>
                <wp14:sizeRelH relativeFrom="margin">
                  <wp14:pctWidth>0</wp14:pctWidth>
                </wp14:sizeRelH>
              </wp:anchor>
            </w:drawing>
          </mc:Choice>
          <mc:Fallback>
            <w:pict>
              <v:rect w14:anchorId="0ADB2449" id="_x0000_s1032" style="position:absolute;margin-left:0;margin-top:9.25pt;width:468pt;height:75.1pt;z-index:25167462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" filled="f" stroked="f">
                <v:textbox style="mso-fit-shape-to-text:t">
                  <w:txbxContent>
                    <w:p w14:paraId="7637A8FB" w14:textId="77777777" w:rsidR="00636B5B" w:rsidRPr="00CD2646" w:rsidRDefault="00636B5B" w:rsidP="00CE7936">
                      <w:pPr>
                        <w:shd w:val="clear" w:color="auto" w:fill="FFFFFF"/>
                        <w:jc w:val="both"/>
                        <w:rPr>
                          <w:rFonts w:eastAsia="Times New Roman" w:cstheme="minorBidi"/>
                          <w:b/>
                          <w:bCs/>
                          <w:color w:val="222222"/>
                          <w:kern w:val="24"/>
                        </w:rPr>
                      </w:pPr>
                      <w:r w:rsidRPr="00CD2646">
                        <w:rPr>
                          <w:rFonts w:eastAsia="Times New Roman" w:cstheme="minorBidi"/>
                          <w:b/>
                          <w:bCs/>
                          <w:color w:val="222222"/>
                          <w:kern w:val="24"/>
                          <w:highlight w:val="white"/>
                        </w:rPr>
                        <w:t xml:space="preserve">Figure II-S8. </w:t>
                      </w:r>
                      <w:r w:rsidRPr="00CD2646">
                        <w:rPr>
                          <w:rFonts w:eastAsia="Times New Roman" w:cstheme="minorBidi"/>
                          <w:color w:val="222222"/>
                          <w:kern w:val="24"/>
                          <w:highlight w:val="white"/>
                        </w:rPr>
                        <w:t xml:space="preserve">Alignment of </w:t>
                      </w:r>
                      <w:r w:rsidRPr="00CD2646">
                        <w:rPr>
                          <w:rFonts w:eastAsia="Times New Roman" w:cstheme="minorBidi"/>
                          <w:i/>
                          <w:iCs/>
                          <w:color w:val="222222"/>
                          <w:kern w:val="24"/>
                          <w:highlight w:val="white"/>
                        </w:rPr>
                        <w:t xml:space="preserve">de novo </w:t>
                      </w:r>
                      <w:r w:rsidRPr="00CD2646">
                        <w:rPr>
                          <w:rFonts w:eastAsia="Times New Roman" w:cstheme="minorBidi"/>
                          <w:color w:val="222222"/>
                          <w:kern w:val="24"/>
                          <w:highlight w:val="white"/>
                        </w:rPr>
                        <w:t xml:space="preserve">gene </w:t>
                      </w:r>
                      <w:r w:rsidRPr="00CD2646">
                        <w:rPr>
                          <w:rFonts w:eastAsia="Times New Roman" w:cstheme="minorBidi"/>
                          <w:color w:val="222222"/>
                          <w:kern w:val="24"/>
                        </w:rPr>
                        <w:t xml:space="preserve">Potri.005G213700 against its non-coding syntenic regions. Highlighting shows disagreement to the </w:t>
                      </w:r>
                      <w:r w:rsidRPr="00CD2646">
                        <w:rPr>
                          <w:rFonts w:eastAsia="Times New Roman" w:cstheme="minorBidi"/>
                          <w:i/>
                          <w:iCs/>
                          <w:color w:val="222222"/>
                          <w:kern w:val="24"/>
                        </w:rPr>
                        <w:t xml:space="preserve">de novo </w:t>
                      </w:r>
                      <w:r w:rsidRPr="00CD2646">
                        <w:rPr>
                          <w:rFonts w:eastAsia="Times New Roman" w:cstheme="minorBidi"/>
                          <w:color w:val="222222"/>
                          <w:kern w:val="24"/>
                        </w:rPr>
                        <w:t xml:space="preserve">gene. The sequence label includes information about species and coordinates for the region; pd = </w:t>
                      </w:r>
                      <w:r w:rsidRPr="00CD2646">
                        <w:rPr>
                          <w:rFonts w:eastAsia="Times New Roman" w:cstheme="minorBidi"/>
                          <w:i/>
                          <w:iCs/>
                          <w:color w:val="222222"/>
                          <w:kern w:val="24"/>
                        </w:rPr>
                        <w:t xml:space="preserve">P. </w:t>
                      </w:r>
                      <w:proofErr w:type="spellStart"/>
                      <w:r w:rsidRPr="00CD2646">
                        <w:rPr>
                          <w:rFonts w:eastAsia="Times New Roman" w:cstheme="minorBidi"/>
                          <w:i/>
                          <w:iCs/>
                          <w:color w:val="222222"/>
                          <w:kern w:val="24"/>
                        </w:rPr>
                        <w:t>deltoides</w:t>
                      </w:r>
                      <w:proofErr w:type="spellEnd"/>
                      <w:r w:rsidRPr="00CD2646">
                        <w:rPr>
                          <w:rFonts w:eastAsia="Times New Roman" w:cstheme="minorBidi"/>
                          <w:i/>
                          <w:iCs/>
                          <w:color w:val="222222"/>
                          <w:kern w:val="24"/>
                        </w:rPr>
                        <w:t xml:space="preserve">, </w:t>
                      </w:r>
                      <w:proofErr w:type="spellStart"/>
                      <w:r w:rsidRPr="00CD2646">
                        <w:rPr>
                          <w:rFonts w:eastAsia="Times New Roman" w:cstheme="minorBidi"/>
                          <w:color w:val="222222"/>
                          <w:kern w:val="24"/>
                        </w:rPr>
                        <w:t>sp</w:t>
                      </w:r>
                      <w:proofErr w:type="spellEnd"/>
                      <w:r w:rsidRPr="00CD2646">
                        <w:rPr>
                          <w:rFonts w:eastAsia="Times New Roman" w:cstheme="minorBidi"/>
                          <w:color w:val="222222"/>
                          <w:kern w:val="24"/>
                        </w:rPr>
                        <w:t xml:space="preserve"> = </w:t>
                      </w:r>
                      <w:r w:rsidRPr="00CD2646">
                        <w:rPr>
                          <w:rFonts w:eastAsia="Times New Roman" w:cstheme="minorBidi"/>
                          <w:i/>
                          <w:iCs/>
                          <w:color w:val="222222"/>
                          <w:kern w:val="24"/>
                        </w:rPr>
                        <w:t>S. purpurea</w:t>
                      </w:r>
                      <w:r w:rsidRPr="00CD2646">
                        <w:rPr>
                          <w:rFonts w:eastAsia="Times New Roman" w:cstheme="minorBidi"/>
                          <w:color w:val="222222"/>
                          <w:kern w:val="24"/>
                        </w:rPr>
                        <w:t xml:space="preserve">, </w:t>
                      </w:r>
                      <w:proofErr w:type="spellStart"/>
                      <w:r w:rsidRPr="00CD2646">
                        <w:rPr>
                          <w:rFonts w:eastAsia="Times New Roman" w:cstheme="minorBidi"/>
                          <w:color w:val="222222"/>
                          <w:kern w:val="24"/>
                        </w:rPr>
                        <w:t>pt</w:t>
                      </w:r>
                      <w:proofErr w:type="spellEnd"/>
                      <w:r w:rsidRPr="00CD2646">
                        <w:rPr>
                          <w:rFonts w:eastAsia="Times New Roman" w:cstheme="minorBidi"/>
                          <w:color w:val="222222"/>
                          <w:kern w:val="24"/>
                        </w:rPr>
                        <w:t xml:space="preserve"> = </w:t>
                      </w:r>
                      <w:r w:rsidRPr="00CD2646">
                        <w:rPr>
                          <w:rFonts w:eastAsia="Times New Roman" w:cstheme="minorBidi"/>
                          <w:i/>
                          <w:iCs/>
                          <w:color w:val="222222"/>
                          <w:kern w:val="24"/>
                        </w:rPr>
                        <w:t>P. trichocarpa</w:t>
                      </w:r>
                      <w:r w:rsidRPr="00CD2646">
                        <w:rPr>
                          <w:rFonts w:eastAsia="Times New Roman" w:cstheme="minorBidi"/>
                          <w:color w:val="222222"/>
                          <w:kern w:val="24"/>
                        </w:rPr>
                        <w:t>.</w:t>
                      </w:r>
                    </w:p>
                  </w:txbxContent>
                </v:textbox>
                <w10:wrap anchorx="margin"/>
              </v:rect>
            </w:pict>
          </mc:Fallback>
        </mc:AlternateContent>
      </w:r>
    </w:p>
    <w:p w14:paraId="4FA7003E" w14:textId="77777777" w:rsidR="00636B5B" w:rsidRDefault="00636B5B" w:rsidP="00CE7936">
      <w:pPr>
        <w:widowControl w:val="0"/>
        <w:autoSpaceDE w:val="0"/>
        <w:autoSpaceDN w:val="0"/>
        <w:adjustRightInd w:val="0"/>
        <w:rPr>
          <w:b/>
          <w:bCs/>
        </w:rPr>
      </w:pPr>
    </w:p>
    <w:p w14:paraId="54C12D47" w14:textId="77777777" w:rsidR="00636B5B" w:rsidRDefault="00636B5B" w:rsidP="00CE7936">
      <w:pPr>
        <w:widowControl w:val="0"/>
        <w:autoSpaceDE w:val="0"/>
        <w:autoSpaceDN w:val="0"/>
        <w:adjustRightInd w:val="0"/>
        <w:rPr>
          <w:b/>
          <w:bCs/>
        </w:rPr>
      </w:pPr>
    </w:p>
    <w:p w14:paraId="11F2E612" w14:textId="77777777" w:rsidR="00636B5B" w:rsidRDefault="00636B5B" w:rsidP="00CE7936">
      <w:pPr>
        <w:widowControl w:val="0"/>
        <w:autoSpaceDE w:val="0"/>
        <w:autoSpaceDN w:val="0"/>
        <w:adjustRightInd w:val="0"/>
        <w:rPr>
          <w:b/>
          <w:bCs/>
        </w:rPr>
      </w:pPr>
    </w:p>
    <w:p w14:paraId="2E70FBE2" w14:textId="77777777" w:rsidR="00636B5B" w:rsidRDefault="00636B5B" w:rsidP="00CE7936">
      <w:pPr>
        <w:widowControl w:val="0"/>
        <w:autoSpaceDE w:val="0"/>
        <w:autoSpaceDN w:val="0"/>
        <w:adjustRightInd w:val="0"/>
        <w:rPr>
          <w:b/>
          <w:bCs/>
        </w:rPr>
      </w:pPr>
    </w:p>
    <w:p w14:paraId="3F7BE18C" w14:textId="3A046DBE" w:rsidR="00636B5B" w:rsidRDefault="00636B5B" w:rsidP="00CE7936">
      <w:pPr>
        <w:widowControl w:val="0"/>
        <w:autoSpaceDE w:val="0"/>
        <w:autoSpaceDN w:val="0"/>
        <w:adjustRightInd w:val="0"/>
        <w:rPr>
          <w:b/>
          <w:bCs/>
        </w:rPr>
      </w:pPr>
      <w:r w:rsidRPr="00CD2646">
        <w:rPr>
          <w:b/>
          <w:bCs/>
          <w:noProof/>
        </w:rPr>
        <mc:AlternateContent>
          <mc:Choice Requires="wps">
            <w:drawing>
              <wp:anchor distT="0" distB="0" distL="114300" distR="114300" simplePos="0" relativeHeight="251676672" behindDoc="0" locked="0" layoutInCell="1" allowOverlap="1" wp14:anchorId="6CAB41E7" wp14:editId="06520AEA">
                <wp:simplePos x="0" y="0"/>
                <wp:positionH relativeFrom="margin">
                  <wp:align>left</wp:align>
                </wp:positionH>
                <wp:positionV relativeFrom="paragraph">
                  <wp:posOffset>3578225</wp:posOffset>
                </wp:positionV>
                <wp:extent cx="5943600" cy="953770"/>
                <wp:effectExtent l="0" t="0" r="0" b="0"/>
                <wp:wrapNone/>
                <wp:docPr id="23" name="Rectangle 5"/>
                <wp:cNvGraphicFramePr/>
                <a:graphic xmlns:a="http://schemas.openxmlformats.org/drawingml/2006/main">
                  <a:graphicData uri="http://schemas.microsoft.com/office/word/2010/wordprocessingShape">
                    <wps:wsp>
                      <wps:cNvSpPr/>
                      <wps:spPr>
                        <a:xfrm>
                          <a:off x="0" y="0"/>
                          <a:ext cx="5943600" cy="953770"/>
                        </a:xfrm>
                        <a:prstGeom prst="rect">
                          <a:avLst/>
                        </a:prstGeom>
                      </wps:spPr>
                      <wps:txbx>
                        <w:txbxContent>
                          <w:p w14:paraId="40E39493" w14:textId="77777777" w:rsidR="00636B5B" w:rsidRPr="00997C06" w:rsidRDefault="00636B5B" w:rsidP="00CE7936">
                            <w:pPr>
                              <w:shd w:val="clear" w:color="auto" w:fill="FFFFFF"/>
                              <w:jc w:val="both"/>
                              <w:rPr>
                                <w:rFonts w:eastAsia="Times New Roman" w:cstheme="minorBidi"/>
                                <w:color w:val="222222"/>
                                <w:kern w:val="24"/>
                              </w:rPr>
                            </w:pPr>
                            <w:r w:rsidRPr="00997C06">
                              <w:rPr>
                                <w:rFonts w:eastAsia="Times New Roman" w:cstheme="minorBidi"/>
                                <w:b/>
                                <w:bCs/>
                                <w:color w:val="222222"/>
                                <w:kern w:val="24"/>
                                <w:highlight w:val="white"/>
                              </w:rPr>
                              <w:t>Fig</w:t>
                            </w:r>
                            <w:r>
                              <w:rPr>
                                <w:rFonts w:eastAsia="Times New Roman" w:cstheme="minorBidi"/>
                                <w:b/>
                                <w:bCs/>
                                <w:color w:val="222222"/>
                                <w:kern w:val="24"/>
                                <w:highlight w:val="white"/>
                              </w:rPr>
                              <w:t>ure</w:t>
                            </w:r>
                            <w:r w:rsidRPr="00997C06">
                              <w:rPr>
                                <w:rFonts w:eastAsia="Times New Roman" w:cstheme="minorBidi"/>
                                <w:b/>
                                <w:bCs/>
                                <w:color w:val="222222"/>
                                <w:kern w:val="24"/>
                                <w:highlight w:val="white"/>
                              </w:rPr>
                              <w:t xml:space="preserve"> II-S9.</w:t>
                            </w:r>
                            <w:r w:rsidRPr="00997C06">
                              <w:rPr>
                                <w:rFonts w:eastAsia="Times New Roman" w:cstheme="minorBidi"/>
                                <w:color w:val="222222"/>
                                <w:kern w:val="24"/>
                                <w:highlight w:val="white"/>
                              </w:rPr>
                              <w:t xml:space="preserve"> Alignment of </w:t>
                            </w:r>
                            <w:r w:rsidRPr="00997C06">
                              <w:rPr>
                                <w:rFonts w:eastAsia="Times New Roman" w:cstheme="minorBidi"/>
                                <w:i/>
                                <w:iCs/>
                                <w:color w:val="222222"/>
                                <w:kern w:val="24"/>
                                <w:highlight w:val="white"/>
                              </w:rPr>
                              <w:t xml:space="preserve">de novo </w:t>
                            </w:r>
                            <w:r w:rsidRPr="00997C06">
                              <w:rPr>
                                <w:rFonts w:eastAsia="Times New Roman" w:cstheme="minorBidi"/>
                                <w:color w:val="222222"/>
                                <w:kern w:val="24"/>
                                <w:highlight w:val="white"/>
                              </w:rPr>
                              <w:t xml:space="preserve">gene </w:t>
                            </w:r>
                            <w:r w:rsidRPr="00997C06">
                              <w:rPr>
                                <w:rFonts w:eastAsia="Times New Roman" w:cstheme="minorBidi"/>
                                <w:color w:val="222222"/>
                                <w:kern w:val="24"/>
                              </w:rPr>
                              <w:t xml:space="preserve">Potri.005G222100 against its non-coding syntenic regions. Highlighting shows disagreement to the </w:t>
                            </w:r>
                            <w:r w:rsidRPr="00997C06">
                              <w:rPr>
                                <w:rFonts w:eastAsia="Times New Roman" w:cstheme="minorBidi"/>
                                <w:i/>
                                <w:iCs/>
                                <w:color w:val="222222"/>
                                <w:kern w:val="24"/>
                              </w:rPr>
                              <w:t xml:space="preserve">de novo </w:t>
                            </w:r>
                            <w:r w:rsidRPr="00997C06">
                              <w:rPr>
                                <w:rFonts w:eastAsia="Times New Roman" w:cstheme="minorBidi"/>
                                <w:color w:val="222222"/>
                                <w:kern w:val="24"/>
                              </w:rPr>
                              <w:t xml:space="preserve">gene. The sequence label includes information about species and coordinates for the region; pd = </w:t>
                            </w:r>
                            <w:r w:rsidRPr="00997C06">
                              <w:rPr>
                                <w:rFonts w:eastAsia="Times New Roman" w:cstheme="minorBidi"/>
                                <w:i/>
                                <w:iCs/>
                                <w:color w:val="222222"/>
                                <w:kern w:val="24"/>
                              </w:rPr>
                              <w:t xml:space="preserve">P. deltoides, </w:t>
                            </w:r>
                            <w:r w:rsidRPr="00997C06">
                              <w:rPr>
                                <w:rFonts w:eastAsia="Times New Roman" w:cstheme="minorBidi"/>
                                <w:color w:val="222222"/>
                                <w:kern w:val="24"/>
                              </w:rPr>
                              <w:t xml:space="preserve">sp = </w:t>
                            </w:r>
                            <w:r w:rsidRPr="00997C06">
                              <w:rPr>
                                <w:rFonts w:eastAsia="Times New Roman" w:cstheme="minorBidi"/>
                                <w:i/>
                                <w:iCs/>
                                <w:color w:val="222222"/>
                                <w:kern w:val="24"/>
                              </w:rPr>
                              <w:t>S. purpurea</w:t>
                            </w:r>
                            <w:r w:rsidRPr="00997C06">
                              <w:rPr>
                                <w:rFonts w:eastAsia="Times New Roman" w:cstheme="minorBidi"/>
                                <w:color w:val="222222"/>
                                <w:kern w:val="24"/>
                              </w:rPr>
                              <w:t xml:space="preserve">, pt = </w:t>
                            </w:r>
                            <w:r w:rsidRPr="00997C06">
                              <w:rPr>
                                <w:rFonts w:eastAsia="Times New Roman" w:cstheme="minorBidi"/>
                                <w:i/>
                                <w:iCs/>
                                <w:color w:val="222222"/>
                                <w:kern w:val="24"/>
                              </w:rPr>
                              <w:t>P. trichocarpa</w:t>
                            </w:r>
                            <w:r w:rsidRPr="00997C06">
                              <w:rPr>
                                <w:rFonts w:eastAsia="Times New Roman" w:cstheme="minorBidi"/>
                                <w:color w:val="222222"/>
                                <w:kern w:val="24"/>
                              </w:rPr>
                              <w:t>.</w:t>
                            </w:r>
                          </w:p>
                        </w:txbxContent>
                      </wps:txbx>
                      <wps:bodyPr wrap="square">
                        <a:spAutoFit/>
                      </wps:bodyPr>
                    </wps:wsp>
                  </a:graphicData>
                </a:graphic>
                <wp14:sizeRelH relativeFrom="margin">
                  <wp14:pctWidth>0</wp14:pctWidth>
                </wp14:sizeRelH>
              </wp:anchor>
            </w:drawing>
          </mc:Choice>
          <mc:Fallback>
            <w:pict>
              <v:rect w14:anchorId="6CAB41E7" id="_x0000_s1033" style="position:absolute;margin-left:0;margin-top:281.75pt;width:468pt;height:75.1pt;z-index:25167667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" filled="f" stroked="f">
                <v:textbox style="mso-fit-shape-to-text:t">
                  <w:txbxContent>
                    <w:p w14:paraId="40E39493" w14:textId="77777777" w:rsidR="00636B5B" w:rsidRPr="00997C06" w:rsidRDefault="00636B5B" w:rsidP="00CE7936">
                      <w:pPr>
                        <w:shd w:val="clear" w:color="auto" w:fill="FFFFFF"/>
                        <w:jc w:val="both"/>
                        <w:rPr>
                          <w:rFonts w:eastAsia="Times New Roman" w:cstheme="minorBidi"/>
                          <w:color w:val="222222"/>
                          <w:kern w:val="24"/>
                        </w:rPr>
                      </w:pPr>
                      <w:r w:rsidRPr="00997C06">
                        <w:rPr>
                          <w:rFonts w:eastAsia="Times New Roman" w:cstheme="minorBidi"/>
                          <w:b/>
                          <w:bCs/>
                          <w:color w:val="222222"/>
                          <w:kern w:val="24"/>
                          <w:highlight w:val="white"/>
                        </w:rPr>
                        <w:t>Fig</w:t>
                      </w:r>
                      <w:r>
                        <w:rPr>
                          <w:rFonts w:eastAsia="Times New Roman" w:cstheme="minorBidi"/>
                          <w:b/>
                          <w:bCs/>
                          <w:color w:val="222222"/>
                          <w:kern w:val="24"/>
                          <w:highlight w:val="white"/>
                        </w:rPr>
                        <w:t>ure</w:t>
                      </w:r>
                      <w:r w:rsidRPr="00997C06">
                        <w:rPr>
                          <w:rFonts w:eastAsia="Times New Roman" w:cstheme="minorBidi"/>
                          <w:b/>
                          <w:bCs/>
                          <w:color w:val="222222"/>
                          <w:kern w:val="24"/>
                          <w:highlight w:val="white"/>
                        </w:rPr>
                        <w:t xml:space="preserve"> II-S9.</w:t>
                      </w:r>
                      <w:r w:rsidRPr="00997C06">
                        <w:rPr>
                          <w:rFonts w:eastAsia="Times New Roman" w:cstheme="minorBidi"/>
                          <w:color w:val="222222"/>
                          <w:kern w:val="24"/>
                          <w:highlight w:val="white"/>
                        </w:rPr>
                        <w:t xml:space="preserve"> Alignment of </w:t>
                      </w:r>
                      <w:r w:rsidRPr="00997C06">
                        <w:rPr>
                          <w:rFonts w:eastAsia="Times New Roman" w:cstheme="minorBidi"/>
                          <w:i/>
                          <w:iCs/>
                          <w:color w:val="222222"/>
                          <w:kern w:val="24"/>
                          <w:highlight w:val="white"/>
                        </w:rPr>
                        <w:t xml:space="preserve">de novo </w:t>
                      </w:r>
                      <w:r w:rsidRPr="00997C06">
                        <w:rPr>
                          <w:rFonts w:eastAsia="Times New Roman" w:cstheme="minorBidi"/>
                          <w:color w:val="222222"/>
                          <w:kern w:val="24"/>
                          <w:highlight w:val="white"/>
                        </w:rPr>
                        <w:t xml:space="preserve">gene </w:t>
                      </w:r>
                      <w:r w:rsidRPr="00997C06">
                        <w:rPr>
                          <w:rFonts w:eastAsia="Times New Roman" w:cstheme="minorBidi"/>
                          <w:color w:val="222222"/>
                          <w:kern w:val="24"/>
                        </w:rPr>
                        <w:t xml:space="preserve">Potri.005G222100 against its non-coding syntenic regions. Highlighting shows disagreement to the </w:t>
                      </w:r>
                      <w:r w:rsidRPr="00997C06">
                        <w:rPr>
                          <w:rFonts w:eastAsia="Times New Roman" w:cstheme="minorBidi"/>
                          <w:i/>
                          <w:iCs/>
                          <w:color w:val="222222"/>
                          <w:kern w:val="24"/>
                        </w:rPr>
                        <w:t xml:space="preserve">de novo </w:t>
                      </w:r>
                      <w:r w:rsidRPr="00997C06">
                        <w:rPr>
                          <w:rFonts w:eastAsia="Times New Roman" w:cstheme="minorBidi"/>
                          <w:color w:val="222222"/>
                          <w:kern w:val="24"/>
                        </w:rPr>
                        <w:t xml:space="preserve">gene. The sequence label includes information about species and coordinates for the region; pd = </w:t>
                      </w:r>
                      <w:r w:rsidRPr="00997C06">
                        <w:rPr>
                          <w:rFonts w:eastAsia="Times New Roman" w:cstheme="minorBidi"/>
                          <w:i/>
                          <w:iCs/>
                          <w:color w:val="222222"/>
                          <w:kern w:val="24"/>
                        </w:rPr>
                        <w:t xml:space="preserve">P. deltoides, </w:t>
                      </w:r>
                      <w:r w:rsidRPr="00997C06">
                        <w:rPr>
                          <w:rFonts w:eastAsia="Times New Roman" w:cstheme="minorBidi"/>
                          <w:color w:val="222222"/>
                          <w:kern w:val="24"/>
                        </w:rPr>
                        <w:t xml:space="preserve">sp = </w:t>
                      </w:r>
                      <w:r w:rsidRPr="00997C06">
                        <w:rPr>
                          <w:rFonts w:eastAsia="Times New Roman" w:cstheme="minorBidi"/>
                          <w:i/>
                          <w:iCs/>
                          <w:color w:val="222222"/>
                          <w:kern w:val="24"/>
                        </w:rPr>
                        <w:t>S. purpurea</w:t>
                      </w:r>
                      <w:r w:rsidRPr="00997C06">
                        <w:rPr>
                          <w:rFonts w:eastAsia="Times New Roman" w:cstheme="minorBidi"/>
                          <w:color w:val="222222"/>
                          <w:kern w:val="24"/>
                        </w:rPr>
                        <w:t xml:space="preserve">, pt = </w:t>
                      </w:r>
                      <w:r w:rsidRPr="00997C06">
                        <w:rPr>
                          <w:rFonts w:eastAsia="Times New Roman" w:cstheme="minorBidi"/>
                          <w:i/>
                          <w:iCs/>
                          <w:color w:val="222222"/>
                          <w:kern w:val="24"/>
                        </w:rPr>
                        <w:t>P. trichocarpa</w:t>
                      </w:r>
                      <w:r w:rsidRPr="00997C06">
                        <w:rPr>
                          <w:rFonts w:eastAsia="Times New Roman" w:cstheme="minorBidi"/>
                          <w:color w:val="222222"/>
                          <w:kern w:val="24"/>
                        </w:rPr>
                        <w:t>.</w:t>
                      </w:r>
                    </w:p>
                  </w:txbxContent>
                </v:textbox>
                <w10:wrap anchorx="margin"/>
              </v:rect>
            </w:pict>
          </mc:Fallback>
        </mc:AlternateContent>
      </w:r>
    </w:p>
    <w:p w14:paraId="0E88868A" w14:textId="78483925" w:rsidR="00636B5B" w:rsidRDefault="00636B5B" w:rsidP="00CE7936">
      <w:pPr>
        <w:widowControl w:val="0"/>
        <w:autoSpaceDE w:val="0"/>
        <w:autoSpaceDN w:val="0"/>
        <w:adjustRightInd w:val="0"/>
        <w:rPr>
          <w:b/>
          <w:bCs/>
        </w:rPr>
      </w:pPr>
    </w:p>
    <w:p w14:paraId="269E04F8" w14:textId="56F2DE39" w:rsidR="00636B5B" w:rsidRDefault="00752AE5" w:rsidP="00CE7936">
      <w:pPr>
        <w:widowControl w:val="0"/>
        <w:autoSpaceDE w:val="0"/>
        <w:autoSpaceDN w:val="0"/>
        <w:adjustRightInd w:val="0"/>
        <w:rPr>
          <w:b/>
          <w:bCs/>
        </w:rPr>
      </w:pPr>
      <w:r w:rsidRPr="00CD2646">
        <w:rPr>
          <w:b/>
          <w:bCs/>
          <w:noProof/>
        </w:rPr>
        <w:drawing>
          <wp:anchor distT="0" distB="0" distL="114300" distR="114300" simplePos="0" relativeHeight="251677696" behindDoc="0" locked="0" layoutInCell="1" allowOverlap="1" wp14:anchorId="22BDCADE" wp14:editId="6FE0C620">
            <wp:simplePos x="0" y="0"/>
            <wp:positionH relativeFrom="margin">
              <wp:align>center</wp:align>
            </wp:positionH>
            <wp:positionV relativeFrom="paragraph">
              <wp:posOffset>135255</wp:posOffset>
            </wp:positionV>
            <wp:extent cx="5486400" cy="3081411"/>
            <wp:effectExtent l="0" t="0" r="0" b="5080"/>
            <wp:wrapNone/>
            <wp:docPr id="24" name="Content Placeholder 15" descr="Graphical user interface&#10;&#10;Description automatically generated with medium confidence">
              <a:extLst xmlns:a="http://schemas.openxmlformats.org/drawingml/2006/main">
                <a:ext uri="{FF2B5EF4-FFF2-40B4-BE49-F238E27FC236}">
                  <a16:creationId xmlns:a16="http://schemas.microsoft.com/office/drawing/2014/main" id="{64F4DC3D-BB9F-2E43-80AF-5AB983919717}"/>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4" name="Content Placeholder 15" descr="Graphical user interface&#10;&#10;Description automatically generated with medium confidence">
                      <a:extLst>
                        <a:ext uri="{FF2B5EF4-FFF2-40B4-BE49-F238E27FC236}">
                          <a16:creationId xmlns:a16="http://schemas.microsoft.com/office/drawing/2014/main" id="{64F4DC3D-BB9F-2E43-80AF-5AB983919717}"/>
                        </a:ext>
                      </a:extLst>
                    </pic:cNvPr>
                    <pic:cNvPicPr>
                      <a:picLocks noGrp="1" noChangeAspect="1"/>
                    </pic:cNvPicPr>
                  </pic:nvPicPr>
                  <pic:blipFill>
                    <a:blip r:embed="rId30" cstate="print">
                      <a:extLst>
                        <a:ext uri="{28A0092B-C50C-407E-A947-70E740481C1C}">
                          <a14:useLocalDpi xmlns:a14="http://schemas.microsoft.com/office/drawing/2010/main"/>
                        </a:ext>
                      </a:extLst>
                    </a:blip>
                    <a:stretch>
                      <a:fillRect/>
                    </a:stretch>
                  </pic:blipFill>
                  <pic:spPr>
                    <a:xfrm>
                      <a:off x="0" y="0"/>
                      <a:ext cx="5486400" cy="3081411"/>
                    </a:xfrm>
                    <a:prstGeom prst="rect">
                      <a:avLst/>
                    </a:prstGeom>
                  </pic:spPr>
                </pic:pic>
              </a:graphicData>
            </a:graphic>
            <wp14:sizeRelH relativeFrom="margin">
              <wp14:pctWidth>0</wp14:pctWidth>
            </wp14:sizeRelH>
            <wp14:sizeRelV relativeFrom="margin">
              <wp14:pctHeight>0</wp14:pctHeight>
            </wp14:sizeRelV>
          </wp:anchor>
        </w:drawing>
      </w:r>
    </w:p>
    <w:p w14:paraId="173177B6" w14:textId="77777777" w:rsidR="00636B5B" w:rsidRDefault="00636B5B" w:rsidP="00CE7936">
      <w:pPr>
        <w:widowControl w:val="0"/>
        <w:autoSpaceDE w:val="0"/>
        <w:autoSpaceDN w:val="0"/>
        <w:adjustRightInd w:val="0"/>
        <w:rPr>
          <w:b/>
          <w:bCs/>
        </w:rPr>
      </w:pPr>
    </w:p>
    <w:p w14:paraId="5FCA3DE2" w14:textId="77777777" w:rsidR="00636B5B" w:rsidRDefault="00636B5B" w:rsidP="00CE7936">
      <w:pPr>
        <w:widowControl w:val="0"/>
        <w:autoSpaceDE w:val="0"/>
        <w:autoSpaceDN w:val="0"/>
        <w:adjustRightInd w:val="0"/>
        <w:rPr>
          <w:b/>
          <w:bCs/>
        </w:rPr>
      </w:pPr>
    </w:p>
    <w:p w14:paraId="6CB4ECDA" w14:textId="77777777" w:rsidR="00636B5B" w:rsidRDefault="00636B5B" w:rsidP="00CE7936">
      <w:pPr>
        <w:widowControl w:val="0"/>
        <w:autoSpaceDE w:val="0"/>
        <w:autoSpaceDN w:val="0"/>
        <w:adjustRightInd w:val="0"/>
        <w:rPr>
          <w:b/>
          <w:bCs/>
        </w:rPr>
      </w:pPr>
    </w:p>
    <w:p w14:paraId="73EF5AA8" w14:textId="77777777" w:rsidR="00636B5B" w:rsidRDefault="00636B5B" w:rsidP="00CE7936">
      <w:pPr>
        <w:widowControl w:val="0"/>
        <w:autoSpaceDE w:val="0"/>
        <w:autoSpaceDN w:val="0"/>
        <w:adjustRightInd w:val="0"/>
        <w:rPr>
          <w:b/>
          <w:bCs/>
        </w:rPr>
      </w:pPr>
    </w:p>
    <w:p w14:paraId="4075DBCA" w14:textId="77777777" w:rsidR="00636B5B" w:rsidRDefault="00636B5B" w:rsidP="00CE7936">
      <w:pPr>
        <w:widowControl w:val="0"/>
        <w:autoSpaceDE w:val="0"/>
        <w:autoSpaceDN w:val="0"/>
        <w:adjustRightInd w:val="0"/>
        <w:rPr>
          <w:b/>
          <w:bCs/>
        </w:rPr>
      </w:pPr>
    </w:p>
    <w:p w14:paraId="047D987F" w14:textId="77777777" w:rsidR="00636B5B" w:rsidRDefault="00636B5B" w:rsidP="00CE7936">
      <w:pPr>
        <w:widowControl w:val="0"/>
        <w:autoSpaceDE w:val="0"/>
        <w:autoSpaceDN w:val="0"/>
        <w:adjustRightInd w:val="0"/>
        <w:rPr>
          <w:b/>
          <w:bCs/>
        </w:rPr>
      </w:pPr>
    </w:p>
    <w:p w14:paraId="614FF7E2" w14:textId="77777777" w:rsidR="00636B5B" w:rsidRDefault="00636B5B" w:rsidP="00CE7936">
      <w:pPr>
        <w:widowControl w:val="0"/>
        <w:autoSpaceDE w:val="0"/>
        <w:autoSpaceDN w:val="0"/>
        <w:adjustRightInd w:val="0"/>
        <w:rPr>
          <w:b/>
          <w:bCs/>
        </w:rPr>
      </w:pPr>
    </w:p>
    <w:p w14:paraId="53E57856" w14:textId="77777777" w:rsidR="00636B5B" w:rsidRDefault="00636B5B" w:rsidP="00CE7936">
      <w:pPr>
        <w:widowControl w:val="0"/>
        <w:autoSpaceDE w:val="0"/>
        <w:autoSpaceDN w:val="0"/>
        <w:adjustRightInd w:val="0"/>
        <w:rPr>
          <w:b/>
          <w:bCs/>
        </w:rPr>
      </w:pPr>
    </w:p>
    <w:p w14:paraId="25464FEA" w14:textId="77777777" w:rsidR="00636B5B" w:rsidRDefault="00636B5B" w:rsidP="00CE7936">
      <w:pPr>
        <w:widowControl w:val="0"/>
        <w:autoSpaceDE w:val="0"/>
        <w:autoSpaceDN w:val="0"/>
        <w:adjustRightInd w:val="0"/>
        <w:rPr>
          <w:b/>
          <w:bCs/>
        </w:rPr>
      </w:pPr>
    </w:p>
    <w:p w14:paraId="1574813A" w14:textId="77777777" w:rsidR="00636B5B" w:rsidRDefault="00636B5B" w:rsidP="00CE7936">
      <w:pPr>
        <w:widowControl w:val="0"/>
        <w:autoSpaceDE w:val="0"/>
        <w:autoSpaceDN w:val="0"/>
        <w:adjustRightInd w:val="0"/>
        <w:rPr>
          <w:b/>
          <w:bCs/>
        </w:rPr>
      </w:pPr>
    </w:p>
    <w:p w14:paraId="318E50E8" w14:textId="77777777" w:rsidR="00636B5B" w:rsidRDefault="00636B5B" w:rsidP="00CE7936">
      <w:pPr>
        <w:widowControl w:val="0"/>
        <w:autoSpaceDE w:val="0"/>
        <w:autoSpaceDN w:val="0"/>
        <w:adjustRightInd w:val="0"/>
        <w:rPr>
          <w:b/>
          <w:bCs/>
        </w:rPr>
      </w:pPr>
    </w:p>
    <w:p w14:paraId="3BC2AF05" w14:textId="77777777" w:rsidR="00636B5B" w:rsidRDefault="00636B5B" w:rsidP="00CE7936">
      <w:pPr>
        <w:widowControl w:val="0"/>
        <w:autoSpaceDE w:val="0"/>
        <w:autoSpaceDN w:val="0"/>
        <w:adjustRightInd w:val="0"/>
        <w:rPr>
          <w:b/>
          <w:bCs/>
        </w:rPr>
      </w:pPr>
    </w:p>
    <w:p w14:paraId="36C12B62" w14:textId="77777777" w:rsidR="00636B5B" w:rsidRDefault="00636B5B" w:rsidP="00CE7936">
      <w:pPr>
        <w:widowControl w:val="0"/>
        <w:autoSpaceDE w:val="0"/>
        <w:autoSpaceDN w:val="0"/>
        <w:adjustRightInd w:val="0"/>
        <w:rPr>
          <w:b/>
          <w:bCs/>
        </w:rPr>
      </w:pPr>
    </w:p>
    <w:p w14:paraId="2BAA1CE7" w14:textId="77777777" w:rsidR="00636B5B" w:rsidRDefault="00636B5B" w:rsidP="00CE7936">
      <w:pPr>
        <w:widowControl w:val="0"/>
        <w:autoSpaceDE w:val="0"/>
        <w:autoSpaceDN w:val="0"/>
        <w:adjustRightInd w:val="0"/>
        <w:rPr>
          <w:b/>
          <w:bCs/>
        </w:rPr>
      </w:pPr>
    </w:p>
    <w:p w14:paraId="38239CA4" w14:textId="77777777" w:rsidR="00636B5B" w:rsidRDefault="00636B5B" w:rsidP="00CE7936">
      <w:pPr>
        <w:widowControl w:val="0"/>
        <w:autoSpaceDE w:val="0"/>
        <w:autoSpaceDN w:val="0"/>
        <w:adjustRightInd w:val="0"/>
        <w:rPr>
          <w:b/>
          <w:bCs/>
        </w:rPr>
      </w:pPr>
    </w:p>
    <w:p w14:paraId="493D076F" w14:textId="77777777" w:rsidR="00636B5B" w:rsidRDefault="00636B5B" w:rsidP="00CE7936">
      <w:pPr>
        <w:widowControl w:val="0"/>
        <w:autoSpaceDE w:val="0"/>
        <w:autoSpaceDN w:val="0"/>
        <w:adjustRightInd w:val="0"/>
        <w:rPr>
          <w:b/>
          <w:bCs/>
        </w:rPr>
      </w:pPr>
    </w:p>
    <w:p w14:paraId="45530E95" w14:textId="77777777" w:rsidR="00636B5B" w:rsidRDefault="00636B5B" w:rsidP="00CE7936">
      <w:pPr>
        <w:widowControl w:val="0"/>
        <w:autoSpaceDE w:val="0"/>
        <w:autoSpaceDN w:val="0"/>
        <w:adjustRightInd w:val="0"/>
        <w:rPr>
          <w:b/>
          <w:bCs/>
        </w:rPr>
      </w:pPr>
    </w:p>
    <w:p w14:paraId="1E633B21" w14:textId="77777777" w:rsidR="00636B5B" w:rsidRDefault="00636B5B" w:rsidP="00CE7936">
      <w:pPr>
        <w:widowControl w:val="0"/>
        <w:autoSpaceDE w:val="0"/>
        <w:autoSpaceDN w:val="0"/>
        <w:adjustRightInd w:val="0"/>
        <w:rPr>
          <w:b/>
          <w:bCs/>
        </w:rPr>
      </w:pPr>
    </w:p>
    <w:p w14:paraId="5FE02206" w14:textId="77777777" w:rsidR="00636B5B" w:rsidRDefault="00636B5B" w:rsidP="00CE7936">
      <w:pPr>
        <w:widowControl w:val="0"/>
        <w:autoSpaceDE w:val="0"/>
        <w:autoSpaceDN w:val="0"/>
        <w:adjustRightInd w:val="0"/>
        <w:rPr>
          <w:b/>
          <w:bCs/>
        </w:rPr>
      </w:pPr>
    </w:p>
    <w:p w14:paraId="3486337F" w14:textId="77777777" w:rsidR="00636B5B" w:rsidRDefault="00636B5B" w:rsidP="00CE7936">
      <w:pPr>
        <w:widowControl w:val="0"/>
        <w:autoSpaceDE w:val="0"/>
        <w:autoSpaceDN w:val="0"/>
        <w:adjustRightInd w:val="0"/>
        <w:rPr>
          <w:b/>
          <w:bCs/>
        </w:rPr>
      </w:pPr>
    </w:p>
    <w:p w14:paraId="1B725785" w14:textId="77777777" w:rsidR="00636B5B" w:rsidRDefault="00636B5B" w:rsidP="00CE7936">
      <w:pPr>
        <w:widowControl w:val="0"/>
        <w:autoSpaceDE w:val="0"/>
        <w:autoSpaceDN w:val="0"/>
        <w:adjustRightInd w:val="0"/>
        <w:rPr>
          <w:b/>
          <w:bCs/>
        </w:rPr>
      </w:pPr>
    </w:p>
    <w:p w14:paraId="0C944EA1" w14:textId="77777777" w:rsidR="00636B5B" w:rsidRDefault="00636B5B" w:rsidP="00CE7936">
      <w:pPr>
        <w:widowControl w:val="0"/>
        <w:autoSpaceDE w:val="0"/>
        <w:autoSpaceDN w:val="0"/>
        <w:adjustRightInd w:val="0"/>
        <w:rPr>
          <w:b/>
          <w:bCs/>
        </w:rPr>
      </w:pPr>
      <w:r w:rsidRPr="0027058F">
        <w:rPr>
          <w:b/>
          <w:bCs/>
          <w:noProof/>
        </w:rPr>
        <w:lastRenderedPageBreak/>
        <w:drawing>
          <wp:anchor distT="0" distB="0" distL="114300" distR="114300" simplePos="0" relativeHeight="251679744" behindDoc="0" locked="0" layoutInCell="1" allowOverlap="1" wp14:anchorId="4925F565" wp14:editId="691E761E">
            <wp:simplePos x="0" y="0"/>
            <wp:positionH relativeFrom="margin">
              <wp:posOffset>228600</wp:posOffset>
            </wp:positionH>
            <wp:positionV relativeFrom="paragraph">
              <wp:posOffset>132715</wp:posOffset>
            </wp:positionV>
            <wp:extent cx="5486400" cy="3984088"/>
            <wp:effectExtent l="0" t="0" r="0" b="3810"/>
            <wp:wrapNone/>
            <wp:docPr id="26" name="Content Placeholder 11" descr="Timeline&#10;&#10;Description automatically generated with low confidence">
              <a:extLst xmlns:a="http://schemas.openxmlformats.org/drawingml/2006/main">
                <a:ext uri="{FF2B5EF4-FFF2-40B4-BE49-F238E27FC236}">
                  <a16:creationId xmlns:a16="http://schemas.microsoft.com/office/drawing/2014/main" id="{01FAE0C4-FE3E-4743-910A-1493683FDF2B}"/>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6" name="Content Placeholder 11" descr="Timeline&#10;&#10;Description automatically generated with low confidence">
                      <a:extLst>
                        <a:ext uri="{FF2B5EF4-FFF2-40B4-BE49-F238E27FC236}">
                          <a16:creationId xmlns:a16="http://schemas.microsoft.com/office/drawing/2014/main" id="{01FAE0C4-FE3E-4743-910A-1493683FDF2B}"/>
                        </a:ext>
                      </a:extLst>
                    </pic:cNvPr>
                    <pic:cNvPicPr>
                      <a:picLocks noGrp="1" noChangeAspect="1"/>
                    </pic:cNvPicPr>
                  </pic:nvPicPr>
                  <pic:blipFill>
                    <a:blip r:embed="rId31" cstate="print">
                      <a:extLst>
                        <a:ext uri="{28A0092B-C50C-407E-A947-70E740481C1C}">
                          <a14:useLocalDpi xmlns:a14="http://schemas.microsoft.com/office/drawing/2010/main"/>
                        </a:ext>
                      </a:extLst>
                    </a:blip>
                    <a:stretch>
                      <a:fillRect/>
                    </a:stretch>
                  </pic:blipFill>
                  <pic:spPr>
                    <a:xfrm>
                      <a:off x="0" y="0"/>
                      <a:ext cx="5486400" cy="3984088"/>
                    </a:xfrm>
                    <a:prstGeom prst="rect">
                      <a:avLst/>
                    </a:prstGeom>
                  </pic:spPr>
                </pic:pic>
              </a:graphicData>
            </a:graphic>
            <wp14:sizeRelH relativeFrom="margin">
              <wp14:pctWidth>0</wp14:pctWidth>
            </wp14:sizeRelH>
            <wp14:sizeRelV relativeFrom="margin">
              <wp14:pctHeight>0</wp14:pctHeight>
            </wp14:sizeRelV>
          </wp:anchor>
        </w:drawing>
      </w:r>
    </w:p>
    <w:p w14:paraId="30992AA4" w14:textId="77777777" w:rsidR="00636B5B" w:rsidRDefault="00636B5B" w:rsidP="00CE7936">
      <w:pPr>
        <w:widowControl w:val="0"/>
        <w:autoSpaceDE w:val="0"/>
        <w:autoSpaceDN w:val="0"/>
        <w:adjustRightInd w:val="0"/>
        <w:rPr>
          <w:b/>
          <w:bCs/>
        </w:rPr>
      </w:pPr>
    </w:p>
    <w:p w14:paraId="7F05993C" w14:textId="77777777" w:rsidR="00636B5B" w:rsidRDefault="00636B5B" w:rsidP="00CE7936">
      <w:pPr>
        <w:widowControl w:val="0"/>
        <w:autoSpaceDE w:val="0"/>
        <w:autoSpaceDN w:val="0"/>
        <w:adjustRightInd w:val="0"/>
        <w:rPr>
          <w:b/>
          <w:bCs/>
        </w:rPr>
      </w:pPr>
    </w:p>
    <w:p w14:paraId="14D493D4" w14:textId="77777777" w:rsidR="00636B5B" w:rsidRDefault="00636B5B" w:rsidP="00CE7936">
      <w:pPr>
        <w:widowControl w:val="0"/>
        <w:autoSpaceDE w:val="0"/>
        <w:autoSpaceDN w:val="0"/>
        <w:adjustRightInd w:val="0"/>
        <w:rPr>
          <w:b/>
          <w:bCs/>
        </w:rPr>
      </w:pPr>
    </w:p>
    <w:p w14:paraId="3A37D766" w14:textId="77777777" w:rsidR="00636B5B" w:rsidRDefault="00636B5B" w:rsidP="00CE7936">
      <w:pPr>
        <w:widowControl w:val="0"/>
        <w:autoSpaceDE w:val="0"/>
        <w:autoSpaceDN w:val="0"/>
        <w:adjustRightInd w:val="0"/>
        <w:rPr>
          <w:b/>
          <w:bCs/>
        </w:rPr>
      </w:pPr>
    </w:p>
    <w:p w14:paraId="0B4F446A" w14:textId="77777777" w:rsidR="00636B5B" w:rsidRDefault="00636B5B" w:rsidP="00CE7936">
      <w:pPr>
        <w:widowControl w:val="0"/>
        <w:autoSpaceDE w:val="0"/>
        <w:autoSpaceDN w:val="0"/>
        <w:adjustRightInd w:val="0"/>
        <w:rPr>
          <w:b/>
          <w:bCs/>
        </w:rPr>
      </w:pPr>
    </w:p>
    <w:p w14:paraId="7B00609C" w14:textId="77777777" w:rsidR="00636B5B" w:rsidRDefault="00636B5B" w:rsidP="00CE7936">
      <w:pPr>
        <w:widowControl w:val="0"/>
        <w:autoSpaceDE w:val="0"/>
        <w:autoSpaceDN w:val="0"/>
        <w:adjustRightInd w:val="0"/>
        <w:rPr>
          <w:b/>
          <w:bCs/>
        </w:rPr>
      </w:pPr>
    </w:p>
    <w:p w14:paraId="58873329" w14:textId="77777777" w:rsidR="00636B5B" w:rsidRDefault="00636B5B" w:rsidP="00CE7936">
      <w:pPr>
        <w:widowControl w:val="0"/>
        <w:autoSpaceDE w:val="0"/>
        <w:autoSpaceDN w:val="0"/>
        <w:adjustRightInd w:val="0"/>
        <w:rPr>
          <w:b/>
          <w:bCs/>
        </w:rPr>
      </w:pPr>
    </w:p>
    <w:p w14:paraId="55C29AB6" w14:textId="77777777" w:rsidR="00636B5B" w:rsidRDefault="00636B5B" w:rsidP="00CE7936">
      <w:pPr>
        <w:widowControl w:val="0"/>
        <w:autoSpaceDE w:val="0"/>
        <w:autoSpaceDN w:val="0"/>
        <w:adjustRightInd w:val="0"/>
        <w:rPr>
          <w:b/>
          <w:bCs/>
        </w:rPr>
      </w:pPr>
    </w:p>
    <w:p w14:paraId="25B62AC2" w14:textId="77777777" w:rsidR="00636B5B" w:rsidRDefault="00636B5B" w:rsidP="00CE7936">
      <w:pPr>
        <w:widowControl w:val="0"/>
        <w:autoSpaceDE w:val="0"/>
        <w:autoSpaceDN w:val="0"/>
        <w:adjustRightInd w:val="0"/>
        <w:rPr>
          <w:b/>
          <w:bCs/>
        </w:rPr>
      </w:pPr>
    </w:p>
    <w:p w14:paraId="58932ADE" w14:textId="77777777" w:rsidR="00636B5B" w:rsidRDefault="00636B5B" w:rsidP="00CE7936">
      <w:pPr>
        <w:widowControl w:val="0"/>
        <w:autoSpaceDE w:val="0"/>
        <w:autoSpaceDN w:val="0"/>
        <w:adjustRightInd w:val="0"/>
        <w:rPr>
          <w:b/>
          <w:bCs/>
        </w:rPr>
      </w:pPr>
    </w:p>
    <w:p w14:paraId="20E0710D" w14:textId="77777777" w:rsidR="00636B5B" w:rsidRDefault="00636B5B" w:rsidP="00CE7936">
      <w:pPr>
        <w:widowControl w:val="0"/>
        <w:autoSpaceDE w:val="0"/>
        <w:autoSpaceDN w:val="0"/>
        <w:adjustRightInd w:val="0"/>
        <w:rPr>
          <w:b/>
          <w:bCs/>
        </w:rPr>
      </w:pPr>
    </w:p>
    <w:p w14:paraId="5D5DB080" w14:textId="77777777" w:rsidR="00636B5B" w:rsidRDefault="00636B5B" w:rsidP="00CE7936">
      <w:pPr>
        <w:widowControl w:val="0"/>
        <w:autoSpaceDE w:val="0"/>
        <w:autoSpaceDN w:val="0"/>
        <w:adjustRightInd w:val="0"/>
        <w:rPr>
          <w:b/>
          <w:bCs/>
        </w:rPr>
      </w:pPr>
    </w:p>
    <w:p w14:paraId="6E4901DA" w14:textId="77777777" w:rsidR="00636B5B" w:rsidRDefault="00636B5B" w:rsidP="00CE7936">
      <w:pPr>
        <w:widowControl w:val="0"/>
        <w:autoSpaceDE w:val="0"/>
        <w:autoSpaceDN w:val="0"/>
        <w:adjustRightInd w:val="0"/>
        <w:rPr>
          <w:b/>
          <w:bCs/>
        </w:rPr>
      </w:pPr>
    </w:p>
    <w:p w14:paraId="01D902DB" w14:textId="77777777" w:rsidR="00636B5B" w:rsidRDefault="00636B5B" w:rsidP="00CE7936">
      <w:pPr>
        <w:widowControl w:val="0"/>
        <w:autoSpaceDE w:val="0"/>
        <w:autoSpaceDN w:val="0"/>
        <w:adjustRightInd w:val="0"/>
        <w:rPr>
          <w:b/>
          <w:bCs/>
        </w:rPr>
      </w:pPr>
    </w:p>
    <w:p w14:paraId="7D4F4C5E" w14:textId="77777777" w:rsidR="00636B5B" w:rsidRDefault="00636B5B" w:rsidP="00CE7936">
      <w:pPr>
        <w:widowControl w:val="0"/>
        <w:autoSpaceDE w:val="0"/>
        <w:autoSpaceDN w:val="0"/>
        <w:adjustRightInd w:val="0"/>
        <w:rPr>
          <w:b/>
          <w:bCs/>
        </w:rPr>
      </w:pPr>
    </w:p>
    <w:p w14:paraId="6631B6EC" w14:textId="77777777" w:rsidR="00636B5B" w:rsidRDefault="00636B5B" w:rsidP="00CE7936">
      <w:pPr>
        <w:widowControl w:val="0"/>
        <w:autoSpaceDE w:val="0"/>
        <w:autoSpaceDN w:val="0"/>
        <w:adjustRightInd w:val="0"/>
        <w:rPr>
          <w:b/>
          <w:bCs/>
        </w:rPr>
      </w:pPr>
    </w:p>
    <w:p w14:paraId="1C43678F" w14:textId="77777777" w:rsidR="00636B5B" w:rsidRDefault="00636B5B" w:rsidP="00CE7936">
      <w:pPr>
        <w:widowControl w:val="0"/>
        <w:autoSpaceDE w:val="0"/>
        <w:autoSpaceDN w:val="0"/>
        <w:adjustRightInd w:val="0"/>
        <w:rPr>
          <w:b/>
          <w:bCs/>
        </w:rPr>
      </w:pPr>
    </w:p>
    <w:p w14:paraId="60E89B09" w14:textId="77777777" w:rsidR="00636B5B" w:rsidRDefault="00636B5B" w:rsidP="00CE7936">
      <w:pPr>
        <w:widowControl w:val="0"/>
        <w:autoSpaceDE w:val="0"/>
        <w:autoSpaceDN w:val="0"/>
        <w:adjustRightInd w:val="0"/>
        <w:rPr>
          <w:b/>
          <w:bCs/>
        </w:rPr>
      </w:pPr>
    </w:p>
    <w:p w14:paraId="56908A0D" w14:textId="77777777" w:rsidR="00636B5B" w:rsidRDefault="00636B5B" w:rsidP="00CE7936">
      <w:pPr>
        <w:widowControl w:val="0"/>
        <w:autoSpaceDE w:val="0"/>
        <w:autoSpaceDN w:val="0"/>
        <w:adjustRightInd w:val="0"/>
        <w:rPr>
          <w:b/>
          <w:bCs/>
        </w:rPr>
      </w:pPr>
    </w:p>
    <w:p w14:paraId="020CF024" w14:textId="77777777" w:rsidR="00636B5B" w:rsidRDefault="00636B5B" w:rsidP="00CE7936">
      <w:pPr>
        <w:widowControl w:val="0"/>
        <w:autoSpaceDE w:val="0"/>
        <w:autoSpaceDN w:val="0"/>
        <w:adjustRightInd w:val="0"/>
        <w:rPr>
          <w:b/>
          <w:bCs/>
        </w:rPr>
      </w:pPr>
    </w:p>
    <w:p w14:paraId="45653945" w14:textId="77777777" w:rsidR="00636B5B" w:rsidRDefault="00636B5B" w:rsidP="00CE7936">
      <w:pPr>
        <w:widowControl w:val="0"/>
        <w:autoSpaceDE w:val="0"/>
        <w:autoSpaceDN w:val="0"/>
        <w:adjustRightInd w:val="0"/>
        <w:rPr>
          <w:b/>
          <w:bCs/>
        </w:rPr>
      </w:pPr>
    </w:p>
    <w:p w14:paraId="5752DBA4" w14:textId="77777777" w:rsidR="00636B5B" w:rsidRDefault="00636B5B" w:rsidP="00CE7936">
      <w:pPr>
        <w:widowControl w:val="0"/>
        <w:autoSpaceDE w:val="0"/>
        <w:autoSpaceDN w:val="0"/>
        <w:adjustRightInd w:val="0"/>
        <w:rPr>
          <w:b/>
          <w:bCs/>
        </w:rPr>
      </w:pPr>
    </w:p>
    <w:p w14:paraId="20C10FAD" w14:textId="77777777" w:rsidR="00636B5B" w:rsidRDefault="00636B5B" w:rsidP="00CE7936">
      <w:pPr>
        <w:widowControl w:val="0"/>
        <w:autoSpaceDE w:val="0"/>
        <w:autoSpaceDN w:val="0"/>
        <w:adjustRightInd w:val="0"/>
        <w:rPr>
          <w:b/>
          <w:bCs/>
        </w:rPr>
      </w:pPr>
    </w:p>
    <w:p w14:paraId="2983254F" w14:textId="77777777" w:rsidR="00636B5B" w:rsidRDefault="00636B5B" w:rsidP="00CE7936">
      <w:pPr>
        <w:widowControl w:val="0"/>
        <w:autoSpaceDE w:val="0"/>
        <w:autoSpaceDN w:val="0"/>
        <w:adjustRightInd w:val="0"/>
        <w:rPr>
          <w:b/>
          <w:bCs/>
        </w:rPr>
      </w:pPr>
      <w:r w:rsidRPr="0027058F">
        <w:rPr>
          <w:b/>
          <w:bCs/>
          <w:noProof/>
        </w:rPr>
        <mc:AlternateContent>
          <mc:Choice Requires="wps">
            <w:drawing>
              <wp:anchor distT="0" distB="0" distL="114300" distR="114300" simplePos="0" relativeHeight="251678720" behindDoc="0" locked="0" layoutInCell="1" allowOverlap="1" wp14:anchorId="5DC0AC41" wp14:editId="14795900">
                <wp:simplePos x="0" y="0"/>
                <wp:positionH relativeFrom="margin">
                  <wp:align>left</wp:align>
                </wp:positionH>
                <wp:positionV relativeFrom="paragraph">
                  <wp:posOffset>22860</wp:posOffset>
                </wp:positionV>
                <wp:extent cx="5943600" cy="953770"/>
                <wp:effectExtent l="0" t="0" r="0" b="0"/>
                <wp:wrapNone/>
                <wp:docPr id="25" name="Rectangle 5"/>
                <wp:cNvGraphicFramePr/>
                <a:graphic xmlns:a="http://schemas.openxmlformats.org/drawingml/2006/main">
                  <a:graphicData uri="http://schemas.microsoft.com/office/word/2010/wordprocessingShape">
                    <wps:wsp>
                      <wps:cNvSpPr/>
                      <wps:spPr>
                        <a:xfrm>
                          <a:off x="0" y="0"/>
                          <a:ext cx="5943600" cy="953770"/>
                        </a:xfrm>
                        <a:prstGeom prst="rect">
                          <a:avLst/>
                        </a:prstGeom>
                      </wps:spPr>
                      <wps:txbx>
                        <w:txbxContent>
                          <w:p w14:paraId="05913EEB" w14:textId="77777777" w:rsidR="00636B5B" w:rsidRPr="0027058F" w:rsidRDefault="00636B5B" w:rsidP="00CE7936">
                            <w:pPr>
                              <w:shd w:val="clear" w:color="auto" w:fill="FFFFFF"/>
                              <w:jc w:val="both"/>
                              <w:rPr>
                                <w:rFonts w:eastAsia="Times New Roman" w:cstheme="minorBidi"/>
                                <w:color w:val="222222"/>
                                <w:kern w:val="24"/>
                              </w:rPr>
                            </w:pPr>
                            <w:r w:rsidRPr="0027058F">
                              <w:rPr>
                                <w:rFonts w:eastAsia="Times New Roman" w:cstheme="minorBidi"/>
                                <w:b/>
                                <w:bCs/>
                                <w:color w:val="222222"/>
                                <w:kern w:val="24"/>
                                <w:highlight w:val="white"/>
                              </w:rPr>
                              <w:t>Figure II-S10.</w:t>
                            </w:r>
                            <w:r w:rsidRPr="0027058F">
                              <w:rPr>
                                <w:rFonts w:eastAsia="Times New Roman" w:cstheme="minorBidi"/>
                                <w:color w:val="222222"/>
                                <w:kern w:val="24"/>
                                <w:highlight w:val="white"/>
                              </w:rPr>
                              <w:t xml:space="preserve"> Alignment of </w:t>
                            </w:r>
                            <w:r w:rsidRPr="0027058F">
                              <w:rPr>
                                <w:rFonts w:eastAsia="Times New Roman" w:cstheme="minorBidi"/>
                                <w:i/>
                                <w:iCs/>
                                <w:color w:val="222222"/>
                                <w:kern w:val="24"/>
                                <w:highlight w:val="white"/>
                              </w:rPr>
                              <w:t xml:space="preserve">de novo </w:t>
                            </w:r>
                            <w:r w:rsidRPr="0027058F">
                              <w:rPr>
                                <w:rFonts w:eastAsia="Times New Roman" w:cstheme="minorBidi"/>
                                <w:color w:val="222222"/>
                                <w:kern w:val="24"/>
                                <w:highlight w:val="white"/>
                              </w:rPr>
                              <w:t xml:space="preserve">gene </w:t>
                            </w:r>
                            <w:r w:rsidRPr="0027058F">
                              <w:rPr>
                                <w:rFonts w:eastAsia="Times New Roman" w:cstheme="minorBidi"/>
                                <w:color w:val="222222"/>
                                <w:kern w:val="24"/>
                              </w:rPr>
                              <w:t xml:space="preserve">Potri.007G051750 against its non-coding syntenic regions. Highlighting shows disagreement to the </w:t>
                            </w:r>
                            <w:r w:rsidRPr="0027058F">
                              <w:rPr>
                                <w:rFonts w:eastAsia="Times New Roman" w:cstheme="minorBidi"/>
                                <w:i/>
                                <w:iCs/>
                                <w:color w:val="222222"/>
                                <w:kern w:val="24"/>
                              </w:rPr>
                              <w:t xml:space="preserve">de novo </w:t>
                            </w:r>
                            <w:r w:rsidRPr="0027058F">
                              <w:rPr>
                                <w:rFonts w:eastAsia="Times New Roman" w:cstheme="minorBidi"/>
                                <w:color w:val="222222"/>
                                <w:kern w:val="24"/>
                              </w:rPr>
                              <w:t xml:space="preserve">gene. The sequence label includes information about species and coordinates for the region; pd = </w:t>
                            </w:r>
                            <w:r w:rsidRPr="0027058F">
                              <w:rPr>
                                <w:rFonts w:eastAsia="Times New Roman" w:cstheme="minorBidi"/>
                                <w:i/>
                                <w:iCs/>
                                <w:color w:val="222222"/>
                                <w:kern w:val="24"/>
                              </w:rPr>
                              <w:t xml:space="preserve">P. deltoides, </w:t>
                            </w:r>
                            <w:r w:rsidRPr="0027058F">
                              <w:rPr>
                                <w:rFonts w:eastAsia="Times New Roman" w:cstheme="minorBidi"/>
                                <w:color w:val="222222"/>
                                <w:kern w:val="24"/>
                              </w:rPr>
                              <w:t xml:space="preserve">sp = </w:t>
                            </w:r>
                            <w:r w:rsidRPr="0027058F">
                              <w:rPr>
                                <w:rFonts w:eastAsia="Times New Roman" w:cstheme="minorBidi"/>
                                <w:i/>
                                <w:iCs/>
                                <w:color w:val="222222"/>
                                <w:kern w:val="24"/>
                              </w:rPr>
                              <w:t>S. purpurea</w:t>
                            </w:r>
                            <w:r w:rsidRPr="0027058F">
                              <w:rPr>
                                <w:rFonts w:eastAsia="Times New Roman" w:cstheme="minorBidi"/>
                                <w:color w:val="222222"/>
                                <w:kern w:val="24"/>
                              </w:rPr>
                              <w:t xml:space="preserve">, pt = </w:t>
                            </w:r>
                            <w:r w:rsidRPr="0027058F">
                              <w:rPr>
                                <w:rFonts w:eastAsia="Times New Roman" w:cstheme="minorBidi"/>
                                <w:i/>
                                <w:iCs/>
                                <w:color w:val="222222"/>
                                <w:kern w:val="24"/>
                              </w:rPr>
                              <w:t>P. trichocarpa</w:t>
                            </w:r>
                            <w:r w:rsidRPr="0027058F">
                              <w:rPr>
                                <w:rFonts w:eastAsia="Times New Roman" w:cstheme="minorBidi"/>
                                <w:color w:val="222222"/>
                                <w:kern w:val="24"/>
                              </w:rPr>
                              <w:t>.</w:t>
                            </w:r>
                          </w:p>
                        </w:txbxContent>
                      </wps:txbx>
                      <wps:bodyPr wrap="square">
                        <a:spAutoFit/>
                      </wps:bodyPr>
                    </wps:wsp>
                  </a:graphicData>
                </a:graphic>
                <wp14:sizeRelH relativeFrom="margin">
                  <wp14:pctWidth>0</wp14:pctWidth>
                </wp14:sizeRelH>
              </wp:anchor>
            </w:drawing>
          </mc:Choice>
          <mc:Fallback>
            <w:pict>
              <v:rect w14:anchorId="5DC0AC41" id="_x0000_s1034" style="position:absolute;margin-left:0;margin-top:1.8pt;width:468pt;height:75.1pt;z-index:25167872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" filled="f" stroked="f">
                <v:textbox style="mso-fit-shape-to-text:t">
                  <w:txbxContent>
                    <w:p w14:paraId="05913EEB" w14:textId="77777777" w:rsidR="00636B5B" w:rsidRPr="0027058F" w:rsidRDefault="00636B5B" w:rsidP="00CE7936">
                      <w:pPr>
                        <w:shd w:val="clear" w:color="auto" w:fill="FFFFFF"/>
                        <w:jc w:val="both"/>
                        <w:rPr>
                          <w:rFonts w:eastAsia="Times New Roman" w:cstheme="minorBidi"/>
                          <w:color w:val="222222"/>
                          <w:kern w:val="24"/>
                        </w:rPr>
                      </w:pPr>
                      <w:r w:rsidRPr="0027058F">
                        <w:rPr>
                          <w:rFonts w:eastAsia="Times New Roman" w:cstheme="minorBidi"/>
                          <w:b/>
                          <w:bCs/>
                          <w:color w:val="222222"/>
                          <w:kern w:val="24"/>
                          <w:highlight w:val="white"/>
                        </w:rPr>
                        <w:t>Figure II-S10.</w:t>
                      </w:r>
                      <w:r w:rsidRPr="0027058F">
                        <w:rPr>
                          <w:rFonts w:eastAsia="Times New Roman" w:cstheme="minorBidi"/>
                          <w:color w:val="222222"/>
                          <w:kern w:val="24"/>
                          <w:highlight w:val="white"/>
                        </w:rPr>
                        <w:t xml:space="preserve"> Alignment of </w:t>
                      </w:r>
                      <w:r w:rsidRPr="0027058F">
                        <w:rPr>
                          <w:rFonts w:eastAsia="Times New Roman" w:cstheme="minorBidi"/>
                          <w:i/>
                          <w:iCs/>
                          <w:color w:val="222222"/>
                          <w:kern w:val="24"/>
                          <w:highlight w:val="white"/>
                        </w:rPr>
                        <w:t xml:space="preserve">de novo </w:t>
                      </w:r>
                      <w:r w:rsidRPr="0027058F">
                        <w:rPr>
                          <w:rFonts w:eastAsia="Times New Roman" w:cstheme="minorBidi"/>
                          <w:color w:val="222222"/>
                          <w:kern w:val="24"/>
                          <w:highlight w:val="white"/>
                        </w:rPr>
                        <w:t xml:space="preserve">gene </w:t>
                      </w:r>
                      <w:r w:rsidRPr="0027058F">
                        <w:rPr>
                          <w:rFonts w:eastAsia="Times New Roman" w:cstheme="minorBidi"/>
                          <w:color w:val="222222"/>
                          <w:kern w:val="24"/>
                        </w:rPr>
                        <w:t xml:space="preserve">Potri.007G051750 against its non-coding syntenic regions. Highlighting shows disagreement to the </w:t>
                      </w:r>
                      <w:r w:rsidRPr="0027058F">
                        <w:rPr>
                          <w:rFonts w:eastAsia="Times New Roman" w:cstheme="minorBidi"/>
                          <w:i/>
                          <w:iCs/>
                          <w:color w:val="222222"/>
                          <w:kern w:val="24"/>
                        </w:rPr>
                        <w:t xml:space="preserve">de novo </w:t>
                      </w:r>
                      <w:r w:rsidRPr="0027058F">
                        <w:rPr>
                          <w:rFonts w:eastAsia="Times New Roman" w:cstheme="minorBidi"/>
                          <w:color w:val="222222"/>
                          <w:kern w:val="24"/>
                        </w:rPr>
                        <w:t xml:space="preserve">gene. The sequence label includes information about species and coordinates for the region; pd = </w:t>
                      </w:r>
                      <w:r w:rsidRPr="0027058F">
                        <w:rPr>
                          <w:rFonts w:eastAsia="Times New Roman" w:cstheme="minorBidi"/>
                          <w:i/>
                          <w:iCs/>
                          <w:color w:val="222222"/>
                          <w:kern w:val="24"/>
                        </w:rPr>
                        <w:t xml:space="preserve">P. deltoides, </w:t>
                      </w:r>
                      <w:r w:rsidRPr="0027058F">
                        <w:rPr>
                          <w:rFonts w:eastAsia="Times New Roman" w:cstheme="minorBidi"/>
                          <w:color w:val="222222"/>
                          <w:kern w:val="24"/>
                        </w:rPr>
                        <w:t xml:space="preserve">sp = </w:t>
                      </w:r>
                      <w:r w:rsidRPr="0027058F">
                        <w:rPr>
                          <w:rFonts w:eastAsia="Times New Roman" w:cstheme="minorBidi"/>
                          <w:i/>
                          <w:iCs/>
                          <w:color w:val="222222"/>
                          <w:kern w:val="24"/>
                        </w:rPr>
                        <w:t>S. purpurea</w:t>
                      </w:r>
                      <w:r w:rsidRPr="0027058F">
                        <w:rPr>
                          <w:rFonts w:eastAsia="Times New Roman" w:cstheme="minorBidi"/>
                          <w:color w:val="222222"/>
                          <w:kern w:val="24"/>
                        </w:rPr>
                        <w:t xml:space="preserve">, pt = </w:t>
                      </w:r>
                      <w:r w:rsidRPr="0027058F">
                        <w:rPr>
                          <w:rFonts w:eastAsia="Times New Roman" w:cstheme="minorBidi"/>
                          <w:i/>
                          <w:iCs/>
                          <w:color w:val="222222"/>
                          <w:kern w:val="24"/>
                        </w:rPr>
                        <w:t>P. trichocarpa</w:t>
                      </w:r>
                      <w:r w:rsidRPr="0027058F">
                        <w:rPr>
                          <w:rFonts w:eastAsia="Times New Roman" w:cstheme="minorBidi"/>
                          <w:color w:val="222222"/>
                          <w:kern w:val="24"/>
                        </w:rPr>
                        <w:t>.</w:t>
                      </w:r>
                    </w:p>
                  </w:txbxContent>
                </v:textbox>
                <w10:wrap anchorx="margin"/>
              </v:rect>
            </w:pict>
          </mc:Fallback>
        </mc:AlternateContent>
      </w:r>
    </w:p>
    <w:p w14:paraId="273B09CA" w14:textId="77777777" w:rsidR="00636B5B" w:rsidRDefault="00636B5B" w:rsidP="00CE7936">
      <w:pPr>
        <w:widowControl w:val="0"/>
        <w:autoSpaceDE w:val="0"/>
        <w:autoSpaceDN w:val="0"/>
        <w:adjustRightInd w:val="0"/>
        <w:rPr>
          <w:b/>
          <w:bCs/>
        </w:rPr>
      </w:pPr>
    </w:p>
    <w:p w14:paraId="1EF345CE" w14:textId="77777777" w:rsidR="00636B5B" w:rsidRDefault="00636B5B" w:rsidP="00CE7936">
      <w:pPr>
        <w:widowControl w:val="0"/>
        <w:autoSpaceDE w:val="0"/>
        <w:autoSpaceDN w:val="0"/>
        <w:adjustRightInd w:val="0"/>
        <w:rPr>
          <w:b/>
          <w:bCs/>
        </w:rPr>
      </w:pPr>
    </w:p>
    <w:p w14:paraId="75C9A4E2" w14:textId="77777777" w:rsidR="00636B5B" w:rsidRDefault="00636B5B" w:rsidP="00CE7936">
      <w:pPr>
        <w:widowControl w:val="0"/>
        <w:autoSpaceDE w:val="0"/>
        <w:autoSpaceDN w:val="0"/>
        <w:adjustRightInd w:val="0"/>
        <w:rPr>
          <w:b/>
          <w:bCs/>
        </w:rPr>
      </w:pPr>
    </w:p>
    <w:p w14:paraId="53C76305" w14:textId="77777777" w:rsidR="00636B5B" w:rsidRDefault="00636B5B" w:rsidP="00CE7936">
      <w:pPr>
        <w:widowControl w:val="0"/>
        <w:autoSpaceDE w:val="0"/>
        <w:autoSpaceDN w:val="0"/>
        <w:adjustRightInd w:val="0"/>
        <w:rPr>
          <w:b/>
          <w:bCs/>
        </w:rPr>
      </w:pPr>
    </w:p>
    <w:p w14:paraId="232E8678" w14:textId="77777777" w:rsidR="00636B5B" w:rsidRDefault="00636B5B" w:rsidP="00CE7936">
      <w:pPr>
        <w:widowControl w:val="0"/>
        <w:autoSpaceDE w:val="0"/>
        <w:autoSpaceDN w:val="0"/>
        <w:adjustRightInd w:val="0"/>
        <w:rPr>
          <w:b/>
          <w:bCs/>
        </w:rPr>
      </w:pPr>
    </w:p>
    <w:p w14:paraId="4AE9604B" w14:textId="77777777" w:rsidR="00636B5B" w:rsidRDefault="00636B5B" w:rsidP="00CE7936">
      <w:pPr>
        <w:widowControl w:val="0"/>
        <w:autoSpaceDE w:val="0"/>
        <w:autoSpaceDN w:val="0"/>
        <w:adjustRightInd w:val="0"/>
        <w:rPr>
          <w:b/>
          <w:bCs/>
        </w:rPr>
      </w:pPr>
    </w:p>
    <w:p w14:paraId="761FE7A6" w14:textId="77777777" w:rsidR="00636B5B" w:rsidRDefault="00636B5B" w:rsidP="00CE7936">
      <w:pPr>
        <w:widowControl w:val="0"/>
        <w:autoSpaceDE w:val="0"/>
        <w:autoSpaceDN w:val="0"/>
        <w:adjustRightInd w:val="0"/>
        <w:rPr>
          <w:b/>
          <w:bCs/>
        </w:rPr>
      </w:pPr>
    </w:p>
    <w:p w14:paraId="4106B34E" w14:textId="77777777" w:rsidR="00636B5B" w:rsidRDefault="00636B5B" w:rsidP="00CE7936">
      <w:pPr>
        <w:widowControl w:val="0"/>
        <w:autoSpaceDE w:val="0"/>
        <w:autoSpaceDN w:val="0"/>
        <w:adjustRightInd w:val="0"/>
        <w:rPr>
          <w:b/>
          <w:bCs/>
        </w:rPr>
      </w:pPr>
    </w:p>
    <w:p w14:paraId="391995AC" w14:textId="77777777" w:rsidR="00636B5B" w:rsidRDefault="00636B5B" w:rsidP="00CE7936">
      <w:pPr>
        <w:widowControl w:val="0"/>
        <w:autoSpaceDE w:val="0"/>
        <w:autoSpaceDN w:val="0"/>
        <w:adjustRightInd w:val="0"/>
        <w:rPr>
          <w:b/>
          <w:bCs/>
        </w:rPr>
      </w:pPr>
    </w:p>
    <w:p w14:paraId="258FB543" w14:textId="77777777" w:rsidR="00636B5B" w:rsidRDefault="00636B5B" w:rsidP="00CE7936">
      <w:pPr>
        <w:widowControl w:val="0"/>
        <w:autoSpaceDE w:val="0"/>
        <w:autoSpaceDN w:val="0"/>
        <w:adjustRightInd w:val="0"/>
        <w:rPr>
          <w:b/>
          <w:bCs/>
        </w:rPr>
      </w:pPr>
    </w:p>
    <w:p w14:paraId="152993A6" w14:textId="77777777" w:rsidR="00636B5B" w:rsidRDefault="00636B5B" w:rsidP="00CE7936">
      <w:pPr>
        <w:widowControl w:val="0"/>
        <w:autoSpaceDE w:val="0"/>
        <w:autoSpaceDN w:val="0"/>
        <w:adjustRightInd w:val="0"/>
        <w:rPr>
          <w:b/>
          <w:bCs/>
        </w:rPr>
      </w:pPr>
    </w:p>
    <w:p w14:paraId="771205A4" w14:textId="77777777" w:rsidR="00636B5B" w:rsidRDefault="00636B5B" w:rsidP="00CE7936">
      <w:pPr>
        <w:widowControl w:val="0"/>
        <w:autoSpaceDE w:val="0"/>
        <w:autoSpaceDN w:val="0"/>
        <w:adjustRightInd w:val="0"/>
        <w:rPr>
          <w:b/>
          <w:bCs/>
        </w:rPr>
      </w:pPr>
    </w:p>
    <w:p w14:paraId="096F6994" w14:textId="77777777" w:rsidR="00636B5B" w:rsidRDefault="00636B5B" w:rsidP="00CE7936">
      <w:pPr>
        <w:widowControl w:val="0"/>
        <w:autoSpaceDE w:val="0"/>
        <w:autoSpaceDN w:val="0"/>
        <w:adjustRightInd w:val="0"/>
        <w:rPr>
          <w:b/>
          <w:bCs/>
        </w:rPr>
      </w:pPr>
    </w:p>
    <w:p w14:paraId="12321621" w14:textId="77777777" w:rsidR="00636B5B" w:rsidRDefault="00636B5B" w:rsidP="00CE7936">
      <w:pPr>
        <w:widowControl w:val="0"/>
        <w:autoSpaceDE w:val="0"/>
        <w:autoSpaceDN w:val="0"/>
        <w:adjustRightInd w:val="0"/>
        <w:rPr>
          <w:b/>
          <w:bCs/>
        </w:rPr>
      </w:pPr>
    </w:p>
    <w:p w14:paraId="2687AEC8" w14:textId="77777777" w:rsidR="00636B5B" w:rsidRDefault="00636B5B" w:rsidP="00CE7936">
      <w:pPr>
        <w:widowControl w:val="0"/>
        <w:autoSpaceDE w:val="0"/>
        <w:autoSpaceDN w:val="0"/>
        <w:adjustRightInd w:val="0"/>
        <w:rPr>
          <w:b/>
          <w:bCs/>
        </w:rPr>
      </w:pPr>
    </w:p>
    <w:p w14:paraId="3E48EA60" w14:textId="77777777" w:rsidR="00636B5B" w:rsidRDefault="00636B5B" w:rsidP="00CE7936">
      <w:pPr>
        <w:widowControl w:val="0"/>
        <w:autoSpaceDE w:val="0"/>
        <w:autoSpaceDN w:val="0"/>
        <w:adjustRightInd w:val="0"/>
        <w:rPr>
          <w:b/>
          <w:bCs/>
        </w:rPr>
      </w:pPr>
    </w:p>
    <w:p w14:paraId="0E5435CD" w14:textId="77777777" w:rsidR="00636B5B" w:rsidRDefault="00636B5B" w:rsidP="00CE7936">
      <w:pPr>
        <w:widowControl w:val="0"/>
        <w:autoSpaceDE w:val="0"/>
        <w:autoSpaceDN w:val="0"/>
        <w:adjustRightInd w:val="0"/>
        <w:rPr>
          <w:b/>
          <w:bCs/>
        </w:rPr>
      </w:pPr>
    </w:p>
    <w:p w14:paraId="4FA0B38B" w14:textId="77777777" w:rsidR="00636B5B" w:rsidRDefault="00636B5B" w:rsidP="00CE7936">
      <w:pPr>
        <w:widowControl w:val="0"/>
        <w:autoSpaceDE w:val="0"/>
        <w:autoSpaceDN w:val="0"/>
        <w:adjustRightInd w:val="0"/>
        <w:rPr>
          <w:b/>
          <w:bCs/>
        </w:rPr>
      </w:pPr>
    </w:p>
    <w:p w14:paraId="6314AC91" w14:textId="77777777" w:rsidR="00636B5B" w:rsidRDefault="00636B5B" w:rsidP="00CE7936">
      <w:pPr>
        <w:widowControl w:val="0"/>
        <w:autoSpaceDE w:val="0"/>
        <w:autoSpaceDN w:val="0"/>
        <w:adjustRightInd w:val="0"/>
        <w:rPr>
          <w:b/>
          <w:bCs/>
        </w:rPr>
      </w:pPr>
    </w:p>
    <w:p w14:paraId="2B2D250C" w14:textId="77777777" w:rsidR="00636B5B" w:rsidRDefault="00636B5B" w:rsidP="00CE7936">
      <w:pPr>
        <w:widowControl w:val="0"/>
        <w:autoSpaceDE w:val="0"/>
        <w:autoSpaceDN w:val="0"/>
        <w:adjustRightInd w:val="0"/>
        <w:rPr>
          <w:b/>
          <w:bCs/>
        </w:rPr>
      </w:pPr>
    </w:p>
    <w:p w14:paraId="7DF30630" w14:textId="77777777" w:rsidR="00636B5B" w:rsidRDefault="00636B5B" w:rsidP="00CE7936">
      <w:pPr>
        <w:widowControl w:val="0"/>
        <w:autoSpaceDE w:val="0"/>
        <w:autoSpaceDN w:val="0"/>
        <w:adjustRightInd w:val="0"/>
        <w:rPr>
          <w:b/>
          <w:bCs/>
        </w:rPr>
      </w:pPr>
    </w:p>
    <w:p w14:paraId="6F414E8E" w14:textId="77777777" w:rsidR="00636B5B" w:rsidRDefault="00636B5B" w:rsidP="00CE7936">
      <w:pPr>
        <w:widowControl w:val="0"/>
        <w:autoSpaceDE w:val="0"/>
        <w:autoSpaceDN w:val="0"/>
        <w:adjustRightInd w:val="0"/>
        <w:rPr>
          <w:b/>
          <w:bCs/>
        </w:rPr>
      </w:pPr>
      <w:r w:rsidRPr="0027058F">
        <w:rPr>
          <w:b/>
          <w:bCs/>
          <w:noProof/>
        </w:rPr>
        <w:lastRenderedPageBreak/>
        <w:drawing>
          <wp:anchor distT="0" distB="0" distL="114300" distR="114300" simplePos="0" relativeHeight="251681792" behindDoc="0" locked="0" layoutInCell="1" allowOverlap="1" wp14:anchorId="7CA6D34F" wp14:editId="757C243E">
            <wp:simplePos x="0" y="0"/>
            <wp:positionH relativeFrom="margin">
              <wp:posOffset>228600</wp:posOffset>
            </wp:positionH>
            <wp:positionV relativeFrom="margin">
              <wp:posOffset>153670</wp:posOffset>
            </wp:positionV>
            <wp:extent cx="5486400" cy="2818814"/>
            <wp:effectExtent l="0" t="0" r="0" b="635"/>
            <wp:wrapNone/>
            <wp:docPr id="28" name="Content Placeholder 11" descr="A picture containing table&#10;&#10;Description automatically generated">
              <a:extLst xmlns:a="http://schemas.openxmlformats.org/drawingml/2006/main">
                <a:ext uri="{FF2B5EF4-FFF2-40B4-BE49-F238E27FC236}">
                  <a16:creationId xmlns:a16="http://schemas.microsoft.com/office/drawing/2014/main" id="{F7FA9C83-A597-4441-B35D-FFBDB6852807}"/>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8" name="Content Placeholder 11" descr="A picture containing table&#10;&#10;Description automatically generated">
                      <a:extLst>
                        <a:ext uri="{FF2B5EF4-FFF2-40B4-BE49-F238E27FC236}">
                          <a16:creationId xmlns:a16="http://schemas.microsoft.com/office/drawing/2014/main" id="{F7FA9C83-A597-4441-B35D-FFBDB6852807}"/>
                        </a:ext>
                      </a:extLst>
                    </pic:cNvPr>
                    <pic:cNvPicPr>
                      <a:picLocks noGrp="1" noChangeAspect="1"/>
                    </pic:cNvPicPr>
                  </pic:nvPicPr>
                  <pic:blipFill>
                    <a:blip r:embed="rId32" cstate="print">
                      <a:extLst>
                        <a:ext uri="{28A0092B-C50C-407E-A947-70E740481C1C}">
                          <a14:useLocalDpi xmlns:a14="http://schemas.microsoft.com/office/drawing/2010/main"/>
                        </a:ext>
                      </a:extLst>
                    </a:blip>
                    <a:stretch>
                      <a:fillRect/>
                    </a:stretch>
                  </pic:blipFill>
                  <pic:spPr>
                    <a:xfrm>
                      <a:off x="0" y="0"/>
                      <a:ext cx="5486400" cy="2818814"/>
                    </a:xfrm>
                    <a:prstGeom prst="rect">
                      <a:avLst/>
                    </a:prstGeom>
                  </pic:spPr>
                </pic:pic>
              </a:graphicData>
            </a:graphic>
            <wp14:sizeRelH relativeFrom="margin">
              <wp14:pctWidth>0</wp14:pctWidth>
            </wp14:sizeRelH>
            <wp14:sizeRelV relativeFrom="margin">
              <wp14:pctHeight>0</wp14:pctHeight>
            </wp14:sizeRelV>
          </wp:anchor>
        </w:drawing>
      </w:r>
    </w:p>
    <w:p w14:paraId="376F85D0" w14:textId="77777777" w:rsidR="00636B5B" w:rsidRDefault="00636B5B" w:rsidP="00CE7936">
      <w:pPr>
        <w:widowControl w:val="0"/>
        <w:autoSpaceDE w:val="0"/>
        <w:autoSpaceDN w:val="0"/>
        <w:adjustRightInd w:val="0"/>
        <w:rPr>
          <w:b/>
          <w:bCs/>
        </w:rPr>
      </w:pPr>
    </w:p>
    <w:p w14:paraId="4C6D4983" w14:textId="77777777" w:rsidR="00636B5B" w:rsidRDefault="00636B5B" w:rsidP="00CE7936">
      <w:pPr>
        <w:widowControl w:val="0"/>
        <w:autoSpaceDE w:val="0"/>
        <w:autoSpaceDN w:val="0"/>
        <w:adjustRightInd w:val="0"/>
        <w:rPr>
          <w:b/>
          <w:bCs/>
        </w:rPr>
      </w:pPr>
    </w:p>
    <w:p w14:paraId="17AA1556" w14:textId="77777777" w:rsidR="00636B5B" w:rsidRDefault="00636B5B" w:rsidP="00CE7936">
      <w:pPr>
        <w:widowControl w:val="0"/>
        <w:autoSpaceDE w:val="0"/>
        <w:autoSpaceDN w:val="0"/>
        <w:adjustRightInd w:val="0"/>
        <w:rPr>
          <w:b/>
          <w:bCs/>
        </w:rPr>
      </w:pPr>
    </w:p>
    <w:p w14:paraId="7301498C" w14:textId="77777777" w:rsidR="00636B5B" w:rsidRDefault="00636B5B" w:rsidP="00CE7936">
      <w:pPr>
        <w:widowControl w:val="0"/>
        <w:autoSpaceDE w:val="0"/>
        <w:autoSpaceDN w:val="0"/>
        <w:adjustRightInd w:val="0"/>
        <w:rPr>
          <w:b/>
          <w:bCs/>
        </w:rPr>
      </w:pPr>
    </w:p>
    <w:p w14:paraId="136F80BD" w14:textId="77777777" w:rsidR="00636B5B" w:rsidRDefault="00636B5B" w:rsidP="00CE7936">
      <w:pPr>
        <w:widowControl w:val="0"/>
        <w:autoSpaceDE w:val="0"/>
        <w:autoSpaceDN w:val="0"/>
        <w:adjustRightInd w:val="0"/>
        <w:rPr>
          <w:b/>
          <w:bCs/>
        </w:rPr>
      </w:pPr>
    </w:p>
    <w:p w14:paraId="37AA9652" w14:textId="77777777" w:rsidR="00636B5B" w:rsidRDefault="00636B5B" w:rsidP="00CE7936">
      <w:pPr>
        <w:widowControl w:val="0"/>
        <w:autoSpaceDE w:val="0"/>
        <w:autoSpaceDN w:val="0"/>
        <w:adjustRightInd w:val="0"/>
        <w:rPr>
          <w:b/>
          <w:bCs/>
        </w:rPr>
      </w:pPr>
    </w:p>
    <w:p w14:paraId="2655A274" w14:textId="77777777" w:rsidR="00636B5B" w:rsidRDefault="00636B5B" w:rsidP="00CE7936">
      <w:pPr>
        <w:widowControl w:val="0"/>
        <w:autoSpaceDE w:val="0"/>
        <w:autoSpaceDN w:val="0"/>
        <w:adjustRightInd w:val="0"/>
        <w:rPr>
          <w:b/>
          <w:bCs/>
        </w:rPr>
      </w:pPr>
    </w:p>
    <w:p w14:paraId="3E460DBD" w14:textId="77777777" w:rsidR="00636B5B" w:rsidRDefault="00636B5B" w:rsidP="00CE7936">
      <w:pPr>
        <w:widowControl w:val="0"/>
        <w:autoSpaceDE w:val="0"/>
        <w:autoSpaceDN w:val="0"/>
        <w:adjustRightInd w:val="0"/>
        <w:rPr>
          <w:b/>
          <w:bCs/>
        </w:rPr>
      </w:pPr>
    </w:p>
    <w:p w14:paraId="2089DE15" w14:textId="77777777" w:rsidR="00636B5B" w:rsidRDefault="00636B5B" w:rsidP="00CE7936">
      <w:pPr>
        <w:widowControl w:val="0"/>
        <w:autoSpaceDE w:val="0"/>
        <w:autoSpaceDN w:val="0"/>
        <w:adjustRightInd w:val="0"/>
        <w:rPr>
          <w:b/>
          <w:bCs/>
        </w:rPr>
      </w:pPr>
    </w:p>
    <w:p w14:paraId="64199DF9" w14:textId="77777777" w:rsidR="00636B5B" w:rsidRDefault="00636B5B" w:rsidP="00CE7936">
      <w:pPr>
        <w:widowControl w:val="0"/>
        <w:autoSpaceDE w:val="0"/>
        <w:autoSpaceDN w:val="0"/>
        <w:adjustRightInd w:val="0"/>
        <w:rPr>
          <w:b/>
          <w:bCs/>
        </w:rPr>
      </w:pPr>
    </w:p>
    <w:p w14:paraId="45CE4B33" w14:textId="77777777" w:rsidR="00636B5B" w:rsidRDefault="00636B5B" w:rsidP="00CE7936">
      <w:pPr>
        <w:widowControl w:val="0"/>
        <w:autoSpaceDE w:val="0"/>
        <w:autoSpaceDN w:val="0"/>
        <w:adjustRightInd w:val="0"/>
        <w:rPr>
          <w:b/>
          <w:bCs/>
        </w:rPr>
      </w:pPr>
    </w:p>
    <w:p w14:paraId="1627B307" w14:textId="77777777" w:rsidR="00636B5B" w:rsidRDefault="00636B5B" w:rsidP="00CE7936">
      <w:pPr>
        <w:widowControl w:val="0"/>
        <w:autoSpaceDE w:val="0"/>
        <w:autoSpaceDN w:val="0"/>
        <w:adjustRightInd w:val="0"/>
        <w:rPr>
          <w:b/>
          <w:bCs/>
        </w:rPr>
      </w:pPr>
    </w:p>
    <w:p w14:paraId="0C0BE2AC" w14:textId="77777777" w:rsidR="00636B5B" w:rsidRDefault="00636B5B" w:rsidP="00CE7936">
      <w:pPr>
        <w:widowControl w:val="0"/>
        <w:autoSpaceDE w:val="0"/>
        <w:autoSpaceDN w:val="0"/>
        <w:adjustRightInd w:val="0"/>
        <w:rPr>
          <w:b/>
          <w:bCs/>
        </w:rPr>
      </w:pPr>
    </w:p>
    <w:p w14:paraId="3F038CC4" w14:textId="77777777" w:rsidR="00636B5B" w:rsidRDefault="00636B5B" w:rsidP="00CE7936">
      <w:pPr>
        <w:widowControl w:val="0"/>
        <w:autoSpaceDE w:val="0"/>
        <w:autoSpaceDN w:val="0"/>
        <w:adjustRightInd w:val="0"/>
        <w:rPr>
          <w:b/>
          <w:bCs/>
        </w:rPr>
      </w:pPr>
    </w:p>
    <w:p w14:paraId="063C2275" w14:textId="77777777" w:rsidR="00636B5B" w:rsidRDefault="00636B5B" w:rsidP="00CE7936">
      <w:pPr>
        <w:widowControl w:val="0"/>
        <w:autoSpaceDE w:val="0"/>
        <w:autoSpaceDN w:val="0"/>
        <w:adjustRightInd w:val="0"/>
        <w:rPr>
          <w:b/>
          <w:bCs/>
        </w:rPr>
      </w:pPr>
    </w:p>
    <w:p w14:paraId="4C02A185" w14:textId="77777777" w:rsidR="00636B5B" w:rsidRDefault="00636B5B" w:rsidP="00CE7936">
      <w:pPr>
        <w:widowControl w:val="0"/>
        <w:autoSpaceDE w:val="0"/>
        <w:autoSpaceDN w:val="0"/>
        <w:adjustRightInd w:val="0"/>
        <w:rPr>
          <w:b/>
          <w:bCs/>
        </w:rPr>
      </w:pPr>
    </w:p>
    <w:p w14:paraId="1BFB3BF1" w14:textId="77777777" w:rsidR="00636B5B" w:rsidRDefault="00636B5B" w:rsidP="00CE7936">
      <w:pPr>
        <w:widowControl w:val="0"/>
        <w:autoSpaceDE w:val="0"/>
        <w:autoSpaceDN w:val="0"/>
        <w:adjustRightInd w:val="0"/>
        <w:rPr>
          <w:b/>
          <w:bCs/>
        </w:rPr>
      </w:pPr>
      <w:r w:rsidRPr="0027058F">
        <w:rPr>
          <w:b/>
          <w:bCs/>
          <w:noProof/>
        </w:rPr>
        <mc:AlternateContent>
          <mc:Choice Requires="wps">
            <w:drawing>
              <wp:anchor distT="0" distB="0" distL="114300" distR="114300" simplePos="0" relativeHeight="251680768" behindDoc="0" locked="0" layoutInCell="1" allowOverlap="1" wp14:anchorId="175768B4" wp14:editId="0E580C00">
                <wp:simplePos x="0" y="0"/>
                <wp:positionH relativeFrom="margin">
                  <wp:align>left</wp:align>
                </wp:positionH>
                <wp:positionV relativeFrom="margin">
                  <wp:posOffset>3085465</wp:posOffset>
                </wp:positionV>
                <wp:extent cx="5943600" cy="954107"/>
                <wp:effectExtent l="0" t="0" r="0" b="0"/>
                <wp:wrapNone/>
                <wp:docPr id="27" name="Rectangle 7"/>
                <wp:cNvGraphicFramePr/>
                <a:graphic xmlns:a="http://schemas.openxmlformats.org/drawingml/2006/main">
                  <a:graphicData uri="http://schemas.microsoft.com/office/word/2010/wordprocessingShape">
                    <wps:wsp>
                      <wps:cNvSpPr/>
                      <wps:spPr>
                        <a:xfrm>
                          <a:off x="0" y="0"/>
                          <a:ext cx="5943600" cy="954107"/>
                        </a:xfrm>
                        <a:prstGeom prst="rect">
                          <a:avLst/>
                        </a:prstGeom>
                      </wps:spPr>
                      <wps:txbx>
                        <w:txbxContent>
                          <w:p w14:paraId="7271D9E6" w14:textId="77777777" w:rsidR="00636B5B" w:rsidRPr="0027058F" w:rsidRDefault="00636B5B" w:rsidP="00CE7936">
                            <w:pPr>
                              <w:shd w:val="clear" w:color="auto" w:fill="FFFFFF"/>
                              <w:jc w:val="both"/>
                              <w:rPr>
                                <w:rFonts w:eastAsia="Times New Roman" w:cstheme="minorBidi"/>
                                <w:b/>
                                <w:bCs/>
                                <w:color w:val="222222"/>
                                <w:kern w:val="24"/>
                              </w:rPr>
                            </w:pPr>
                            <w:r w:rsidRPr="0027058F">
                              <w:rPr>
                                <w:rFonts w:eastAsia="Times New Roman" w:cstheme="minorBidi"/>
                                <w:b/>
                                <w:bCs/>
                                <w:color w:val="222222"/>
                                <w:kern w:val="24"/>
                                <w:highlight w:val="white"/>
                              </w:rPr>
                              <w:t xml:space="preserve">Figure II-S11 </w:t>
                            </w:r>
                            <w:r w:rsidRPr="0027058F">
                              <w:rPr>
                                <w:rFonts w:eastAsia="Times New Roman" w:cstheme="minorBidi"/>
                                <w:color w:val="222222"/>
                                <w:kern w:val="24"/>
                                <w:highlight w:val="white"/>
                              </w:rPr>
                              <w:t xml:space="preserve">Alignment of </w:t>
                            </w:r>
                            <w:r w:rsidRPr="0027058F">
                              <w:rPr>
                                <w:rFonts w:eastAsia="Times New Roman" w:cstheme="minorBidi"/>
                                <w:i/>
                                <w:iCs/>
                                <w:color w:val="222222"/>
                                <w:kern w:val="24"/>
                                <w:highlight w:val="white"/>
                              </w:rPr>
                              <w:t xml:space="preserve">de novo </w:t>
                            </w:r>
                            <w:r w:rsidRPr="0027058F">
                              <w:rPr>
                                <w:rFonts w:eastAsia="Times New Roman" w:cstheme="minorBidi"/>
                                <w:color w:val="222222"/>
                                <w:kern w:val="24"/>
                                <w:highlight w:val="white"/>
                              </w:rPr>
                              <w:t xml:space="preserve">gene </w:t>
                            </w:r>
                            <w:r w:rsidRPr="0027058F">
                              <w:rPr>
                                <w:rFonts w:eastAsia="Times New Roman" w:cstheme="minorBidi"/>
                                <w:color w:val="222222"/>
                                <w:kern w:val="24"/>
                              </w:rPr>
                              <w:t xml:space="preserve">Potri.009G089450 against its non-coding syntenic regions. Highlighting shows disagreement to the </w:t>
                            </w:r>
                            <w:r w:rsidRPr="0027058F">
                              <w:rPr>
                                <w:rFonts w:eastAsia="Times New Roman" w:cstheme="minorBidi"/>
                                <w:i/>
                                <w:iCs/>
                                <w:color w:val="222222"/>
                                <w:kern w:val="24"/>
                              </w:rPr>
                              <w:t xml:space="preserve">de novo </w:t>
                            </w:r>
                            <w:r w:rsidRPr="0027058F">
                              <w:rPr>
                                <w:rFonts w:eastAsia="Times New Roman" w:cstheme="minorBidi"/>
                                <w:color w:val="222222"/>
                                <w:kern w:val="24"/>
                              </w:rPr>
                              <w:t xml:space="preserve">gene. The sequence label includes information about species and coordinates for the region; pd = </w:t>
                            </w:r>
                            <w:r w:rsidRPr="0027058F">
                              <w:rPr>
                                <w:rFonts w:eastAsia="Times New Roman" w:cstheme="minorBidi"/>
                                <w:i/>
                                <w:iCs/>
                                <w:color w:val="222222"/>
                                <w:kern w:val="24"/>
                              </w:rPr>
                              <w:t xml:space="preserve">P. deltoides, </w:t>
                            </w:r>
                            <w:r w:rsidRPr="0027058F">
                              <w:rPr>
                                <w:rFonts w:eastAsia="Times New Roman" w:cstheme="minorBidi"/>
                                <w:color w:val="222222"/>
                                <w:kern w:val="24"/>
                              </w:rPr>
                              <w:t xml:space="preserve">sp = </w:t>
                            </w:r>
                            <w:r w:rsidRPr="0027058F">
                              <w:rPr>
                                <w:rFonts w:eastAsia="Times New Roman" w:cstheme="minorBidi"/>
                                <w:i/>
                                <w:iCs/>
                                <w:color w:val="222222"/>
                                <w:kern w:val="24"/>
                              </w:rPr>
                              <w:t>S. purpurea</w:t>
                            </w:r>
                            <w:r w:rsidRPr="0027058F">
                              <w:rPr>
                                <w:rFonts w:eastAsia="Times New Roman" w:cstheme="minorBidi"/>
                                <w:color w:val="222222"/>
                                <w:kern w:val="24"/>
                              </w:rPr>
                              <w:t xml:space="preserve">, pt = </w:t>
                            </w:r>
                            <w:r w:rsidRPr="0027058F">
                              <w:rPr>
                                <w:rFonts w:eastAsia="Times New Roman" w:cstheme="minorBidi"/>
                                <w:i/>
                                <w:iCs/>
                                <w:color w:val="222222"/>
                                <w:kern w:val="24"/>
                              </w:rPr>
                              <w:t>P. trichocarpa</w:t>
                            </w:r>
                            <w:r w:rsidRPr="0027058F">
                              <w:rPr>
                                <w:rFonts w:eastAsia="Times New Roman" w:cstheme="minorBidi"/>
                                <w:color w:val="222222"/>
                                <w:kern w:val="24"/>
                              </w:rPr>
                              <w:t>.</w:t>
                            </w:r>
                          </w:p>
                        </w:txbxContent>
                      </wps:txbx>
                      <wps:bodyPr wrap="square">
                        <a:spAutoFit/>
                      </wps:bodyPr>
                    </wps:wsp>
                  </a:graphicData>
                </a:graphic>
                <wp14:sizeRelH relativeFrom="margin">
                  <wp14:pctWidth>0</wp14:pctWidth>
                </wp14:sizeRelH>
              </wp:anchor>
            </w:drawing>
          </mc:Choice>
          <mc:Fallback>
            <w:pict>
              <v:rect w14:anchorId="175768B4" id="Rectangle 7" o:spid="_x0000_s1035" style="position:absolute;margin-left:0;margin-top:242.95pt;width:468pt;height:75.15pt;z-index:251680768;visibility:visible;mso-wrap-style:square;mso-width-percent:0;mso-wrap-distance-left:9pt;mso-wrap-distance-top:0;mso-wrap-distance-right:9pt;mso-wrap-distance-bottom:0;mso-position-horizontal:left;mso-position-horizontal-relative:margin;mso-position-vertical:absolute;mso-position-vertical-relative:margin;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" filled="f" stroked="f">
                <v:textbox style="mso-fit-shape-to-text:t">
                  <w:txbxContent>
                    <w:p w14:paraId="7271D9E6" w14:textId="77777777" w:rsidR="00636B5B" w:rsidRPr="0027058F" w:rsidRDefault="00636B5B" w:rsidP="00CE7936">
                      <w:pPr>
                        <w:shd w:val="clear" w:color="auto" w:fill="FFFFFF"/>
                        <w:jc w:val="both"/>
                        <w:rPr>
                          <w:rFonts w:eastAsia="Times New Roman" w:cstheme="minorBidi"/>
                          <w:b/>
                          <w:bCs/>
                          <w:color w:val="222222"/>
                          <w:kern w:val="24"/>
                        </w:rPr>
                      </w:pPr>
                      <w:r w:rsidRPr="0027058F">
                        <w:rPr>
                          <w:rFonts w:eastAsia="Times New Roman" w:cstheme="minorBidi"/>
                          <w:b/>
                          <w:bCs/>
                          <w:color w:val="222222"/>
                          <w:kern w:val="24"/>
                          <w:highlight w:val="white"/>
                        </w:rPr>
                        <w:t xml:space="preserve">Figure II-S11 </w:t>
                      </w:r>
                      <w:r w:rsidRPr="0027058F">
                        <w:rPr>
                          <w:rFonts w:eastAsia="Times New Roman" w:cstheme="minorBidi"/>
                          <w:color w:val="222222"/>
                          <w:kern w:val="24"/>
                          <w:highlight w:val="white"/>
                        </w:rPr>
                        <w:t xml:space="preserve">Alignment of </w:t>
                      </w:r>
                      <w:r w:rsidRPr="0027058F">
                        <w:rPr>
                          <w:rFonts w:eastAsia="Times New Roman" w:cstheme="minorBidi"/>
                          <w:i/>
                          <w:iCs/>
                          <w:color w:val="222222"/>
                          <w:kern w:val="24"/>
                          <w:highlight w:val="white"/>
                        </w:rPr>
                        <w:t xml:space="preserve">de novo </w:t>
                      </w:r>
                      <w:r w:rsidRPr="0027058F">
                        <w:rPr>
                          <w:rFonts w:eastAsia="Times New Roman" w:cstheme="minorBidi"/>
                          <w:color w:val="222222"/>
                          <w:kern w:val="24"/>
                          <w:highlight w:val="white"/>
                        </w:rPr>
                        <w:t xml:space="preserve">gene </w:t>
                      </w:r>
                      <w:r w:rsidRPr="0027058F">
                        <w:rPr>
                          <w:rFonts w:eastAsia="Times New Roman" w:cstheme="minorBidi"/>
                          <w:color w:val="222222"/>
                          <w:kern w:val="24"/>
                        </w:rPr>
                        <w:t xml:space="preserve">Potri.009G089450 against its non-coding syntenic regions. Highlighting shows disagreement to the </w:t>
                      </w:r>
                      <w:r w:rsidRPr="0027058F">
                        <w:rPr>
                          <w:rFonts w:eastAsia="Times New Roman" w:cstheme="minorBidi"/>
                          <w:i/>
                          <w:iCs/>
                          <w:color w:val="222222"/>
                          <w:kern w:val="24"/>
                        </w:rPr>
                        <w:t xml:space="preserve">de novo </w:t>
                      </w:r>
                      <w:r w:rsidRPr="0027058F">
                        <w:rPr>
                          <w:rFonts w:eastAsia="Times New Roman" w:cstheme="minorBidi"/>
                          <w:color w:val="222222"/>
                          <w:kern w:val="24"/>
                        </w:rPr>
                        <w:t xml:space="preserve">gene. The sequence label includes information about species and coordinates for the region; pd = </w:t>
                      </w:r>
                      <w:r w:rsidRPr="0027058F">
                        <w:rPr>
                          <w:rFonts w:eastAsia="Times New Roman" w:cstheme="minorBidi"/>
                          <w:i/>
                          <w:iCs/>
                          <w:color w:val="222222"/>
                          <w:kern w:val="24"/>
                        </w:rPr>
                        <w:t xml:space="preserve">P. deltoides, </w:t>
                      </w:r>
                      <w:r w:rsidRPr="0027058F">
                        <w:rPr>
                          <w:rFonts w:eastAsia="Times New Roman" w:cstheme="minorBidi"/>
                          <w:color w:val="222222"/>
                          <w:kern w:val="24"/>
                        </w:rPr>
                        <w:t xml:space="preserve">sp = </w:t>
                      </w:r>
                      <w:r w:rsidRPr="0027058F">
                        <w:rPr>
                          <w:rFonts w:eastAsia="Times New Roman" w:cstheme="minorBidi"/>
                          <w:i/>
                          <w:iCs/>
                          <w:color w:val="222222"/>
                          <w:kern w:val="24"/>
                        </w:rPr>
                        <w:t>S. purpurea</w:t>
                      </w:r>
                      <w:r w:rsidRPr="0027058F">
                        <w:rPr>
                          <w:rFonts w:eastAsia="Times New Roman" w:cstheme="minorBidi"/>
                          <w:color w:val="222222"/>
                          <w:kern w:val="24"/>
                        </w:rPr>
                        <w:t xml:space="preserve">, pt = </w:t>
                      </w:r>
                      <w:r w:rsidRPr="0027058F">
                        <w:rPr>
                          <w:rFonts w:eastAsia="Times New Roman" w:cstheme="minorBidi"/>
                          <w:i/>
                          <w:iCs/>
                          <w:color w:val="222222"/>
                          <w:kern w:val="24"/>
                        </w:rPr>
                        <w:t>P. trichocarpa</w:t>
                      </w:r>
                      <w:r w:rsidRPr="0027058F">
                        <w:rPr>
                          <w:rFonts w:eastAsia="Times New Roman" w:cstheme="minorBidi"/>
                          <w:color w:val="222222"/>
                          <w:kern w:val="24"/>
                        </w:rPr>
                        <w:t>.</w:t>
                      </w:r>
                    </w:p>
                  </w:txbxContent>
                </v:textbox>
                <w10:wrap anchorx="margin" anchory="margin"/>
              </v:rect>
            </w:pict>
          </mc:Fallback>
        </mc:AlternateContent>
      </w:r>
    </w:p>
    <w:p w14:paraId="1037511D" w14:textId="77777777" w:rsidR="00636B5B" w:rsidRDefault="00636B5B" w:rsidP="00CE7936">
      <w:pPr>
        <w:widowControl w:val="0"/>
        <w:autoSpaceDE w:val="0"/>
        <w:autoSpaceDN w:val="0"/>
        <w:adjustRightInd w:val="0"/>
        <w:rPr>
          <w:b/>
          <w:bCs/>
        </w:rPr>
      </w:pPr>
    </w:p>
    <w:p w14:paraId="352F80BB" w14:textId="77777777" w:rsidR="00636B5B" w:rsidRDefault="00636B5B" w:rsidP="00CE7936">
      <w:pPr>
        <w:widowControl w:val="0"/>
        <w:autoSpaceDE w:val="0"/>
        <w:autoSpaceDN w:val="0"/>
        <w:adjustRightInd w:val="0"/>
        <w:rPr>
          <w:b/>
          <w:bCs/>
        </w:rPr>
      </w:pPr>
    </w:p>
    <w:p w14:paraId="7A6A4C70" w14:textId="77777777" w:rsidR="00636B5B" w:rsidRDefault="00636B5B" w:rsidP="00CE7936">
      <w:pPr>
        <w:widowControl w:val="0"/>
        <w:autoSpaceDE w:val="0"/>
        <w:autoSpaceDN w:val="0"/>
        <w:adjustRightInd w:val="0"/>
        <w:rPr>
          <w:b/>
          <w:bCs/>
        </w:rPr>
      </w:pPr>
    </w:p>
    <w:p w14:paraId="5B0361F7" w14:textId="77777777" w:rsidR="00636B5B" w:rsidRDefault="00636B5B" w:rsidP="00CE7936">
      <w:pPr>
        <w:widowControl w:val="0"/>
        <w:autoSpaceDE w:val="0"/>
        <w:autoSpaceDN w:val="0"/>
        <w:adjustRightInd w:val="0"/>
        <w:rPr>
          <w:b/>
          <w:bCs/>
        </w:rPr>
      </w:pPr>
    </w:p>
    <w:p w14:paraId="2BD2358C" w14:textId="77777777" w:rsidR="00636B5B" w:rsidRDefault="00636B5B" w:rsidP="00CE7936">
      <w:pPr>
        <w:widowControl w:val="0"/>
        <w:autoSpaceDE w:val="0"/>
        <w:autoSpaceDN w:val="0"/>
        <w:adjustRightInd w:val="0"/>
        <w:rPr>
          <w:b/>
          <w:bCs/>
        </w:rPr>
      </w:pPr>
    </w:p>
    <w:p w14:paraId="3A5CF627" w14:textId="77777777" w:rsidR="00636B5B" w:rsidRDefault="00636B5B" w:rsidP="00CE7936">
      <w:pPr>
        <w:widowControl w:val="0"/>
        <w:autoSpaceDE w:val="0"/>
        <w:autoSpaceDN w:val="0"/>
        <w:adjustRightInd w:val="0"/>
        <w:rPr>
          <w:b/>
          <w:bCs/>
        </w:rPr>
      </w:pPr>
    </w:p>
    <w:p w14:paraId="1B5C1C26" w14:textId="77777777" w:rsidR="00636B5B" w:rsidRDefault="00636B5B" w:rsidP="00CE7936">
      <w:pPr>
        <w:widowControl w:val="0"/>
        <w:autoSpaceDE w:val="0"/>
        <w:autoSpaceDN w:val="0"/>
        <w:adjustRightInd w:val="0"/>
        <w:rPr>
          <w:b/>
          <w:bCs/>
        </w:rPr>
      </w:pPr>
    </w:p>
    <w:p w14:paraId="37B09973" w14:textId="77777777" w:rsidR="00636B5B" w:rsidRDefault="00636B5B" w:rsidP="00CE7936">
      <w:pPr>
        <w:widowControl w:val="0"/>
        <w:autoSpaceDE w:val="0"/>
        <w:autoSpaceDN w:val="0"/>
        <w:adjustRightInd w:val="0"/>
        <w:rPr>
          <w:b/>
          <w:bCs/>
        </w:rPr>
      </w:pPr>
    </w:p>
    <w:p w14:paraId="0CFB9ABC" w14:textId="77777777" w:rsidR="00636B5B" w:rsidRDefault="00636B5B" w:rsidP="00CE7936">
      <w:pPr>
        <w:widowControl w:val="0"/>
        <w:autoSpaceDE w:val="0"/>
        <w:autoSpaceDN w:val="0"/>
        <w:adjustRightInd w:val="0"/>
        <w:rPr>
          <w:b/>
          <w:bCs/>
        </w:rPr>
      </w:pPr>
      <w:r w:rsidRPr="0027058F">
        <w:rPr>
          <w:b/>
          <w:bCs/>
          <w:noProof/>
        </w:rPr>
        <w:drawing>
          <wp:anchor distT="0" distB="0" distL="114300" distR="114300" simplePos="0" relativeHeight="251683840" behindDoc="0" locked="0" layoutInCell="1" allowOverlap="1" wp14:anchorId="5259B9DC" wp14:editId="6DFA1192">
            <wp:simplePos x="0" y="0"/>
            <wp:positionH relativeFrom="margin">
              <wp:align>center</wp:align>
            </wp:positionH>
            <wp:positionV relativeFrom="paragraph">
              <wp:posOffset>130175</wp:posOffset>
            </wp:positionV>
            <wp:extent cx="5486400" cy="1921998"/>
            <wp:effectExtent l="0" t="0" r="0" b="0"/>
            <wp:wrapNone/>
            <wp:docPr id="30" name="Content Placeholder 11" descr="A picture containing calendar&#10;&#10;Description automatically generated">
              <a:extLst xmlns:a="http://schemas.openxmlformats.org/drawingml/2006/main">
                <a:ext uri="{FF2B5EF4-FFF2-40B4-BE49-F238E27FC236}">
                  <a16:creationId xmlns:a16="http://schemas.microsoft.com/office/drawing/2014/main" id="{D74880F2-DB8D-8247-965D-B5118FF58659}"/>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0" name="Content Placeholder 11" descr="A picture containing calendar&#10;&#10;Description automatically generated">
                      <a:extLst>
                        <a:ext uri="{FF2B5EF4-FFF2-40B4-BE49-F238E27FC236}">
                          <a16:creationId xmlns:a16="http://schemas.microsoft.com/office/drawing/2014/main" id="{D74880F2-DB8D-8247-965D-B5118FF58659}"/>
                        </a:ext>
                      </a:extLst>
                    </pic:cNvPr>
                    <pic:cNvPicPr>
                      <a:picLocks noGrp="1" noChangeAspect="1"/>
                    </pic:cNvPicPr>
                  </pic:nvPicPr>
                  <pic:blipFill>
                    <a:blip r:embed="rId33" cstate="print">
                      <a:extLst>
                        <a:ext uri="{28A0092B-C50C-407E-A947-70E740481C1C}">
                          <a14:useLocalDpi xmlns:a14="http://schemas.microsoft.com/office/drawing/2010/main"/>
                        </a:ext>
                      </a:extLst>
                    </a:blip>
                    <a:stretch>
                      <a:fillRect/>
                    </a:stretch>
                  </pic:blipFill>
                  <pic:spPr>
                    <a:xfrm>
                      <a:off x="0" y="0"/>
                      <a:ext cx="5486400" cy="1921998"/>
                    </a:xfrm>
                    <a:prstGeom prst="rect">
                      <a:avLst/>
                    </a:prstGeom>
                  </pic:spPr>
                </pic:pic>
              </a:graphicData>
            </a:graphic>
            <wp14:sizeRelH relativeFrom="margin">
              <wp14:pctWidth>0</wp14:pctWidth>
            </wp14:sizeRelH>
            <wp14:sizeRelV relativeFrom="margin">
              <wp14:pctHeight>0</wp14:pctHeight>
            </wp14:sizeRelV>
          </wp:anchor>
        </w:drawing>
      </w:r>
      <w:r w:rsidRPr="0027058F">
        <w:rPr>
          <w:b/>
          <w:bCs/>
          <w:noProof/>
        </w:rPr>
        <mc:AlternateContent>
          <mc:Choice Requires="wps">
            <w:drawing>
              <wp:anchor distT="0" distB="0" distL="114300" distR="114300" simplePos="0" relativeHeight="251682816" behindDoc="0" locked="0" layoutInCell="1" allowOverlap="1" wp14:anchorId="350196D5" wp14:editId="62D11BE9">
                <wp:simplePos x="0" y="0"/>
                <wp:positionH relativeFrom="margin">
                  <wp:align>left</wp:align>
                </wp:positionH>
                <wp:positionV relativeFrom="paragraph">
                  <wp:posOffset>2187575</wp:posOffset>
                </wp:positionV>
                <wp:extent cx="5943600" cy="953770"/>
                <wp:effectExtent l="0" t="0" r="0" b="0"/>
                <wp:wrapNone/>
                <wp:docPr id="29" name="Rectangle 5"/>
                <wp:cNvGraphicFramePr/>
                <a:graphic xmlns:a="http://schemas.openxmlformats.org/drawingml/2006/main">
                  <a:graphicData uri="http://schemas.microsoft.com/office/word/2010/wordprocessingShape">
                    <wps:wsp>
                      <wps:cNvSpPr/>
                      <wps:spPr>
                        <a:xfrm>
                          <a:off x="0" y="0"/>
                          <a:ext cx="5943600" cy="953770"/>
                        </a:xfrm>
                        <a:prstGeom prst="rect">
                          <a:avLst/>
                        </a:prstGeom>
                      </wps:spPr>
                      <wps:txbx>
                        <w:txbxContent>
                          <w:p w14:paraId="573FF97F" w14:textId="77777777" w:rsidR="00636B5B" w:rsidRPr="0027058F" w:rsidRDefault="00636B5B" w:rsidP="00CE7936">
                            <w:pPr>
                              <w:shd w:val="clear" w:color="auto" w:fill="FFFFFF"/>
                              <w:jc w:val="both"/>
                              <w:rPr>
                                <w:rFonts w:eastAsia="Times New Roman" w:cstheme="minorBidi"/>
                                <w:color w:val="222222"/>
                                <w:kern w:val="24"/>
                              </w:rPr>
                            </w:pPr>
                            <w:r w:rsidRPr="0027058F">
                              <w:rPr>
                                <w:rFonts w:eastAsia="Times New Roman" w:cstheme="minorBidi"/>
                                <w:b/>
                                <w:bCs/>
                                <w:color w:val="222222"/>
                                <w:kern w:val="24"/>
                                <w:highlight w:val="white"/>
                              </w:rPr>
                              <w:t>Figure II-S12.</w:t>
                            </w:r>
                            <w:r>
                              <w:rPr>
                                <w:rFonts w:eastAsia="Times New Roman" w:cstheme="minorBidi"/>
                                <w:b/>
                                <w:bCs/>
                                <w:color w:val="222222"/>
                                <w:kern w:val="24"/>
                                <w:highlight w:val="white"/>
                              </w:rPr>
                              <w:t xml:space="preserve"> </w:t>
                            </w:r>
                            <w:r w:rsidRPr="0027058F">
                              <w:rPr>
                                <w:rFonts w:eastAsia="Times New Roman" w:cstheme="minorBidi"/>
                                <w:color w:val="222222"/>
                                <w:kern w:val="24"/>
                                <w:highlight w:val="white"/>
                              </w:rPr>
                              <w:t xml:space="preserve">Alignment of </w:t>
                            </w:r>
                            <w:r w:rsidRPr="0027058F">
                              <w:rPr>
                                <w:rFonts w:eastAsia="Times New Roman" w:cstheme="minorBidi"/>
                                <w:i/>
                                <w:iCs/>
                                <w:color w:val="222222"/>
                                <w:kern w:val="24"/>
                                <w:highlight w:val="white"/>
                              </w:rPr>
                              <w:t xml:space="preserve">de novo </w:t>
                            </w:r>
                            <w:r w:rsidRPr="0027058F">
                              <w:rPr>
                                <w:rFonts w:eastAsia="Times New Roman" w:cstheme="minorBidi"/>
                                <w:color w:val="222222"/>
                                <w:kern w:val="24"/>
                                <w:highlight w:val="white"/>
                              </w:rPr>
                              <w:t xml:space="preserve">gene </w:t>
                            </w:r>
                            <w:r w:rsidRPr="0027058F">
                              <w:rPr>
                                <w:rFonts w:eastAsia="Times New Roman" w:cstheme="minorBidi"/>
                                <w:color w:val="222222"/>
                                <w:kern w:val="24"/>
                              </w:rPr>
                              <w:t xml:space="preserve">Potri.009G129850 against its non-coding syntenic regions. Highlighting shows disagreement to the </w:t>
                            </w:r>
                            <w:r w:rsidRPr="0027058F">
                              <w:rPr>
                                <w:rFonts w:eastAsia="Times New Roman" w:cstheme="minorBidi"/>
                                <w:i/>
                                <w:iCs/>
                                <w:color w:val="222222"/>
                                <w:kern w:val="24"/>
                              </w:rPr>
                              <w:t xml:space="preserve">de novo </w:t>
                            </w:r>
                            <w:r w:rsidRPr="0027058F">
                              <w:rPr>
                                <w:rFonts w:eastAsia="Times New Roman" w:cstheme="minorBidi"/>
                                <w:color w:val="222222"/>
                                <w:kern w:val="24"/>
                              </w:rPr>
                              <w:t xml:space="preserve">gene. The sequence label includes information about species and coordinates for the region; pd = </w:t>
                            </w:r>
                            <w:r w:rsidRPr="0027058F">
                              <w:rPr>
                                <w:rFonts w:eastAsia="Times New Roman" w:cstheme="minorBidi"/>
                                <w:i/>
                                <w:iCs/>
                                <w:color w:val="222222"/>
                                <w:kern w:val="24"/>
                              </w:rPr>
                              <w:t xml:space="preserve">P. deltoides, </w:t>
                            </w:r>
                            <w:r w:rsidRPr="0027058F">
                              <w:rPr>
                                <w:rFonts w:eastAsia="Times New Roman" w:cstheme="minorBidi"/>
                                <w:color w:val="222222"/>
                                <w:kern w:val="24"/>
                              </w:rPr>
                              <w:t xml:space="preserve">sp = </w:t>
                            </w:r>
                            <w:r w:rsidRPr="0027058F">
                              <w:rPr>
                                <w:rFonts w:eastAsia="Times New Roman" w:cstheme="minorBidi"/>
                                <w:i/>
                                <w:iCs/>
                                <w:color w:val="222222"/>
                                <w:kern w:val="24"/>
                              </w:rPr>
                              <w:t>S. purpurea</w:t>
                            </w:r>
                            <w:r w:rsidRPr="0027058F">
                              <w:rPr>
                                <w:rFonts w:eastAsia="Times New Roman" w:cstheme="minorBidi"/>
                                <w:color w:val="222222"/>
                                <w:kern w:val="24"/>
                              </w:rPr>
                              <w:t xml:space="preserve">, pt = </w:t>
                            </w:r>
                            <w:r w:rsidRPr="0027058F">
                              <w:rPr>
                                <w:rFonts w:eastAsia="Times New Roman" w:cstheme="minorBidi"/>
                                <w:i/>
                                <w:iCs/>
                                <w:color w:val="222222"/>
                                <w:kern w:val="24"/>
                              </w:rPr>
                              <w:t>P. trichocarpa</w:t>
                            </w:r>
                            <w:r w:rsidRPr="0027058F">
                              <w:rPr>
                                <w:rFonts w:eastAsia="Times New Roman" w:cstheme="minorBidi"/>
                                <w:color w:val="222222"/>
                                <w:kern w:val="24"/>
                              </w:rPr>
                              <w:t>.</w:t>
                            </w:r>
                          </w:p>
                        </w:txbxContent>
                      </wps:txbx>
                      <wps:bodyPr wrap="square">
                        <a:spAutoFit/>
                      </wps:bodyPr>
                    </wps:wsp>
                  </a:graphicData>
                </a:graphic>
                <wp14:sizeRelH relativeFrom="margin">
                  <wp14:pctWidth>0</wp14:pctWidth>
                </wp14:sizeRelH>
              </wp:anchor>
            </w:drawing>
          </mc:Choice>
          <mc:Fallback>
            <w:pict>
              <v:rect w14:anchorId="350196D5" id="_x0000_s1036" style="position:absolute;margin-left:0;margin-top:172.25pt;width:468pt;height:75.1pt;z-index:25168281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" filled="f" stroked="f">
                <v:textbox style="mso-fit-shape-to-text:t">
                  <w:txbxContent>
                    <w:p w14:paraId="573FF97F" w14:textId="77777777" w:rsidR="00636B5B" w:rsidRPr="0027058F" w:rsidRDefault="00636B5B" w:rsidP="00CE7936">
                      <w:pPr>
                        <w:shd w:val="clear" w:color="auto" w:fill="FFFFFF"/>
                        <w:jc w:val="both"/>
                        <w:rPr>
                          <w:rFonts w:eastAsia="Times New Roman" w:cstheme="minorBidi"/>
                          <w:color w:val="222222"/>
                          <w:kern w:val="24"/>
                        </w:rPr>
                      </w:pPr>
                      <w:r w:rsidRPr="0027058F">
                        <w:rPr>
                          <w:rFonts w:eastAsia="Times New Roman" w:cstheme="minorBidi"/>
                          <w:b/>
                          <w:bCs/>
                          <w:color w:val="222222"/>
                          <w:kern w:val="24"/>
                          <w:highlight w:val="white"/>
                        </w:rPr>
                        <w:t>Figure II-S12.</w:t>
                      </w:r>
                      <w:r>
                        <w:rPr>
                          <w:rFonts w:eastAsia="Times New Roman" w:cstheme="minorBidi"/>
                          <w:b/>
                          <w:bCs/>
                          <w:color w:val="222222"/>
                          <w:kern w:val="24"/>
                          <w:highlight w:val="white"/>
                        </w:rPr>
                        <w:t xml:space="preserve"> </w:t>
                      </w:r>
                      <w:r w:rsidRPr="0027058F">
                        <w:rPr>
                          <w:rFonts w:eastAsia="Times New Roman" w:cstheme="minorBidi"/>
                          <w:color w:val="222222"/>
                          <w:kern w:val="24"/>
                          <w:highlight w:val="white"/>
                        </w:rPr>
                        <w:t xml:space="preserve">Alignment of </w:t>
                      </w:r>
                      <w:r w:rsidRPr="0027058F">
                        <w:rPr>
                          <w:rFonts w:eastAsia="Times New Roman" w:cstheme="minorBidi"/>
                          <w:i/>
                          <w:iCs/>
                          <w:color w:val="222222"/>
                          <w:kern w:val="24"/>
                          <w:highlight w:val="white"/>
                        </w:rPr>
                        <w:t xml:space="preserve">de novo </w:t>
                      </w:r>
                      <w:r w:rsidRPr="0027058F">
                        <w:rPr>
                          <w:rFonts w:eastAsia="Times New Roman" w:cstheme="minorBidi"/>
                          <w:color w:val="222222"/>
                          <w:kern w:val="24"/>
                          <w:highlight w:val="white"/>
                        </w:rPr>
                        <w:t xml:space="preserve">gene </w:t>
                      </w:r>
                      <w:r w:rsidRPr="0027058F">
                        <w:rPr>
                          <w:rFonts w:eastAsia="Times New Roman" w:cstheme="minorBidi"/>
                          <w:color w:val="222222"/>
                          <w:kern w:val="24"/>
                        </w:rPr>
                        <w:t xml:space="preserve">Potri.009G129850 against its non-coding syntenic regions. Highlighting shows disagreement to the </w:t>
                      </w:r>
                      <w:r w:rsidRPr="0027058F">
                        <w:rPr>
                          <w:rFonts w:eastAsia="Times New Roman" w:cstheme="minorBidi"/>
                          <w:i/>
                          <w:iCs/>
                          <w:color w:val="222222"/>
                          <w:kern w:val="24"/>
                        </w:rPr>
                        <w:t xml:space="preserve">de novo </w:t>
                      </w:r>
                      <w:r w:rsidRPr="0027058F">
                        <w:rPr>
                          <w:rFonts w:eastAsia="Times New Roman" w:cstheme="minorBidi"/>
                          <w:color w:val="222222"/>
                          <w:kern w:val="24"/>
                        </w:rPr>
                        <w:t xml:space="preserve">gene. The sequence label includes information about species and coordinates for the region; pd = </w:t>
                      </w:r>
                      <w:r w:rsidRPr="0027058F">
                        <w:rPr>
                          <w:rFonts w:eastAsia="Times New Roman" w:cstheme="minorBidi"/>
                          <w:i/>
                          <w:iCs/>
                          <w:color w:val="222222"/>
                          <w:kern w:val="24"/>
                        </w:rPr>
                        <w:t xml:space="preserve">P. deltoides, </w:t>
                      </w:r>
                      <w:r w:rsidRPr="0027058F">
                        <w:rPr>
                          <w:rFonts w:eastAsia="Times New Roman" w:cstheme="minorBidi"/>
                          <w:color w:val="222222"/>
                          <w:kern w:val="24"/>
                        </w:rPr>
                        <w:t xml:space="preserve">sp = </w:t>
                      </w:r>
                      <w:r w:rsidRPr="0027058F">
                        <w:rPr>
                          <w:rFonts w:eastAsia="Times New Roman" w:cstheme="minorBidi"/>
                          <w:i/>
                          <w:iCs/>
                          <w:color w:val="222222"/>
                          <w:kern w:val="24"/>
                        </w:rPr>
                        <w:t>S. purpurea</w:t>
                      </w:r>
                      <w:r w:rsidRPr="0027058F">
                        <w:rPr>
                          <w:rFonts w:eastAsia="Times New Roman" w:cstheme="minorBidi"/>
                          <w:color w:val="222222"/>
                          <w:kern w:val="24"/>
                        </w:rPr>
                        <w:t xml:space="preserve">, pt = </w:t>
                      </w:r>
                      <w:r w:rsidRPr="0027058F">
                        <w:rPr>
                          <w:rFonts w:eastAsia="Times New Roman" w:cstheme="minorBidi"/>
                          <w:i/>
                          <w:iCs/>
                          <w:color w:val="222222"/>
                          <w:kern w:val="24"/>
                        </w:rPr>
                        <w:t>P. trichocarpa</w:t>
                      </w:r>
                      <w:r w:rsidRPr="0027058F">
                        <w:rPr>
                          <w:rFonts w:eastAsia="Times New Roman" w:cstheme="minorBidi"/>
                          <w:color w:val="222222"/>
                          <w:kern w:val="24"/>
                        </w:rPr>
                        <w:t>.</w:t>
                      </w:r>
                    </w:p>
                  </w:txbxContent>
                </v:textbox>
                <w10:wrap anchorx="margin"/>
              </v:rect>
            </w:pict>
          </mc:Fallback>
        </mc:AlternateContent>
      </w:r>
    </w:p>
    <w:p w14:paraId="2B6BDC7D" w14:textId="77777777" w:rsidR="00636B5B" w:rsidRDefault="00636B5B" w:rsidP="00CE7936">
      <w:pPr>
        <w:widowControl w:val="0"/>
        <w:autoSpaceDE w:val="0"/>
        <w:autoSpaceDN w:val="0"/>
        <w:adjustRightInd w:val="0"/>
        <w:rPr>
          <w:b/>
          <w:bCs/>
        </w:rPr>
      </w:pPr>
    </w:p>
    <w:p w14:paraId="63F6781B" w14:textId="77777777" w:rsidR="00636B5B" w:rsidRDefault="00636B5B" w:rsidP="00CE7936">
      <w:pPr>
        <w:widowControl w:val="0"/>
        <w:autoSpaceDE w:val="0"/>
        <w:autoSpaceDN w:val="0"/>
        <w:adjustRightInd w:val="0"/>
        <w:rPr>
          <w:b/>
          <w:bCs/>
        </w:rPr>
      </w:pPr>
    </w:p>
    <w:p w14:paraId="016A95B4" w14:textId="77777777" w:rsidR="00636B5B" w:rsidRDefault="00636B5B" w:rsidP="00CE7936">
      <w:pPr>
        <w:widowControl w:val="0"/>
        <w:autoSpaceDE w:val="0"/>
        <w:autoSpaceDN w:val="0"/>
        <w:adjustRightInd w:val="0"/>
        <w:rPr>
          <w:b/>
          <w:bCs/>
        </w:rPr>
      </w:pPr>
    </w:p>
    <w:p w14:paraId="70FDD176" w14:textId="77777777" w:rsidR="00636B5B" w:rsidRDefault="00636B5B" w:rsidP="00CE7936">
      <w:pPr>
        <w:widowControl w:val="0"/>
        <w:autoSpaceDE w:val="0"/>
        <w:autoSpaceDN w:val="0"/>
        <w:adjustRightInd w:val="0"/>
        <w:rPr>
          <w:b/>
          <w:bCs/>
        </w:rPr>
      </w:pPr>
    </w:p>
    <w:p w14:paraId="5459891D" w14:textId="77777777" w:rsidR="00636B5B" w:rsidRDefault="00636B5B" w:rsidP="00CE7936">
      <w:pPr>
        <w:widowControl w:val="0"/>
        <w:autoSpaceDE w:val="0"/>
        <w:autoSpaceDN w:val="0"/>
        <w:adjustRightInd w:val="0"/>
        <w:rPr>
          <w:b/>
          <w:bCs/>
        </w:rPr>
      </w:pPr>
    </w:p>
    <w:p w14:paraId="09EDFC79" w14:textId="77777777" w:rsidR="00636B5B" w:rsidRDefault="00636B5B" w:rsidP="00CE7936">
      <w:pPr>
        <w:widowControl w:val="0"/>
        <w:autoSpaceDE w:val="0"/>
        <w:autoSpaceDN w:val="0"/>
        <w:adjustRightInd w:val="0"/>
        <w:rPr>
          <w:b/>
          <w:bCs/>
        </w:rPr>
      </w:pPr>
    </w:p>
    <w:p w14:paraId="09FB66C2" w14:textId="77777777" w:rsidR="00636B5B" w:rsidRDefault="00636B5B" w:rsidP="00CE7936">
      <w:pPr>
        <w:widowControl w:val="0"/>
        <w:autoSpaceDE w:val="0"/>
        <w:autoSpaceDN w:val="0"/>
        <w:adjustRightInd w:val="0"/>
        <w:rPr>
          <w:b/>
          <w:bCs/>
        </w:rPr>
      </w:pPr>
    </w:p>
    <w:p w14:paraId="0CA1C7D1" w14:textId="77777777" w:rsidR="00636B5B" w:rsidRDefault="00636B5B" w:rsidP="00CE7936">
      <w:pPr>
        <w:widowControl w:val="0"/>
        <w:autoSpaceDE w:val="0"/>
        <w:autoSpaceDN w:val="0"/>
        <w:adjustRightInd w:val="0"/>
        <w:rPr>
          <w:b/>
          <w:bCs/>
        </w:rPr>
      </w:pPr>
    </w:p>
    <w:p w14:paraId="357B5E44" w14:textId="77777777" w:rsidR="00636B5B" w:rsidRDefault="00636B5B" w:rsidP="00CE7936">
      <w:pPr>
        <w:widowControl w:val="0"/>
        <w:autoSpaceDE w:val="0"/>
        <w:autoSpaceDN w:val="0"/>
        <w:adjustRightInd w:val="0"/>
        <w:rPr>
          <w:b/>
          <w:bCs/>
        </w:rPr>
      </w:pPr>
    </w:p>
    <w:p w14:paraId="58DC192A" w14:textId="77777777" w:rsidR="00636B5B" w:rsidRDefault="00636B5B" w:rsidP="00CE7936">
      <w:pPr>
        <w:widowControl w:val="0"/>
        <w:autoSpaceDE w:val="0"/>
        <w:autoSpaceDN w:val="0"/>
        <w:adjustRightInd w:val="0"/>
        <w:rPr>
          <w:b/>
          <w:bCs/>
        </w:rPr>
      </w:pPr>
    </w:p>
    <w:p w14:paraId="0EBE3E85" w14:textId="77777777" w:rsidR="00636B5B" w:rsidRDefault="00636B5B" w:rsidP="00CE7936">
      <w:pPr>
        <w:widowControl w:val="0"/>
        <w:autoSpaceDE w:val="0"/>
        <w:autoSpaceDN w:val="0"/>
        <w:adjustRightInd w:val="0"/>
        <w:rPr>
          <w:b/>
          <w:bCs/>
        </w:rPr>
      </w:pPr>
    </w:p>
    <w:p w14:paraId="33713B20" w14:textId="77777777" w:rsidR="00636B5B" w:rsidRDefault="00636B5B" w:rsidP="00CE7936">
      <w:pPr>
        <w:widowControl w:val="0"/>
        <w:autoSpaceDE w:val="0"/>
        <w:autoSpaceDN w:val="0"/>
        <w:adjustRightInd w:val="0"/>
        <w:rPr>
          <w:b/>
          <w:bCs/>
        </w:rPr>
      </w:pPr>
    </w:p>
    <w:p w14:paraId="19F6070E" w14:textId="77777777" w:rsidR="00636B5B" w:rsidRDefault="00636B5B" w:rsidP="00CE7936">
      <w:pPr>
        <w:widowControl w:val="0"/>
        <w:autoSpaceDE w:val="0"/>
        <w:autoSpaceDN w:val="0"/>
        <w:adjustRightInd w:val="0"/>
        <w:rPr>
          <w:b/>
          <w:bCs/>
        </w:rPr>
      </w:pPr>
    </w:p>
    <w:p w14:paraId="0E79620E" w14:textId="77777777" w:rsidR="00636B5B" w:rsidRDefault="00636B5B" w:rsidP="00CE7936">
      <w:pPr>
        <w:widowControl w:val="0"/>
        <w:autoSpaceDE w:val="0"/>
        <w:autoSpaceDN w:val="0"/>
        <w:adjustRightInd w:val="0"/>
        <w:rPr>
          <w:b/>
          <w:bCs/>
        </w:rPr>
      </w:pPr>
    </w:p>
    <w:p w14:paraId="61B36EE1" w14:textId="77777777" w:rsidR="00636B5B" w:rsidRDefault="00636B5B" w:rsidP="00CE7936">
      <w:pPr>
        <w:widowControl w:val="0"/>
        <w:autoSpaceDE w:val="0"/>
        <w:autoSpaceDN w:val="0"/>
        <w:adjustRightInd w:val="0"/>
        <w:rPr>
          <w:b/>
          <w:bCs/>
        </w:rPr>
      </w:pPr>
    </w:p>
    <w:p w14:paraId="3BB185A1" w14:textId="77777777" w:rsidR="00636B5B" w:rsidRDefault="00636B5B" w:rsidP="00CE7936">
      <w:pPr>
        <w:widowControl w:val="0"/>
        <w:autoSpaceDE w:val="0"/>
        <w:autoSpaceDN w:val="0"/>
        <w:adjustRightInd w:val="0"/>
        <w:rPr>
          <w:b/>
          <w:bCs/>
        </w:rPr>
      </w:pPr>
    </w:p>
    <w:p w14:paraId="24604DCD" w14:textId="77777777" w:rsidR="00636B5B" w:rsidRDefault="00636B5B" w:rsidP="00CE7936">
      <w:pPr>
        <w:widowControl w:val="0"/>
        <w:autoSpaceDE w:val="0"/>
        <w:autoSpaceDN w:val="0"/>
        <w:adjustRightInd w:val="0"/>
        <w:rPr>
          <w:b/>
          <w:bCs/>
        </w:rPr>
      </w:pPr>
    </w:p>
    <w:p w14:paraId="1D9582EC" w14:textId="77777777" w:rsidR="00636B5B" w:rsidRDefault="00636B5B" w:rsidP="00CE7936">
      <w:pPr>
        <w:widowControl w:val="0"/>
        <w:autoSpaceDE w:val="0"/>
        <w:autoSpaceDN w:val="0"/>
        <w:adjustRightInd w:val="0"/>
        <w:rPr>
          <w:b/>
          <w:bCs/>
        </w:rPr>
      </w:pPr>
    </w:p>
    <w:p w14:paraId="0BCC5C39" w14:textId="77777777" w:rsidR="00636B5B" w:rsidRDefault="00636B5B" w:rsidP="00CE7936">
      <w:pPr>
        <w:widowControl w:val="0"/>
        <w:autoSpaceDE w:val="0"/>
        <w:autoSpaceDN w:val="0"/>
        <w:adjustRightInd w:val="0"/>
        <w:rPr>
          <w:b/>
          <w:bCs/>
        </w:rPr>
      </w:pPr>
      <w:r w:rsidRPr="0027058F">
        <w:rPr>
          <w:b/>
          <w:bCs/>
          <w:noProof/>
        </w:rPr>
        <mc:AlternateContent>
          <mc:Choice Requires="wps">
            <w:drawing>
              <wp:anchor distT="0" distB="0" distL="114300" distR="114300" simplePos="0" relativeHeight="251684864" behindDoc="0" locked="0" layoutInCell="1" allowOverlap="1" wp14:anchorId="513AC80B" wp14:editId="571938B1">
                <wp:simplePos x="0" y="0"/>
                <wp:positionH relativeFrom="margin">
                  <wp:align>center</wp:align>
                </wp:positionH>
                <wp:positionV relativeFrom="paragraph">
                  <wp:posOffset>6381750</wp:posOffset>
                </wp:positionV>
                <wp:extent cx="6400800" cy="954107"/>
                <wp:effectExtent l="0" t="0" r="0" b="0"/>
                <wp:wrapNone/>
                <wp:docPr id="31" name="Rectangle 5"/>
                <wp:cNvGraphicFramePr/>
                <a:graphic xmlns:a="http://schemas.openxmlformats.org/drawingml/2006/main">
                  <a:graphicData uri="http://schemas.microsoft.com/office/word/2010/wordprocessingShape">
                    <wps:wsp>
                      <wps:cNvSpPr/>
                      <wps:spPr>
                        <a:xfrm>
                          <a:off x="0" y="0"/>
                          <a:ext cx="6400800" cy="954107"/>
                        </a:xfrm>
                        <a:prstGeom prst="rect">
                          <a:avLst/>
                        </a:prstGeom>
                      </wps:spPr>
                      <wps:txbx>
                        <w:txbxContent>
                          <w:p w14:paraId="3797FFD3" w14:textId="77777777" w:rsidR="00636B5B" w:rsidRPr="0027058F" w:rsidRDefault="00636B5B" w:rsidP="00CE7936">
                            <w:pPr>
                              <w:shd w:val="clear" w:color="auto" w:fill="FFFFFF"/>
                              <w:jc w:val="both"/>
                              <w:rPr>
                                <w:rFonts w:eastAsia="Times New Roman" w:cstheme="minorBidi"/>
                                <w:b/>
                                <w:bCs/>
                                <w:color w:val="222222"/>
                                <w:kern w:val="24"/>
                              </w:rPr>
                            </w:pPr>
                            <w:r w:rsidRPr="0027058F">
                              <w:rPr>
                                <w:rFonts w:eastAsia="Times New Roman" w:cstheme="minorBidi"/>
                                <w:b/>
                                <w:bCs/>
                                <w:color w:val="222222"/>
                                <w:kern w:val="24"/>
                                <w:highlight w:val="white"/>
                              </w:rPr>
                              <w:t xml:space="preserve">Figure II-S13. </w:t>
                            </w:r>
                            <w:r w:rsidRPr="0027058F">
                              <w:rPr>
                                <w:rFonts w:eastAsia="Times New Roman" w:cstheme="minorBidi"/>
                                <w:color w:val="222222"/>
                                <w:kern w:val="24"/>
                                <w:highlight w:val="white"/>
                              </w:rPr>
                              <w:t xml:space="preserve">Alignment of </w:t>
                            </w:r>
                            <w:r w:rsidRPr="0027058F">
                              <w:rPr>
                                <w:rFonts w:eastAsia="Times New Roman" w:cstheme="minorBidi"/>
                                <w:i/>
                                <w:iCs/>
                                <w:color w:val="222222"/>
                                <w:kern w:val="24"/>
                                <w:highlight w:val="white"/>
                              </w:rPr>
                              <w:t xml:space="preserve">de novo </w:t>
                            </w:r>
                            <w:r w:rsidRPr="0027058F">
                              <w:rPr>
                                <w:rFonts w:eastAsia="Times New Roman" w:cstheme="minorBidi"/>
                                <w:color w:val="222222"/>
                                <w:kern w:val="24"/>
                                <w:highlight w:val="white"/>
                              </w:rPr>
                              <w:t xml:space="preserve">gene </w:t>
                            </w:r>
                            <w:r w:rsidRPr="0027058F">
                              <w:rPr>
                                <w:rFonts w:eastAsia="Times New Roman" w:cstheme="minorBidi"/>
                                <w:color w:val="222222"/>
                                <w:kern w:val="24"/>
                              </w:rPr>
                              <w:t xml:space="preserve">Potri.010G164000 against its non-coding syntenic regions. Highlighting shows disagreement to the </w:t>
                            </w:r>
                            <w:r w:rsidRPr="0027058F">
                              <w:rPr>
                                <w:rFonts w:eastAsia="Times New Roman" w:cstheme="minorBidi"/>
                                <w:i/>
                                <w:iCs/>
                                <w:color w:val="222222"/>
                                <w:kern w:val="24"/>
                              </w:rPr>
                              <w:t xml:space="preserve">de novo </w:t>
                            </w:r>
                            <w:r w:rsidRPr="0027058F">
                              <w:rPr>
                                <w:rFonts w:eastAsia="Times New Roman" w:cstheme="minorBidi"/>
                                <w:color w:val="222222"/>
                                <w:kern w:val="24"/>
                              </w:rPr>
                              <w:t xml:space="preserve">gene. The sequence label includes information about species and coordinates for region; pd = </w:t>
                            </w:r>
                            <w:r w:rsidRPr="0027058F">
                              <w:rPr>
                                <w:rFonts w:eastAsia="Times New Roman" w:cstheme="minorBidi"/>
                                <w:i/>
                                <w:iCs/>
                                <w:color w:val="222222"/>
                                <w:kern w:val="24"/>
                              </w:rPr>
                              <w:t xml:space="preserve">P. deltoides, </w:t>
                            </w:r>
                            <w:r w:rsidRPr="0027058F">
                              <w:rPr>
                                <w:rFonts w:eastAsia="Times New Roman" w:cstheme="minorBidi"/>
                                <w:color w:val="222222"/>
                                <w:kern w:val="24"/>
                              </w:rPr>
                              <w:t xml:space="preserve">sp = </w:t>
                            </w:r>
                            <w:r w:rsidRPr="0027058F">
                              <w:rPr>
                                <w:rFonts w:eastAsia="Times New Roman" w:cstheme="minorBidi"/>
                                <w:i/>
                                <w:iCs/>
                                <w:color w:val="222222"/>
                                <w:kern w:val="24"/>
                              </w:rPr>
                              <w:t>S. purpurea</w:t>
                            </w:r>
                            <w:r w:rsidRPr="0027058F">
                              <w:rPr>
                                <w:rFonts w:eastAsia="Times New Roman" w:cstheme="minorBidi"/>
                                <w:color w:val="222222"/>
                                <w:kern w:val="24"/>
                              </w:rPr>
                              <w:t xml:space="preserve">, pt = </w:t>
                            </w:r>
                            <w:r w:rsidRPr="0027058F">
                              <w:rPr>
                                <w:rFonts w:eastAsia="Times New Roman" w:cstheme="minorBidi"/>
                                <w:i/>
                                <w:iCs/>
                                <w:color w:val="222222"/>
                                <w:kern w:val="24"/>
                              </w:rPr>
                              <w:t>P. trichocarpa</w:t>
                            </w:r>
                            <w:r w:rsidRPr="0027058F">
                              <w:rPr>
                                <w:rFonts w:eastAsia="Times New Roman" w:cstheme="minorBidi"/>
                                <w:color w:val="222222"/>
                                <w:kern w:val="24"/>
                              </w:rPr>
                              <w:t>.</w:t>
                            </w:r>
                          </w:p>
                        </w:txbxContent>
                      </wps:txbx>
                      <wps:bodyPr>
                        <a:spAutoFit/>
                      </wps:bodyPr>
                    </wps:wsp>
                  </a:graphicData>
                </a:graphic>
              </wp:anchor>
            </w:drawing>
          </mc:Choice>
          <mc:Fallback>
            <w:pict>
              <v:rect w14:anchorId="513AC80B" id="_x0000_s1037" style="position:absolute;margin-left:0;margin-top:502.5pt;width:7in;height:75.15pt;z-index:25168486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" filled="f" stroked="f">
                <v:textbox style="mso-fit-shape-to-text:t">
                  <w:txbxContent>
                    <w:p w14:paraId="3797FFD3" w14:textId="77777777" w:rsidR="00636B5B" w:rsidRPr="0027058F" w:rsidRDefault="00636B5B" w:rsidP="00CE7936">
                      <w:pPr>
                        <w:shd w:val="clear" w:color="auto" w:fill="FFFFFF"/>
                        <w:jc w:val="both"/>
                        <w:rPr>
                          <w:rFonts w:eastAsia="Times New Roman" w:cstheme="minorBidi"/>
                          <w:b/>
                          <w:bCs/>
                          <w:color w:val="222222"/>
                          <w:kern w:val="24"/>
                        </w:rPr>
                      </w:pPr>
                      <w:r w:rsidRPr="0027058F">
                        <w:rPr>
                          <w:rFonts w:eastAsia="Times New Roman" w:cstheme="minorBidi"/>
                          <w:b/>
                          <w:bCs/>
                          <w:color w:val="222222"/>
                          <w:kern w:val="24"/>
                          <w:highlight w:val="white"/>
                        </w:rPr>
                        <w:t xml:space="preserve">Figure II-S13. </w:t>
                      </w:r>
                      <w:r w:rsidRPr="0027058F">
                        <w:rPr>
                          <w:rFonts w:eastAsia="Times New Roman" w:cstheme="minorBidi"/>
                          <w:color w:val="222222"/>
                          <w:kern w:val="24"/>
                          <w:highlight w:val="white"/>
                        </w:rPr>
                        <w:t xml:space="preserve">Alignment of </w:t>
                      </w:r>
                      <w:r w:rsidRPr="0027058F">
                        <w:rPr>
                          <w:rFonts w:eastAsia="Times New Roman" w:cstheme="minorBidi"/>
                          <w:i/>
                          <w:iCs/>
                          <w:color w:val="222222"/>
                          <w:kern w:val="24"/>
                          <w:highlight w:val="white"/>
                        </w:rPr>
                        <w:t xml:space="preserve">de novo </w:t>
                      </w:r>
                      <w:r w:rsidRPr="0027058F">
                        <w:rPr>
                          <w:rFonts w:eastAsia="Times New Roman" w:cstheme="minorBidi"/>
                          <w:color w:val="222222"/>
                          <w:kern w:val="24"/>
                          <w:highlight w:val="white"/>
                        </w:rPr>
                        <w:t xml:space="preserve">gene </w:t>
                      </w:r>
                      <w:r w:rsidRPr="0027058F">
                        <w:rPr>
                          <w:rFonts w:eastAsia="Times New Roman" w:cstheme="minorBidi"/>
                          <w:color w:val="222222"/>
                          <w:kern w:val="24"/>
                        </w:rPr>
                        <w:t xml:space="preserve">Potri.010G164000 against its non-coding syntenic regions. Highlighting shows disagreement to the </w:t>
                      </w:r>
                      <w:r w:rsidRPr="0027058F">
                        <w:rPr>
                          <w:rFonts w:eastAsia="Times New Roman" w:cstheme="minorBidi"/>
                          <w:i/>
                          <w:iCs/>
                          <w:color w:val="222222"/>
                          <w:kern w:val="24"/>
                        </w:rPr>
                        <w:t xml:space="preserve">de novo </w:t>
                      </w:r>
                      <w:r w:rsidRPr="0027058F">
                        <w:rPr>
                          <w:rFonts w:eastAsia="Times New Roman" w:cstheme="minorBidi"/>
                          <w:color w:val="222222"/>
                          <w:kern w:val="24"/>
                        </w:rPr>
                        <w:t xml:space="preserve">gene. The sequence label includes information about species and coordinates for region; pd = </w:t>
                      </w:r>
                      <w:r w:rsidRPr="0027058F">
                        <w:rPr>
                          <w:rFonts w:eastAsia="Times New Roman" w:cstheme="minorBidi"/>
                          <w:i/>
                          <w:iCs/>
                          <w:color w:val="222222"/>
                          <w:kern w:val="24"/>
                        </w:rPr>
                        <w:t xml:space="preserve">P. deltoides, </w:t>
                      </w:r>
                      <w:r w:rsidRPr="0027058F">
                        <w:rPr>
                          <w:rFonts w:eastAsia="Times New Roman" w:cstheme="minorBidi"/>
                          <w:color w:val="222222"/>
                          <w:kern w:val="24"/>
                        </w:rPr>
                        <w:t xml:space="preserve">sp = </w:t>
                      </w:r>
                      <w:r w:rsidRPr="0027058F">
                        <w:rPr>
                          <w:rFonts w:eastAsia="Times New Roman" w:cstheme="minorBidi"/>
                          <w:i/>
                          <w:iCs/>
                          <w:color w:val="222222"/>
                          <w:kern w:val="24"/>
                        </w:rPr>
                        <w:t>S. purpurea</w:t>
                      </w:r>
                      <w:r w:rsidRPr="0027058F">
                        <w:rPr>
                          <w:rFonts w:eastAsia="Times New Roman" w:cstheme="minorBidi"/>
                          <w:color w:val="222222"/>
                          <w:kern w:val="24"/>
                        </w:rPr>
                        <w:t xml:space="preserve">, pt = </w:t>
                      </w:r>
                      <w:r w:rsidRPr="0027058F">
                        <w:rPr>
                          <w:rFonts w:eastAsia="Times New Roman" w:cstheme="minorBidi"/>
                          <w:i/>
                          <w:iCs/>
                          <w:color w:val="222222"/>
                          <w:kern w:val="24"/>
                        </w:rPr>
                        <w:t>P. trichocarpa</w:t>
                      </w:r>
                      <w:r w:rsidRPr="0027058F">
                        <w:rPr>
                          <w:rFonts w:eastAsia="Times New Roman" w:cstheme="minorBidi"/>
                          <w:color w:val="222222"/>
                          <w:kern w:val="24"/>
                        </w:rPr>
                        <w:t>.</w:t>
                      </w:r>
                    </w:p>
                  </w:txbxContent>
                </v:textbox>
                <w10:wrap anchorx="margin"/>
              </v:rect>
            </w:pict>
          </mc:Fallback>
        </mc:AlternateContent>
      </w:r>
    </w:p>
    <w:p w14:paraId="39FAAAEF" w14:textId="79A4569B" w:rsidR="00636B5B" w:rsidRDefault="00636B5B" w:rsidP="00CE7936">
      <w:pPr>
        <w:widowControl w:val="0"/>
        <w:autoSpaceDE w:val="0"/>
        <w:autoSpaceDN w:val="0"/>
        <w:adjustRightInd w:val="0"/>
        <w:rPr>
          <w:b/>
          <w:bCs/>
        </w:rPr>
      </w:pPr>
    </w:p>
    <w:p w14:paraId="607C5D73" w14:textId="309B82DA" w:rsidR="00636B5B" w:rsidRDefault="00752AE5" w:rsidP="00CE7936">
      <w:pPr>
        <w:widowControl w:val="0"/>
        <w:autoSpaceDE w:val="0"/>
        <w:autoSpaceDN w:val="0"/>
        <w:adjustRightInd w:val="0"/>
        <w:rPr>
          <w:b/>
          <w:bCs/>
        </w:rPr>
      </w:pPr>
      <w:r w:rsidRPr="0027058F">
        <w:rPr>
          <w:b/>
          <w:bCs/>
          <w:noProof/>
        </w:rPr>
        <w:drawing>
          <wp:anchor distT="0" distB="0" distL="114300" distR="114300" simplePos="0" relativeHeight="251685888" behindDoc="0" locked="0" layoutInCell="1" allowOverlap="1" wp14:anchorId="7DA0D150" wp14:editId="4395A2E4">
            <wp:simplePos x="0" y="0"/>
            <wp:positionH relativeFrom="margin">
              <wp:posOffset>228600</wp:posOffset>
            </wp:positionH>
            <wp:positionV relativeFrom="paragraph">
              <wp:posOffset>121285</wp:posOffset>
            </wp:positionV>
            <wp:extent cx="5486400" cy="5872480"/>
            <wp:effectExtent l="0" t="0" r="0" b="0"/>
            <wp:wrapNone/>
            <wp:docPr id="32" name="Content Placeholder 11" descr="Graphical user interface, application&#10;&#10;Description automatically generated">
              <a:extLst xmlns:a="http://schemas.openxmlformats.org/drawingml/2006/main">
                <a:ext uri="{FF2B5EF4-FFF2-40B4-BE49-F238E27FC236}">
                  <a16:creationId xmlns:a16="http://schemas.microsoft.com/office/drawing/2014/main" id="{F3AE8AA5-A927-A344-AC90-2C8167CF3E0B}"/>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2" name="Content Placeholder 11" descr="Graphical user interface, application&#10;&#10;Description automatically generated">
                      <a:extLst>
                        <a:ext uri="{FF2B5EF4-FFF2-40B4-BE49-F238E27FC236}">
                          <a16:creationId xmlns:a16="http://schemas.microsoft.com/office/drawing/2014/main" id="{F3AE8AA5-A927-A344-AC90-2C8167CF3E0B}"/>
                        </a:ext>
                      </a:extLst>
                    </pic:cNvPr>
                    <pic:cNvPicPr>
                      <a:picLocks noGrp="1" noChangeAspect="1"/>
                    </pic:cNvPicPr>
                  </pic:nvPicPr>
                  <pic:blipFill>
                    <a:blip r:embed="rId34" cstate="print">
                      <a:extLst>
                        <a:ext uri="{28A0092B-C50C-407E-A947-70E740481C1C}">
                          <a14:useLocalDpi xmlns:a14="http://schemas.microsoft.com/office/drawing/2010/main"/>
                        </a:ext>
                      </a:extLst>
                    </a:blip>
                    <a:stretch>
                      <a:fillRect/>
                    </a:stretch>
                  </pic:blipFill>
                  <pic:spPr>
                    <a:xfrm>
                      <a:off x="0" y="0"/>
                      <a:ext cx="5486400" cy="5872480"/>
                    </a:xfrm>
                    <a:prstGeom prst="rect">
                      <a:avLst/>
                    </a:prstGeom>
                  </pic:spPr>
                </pic:pic>
              </a:graphicData>
            </a:graphic>
            <wp14:sizeRelH relativeFrom="margin">
              <wp14:pctWidth>0</wp14:pctWidth>
            </wp14:sizeRelH>
            <wp14:sizeRelV relativeFrom="margin">
              <wp14:pctHeight>0</wp14:pctHeight>
            </wp14:sizeRelV>
          </wp:anchor>
        </w:drawing>
      </w:r>
    </w:p>
    <w:p w14:paraId="1E1A01AF" w14:textId="77777777" w:rsidR="00636B5B" w:rsidRDefault="00636B5B" w:rsidP="00CE7936">
      <w:pPr>
        <w:widowControl w:val="0"/>
        <w:autoSpaceDE w:val="0"/>
        <w:autoSpaceDN w:val="0"/>
        <w:adjustRightInd w:val="0"/>
        <w:rPr>
          <w:b/>
          <w:bCs/>
        </w:rPr>
      </w:pPr>
    </w:p>
    <w:p w14:paraId="66BF688B" w14:textId="77777777" w:rsidR="00636B5B" w:rsidRDefault="00636B5B" w:rsidP="00CE7936">
      <w:pPr>
        <w:widowControl w:val="0"/>
        <w:autoSpaceDE w:val="0"/>
        <w:autoSpaceDN w:val="0"/>
        <w:adjustRightInd w:val="0"/>
        <w:rPr>
          <w:b/>
          <w:bCs/>
        </w:rPr>
      </w:pPr>
    </w:p>
    <w:p w14:paraId="581A91C2" w14:textId="77777777" w:rsidR="00636B5B" w:rsidRDefault="00636B5B" w:rsidP="00CE7936">
      <w:pPr>
        <w:widowControl w:val="0"/>
        <w:autoSpaceDE w:val="0"/>
        <w:autoSpaceDN w:val="0"/>
        <w:adjustRightInd w:val="0"/>
        <w:rPr>
          <w:b/>
          <w:bCs/>
        </w:rPr>
      </w:pPr>
    </w:p>
    <w:p w14:paraId="0E56A396" w14:textId="77777777" w:rsidR="00636B5B" w:rsidRDefault="00636B5B" w:rsidP="00CE7936">
      <w:pPr>
        <w:widowControl w:val="0"/>
        <w:autoSpaceDE w:val="0"/>
        <w:autoSpaceDN w:val="0"/>
        <w:adjustRightInd w:val="0"/>
        <w:rPr>
          <w:b/>
          <w:bCs/>
        </w:rPr>
      </w:pPr>
    </w:p>
    <w:p w14:paraId="2CCE5862" w14:textId="77777777" w:rsidR="00636B5B" w:rsidRDefault="00636B5B" w:rsidP="00CE7936">
      <w:pPr>
        <w:widowControl w:val="0"/>
        <w:autoSpaceDE w:val="0"/>
        <w:autoSpaceDN w:val="0"/>
        <w:adjustRightInd w:val="0"/>
        <w:rPr>
          <w:b/>
          <w:bCs/>
        </w:rPr>
      </w:pPr>
    </w:p>
    <w:p w14:paraId="0321657F" w14:textId="77777777" w:rsidR="00636B5B" w:rsidRDefault="00636B5B" w:rsidP="00CE7936">
      <w:pPr>
        <w:widowControl w:val="0"/>
        <w:autoSpaceDE w:val="0"/>
        <w:autoSpaceDN w:val="0"/>
        <w:adjustRightInd w:val="0"/>
        <w:rPr>
          <w:b/>
          <w:bCs/>
        </w:rPr>
      </w:pPr>
    </w:p>
    <w:p w14:paraId="333F6DF6" w14:textId="77777777" w:rsidR="00636B5B" w:rsidRDefault="00636B5B" w:rsidP="00CE7936">
      <w:pPr>
        <w:widowControl w:val="0"/>
        <w:autoSpaceDE w:val="0"/>
        <w:autoSpaceDN w:val="0"/>
        <w:adjustRightInd w:val="0"/>
        <w:rPr>
          <w:b/>
          <w:bCs/>
        </w:rPr>
      </w:pPr>
    </w:p>
    <w:p w14:paraId="236A5262" w14:textId="77777777" w:rsidR="00636B5B" w:rsidRDefault="00636B5B" w:rsidP="00CE7936">
      <w:pPr>
        <w:widowControl w:val="0"/>
        <w:autoSpaceDE w:val="0"/>
        <w:autoSpaceDN w:val="0"/>
        <w:adjustRightInd w:val="0"/>
        <w:rPr>
          <w:b/>
          <w:bCs/>
        </w:rPr>
      </w:pPr>
    </w:p>
    <w:p w14:paraId="40E7462E" w14:textId="77777777" w:rsidR="00636B5B" w:rsidRDefault="00636B5B" w:rsidP="00CE7936">
      <w:pPr>
        <w:widowControl w:val="0"/>
        <w:autoSpaceDE w:val="0"/>
        <w:autoSpaceDN w:val="0"/>
        <w:adjustRightInd w:val="0"/>
        <w:rPr>
          <w:b/>
          <w:bCs/>
        </w:rPr>
      </w:pPr>
    </w:p>
    <w:p w14:paraId="037C1E9E" w14:textId="77777777" w:rsidR="00636B5B" w:rsidRDefault="00636B5B" w:rsidP="00CE7936">
      <w:pPr>
        <w:widowControl w:val="0"/>
        <w:autoSpaceDE w:val="0"/>
        <w:autoSpaceDN w:val="0"/>
        <w:adjustRightInd w:val="0"/>
        <w:rPr>
          <w:b/>
          <w:bCs/>
        </w:rPr>
      </w:pPr>
    </w:p>
    <w:p w14:paraId="4BAF46F3" w14:textId="77777777" w:rsidR="00636B5B" w:rsidRDefault="00636B5B" w:rsidP="00CE7936">
      <w:pPr>
        <w:widowControl w:val="0"/>
        <w:autoSpaceDE w:val="0"/>
        <w:autoSpaceDN w:val="0"/>
        <w:adjustRightInd w:val="0"/>
        <w:rPr>
          <w:b/>
          <w:bCs/>
        </w:rPr>
      </w:pPr>
    </w:p>
    <w:p w14:paraId="1E41B0EB" w14:textId="77777777" w:rsidR="00636B5B" w:rsidRDefault="00636B5B" w:rsidP="00CE7936">
      <w:pPr>
        <w:widowControl w:val="0"/>
        <w:autoSpaceDE w:val="0"/>
        <w:autoSpaceDN w:val="0"/>
        <w:adjustRightInd w:val="0"/>
        <w:rPr>
          <w:b/>
          <w:bCs/>
        </w:rPr>
      </w:pPr>
    </w:p>
    <w:p w14:paraId="592CFCA3" w14:textId="77777777" w:rsidR="00636B5B" w:rsidRDefault="00636B5B" w:rsidP="00CE7936">
      <w:pPr>
        <w:widowControl w:val="0"/>
        <w:autoSpaceDE w:val="0"/>
        <w:autoSpaceDN w:val="0"/>
        <w:adjustRightInd w:val="0"/>
        <w:rPr>
          <w:b/>
          <w:bCs/>
        </w:rPr>
      </w:pPr>
    </w:p>
    <w:p w14:paraId="2DE4EE2E" w14:textId="77777777" w:rsidR="00636B5B" w:rsidRDefault="00636B5B" w:rsidP="00CE7936">
      <w:pPr>
        <w:widowControl w:val="0"/>
        <w:autoSpaceDE w:val="0"/>
        <w:autoSpaceDN w:val="0"/>
        <w:adjustRightInd w:val="0"/>
        <w:rPr>
          <w:b/>
          <w:bCs/>
        </w:rPr>
      </w:pPr>
    </w:p>
    <w:p w14:paraId="429222F1" w14:textId="77777777" w:rsidR="00636B5B" w:rsidRDefault="00636B5B" w:rsidP="00CE7936">
      <w:pPr>
        <w:widowControl w:val="0"/>
        <w:autoSpaceDE w:val="0"/>
        <w:autoSpaceDN w:val="0"/>
        <w:adjustRightInd w:val="0"/>
        <w:rPr>
          <w:b/>
          <w:bCs/>
        </w:rPr>
      </w:pPr>
    </w:p>
    <w:p w14:paraId="7B535548" w14:textId="77777777" w:rsidR="00636B5B" w:rsidRDefault="00636B5B" w:rsidP="00CE7936">
      <w:pPr>
        <w:widowControl w:val="0"/>
        <w:autoSpaceDE w:val="0"/>
        <w:autoSpaceDN w:val="0"/>
        <w:adjustRightInd w:val="0"/>
        <w:rPr>
          <w:b/>
          <w:bCs/>
        </w:rPr>
      </w:pPr>
    </w:p>
    <w:p w14:paraId="46FBB446" w14:textId="77777777" w:rsidR="00636B5B" w:rsidRDefault="00636B5B" w:rsidP="00CE7936">
      <w:pPr>
        <w:widowControl w:val="0"/>
        <w:autoSpaceDE w:val="0"/>
        <w:autoSpaceDN w:val="0"/>
        <w:adjustRightInd w:val="0"/>
        <w:rPr>
          <w:b/>
          <w:bCs/>
        </w:rPr>
      </w:pPr>
    </w:p>
    <w:p w14:paraId="413FCADB" w14:textId="77777777" w:rsidR="00636B5B" w:rsidRDefault="00636B5B" w:rsidP="00CE7936">
      <w:pPr>
        <w:widowControl w:val="0"/>
        <w:autoSpaceDE w:val="0"/>
        <w:autoSpaceDN w:val="0"/>
        <w:adjustRightInd w:val="0"/>
        <w:rPr>
          <w:b/>
          <w:bCs/>
        </w:rPr>
      </w:pPr>
    </w:p>
    <w:p w14:paraId="4755FCD7" w14:textId="77777777" w:rsidR="00636B5B" w:rsidRDefault="00636B5B" w:rsidP="00CE7936">
      <w:pPr>
        <w:widowControl w:val="0"/>
        <w:autoSpaceDE w:val="0"/>
        <w:autoSpaceDN w:val="0"/>
        <w:adjustRightInd w:val="0"/>
        <w:rPr>
          <w:b/>
          <w:bCs/>
        </w:rPr>
      </w:pPr>
    </w:p>
    <w:p w14:paraId="48D1904F" w14:textId="77777777" w:rsidR="00636B5B" w:rsidRDefault="00636B5B" w:rsidP="00CE7936">
      <w:pPr>
        <w:widowControl w:val="0"/>
        <w:autoSpaceDE w:val="0"/>
        <w:autoSpaceDN w:val="0"/>
        <w:adjustRightInd w:val="0"/>
        <w:rPr>
          <w:b/>
          <w:bCs/>
        </w:rPr>
      </w:pPr>
    </w:p>
    <w:p w14:paraId="2A99F620" w14:textId="77777777" w:rsidR="00636B5B" w:rsidRDefault="00636B5B" w:rsidP="00CE7936">
      <w:pPr>
        <w:widowControl w:val="0"/>
        <w:autoSpaceDE w:val="0"/>
        <w:autoSpaceDN w:val="0"/>
        <w:adjustRightInd w:val="0"/>
        <w:rPr>
          <w:b/>
          <w:bCs/>
        </w:rPr>
      </w:pPr>
    </w:p>
    <w:p w14:paraId="6F83F1C7" w14:textId="77777777" w:rsidR="00636B5B" w:rsidRDefault="00636B5B" w:rsidP="00CE7936">
      <w:pPr>
        <w:widowControl w:val="0"/>
        <w:autoSpaceDE w:val="0"/>
        <w:autoSpaceDN w:val="0"/>
        <w:adjustRightInd w:val="0"/>
        <w:rPr>
          <w:b/>
          <w:bCs/>
        </w:rPr>
      </w:pPr>
    </w:p>
    <w:p w14:paraId="33DF5C6D" w14:textId="77777777" w:rsidR="00636B5B" w:rsidRDefault="00636B5B" w:rsidP="00CE7936">
      <w:pPr>
        <w:widowControl w:val="0"/>
        <w:autoSpaceDE w:val="0"/>
        <w:autoSpaceDN w:val="0"/>
        <w:adjustRightInd w:val="0"/>
        <w:rPr>
          <w:b/>
          <w:bCs/>
        </w:rPr>
      </w:pPr>
    </w:p>
    <w:p w14:paraId="1AE98243" w14:textId="77777777" w:rsidR="00636B5B" w:rsidRDefault="00636B5B" w:rsidP="00CE7936">
      <w:pPr>
        <w:widowControl w:val="0"/>
        <w:autoSpaceDE w:val="0"/>
        <w:autoSpaceDN w:val="0"/>
        <w:adjustRightInd w:val="0"/>
        <w:rPr>
          <w:b/>
          <w:bCs/>
        </w:rPr>
      </w:pPr>
    </w:p>
    <w:p w14:paraId="0B3714D1" w14:textId="77777777" w:rsidR="00636B5B" w:rsidRDefault="00636B5B" w:rsidP="00CE7936">
      <w:pPr>
        <w:widowControl w:val="0"/>
        <w:autoSpaceDE w:val="0"/>
        <w:autoSpaceDN w:val="0"/>
        <w:adjustRightInd w:val="0"/>
        <w:rPr>
          <w:b/>
          <w:bCs/>
        </w:rPr>
      </w:pPr>
    </w:p>
    <w:p w14:paraId="5B264C8C" w14:textId="77777777" w:rsidR="00636B5B" w:rsidRDefault="00636B5B" w:rsidP="00CE7936">
      <w:pPr>
        <w:widowControl w:val="0"/>
        <w:autoSpaceDE w:val="0"/>
        <w:autoSpaceDN w:val="0"/>
        <w:adjustRightInd w:val="0"/>
        <w:rPr>
          <w:b/>
          <w:bCs/>
        </w:rPr>
      </w:pPr>
    </w:p>
    <w:p w14:paraId="675380A8" w14:textId="77777777" w:rsidR="00636B5B" w:rsidRDefault="00636B5B" w:rsidP="00CE7936">
      <w:pPr>
        <w:widowControl w:val="0"/>
        <w:autoSpaceDE w:val="0"/>
        <w:autoSpaceDN w:val="0"/>
        <w:adjustRightInd w:val="0"/>
        <w:rPr>
          <w:b/>
          <w:bCs/>
        </w:rPr>
      </w:pPr>
    </w:p>
    <w:p w14:paraId="097B9928" w14:textId="77777777" w:rsidR="00636B5B" w:rsidRDefault="00636B5B" w:rsidP="00CE7936">
      <w:pPr>
        <w:widowControl w:val="0"/>
        <w:autoSpaceDE w:val="0"/>
        <w:autoSpaceDN w:val="0"/>
        <w:adjustRightInd w:val="0"/>
        <w:rPr>
          <w:b/>
          <w:bCs/>
        </w:rPr>
      </w:pPr>
    </w:p>
    <w:p w14:paraId="65AF4B20" w14:textId="77777777" w:rsidR="00636B5B" w:rsidRDefault="00636B5B" w:rsidP="00CE7936">
      <w:pPr>
        <w:widowControl w:val="0"/>
        <w:autoSpaceDE w:val="0"/>
        <w:autoSpaceDN w:val="0"/>
        <w:adjustRightInd w:val="0"/>
        <w:rPr>
          <w:b/>
          <w:bCs/>
        </w:rPr>
      </w:pPr>
    </w:p>
    <w:p w14:paraId="10E2024A" w14:textId="77777777" w:rsidR="00636B5B" w:rsidRDefault="00636B5B" w:rsidP="00CE7936">
      <w:pPr>
        <w:widowControl w:val="0"/>
        <w:autoSpaceDE w:val="0"/>
        <w:autoSpaceDN w:val="0"/>
        <w:adjustRightInd w:val="0"/>
        <w:rPr>
          <w:b/>
          <w:bCs/>
        </w:rPr>
      </w:pPr>
    </w:p>
    <w:p w14:paraId="497E876E" w14:textId="77777777" w:rsidR="00636B5B" w:rsidRDefault="00636B5B" w:rsidP="00CE7936">
      <w:pPr>
        <w:widowControl w:val="0"/>
        <w:autoSpaceDE w:val="0"/>
        <w:autoSpaceDN w:val="0"/>
        <w:adjustRightInd w:val="0"/>
        <w:rPr>
          <w:b/>
          <w:bCs/>
        </w:rPr>
      </w:pPr>
    </w:p>
    <w:p w14:paraId="161E69CB" w14:textId="77777777" w:rsidR="00636B5B" w:rsidRDefault="00636B5B" w:rsidP="00CE7936">
      <w:pPr>
        <w:widowControl w:val="0"/>
        <w:autoSpaceDE w:val="0"/>
        <w:autoSpaceDN w:val="0"/>
        <w:adjustRightInd w:val="0"/>
        <w:rPr>
          <w:b/>
          <w:bCs/>
        </w:rPr>
      </w:pPr>
    </w:p>
    <w:p w14:paraId="27CD5AA1" w14:textId="77777777" w:rsidR="00636B5B" w:rsidRDefault="00636B5B" w:rsidP="00CE7936">
      <w:pPr>
        <w:widowControl w:val="0"/>
        <w:autoSpaceDE w:val="0"/>
        <w:autoSpaceDN w:val="0"/>
        <w:adjustRightInd w:val="0"/>
        <w:rPr>
          <w:b/>
          <w:bCs/>
        </w:rPr>
      </w:pPr>
    </w:p>
    <w:p w14:paraId="0C1A89B7" w14:textId="77777777" w:rsidR="00636B5B" w:rsidRDefault="00636B5B" w:rsidP="00CE7936">
      <w:pPr>
        <w:widowControl w:val="0"/>
        <w:autoSpaceDE w:val="0"/>
        <w:autoSpaceDN w:val="0"/>
        <w:adjustRightInd w:val="0"/>
        <w:rPr>
          <w:b/>
          <w:bCs/>
        </w:rPr>
      </w:pPr>
    </w:p>
    <w:p w14:paraId="7121DFEF" w14:textId="77777777" w:rsidR="00636B5B" w:rsidRDefault="00636B5B" w:rsidP="00CE7936">
      <w:pPr>
        <w:widowControl w:val="0"/>
        <w:autoSpaceDE w:val="0"/>
        <w:autoSpaceDN w:val="0"/>
        <w:adjustRightInd w:val="0"/>
        <w:rPr>
          <w:b/>
          <w:bCs/>
        </w:rPr>
      </w:pPr>
      <w:r w:rsidRPr="0027058F">
        <w:rPr>
          <w:b/>
          <w:bCs/>
          <w:noProof/>
        </w:rPr>
        <mc:AlternateContent>
          <mc:Choice Requires="wps">
            <w:drawing>
              <wp:anchor distT="0" distB="0" distL="114300" distR="114300" simplePos="0" relativeHeight="251703296" behindDoc="0" locked="0" layoutInCell="1" allowOverlap="1" wp14:anchorId="743EB08D" wp14:editId="0B28B787">
                <wp:simplePos x="0" y="0"/>
                <wp:positionH relativeFrom="margin">
                  <wp:align>left</wp:align>
                </wp:positionH>
                <wp:positionV relativeFrom="paragraph">
                  <wp:posOffset>91440</wp:posOffset>
                </wp:positionV>
                <wp:extent cx="5943600" cy="953770"/>
                <wp:effectExtent l="0" t="0" r="0" b="0"/>
                <wp:wrapNone/>
                <wp:docPr id="19" name="Rectangle 5"/>
                <wp:cNvGraphicFramePr/>
                <a:graphic xmlns:a="http://schemas.openxmlformats.org/drawingml/2006/main">
                  <a:graphicData uri="http://schemas.microsoft.com/office/word/2010/wordprocessingShape">
                    <wps:wsp>
                      <wps:cNvSpPr/>
                      <wps:spPr>
                        <a:xfrm>
                          <a:off x="0" y="0"/>
                          <a:ext cx="5943600" cy="953770"/>
                        </a:xfrm>
                        <a:prstGeom prst="rect">
                          <a:avLst/>
                        </a:prstGeom>
                      </wps:spPr>
                      <wps:txbx>
                        <w:txbxContent>
                          <w:p w14:paraId="31F0EB1C" w14:textId="77777777" w:rsidR="00636B5B" w:rsidRPr="0027058F" w:rsidRDefault="00636B5B" w:rsidP="00FB6A53">
                            <w:pPr>
                              <w:shd w:val="clear" w:color="auto" w:fill="FFFFFF"/>
                              <w:jc w:val="both"/>
                              <w:rPr>
                                <w:rFonts w:eastAsia="Times New Roman" w:cstheme="minorBidi"/>
                                <w:b/>
                                <w:bCs/>
                                <w:color w:val="222222"/>
                                <w:kern w:val="24"/>
                              </w:rPr>
                            </w:pPr>
                            <w:r w:rsidRPr="0027058F">
                              <w:rPr>
                                <w:rFonts w:eastAsia="Times New Roman" w:cstheme="minorBidi"/>
                                <w:b/>
                                <w:bCs/>
                                <w:color w:val="222222"/>
                                <w:kern w:val="24"/>
                                <w:highlight w:val="white"/>
                              </w:rPr>
                              <w:t xml:space="preserve">Figure II-S13. </w:t>
                            </w:r>
                            <w:r w:rsidRPr="0027058F">
                              <w:rPr>
                                <w:rFonts w:eastAsia="Times New Roman" w:cstheme="minorBidi"/>
                                <w:color w:val="222222"/>
                                <w:kern w:val="24"/>
                                <w:highlight w:val="white"/>
                              </w:rPr>
                              <w:t xml:space="preserve">Alignment of </w:t>
                            </w:r>
                            <w:r w:rsidRPr="0027058F">
                              <w:rPr>
                                <w:rFonts w:eastAsia="Times New Roman" w:cstheme="minorBidi"/>
                                <w:i/>
                                <w:iCs/>
                                <w:color w:val="222222"/>
                                <w:kern w:val="24"/>
                                <w:highlight w:val="white"/>
                              </w:rPr>
                              <w:t xml:space="preserve">de novo </w:t>
                            </w:r>
                            <w:r w:rsidRPr="0027058F">
                              <w:rPr>
                                <w:rFonts w:eastAsia="Times New Roman" w:cstheme="minorBidi"/>
                                <w:color w:val="222222"/>
                                <w:kern w:val="24"/>
                                <w:highlight w:val="white"/>
                              </w:rPr>
                              <w:t xml:space="preserve">gene </w:t>
                            </w:r>
                            <w:r w:rsidRPr="0027058F">
                              <w:rPr>
                                <w:rFonts w:eastAsia="Times New Roman" w:cstheme="minorBidi"/>
                                <w:color w:val="222222"/>
                                <w:kern w:val="24"/>
                              </w:rPr>
                              <w:t xml:space="preserve">Potri.010G164000 against its non-coding syntenic regions. Highlighting shows disagreement to the </w:t>
                            </w:r>
                            <w:r w:rsidRPr="0027058F">
                              <w:rPr>
                                <w:rFonts w:eastAsia="Times New Roman" w:cstheme="minorBidi"/>
                                <w:i/>
                                <w:iCs/>
                                <w:color w:val="222222"/>
                                <w:kern w:val="24"/>
                              </w:rPr>
                              <w:t xml:space="preserve">de novo </w:t>
                            </w:r>
                            <w:r w:rsidRPr="0027058F">
                              <w:rPr>
                                <w:rFonts w:eastAsia="Times New Roman" w:cstheme="minorBidi"/>
                                <w:color w:val="222222"/>
                                <w:kern w:val="24"/>
                              </w:rPr>
                              <w:t xml:space="preserve">gene. The sequence label includes information about species and coordinates for region; pd = </w:t>
                            </w:r>
                            <w:r w:rsidRPr="0027058F">
                              <w:rPr>
                                <w:rFonts w:eastAsia="Times New Roman" w:cstheme="minorBidi"/>
                                <w:i/>
                                <w:iCs/>
                                <w:color w:val="222222"/>
                                <w:kern w:val="24"/>
                              </w:rPr>
                              <w:t xml:space="preserve">P. deltoides, </w:t>
                            </w:r>
                            <w:r w:rsidRPr="0027058F">
                              <w:rPr>
                                <w:rFonts w:eastAsia="Times New Roman" w:cstheme="minorBidi"/>
                                <w:color w:val="222222"/>
                                <w:kern w:val="24"/>
                              </w:rPr>
                              <w:t xml:space="preserve">sp = </w:t>
                            </w:r>
                            <w:r w:rsidRPr="0027058F">
                              <w:rPr>
                                <w:rFonts w:eastAsia="Times New Roman" w:cstheme="minorBidi"/>
                                <w:i/>
                                <w:iCs/>
                                <w:color w:val="222222"/>
                                <w:kern w:val="24"/>
                              </w:rPr>
                              <w:t>S. purpurea</w:t>
                            </w:r>
                            <w:r w:rsidRPr="0027058F">
                              <w:rPr>
                                <w:rFonts w:eastAsia="Times New Roman" w:cstheme="minorBidi"/>
                                <w:color w:val="222222"/>
                                <w:kern w:val="24"/>
                              </w:rPr>
                              <w:t xml:space="preserve">, pt = </w:t>
                            </w:r>
                            <w:r w:rsidRPr="0027058F">
                              <w:rPr>
                                <w:rFonts w:eastAsia="Times New Roman" w:cstheme="minorBidi"/>
                                <w:i/>
                                <w:iCs/>
                                <w:color w:val="222222"/>
                                <w:kern w:val="24"/>
                              </w:rPr>
                              <w:t>P. trichocarpa</w:t>
                            </w:r>
                            <w:r w:rsidRPr="0027058F">
                              <w:rPr>
                                <w:rFonts w:eastAsia="Times New Roman" w:cstheme="minorBidi"/>
                                <w:color w:val="222222"/>
                                <w:kern w:val="24"/>
                              </w:rPr>
                              <w:t>.</w:t>
                            </w:r>
                          </w:p>
                        </w:txbxContent>
                      </wps:txbx>
                      <wps:bodyPr wrap="square">
                        <a:spAutoFit/>
                      </wps:bodyPr>
                    </wps:wsp>
                  </a:graphicData>
                </a:graphic>
                <wp14:sizeRelH relativeFrom="margin">
                  <wp14:pctWidth>0</wp14:pctWidth>
                </wp14:sizeRelH>
              </wp:anchor>
            </w:drawing>
          </mc:Choice>
          <mc:Fallback>
            <w:pict>
              <v:rect w14:anchorId="743EB08D" id="_x0000_s1038" style="position:absolute;margin-left:0;margin-top:7.2pt;width:468pt;height:75.1pt;z-index:25170329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" filled="f" stroked="f">
                <v:textbox style="mso-fit-shape-to-text:t">
                  <w:txbxContent>
                    <w:p w14:paraId="31F0EB1C" w14:textId="77777777" w:rsidR="00636B5B" w:rsidRPr="0027058F" w:rsidRDefault="00636B5B" w:rsidP="00FB6A53">
                      <w:pPr>
                        <w:shd w:val="clear" w:color="auto" w:fill="FFFFFF"/>
                        <w:jc w:val="both"/>
                        <w:rPr>
                          <w:rFonts w:eastAsia="Times New Roman" w:cstheme="minorBidi"/>
                          <w:b/>
                          <w:bCs/>
                          <w:color w:val="222222"/>
                          <w:kern w:val="24"/>
                        </w:rPr>
                      </w:pPr>
                      <w:r w:rsidRPr="0027058F">
                        <w:rPr>
                          <w:rFonts w:eastAsia="Times New Roman" w:cstheme="minorBidi"/>
                          <w:b/>
                          <w:bCs/>
                          <w:color w:val="222222"/>
                          <w:kern w:val="24"/>
                          <w:highlight w:val="white"/>
                        </w:rPr>
                        <w:t xml:space="preserve">Figure II-S13. </w:t>
                      </w:r>
                      <w:r w:rsidRPr="0027058F">
                        <w:rPr>
                          <w:rFonts w:eastAsia="Times New Roman" w:cstheme="minorBidi"/>
                          <w:color w:val="222222"/>
                          <w:kern w:val="24"/>
                          <w:highlight w:val="white"/>
                        </w:rPr>
                        <w:t xml:space="preserve">Alignment of </w:t>
                      </w:r>
                      <w:r w:rsidRPr="0027058F">
                        <w:rPr>
                          <w:rFonts w:eastAsia="Times New Roman" w:cstheme="minorBidi"/>
                          <w:i/>
                          <w:iCs/>
                          <w:color w:val="222222"/>
                          <w:kern w:val="24"/>
                          <w:highlight w:val="white"/>
                        </w:rPr>
                        <w:t xml:space="preserve">de novo </w:t>
                      </w:r>
                      <w:r w:rsidRPr="0027058F">
                        <w:rPr>
                          <w:rFonts w:eastAsia="Times New Roman" w:cstheme="minorBidi"/>
                          <w:color w:val="222222"/>
                          <w:kern w:val="24"/>
                          <w:highlight w:val="white"/>
                        </w:rPr>
                        <w:t xml:space="preserve">gene </w:t>
                      </w:r>
                      <w:r w:rsidRPr="0027058F">
                        <w:rPr>
                          <w:rFonts w:eastAsia="Times New Roman" w:cstheme="minorBidi"/>
                          <w:color w:val="222222"/>
                          <w:kern w:val="24"/>
                        </w:rPr>
                        <w:t xml:space="preserve">Potri.010G164000 against its non-coding syntenic regions. Highlighting shows disagreement to the </w:t>
                      </w:r>
                      <w:r w:rsidRPr="0027058F">
                        <w:rPr>
                          <w:rFonts w:eastAsia="Times New Roman" w:cstheme="minorBidi"/>
                          <w:i/>
                          <w:iCs/>
                          <w:color w:val="222222"/>
                          <w:kern w:val="24"/>
                        </w:rPr>
                        <w:t xml:space="preserve">de novo </w:t>
                      </w:r>
                      <w:r w:rsidRPr="0027058F">
                        <w:rPr>
                          <w:rFonts w:eastAsia="Times New Roman" w:cstheme="minorBidi"/>
                          <w:color w:val="222222"/>
                          <w:kern w:val="24"/>
                        </w:rPr>
                        <w:t xml:space="preserve">gene. The sequence label includes information about species and coordinates for region; pd = </w:t>
                      </w:r>
                      <w:r w:rsidRPr="0027058F">
                        <w:rPr>
                          <w:rFonts w:eastAsia="Times New Roman" w:cstheme="minorBidi"/>
                          <w:i/>
                          <w:iCs/>
                          <w:color w:val="222222"/>
                          <w:kern w:val="24"/>
                        </w:rPr>
                        <w:t xml:space="preserve">P. deltoides, </w:t>
                      </w:r>
                      <w:r w:rsidRPr="0027058F">
                        <w:rPr>
                          <w:rFonts w:eastAsia="Times New Roman" w:cstheme="minorBidi"/>
                          <w:color w:val="222222"/>
                          <w:kern w:val="24"/>
                        </w:rPr>
                        <w:t xml:space="preserve">sp = </w:t>
                      </w:r>
                      <w:r w:rsidRPr="0027058F">
                        <w:rPr>
                          <w:rFonts w:eastAsia="Times New Roman" w:cstheme="minorBidi"/>
                          <w:i/>
                          <w:iCs/>
                          <w:color w:val="222222"/>
                          <w:kern w:val="24"/>
                        </w:rPr>
                        <w:t>S. purpurea</w:t>
                      </w:r>
                      <w:r w:rsidRPr="0027058F">
                        <w:rPr>
                          <w:rFonts w:eastAsia="Times New Roman" w:cstheme="minorBidi"/>
                          <w:color w:val="222222"/>
                          <w:kern w:val="24"/>
                        </w:rPr>
                        <w:t xml:space="preserve">, pt = </w:t>
                      </w:r>
                      <w:r w:rsidRPr="0027058F">
                        <w:rPr>
                          <w:rFonts w:eastAsia="Times New Roman" w:cstheme="minorBidi"/>
                          <w:i/>
                          <w:iCs/>
                          <w:color w:val="222222"/>
                          <w:kern w:val="24"/>
                        </w:rPr>
                        <w:t>P. trichocarpa</w:t>
                      </w:r>
                      <w:r w:rsidRPr="0027058F">
                        <w:rPr>
                          <w:rFonts w:eastAsia="Times New Roman" w:cstheme="minorBidi"/>
                          <w:color w:val="222222"/>
                          <w:kern w:val="24"/>
                        </w:rPr>
                        <w:t>.</w:t>
                      </w:r>
                    </w:p>
                  </w:txbxContent>
                </v:textbox>
                <w10:wrap anchorx="margin"/>
              </v:rect>
            </w:pict>
          </mc:Fallback>
        </mc:AlternateContent>
      </w:r>
    </w:p>
    <w:p w14:paraId="3B98C557" w14:textId="77777777" w:rsidR="00636B5B" w:rsidRDefault="00636B5B" w:rsidP="00CE7936">
      <w:pPr>
        <w:widowControl w:val="0"/>
        <w:autoSpaceDE w:val="0"/>
        <w:autoSpaceDN w:val="0"/>
        <w:adjustRightInd w:val="0"/>
        <w:rPr>
          <w:b/>
          <w:bCs/>
        </w:rPr>
      </w:pPr>
    </w:p>
    <w:p w14:paraId="6ED77BA3" w14:textId="77777777" w:rsidR="00636B5B" w:rsidRDefault="00636B5B" w:rsidP="00CE7936">
      <w:pPr>
        <w:widowControl w:val="0"/>
        <w:autoSpaceDE w:val="0"/>
        <w:autoSpaceDN w:val="0"/>
        <w:adjustRightInd w:val="0"/>
        <w:rPr>
          <w:b/>
          <w:bCs/>
        </w:rPr>
      </w:pPr>
    </w:p>
    <w:p w14:paraId="5BAEFEAB" w14:textId="77777777" w:rsidR="00636B5B" w:rsidRDefault="00636B5B" w:rsidP="00CE7936">
      <w:pPr>
        <w:widowControl w:val="0"/>
        <w:autoSpaceDE w:val="0"/>
        <w:autoSpaceDN w:val="0"/>
        <w:adjustRightInd w:val="0"/>
        <w:rPr>
          <w:b/>
          <w:bCs/>
        </w:rPr>
      </w:pPr>
    </w:p>
    <w:p w14:paraId="636CDA09" w14:textId="77777777" w:rsidR="00636B5B" w:rsidRDefault="00636B5B" w:rsidP="00CE7936">
      <w:pPr>
        <w:widowControl w:val="0"/>
        <w:autoSpaceDE w:val="0"/>
        <w:autoSpaceDN w:val="0"/>
        <w:adjustRightInd w:val="0"/>
        <w:rPr>
          <w:b/>
          <w:bCs/>
        </w:rPr>
      </w:pPr>
    </w:p>
    <w:p w14:paraId="61F56508" w14:textId="77777777" w:rsidR="00636B5B" w:rsidRDefault="00636B5B" w:rsidP="00CE7936">
      <w:pPr>
        <w:widowControl w:val="0"/>
        <w:autoSpaceDE w:val="0"/>
        <w:autoSpaceDN w:val="0"/>
        <w:adjustRightInd w:val="0"/>
        <w:rPr>
          <w:b/>
          <w:bCs/>
        </w:rPr>
      </w:pPr>
    </w:p>
    <w:p w14:paraId="1E31D4FA" w14:textId="77777777" w:rsidR="00636B5B" w:rsidRDefault="00636B5B" w:rsidP="00CE7936">
      <w:pPr>
        <w:widowControl w:val="0"/>
        <w:autoSpaceDE w:val="0"/>
        <w:autoSpaceDN w:val="0"/>
        <w:adjustRightInd w:val="0"/>
        <w:rPr>
          <w:b/>
          <w:bCs/>
        </w:rPr>
      </w:pPr>
    </w:p>
    <w:p w14:paraId="78C431F7" w14:textId="77777777" w:rsidR="00636B5B" w:rsidRDefault="00636B5B" w:rsidP="00CE7936">
      <w:pPr>
        <w:widowControl w:val="0"/>
        <w:autoSpaceDE w:val="0"/>
        <w:autoSpaceDN w:val="0"/>
        <w:adjustRightInd w:val="0"/>
        <w:rPr>
          <w:b/>
          <w:bCs/>
        </w:rPr>
      </w:pPr>
    </w:p>
    <w:p w14:paraId="19BDC4F2" w14:textId="77777777" w:rsidR="00636B5B" w:rsidRDefault="00636B5B" w:rsidP="00CE7936">
      <w:pPr>
        <w:widowControl w:val="0"/>
        <w:autoSpaceDE w:val="0"/>
        <w:autoSpaceDN w:val="0"/>
        <w:adjustRightInd w:val="0"/>
        <w:rPr>
          <w:b/>
          <w:bCs/>
        </w:rPr>
      </w:pPr>
    </w:p>
    <w:p w14:paraId="20394744" w14:textId="77777777" w:rsidR="00636B5B" w:rsidRDefault="00636B5B" w:rsidP="00CE7936">
      <w:pPr>
        <w:widowControl w:val="0"/>
        <w:autoSpaceDE w:val="0"/>
        <w:autoSpaceDN w:val="0"/>
        <w:adjustRightInd w:val="0"/>
        <w:rPr>
          <w:b/>
          <w:bCs/>
        </w:rPr>
      </w:pPr>
    </w:p>
    <w:p w14:paraId="506FBCE4" w14:textId="77777777" w:rsidR="00636B5B" w:rsidRDefault="00636B5B" w:rsidP="00CE7936">
      <w:pPr>
        <w:widowControl w:val="0"/>
        <w:autoSpaceDE w:val="0"/>
        <w:autoSpaceDN w:val="0"/>
        <w:adjustRightInd w:val="0"/>
        <w:rPr>
          <w:b/>
          <w:bCs/>
        </w:rPr>
      </w:pPr>
      <w:r w:rsidRPr="0027058F">
        <w:rPr>
          <w:b/>
          <w:bCs/>
          <w:noProof/>
        </w:rPr>
        <w:lastRenderedPageBreak/>
        <w:drawing>
          <wp:anchor distT="0" distB="0" distL="114300" distR="114300" simplePos="0" relativeHeight="251687936" behindDoc="0" locked="0" layoutInCell="1" allowOverlap="1" wp14:anchorId="60C8A000" wp14:editId="698DE97F">
            <wp:simplePos x="0" y="0"/>
            <wp:positionH relativeFrom="margin">
              <wp:align>center</wp:align>
            </wp:positionH>
            <wp:positionV relativeFrom="paragraph">
              <wp:posOffset>113665</wp:posOffset>
            </wp:positionV>
            <wp:extent cx="5486400" cy="2836398"/>
            <wp:effectExtent l="0" t="0" r="0" b="0"/>
            <wp:wrapNone/>
            <wp:docPr id="34" name="Content Placeholder 11" descr="Table&#10;&#10;Description automatically generated">
              <a:extLst xmlns:a="http://schemas.openxmlformats.org/drawingml/2006/main">
                <a:ext uri="{FF2B5EF4-FFF2-40B4-BE49-F238E27FC236}">
                  <a16:creationId xmlns:a16="http://schemas.microsoft.com/office/drawing/2014/main" id="{1B98ED7F-D936-6249-BE90-97D6D0D6983A}"/>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4" name="Content Placeholder 11" descr="Table&#10;&#10;Description automatically generated">
                      <a:extLst>
                        <a:ext uri="{FF2B5EF4-FFF2-40B4-BE49-F238E27FC236}">
                          <a16:creationId xmlns:a16="http://schemas.microsoft.com/office/drawing/2014/main" id="{1B98ED7F-D936-6249-BE90-97D6D0D6983A}"/>
                        </a:ext>
                      </a:extLst>
                    </pic:cNvPr>
                    <pic:cNvPicPr>
                      <a:picLocks noGrp="1" noChangeAspect="1"/>
                    </pic:cNvPicPr>
                  </pic:nvPicPr>
                  <pic:blipFill>
                    <a:blip r:embed="rId35" cstate="print">
                      <a:extLst>
                        <a:ext uri="{28A0092B-C50C-407E-A947-70E740481C1C}">
                          <a14:useLocalDpi xmlns:a14="http://schemas.microsoft.com/office/drawing/2010/main"/>
                        </a:ext>
                      </a:extLst>
                    </a:blip>
                    <a:stretch>
                      <a:fillRect/>
                    </a:stretch>
                  </pic:blipFill>
                  <pic:spPr>
                    <a:xfrm>
                      <a:off x="0" y="0"/>
                      <a:ext cx="5486400" cy="2836398"/>
                    </a:xfrm>
                    <a:prstGeom prst="rect">
                      <a:avLst/>
                    </a:prstGeom>
                  </pic:spPr>
                </pic:pic>
              </a:graphicData>
            </a:graphic>
            <wp14:sizeRelH relativeFrom="margin">
              <wp14:pctWidth>0</wp14:pctWidth>
            </wp14:sizeRelH>
            <wp14:sizeRelV relativeFrom="margin">
              <wp14:pctHeight>0</wp14:pctHeight>
            </wp14:sizeRelV>
          </wp:anchor>
        </w:drawing>
      </w:r>
    </w:p>
    <w:p w14:paraId="69AE51B7" w14:textId="77777777" w:rsidR="00636B5B" w:rsidRDefault="00636B5B" w:rsidP="00CE7936">
      <w:pPr>
        <w:widowControl w:val="0"/>
        <w:autoSpaceDE w:val="0"/>
        <w:autoSpaceDN w:val="0"/>
        <w:adjustRightInd w:val="0"/>
        <w:rPr>
          <w:b/>
          <w:bCs/>
        </w:rPr>
      </w:pPr>
    </w:p>
    <w:p w14:paraId="5F81BFFB" w14:textId="77777777" w:rsidR="00636B5B" w:rsidRDefault="00636B5B" w:rsidP="00CE7936">
      <w:pPr>
        <w:widowControl w:val="0"/>
        <w:autoSpaceDE w:val="0"/>
        <w:autoSpaceDN w:val="0"/>
        <w:adjustRightInd w:val="0"/>
        <w:rPr>
          <w:b/>
          <w:bCs/>
        </w:rPr>
      </w:pPr>
    </w:p>
    <w:p w14:paraId="0FAEEC9C" w14:textId="77777777" w:rsidR="00636B5B" w:rsidRDefault="00636B5B" w:rsidP="00CE7936">
      <w:pPr>
        <w:widowControl w:val="0"/>
        <w:autoSpaceDE w:val="0"/>
        <w:autoSpaceDN w:val="0"/>
        <w:adjustRightInd w:val="0"/>
        <w:rPr>
          <w:b/>
          <w:bCs/>
        </w:rPr>
      </w:pPr>
    </w:p>
    <w:p w14:paraId="44B7C9C7" w14:textId="77777777" w:rsidR="00636B5B" w:rsidRDefault="00636B5B" w:rsidP="00CE7936">
      <w:pPr>
        <w:widowControl w:val="0"/>
        <w:autoSpaceDE w:val="0"/>
        <w:autoSpaceDN w:val="0"/>
        <w:adjustRightInd w:val="0"/>
        <w:rPr>
          <w:b/>
          <w:bCs/>
        </w:rPr>
      </w:pPr>
    </w:p>
    <w:p w14:paraId="59C4BE78" w14:textId="77777777" w:rsidR="00636B5B" w:rsidRDefault="00636B5B" w:rsidP="00CE7936">
      <w:pPr>
        <w:widowControl w:val="0"/>
        <w:autoSpaceDE w:val="0"/>
        <w:autoSpaceDN w:val="0"/>
        <w:adjustRightInd w:val="0"/>
        <w:rPr>
          <w:b/>
          <w:bCs/>
        </w:rPr>
      </w:pPr>
    </w:p>
    <w:p w14:paraId="6BCBE000" w14:textId="77777777" w:rsidR="00636B5B" w:rsidRDefault="00636B5B" w:rsidP="00CE7936">
      <w:pPr>
        <w:widowControl w:val="0"/>
        <w:autoSpaceDE w:val="0"/>
        <w:autoSpaceDN w:val="0"/>
        <w:adjustRightInd w:val="0"/>
        <w:rPr>
          <w:b/>
          <w:bCs/>
        </w:rPr>
      </w:pPr>
    </w:p>
    <w:p w14:paraId="075D5B1C" w14:textId="77777777" w:rsidR="00636B5B" w:rsidRDefault="00636B5B" w:rsidP="00CE7936">
      <w:pPr>
        <w:widowControl w:val="0"/>
        <w:autoSpaceDE w:val="0"/>
        <w:autoSpaceDN w:val="0"/>
        <w:adjustRightInd w:val="0"/>
        <w:rPr>
          <w:b/>
          <w:bCs/>
        </w:rPr>
      </w:pPr>
    </w:p>
    <w:p w14:paraId="237D056F" w14:textId="77777777" w:rsidR="00636B5B" w:rsidRDefault="00636B5B" w:rsidP="00CE7936">
      <w:pPr>
        <w:widowControl w:val="0"/>
        <w:autoSpaceDE w:val="0"/>
        <w:autoSpaceDN w:val="0"/>
        <w:adjustRightInd w:val="0"/>
        <w:rPr>
          <w:b/>
          <w:bCs/>
        </w:rPr>
      </w:pPr>
    </w:p>
    <w:p w14:paraId="0E463903" w14:textId="77777777" w:rsidR="00636B5B" w:rsidRDefault="00636B5B" w:rsidP="00CE7936">
      <w:pPr>
        <w:widowControl w:val="0"/>
        <w:autoSpaceDE w:val="0"/>
        <w:autoSpaceDN w:val="0"/>
        <w:adjustRightInd w:val="0"/>
        <w:rPr>
          <w:b/>
          <w:bCs/>
        </w:rPr>
      </w:pPr>
    </w:p>
    <w:p w14:paraId="3705D8B8" w14:textId="77777777" w:rsidR="00636B5B" w:rsidRDefault="00636B5B" w:rsidP="00CE7936">
      <w:pPr>
        <w:widowControl w:val="0"/>
        <w:autoSpaceDE w:val="0"/>
        <w:autoSpaceDN w:val="0"/>
        <w:adjustRightInd w:val="0"/>
        <w:rPr>
          <w:b/>
          <w:bCs/>
        </w:rPr>
      </w:pPr>
    </w:p>
    <w:p w14:paraId="7657E042" w14:textId="77777777" w:rsidR="00636B5B" w:rsidRDefault="00636B5B" w:rsidP="00CE7936">
      <w:pPr>
        <w:widowControl w:val="0"/>
        <w:autoSpaceDE w:val="0"/>
        <w:autoSpaceDN w:val="0"/>
        <w:adjustRightInd w:val="0"/>
        <w:rPr>
          <w:b/>
          <w:bCs/>
        </w:rPr>
      </w:pPr>
    </w:p>
    <w:p w14:paraId="244346E1" w14:textId="77777777" w:rsidR="00636B5B" w:rsidRDefault="00636B5B" w:rsidP="00CE7936">
      <w:pPr>
        <w:widowControl w:val="0"/>
        <w:autoSpaceDE w:val="0"/>
        <w:autoSpaceDN w:val="0"/>
        <w:adjustRightInd w:val="0"/>
        <w:rPr>
          <w:b/>
          <w:bCs/>
        </w:rPr>
      </w:pPr>
    </w:p>
    <w:p w14:paraId="4402E5CD" w14:textId="77777777" w:rsidR="00636B5B" w:rsidRDefault="00636B5B" w:rsidP="00CE7936">
      <w:pPr>
        <w:widowControl w:val="0"/>
        <w:autoSpaceDE w:val="0"/>
        <w:autoSpaceDN w:val="0"/>
        <w:adjustRightInd w:val="0"/>
        <w:rPr>
          <w:b/>
          <w:bCs/>
        </w:rPr>
      </w:pPr>
    </w:p>
    <w:p w14:paraId="3E36CEED" w14:textId="77777777" w:rsidR="00636B5B" w:rsidRDefault="00636B5B" w:rsidP="00CE7936">
      <w:pPr>
        <w:widowControl w:val="0"/>
        <w:autoSpaceDE w:val="0"/>
        <w:autoSpaceDN w:val="0"/>
        <w:adjustRightInd w:val="0"/>
        <w:rPr>
          <w:b/>
          <w:bCs/>
        </w:rPr>
      </w:pPr>
    </w:p>
    <w:p w14:paraId="57AD31B0" w14:textId="77777777" w:rsidR="00636B5B" w:rsidRDefault="00636B5B" w:rsidP="00CE7936">
      <w:pPr>
        <w:widowControl w:val="0"/>
        <w:autoSpaceDE w:val="0"/>
        <w:autoSpaceDN w:val="0"/>
        <w:adjustRightInd w:val="0"/>
        <w:rPr>
          <w:b/>
          <w:bCs/>
        </w:rPr>
      </w:pPr>
    </w:p>
    <w:p w14:paraId="2A5813BE" w14:textId="77777777" w:rsidR="00636B5B" w:rsidRDefault="00636B5B" w:rsidP="00CE7936">
      <w:pPr>
        <w:widowControl w:val="0"/>
        <w:autoSpaceDE w:val="0"/>
        <w:autoSpaceDN w:val="0"/>
        <w:adjustRightInd w:val="0"/>
        <w:rPr>
          <w:b/>
          <w:bCs/>
        </w:rPr>
      </w:pPr>
      <w:r w:rsidRPr="0027058F">
        <w:rPr>
          <w:b/>
          <w:bCs/>
          <w:noProof/>
        </w:rPr>
        <mc:AlternateContent>
          <mc:Choice Requires="wps">
            <w:drawing>
              <wp:anchor distT="0" distB="0" distL="114300" distR="114300" simplePos="0" relativeHeight="251686912" behindDoc="0" locked="0" layoutInCell="1" allowOverlap="1" wp14:anchorId="55E0FA2D" wp14:editId="34156F84">
                <wp:simplePos x="0" y="0"/>
                <wp:positionH relativeFrom="margin">
                  <wp:align>left</wp:align>
                </wp:positionH>
                <wp:positionV relativeFrom="paragraph">
                  <wp:posOffset>168910</wp:posOffset>
                </wp:positionV>
                <wp:extent cx="5943600" cy="954107"/>
                <wp:effectExtent l="0" t="0" r="0" b="0"/>
                <wp:wrapNone/>
                <wp:docPr id="33" name="Rectangle 5"/>
                <wp:cNvGraphicFramePr/>
                <a:graphic xmlns:a="http://schemas.openxmlformats.org/drawingml/2006/main">
                  <a:graphicData uri="http://schemas.microsoft.com/office/word/2010/wordprocessingShape">
                    <wps:wsp>
                      <wps:cNvSpPr/>
                      <wps:spPr>
                        <a:xfrm>
                          <a:off x="0" y="0"/>
                          <a:ext cx="5943600" cy="954107"/>
                        </a:xfrm>
                        <a:prstGeom prst="rect">
                          <a:avLst/>
                        </a:prstGeom>
                      </wps:spPr>
                      <wps:txbx>
                        <w:txbxContent>
                          <w:p w14:paraId="61BF3779" w14:textId="77777777" w:rsidR="00636B5B" w:rsidRPr="0027058F" w:rsidRDefault="00636B5B" w:rsidP="00CE7936">
                            <w:pPr>
                              <w:shd w:val="clear" w:color="auto" w:fill="FFFFFF"/>
                              <w:jc w:val="both"/>
                              <w:rPr>
                                <w:rFonts w:eastAsia="Times New Roman" w:cstheme="minorBidi"/>
                                <w:color w:val="222222"/>
                                <w:kern w:val="24"/>
                              </w:rPr>
                            </w:pPr>
                            <w:r w:rsidRPr="0027058F">
                              <w:rPr>
                                <w:rFonts w:eastAsia="Times New Roman" w:cstheme="minorBidi"/>
                                <w:b/>
                                <w:bCs/>
                                <w:color w:val="222222"/>
                                <w:kern w:val="24"/>
                                <w:highlight w:val="white"/>
                              </w:rPr>
                              <w:t>Fig</w:t>
                            </w:r>
                            <w:r>
                              <w:rPr>
                                <w:rFonts w:eastAsia="Times New Roman" w:cstheme="minorBidi"/>
                                <w:b/>
                                <w:bCs/>
                                <w:color w:val="222222"/>
                                <w:kern w:val="24"/>
                                <w:highlight w:val="white"/>
                              </w:rPr>
                              <w:t>ure II-</w:t>
                            </w:r>
                            <w:r w:rsidRPr="0027058F">
                              <w:rPr>
                                <w:rFonts w:eastAsia="Times New Roman" w:cstheme="minorBidi"/>
                                <w:b/>
                                <w:bCs/>
                                <w:color w:val="222222"/>
                                <w:kern w:val="24"/>
                                <w:highlight w:val="white"/>
                              </w:rPr>
                              <w:t>S14</w:t>
                            </w:r>
                            <w:r>
                              <w:rPr>
                                <w:rFonts w:eastAsia="Times New Roman" w:cstheme="minorBidi"/>
                                <w:b/>
                                <w:bCs/>
                                <w:color w:val="222222"/>
                                <w:kern w:val="24"/>
                                <w:highlight w:val="white"/>
                              </w:rPr>
                              <w:t>.</w:t>
                            </w:r>
                            <w:r w:rsidRPr="0027058F">
                              <w:rPr>
                                <w:rFonts w:eastAsia="Times New Roman" w:cstheme="minorBidi"/>
                                <w:b/>
                                <w:bCs/>
                                <w:color w:val="222222"/>
                                <w:kern w:val="24"/>
                                <w:highlight w:val="white"/>
                              </w:rPr>
                              <w:t xml:space="preserve"> </w:t>
                            </w:r>
                            <w:r w:rsidRPr="0027058F">
                              <w:rPr>
                                <w:rFonts w:eastAsia="Times New Roman" w:cstheme="minorBidi"/>
                                <w:color w:val="222222"/>
                                <w:kern w:val="24"/>
                                <w:highlight w:val="white"/>
                              </w:rPr>
                              <w:t xml:space="preserve">Alignment of </w:t>
                            </w:r>
                            <w:r w:rsidRPr="0027058F">
                              <w:rPr>
                                <w:rFonts w:eastAsia="Times New Roman" w:cstheme="minorBidi"/>
                                <w:i/>
                                <w:iCs/>
                                <w:color w:val="222222"/>
                                <w:kern w:val="24"/>
                                <w:highlight w:val="white"/>
                              </w:rPr>
                              <w:t xml:space="preserve">de novo </w:t>
                            </w:r>
                            <w:r w:rsidRPr="0027058F">
                              <w:rPr>
                                <w:rFonts w:eastAsia="Times New Roman" w:cstheme="minorBidi"/>
                                <w:color w:val="222222"/>
                                <w:kern w:val="24"/>
                                <w:highlight w:val="white"/>
                              </w:rPr>
                              <w:t xml:space="preserve">gene </w:t>
                            </w:r>
                            <w:r w:rsidRPr="0027058F">
                              <w:rPr>
                                <w:rFonts w:eastAsia="Times New Roman" w:cstheme="minorBidi"/>
                                <w:color w:val="222222"/>
                                <w:kern w:val="24"/>
                              </w:rPr>
                              <w:t xml:space="preserve">Potri.010G241900 against its non-coding syntenic regions. Highlighting shows disagreement to the </w:t>
                            </w:r>
                            <w:r w:rsidRPr="0027058F">
                              <w:rPr>
                                <w:rFonts w:eastAsia="Times New Roman" w:cstheme="minorBidi"/>
                                <w:i/>
                                <w:iCs/>
                                <w:color w:val="222222"/>
                                <w:kern w:val="24"/>
                              </w:rPr>
                              <w:t xml:space="preserve">de novo </w:t>
                            </w:r>
                            <w:r w:rsidRPr="0027058F">
                              <w:rPr>
                                <w:rFonts w:eastAsia="Times New Roman" w:cstheme="minorBidi"/>
                                <w:color w:val="222222"/>
                                <w:kern w:val="24"/>
                              </w:rPr>
                              <w:t xml:space="preserve">gene. The sequence label includes information about species and coordinates for the region; pd = </w:t>
                            </w:r>
                            <w:r w:rsidRPr="0027058F">
                              <w:rPr>
                                <w:rFonts w:eastAsia="Times New Roman" w:cstheme="minorBidi"/>
                                <w:i/>
                                <w:iCs/>
                                <w:color w:val="222222"/>
                                <w:kern w:val="24"/>
                              </w:rPr>
                              <w:t xml:space="preserve">P. deltoides, </w:t>
                            </w:r>
                            <w:r w:rsidRPr="0027058F">
                              <w:rPr>
                                <w:rFonts w:eastAsia="Times New Roman" w:cstheme="minorBidi"/>
                                <w:color w:val="222222"/>
                                <w:kern w:val="24"/>
                              </w:rPr>
                              <w:t xml:space="preserve">sp = </w:t>
                            </w:r>
                            <w:r w:rsidRPr="0027058F">
                              <w:rPr>
                                <w:rFonts w:eastAsia="Times New Roman" w:cstheme="minorBidi"/>
                                <w:i/>
                                <w:iCs/>
                                <w:color w:val="222222"/>
                                <w:kern w:val="24"/>
                              </w:rPr>
                              <w:t>S. purpurea</w:t>
                            </w:r>
                            <w:r w:rsidRPr="0027058F">
                              <w:rPr>
                                <w:rFonts w:eastAsia="Times New Roman" w:cstheme="minorBidi"/>
                                <w:color w:val="222222"/>
                                <w:kern w:val="24"/>
                              </w:rPr>
                              <w:t xml:space="preserve">, pt = </w:t>
                            </w:r>
                            <w:r w:rsidRPr="0027058F">
                              <w:rPr>
                                <w:rFonts w:eastAsia="Times New Roman" w:cstheme="minorBidi"/>
                                <w:i/>
                                <w:iCs/>
                                <w:color w:val="222222"/>
                                <w:kern w:val="24"/>
                              </w:rPr>
                              <w:t>P. trichocarpa</w:t>
                            </w:r>
                            <w:r w:rsidRPr="0027058F">
                              <w:rPr>
                                <w:rFonts w:eastAsia="Times New Roman" w:cstheme="minorBidi"/>
                                <w:color w:val="222222"/>
                                <w:kern w:val="24"/>
                              </w:rPr>
                              <w:t>.</w:t>
                            </w:r>
                          </w:p>
                        </w:txbxContent>
                      </wps:txbx>
                      <wps:bodyPr wrap="square">
                        <a:spAutoFit/>
                      </wps:bodyPr>
                    </wps:wsp>
                  </a:graphicData>
                </a:graphic>
                <wp14:sizeRelH relativeFrom="margin">
                  <wp14:pctWidth>0</wp14:pctWidth>
                </wp14:sizeRelH>
              </wp:anchor>
            </w:drawing>
          </mc:Choice>
          <mc:Fallback>
            <w:pict>
              <v:rect w14:anchorId="55E0FA2D" id="_x0000_s1039" style="position:absolute;margin-left:0;margin-top:13.3pt;width:468pt;height:75.15pt;z-index:25168691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" filled="f" stroked="f">
                <v:textbox style="mso-fit-shape-to-text:t">
                  <w:txbxContent>
                    <w:p w14:paraId="61BF3779" w14:textId="77777777" w:rsidR="00636B5B" w:rsidRPr="0027058F" w:rsidRDefault="00636B5B" w:rsidP="00CE7936">
                      <w:pPr>
                        <w:shd w:val="clear" w:color="auto" w:fill="FFFFFF"/>
                        <w:jc w:val="both"/>
                        <w:rPr>
                          <w:rFonts w:eastAsia="Times New Roman" w:cstheme="minorBidi"/>
                          <w:color w:val="222222"/>
                          <w:kern w:val="24"/>
                        </w:rPr>
                      </w:pPr>
                      <w:r w:rsidRPr="0027058F">
                        <w:rPr>
                          <w:rFonts w:eastAsia="Times New Roman" w:cstheme="minorBidi"/>
                          <w:b/>
                          <w:bCs/>
                          <w:color w:val="222222"/>
                          <w:kern w:val="24"/>
                          <w:highlight w:val="white"/>
                        </w:rPr>
                        <w:t>Fig</w:t>
                      </w:r>
                      <w:r>
                        <w:rPr>
                          <w:rFonts w:eastAsia="Times New Roman" w:cstheme="minorBidi"/>
                          <w:b/>
                          <w:bCs/>
                          <w:color w:val="222222"/>
                          <w:kern w:val="24"/>
                          <w:highlight w:val="white"/>
                        </w:rPr>
                        <w:t>ure II-</w:t>
                      </w:r>
                      <w:r w:rsidRPr="0027058F">
                        <w:rPr>
                          <w:rFonts w:eastAsia="Times New Roman" w:cstheme="minorBidi"/>
                          <w:b/>
                          <w:bCs/>
                          <w:color w:val="222222"/>
                          <w:kern w:val="24"/>
                          <w:highlight w:val="white"/>
                        </w:rPr>
                        <w:t>S14</w:t>
                      </w:r>
                      <w:r>
                        <w:rPr>
                          <w:rFonts w:eastAsia="Times New Roman" w:cstheme="minorBidi"/>
                          <w:b/>
                          <w:bCs/>
                          <w:color w:val="222222"/>
                          <w:kern w:val="24"/>
                          <w:highlight w:val="white"/>
                        </w:rPr>
                        <w:t>.</w:t>
                      </w:r>
                      <w:r w:rsidRPr="0027058F">
                        <w:rPr>
                          <w:rFonts w:eastAsia="Times New Roman" w:cstheme="minorBidi"/>
                          <w:b/>
                          <w:bCs/>
                          <w:color w:val="222222"/>
                          <w:kern w:val="24"/>
                          <w:highlight w:val="white"/>
                        </w:rPr>
                        <w:t xml:space="preserve"> </w:t>
                      </w:r>
                      <w:r w:rsidRPr="0027058F">
                        <w:rPr>
                          <w:rFonts w:eastAsia="Times New Roman" w:cstheme="minorBidi"/>
                          <w:color w:val="222222"/>
                          <w:kern w:val="24"/>
                          <w:highlight w:val="white"/>
                        </w:rPr>
                        <w:t xml:space="preserve">Alignment of </w:t>
                      </w:r>
                      <w:r w:rsidRPr="0027058F">
                        <w:rPr>
                          <w:rFonts w:eastAsia="Times New Roman" w:cstheme="minorBidi"/>
                          <w:i/>
                          <w:iCs/>
                          <w:color w:val="222222"/>
                          <w:kern w:val="24"/>
                          <w:highlight w:val="white"/>
                        </w:rPr>
                        <w:t xml:space="preserve">de novo </w:t>
                      </w:r>
                      <w:r w:rsidRPr="0027058F">
                        <w:rPr>
                          <w:rFonts w:eastAsia="Times New Roman" w:cstheme="minorBidi"/>
                          <w:color w:val="222222"/>
                          <w:kern w:val="24"/>
                          <w:highlight w:val="white"/>
                        </w:rPr>
                        <w:t xml:space="preserve">gene </w:t>
                      </w:r>
                      <w:r w:rsidRPr="0027058F">
                        <w:rPr>
                          <w:rFonts w:eastAsia="Times New Roman" w:cstheme="minorBidi"/>
                          <w:color w:val="222222"/>
                          <w:kern w:val="24"/>
                        </w:rPr>
                        <w:t xml:space="preserve">Potri.010G241900 against its non-coding syntenic regions. Highlighting shows disagreement to the </w:t>
                      </w:r>
                      <w:r w:rsidRPr="0027058F">
                        <w:rPr>
                          <w:rFonts w:eastAsia="Times New Roman" w:cstheme="minorBidi"/>
                          <w:i/>
                          <w:iCs/>
                          <w:color w:val="222222"/>
                          <w:kern w:val="24"/>
                        </w:rPr>
                        <w:t xml:space="preserve">de novo </w:t>
                      </w:r>
                      <w:r w:rsidRPr="0027058F">
                        <w:rPr>
                          <w:rFonts w:eastAsia="Times New Roman" w:cstheme="minorBidi"/>
                          <w:color w:val="222222"/>
                          <w:kern w:val="24"/>
                        </w:rPr>
                        <w:t xml:space="preserve">gene. The sequence label includes information about species and coordinates for the region; pd = </w:t>
                      </w:r>
                      <w:r w:rsidRPr="0027058F">
                        <w:rPr>
                          <w:rFonts w:eastAsia="Times New Roman" w:cstheme="minorBidi"/>
                          <w:i/>
                          <w:iCs/>
                          <w:color w:val="222222"/>
                          <w:kern w:val="24"/>
                        </w:rPr>
                        <w:t xml:space="preserve">P. deltoides, </w:t>
                      </w:r>
                      <w:r w:rsidRPr="0027058F">
                        <w:rPr>
                          <w:rFonts w:eastAsia="Times New Roman" w:cstheme="minorBidi"/>
                          <w:color w:val="222222"/>
                          <w:kern w:val="24"/>
                        </w:rPr>
                        <w:t xml:space="preserve">sp = </w:t>
                      </w:r>
                      <w:r w:rsidRPr="0027058F">
                        <w:rPr>
                          <w:rFonts w:eastAsia="Times New Roman" w:cstheme="minorBidi"/>
                          <w:i/>
                          <w:iCs/>
                          <w:color w:val="222222"/>
                          <w:kern w:val="24"/>
                        </w:rPr>
                        <w:t>S. purpurea</w:t>
                      </w:r>
                      <w:r w:rsidRPr="0027058F">
                        <w:rPr>
                          <w:rFonts w:eastAsia="Times New Roman" w:cstheme="minorBidi"/>
                          <w:color w:val="222222"/>
                          <w:kern w:val="24"/>
                        </w:rPr>
                        <w:t xml:space="preserve">, pt = </w:t>
                      </w:r>
                      <w:r w:rsidRPr="0027058F">
                        <w:rPr>
                          <w:rFonts w:eastAsia="Times New Roman" w:cstheme="minorBidi"/>
                          <w:i/>
                          <w:iCs/>
                          <w:color w:val="222222"/>
                          <w:kern w:val="24"/>
                        </w:rPr>
                        <w:t>P. trichocarpa</w:t>
                      </w:r>
                      <w:r w:rsidRPr="0027058F">
                        <w:rPr>
                          <w:rFonts w:eastAsia="Times New Roman" w:cstheme="minorBidi"/>
                          <w:color w:val="222222"/>
                          <w:kern w:val="24"/>
                        </w:rPr>
                        <w:t>.</w:t>
                      </w:r>
                    </w:p>
                  </w:txbxContent>
                </v:textbox>
                <w10:wrap anchorx="margin"/>
              </v:rect>
            </w:pict>
          </mc:Fallback>
        </mc:AlternateContent>
      </w:r>
    </w:p>
    <w:p w14:paraId="0FFA1B98" w14:textId="77777777" w:rsidR="00636B5B" w:rsidRDefault="00636B5B" w:rsidP="00CE7936">
      <w:pPr>
        <w:widowControl w:val="0"/>
        <w:autoSpaceDE w:val="0"/>
        <w:autoSpaceDN w:val="0"/>
        <w:adjustRightInd w:val="0"/>
        <w:rPr>
          <w:b/>
          <w:bCs/>
        </w:rPr>
      </w:pPr>
    </w:p>
    <w:p w14:paraId="09015935" w14:textId="77777777" w:rsidR="00636B5B" w:rsidRDefault="00636B5B" w:rsidP="00CE7936">
      <w:pPr>
        <w:widowControl w:val="0"/>
        <w:autoSpaceDE w:val="0"/>
        <w:autoSpaceDN w:val="0"/>
        <w:adjustRightInd w:val="0"/>
        <w:rPr>
          <w:b/>
          <w:bCs/>
        </w:rPr>
      </w:pPr>
    </w:p>
    <w:p w14:paraId="13C80892" w14:textId="77777777" w:rsidR="00636B5B" w:rsidRDefault="00636B5B" w:rsidP="00CE7936">
      <w:pPr>
        <w:widowControl w:val="0"/>
        <w:autoSpaceDE w:val="0"/>
        <w:autoSpaceDN w:val="0"/>
        <w:adjustRightInd w:val="0"/>
        <w:rPr>
          <w:b/>
          <w:bCs/>
        </w:rPr>
      </w:pPr>
    </w:p>
    <w:p w14:paraId="7BFD72FF" w14:textId="77777777" w:rsidR="00636B5B" w:rsidRDefault="00636B5B" w:rsidP="00CE7936">
      <w:pPr>
        <w:widowControl w:val="0"/>
        <w:autoSpaceDE w:val="0"/>
        <w:autoSpaceDN w:val="0"/>
        <w:adjustRightInd w:val="0"/>
        <w:rPr>
          <w:b/>
          <w:bCs/>
        </w:rPr>
      </w:pPr>
    </w:p>
    <w:p w14:paraId="4531960D" w14:textId="77777777" w:rsidR="00636B5B" w:rsidRDefault="00636B5B" w:rsidP="00CE7936">
      <w:pPr>
        <w:widowControl w:val="0"/>
        <w:autoSpaceDE w:val="0"/>
        <w:autoSpaceDN w:val="0"/>
        <w:adjustRightInd w:val="0"/>
        <w:rPr>
          <w:b/>
          <w:bCs/>
        </w:rPr>
      </w:pPr>
    </w:p>
    <w:p w14:paraId="1A563C7A" w14:textId="77777777" w:rsidR="00636B5B" w:rsidRDefault="00636B5B" w:rsidP="00CE7936">
      <w:pPr>
        <w:widowControl w:val="0"/>
        <w:autoSpaceDE w:val="0"/>
        <w:autoSpaceDN w:val="0"/>
        <w:adjustRightInd w:val="0"/>
        <w:rPr>
          <w:b/>
          <w:bCs/>
        </w:rPr>
      </w:pPr>
    </w:p>
    <w:p w14:paraId="795AE04B" w14:textId="49A487DB" w:rsidR="00636B5B" w:rsidRDefault="00752AE5" w:rsidP="00CE7936">
      <w:pPr>
        <w:widowControl w:val="0"/>
        <w:autoSpaceDE w:val="0"/>
        <w:autoSpaceDN w:val="0"/>
        <w:adjustRightInd w:val="0"/>
        <w:rPr>
          <w:b/>
          <w:bCs/>
        </w:rPr>
      </w:pPr>
      <w:r w:rsidRPr="008E2DC9">
        <w:rPr>
          <w:b/>
          <w:bCs/>
          <w:noProof/>
        </w:rPr>
        <w:drawing>
          <wp:anchor distT="0" distB="0" distL="114300" distR="114300" simplePos="0" relativeHeight="251688960" behindDoc="0" locked="0" layoutInCell="1" allowOverlap="1" wp14:anchorId="6959BE2E" wp14:editId="0244329A">
            <wp:simplePos x="0" y="0"/>
            <wp:positionH relativeFrom="margin">
              <wp:align>center</wp:align>
            </wp:positionH>
            <wp:positionV relativeFrom="paragraph">
              <wp:posOffset>85090</wp:posOffset>
            </wp:positionV>
            <wp:extent cx="3517900" cy="3517900"/>
            <wp:effectExtent l="0" t="0" r="0" b="0"/>
            <wp:wrapNone/>
            <wp:docPr id="36" name="Picture 2">
              <a:extLst xmlns:a="http://schemas.openxmlformats.org/drawingml/2006/main">
                <a:ext uri="{FF2B5EF4-FFF2-40B4-BE49-F238E27FC236}">
                  <a16:creationId xmlns:a16="http://schemas.microsoft.com/office/drawing/2014/main" id="{B205B496-4ADE-344D-AAE6-815DC9E617B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B205B496-4ADE-344D-AAE6-815DC9E617B0}"/>
                        </a:ext>
                      </a:extLst>
                    </pic:cNvPr>
                    <pic:cNvPicPr>
                      <a:picLocks noChangeAspect="1"/>
                    </pic:cNvPicPr>
                  </pic:nvPicPr>
                  <pic:blipFill>
                    <a:blip r:embed="rId36"/>
                    <a:stretch>
                      <a:fillRect/>
                    </a:stretch>
                  </pic:blipFill>
                  <pic:spPr>
                    <a:xfrm>
                      <a:off x="0" y="0"/>
                      <a:ext cx="3517900" cy="3517900"/>
                    </a:xfrm>
                    <a:prstGeom prst="rect">
                      <a:avLst/>
                    </a:prstGeom>
                  </pic:spPr>
                </pic:pic>
              </a:graphicData>
            </a:graphic>
            <wp14:sizeRelH relativeFrom="margin">
              <wp14:pctWidth>0</wp14:pctWidth>
            </wp14:sizeRelH>
            <wp14:sizeRelV relativeFrom="margin">
              <wp14:pctHeight>0</wp14:pctHeight>
            </wp14:sizeRelV>
          </wp:anchor>
        </w:drawing>
      </w:r>
    </w:p>
    <w:p w14:paraId="2E5BA47E" w14:textId="6FD8615F" w:rsidR="00636B5B" w:rsidRDefault="00636B5B" w:rsidP="00CE7936">
      <w:pPr>
        <w:widowControl w:val="0"/>
        <w:autoSpaceDE w:val="0"/>
        <w:autoSpaceDN w:val="0"/>
        <w:adjustRightInd w:val="0"/>
        <w:rPr>
          <w:b/>
          <w:bCs/>
        </w:rPr>
      </w:pPr>
    </w:p>
    <w:p w14:paraId="0CC24A5F" w14:textId="77777777" w:rsidR="00636B5B" w:rsidRDefault="00636B5B" w:rsidP="00CE7936">
      <w:pPr>
        <w:widowControl w:val="0"/>
        <w:autoSpaceDE w:val="0"/>
        <w:autoSpaceDN w:val="0"/>
        <w:adjustRightInd w:val="0"/>
        <w:rPr>
          <w:b/>
          <w:bCs/>
        </w:rPr>
      </w:pPr>
    </w:p>
    <w:p w14:paraId="14ABD4C3" w14:textId="77777777" w:rsidR="00636B5B" w:rsidRDefault="00636B5B" w:rsidP="00CE7936">
      <w:pPr>
        <w:widowControl w:val="0"/>
        <w:autoSpaceDE w:val="0"/>
        <w:autoSpaceDN w:val="0"/>
        <w:adjustRightInd w:val="0"/>
        <w:rPr>
          <w:b/>
          <w:bCs/>
        </w:rPr>
      </w:pPr>
    </w:p>
    <w:p w14:paraId="1F0E03CD" w14:textId="77777777" w:rsidR="00636B5B" w:rsidRDefault="00636B5B" w:rsidP="00CE7936">
      <w:pPr>
        <w:widowControl w:val="0"/>
        <w:autoSpaceDE w:val="0"/>
        <w:autoSpaceDN w:val="0"/>
        <w:adjustRightInd w:val="0"/>
        <w:rPr>
          <w:b/>
          <w:bCs/>
        </w:rPr>
      </w:pPr>
    </w:p>
    <w:p w14:paraId="77B48378" w14:textId="77777777" w:rsidR="00636B5B" w:rsidRDefault="00636B5B" w:rsidP="00CE7936">
      <w:pPr>
        <w:widowControl w:val="0"/>
        <w:autoSpaceDE w:val="0"/>
        <w:autoSpaceDN w:val="0"/>
        <w:adjustRightInd w:val="0"/>
        <w:rPr>
          <w:b/>
          <w:bCs/>
        </w:rPr>
      </w:pPr>
    </w:p>
    <w:p w14:paraId="6324950B" w14:textId="77777777" w:rsidR="00636B5B" w:rsidRDefault="00636B5B" w:rsidP="00CE7936">
      <w:pPr>
        <w:widowControl w:val="0"/>
        <w:autoSpaceDE w:val="0"/>
        <w:autoSpaceDN w:val="0"/>
        <w:adjustRightInd w:val="0"/>
        <w:rPr>
          <w:b/>
          <w:bCs/>
        </w:rPr>
      </w:pPr>
    </w:p>
    <w:p w14:paraId="0D76A9FB" w14:textId="77777777" w:rsidR="00636B5B" w:rsidRDefault="00636B5B" w:rsidP="00CE7936">
      <w:pPr>
        <w:widowControl w:val="0"/>
        <w:autoSpaceDE w:val="0"/>
        <w:autoSpaceDN w:val="0"/>
        <w:adjustRightInd w:val="0"/>
        <w:rPr>
          <w:b/>
          <w:bCs/>
        </w:rPr>
      </w:pPr>
    </w:p>
    <w:p w14:paraId="1C63B3A4" w14:textId="77777777" w:rsidR="00636B5B" w:rsidRDefault="00636B5B" w:rsidP="00CE7936">
      <w:pPr>
        <w:widowControl w:val="0"/>
        <w:autoSpaceDE w:val="0"/>
        <w:autoSpaceDN w:val="0"/>
        <w:adjustRightInd w:val="0"/>
        <w:rPr>
          <w:b/>
          <w:bCs/>
        </w:rPr>
      </w:pPr>
    </w:p>
    <w:p w14:paraId="37EF498F" w14:textId="77777777" w:rsidR="00636B5B" w:rsidRDefault="00636B5B" w:rsidP="00CE7936">
      <w:pPr>
        <w:widowControl w:val="0"/>
        <w:autoSpaceDE w:val="0"/>
        <w:autoSpaceDN w:val="0"/>
        <w:adjustRightInd w:val="0"/>
        <w:rPr>
          <w:b/>
          <w:bCs/>
        </w:rPr>
      </w:pPr>
    </w:p>
    <w:p w14:paraId="71E5C884" w14:textId="77777777" w:rsidR="00636B5B" w:rsidRDefault="00636B5B" w:rsidP="00CE7936">
      <w:pPr>
        <w:widowControl w:val="0"/>
        <w:autoSpaceDE w:val="0"/>
        <w:autoSpaceDN w:val="0"/>
        <w:adjustRightInd w:val="0"/>
        <w:rPr>
          <w:b/>
          <w:bCs/>
        </w:rPr>
      </w:pPr>
    </w:p>
    <w:p w14:paraId="174A5A6E" w14:textId="77777777" w:rsidR="00636B5B" w:rsidRDefault="00636B5B" w:rsidP="00CE7936">
      <w:pPr>
        <w:widowControl w:val="0"/>
        <w:autoSpaceDE w:val="0"/>
        <w:autoSpaceDN w:val="0"/>
        <w:adjustRightInd w:val="0"/>
        <w:rPr>
          <w:b/>
          <w:bCs/>
        </w:rPr>
      </w:pPr>
    </w:p>
    <w:p w14:paraId="1A7BE5C9" w14:textId="77777777" w:rsidR="00636B5B" w:rsidRDefault="00636B5B" w:rsidP="00CE7936">
      <w:pPr>
        <w:widowControl w:val="0"/>
        <w:autoSpaceDE w:val="0"/>
        <w:autoSpaceDN w:val="0"/>
        <w:adjustRightInd w:val="0"/>
        <w:rPr>
          <w:b/>
          <w:bCs/>
        </w:rPr>
      </w:pPr>
    </w:p>
    <w:p w14:paraId="1E2B0FDC" w14:textId="77777777" w:rsidR="00636B5B" w:rsidRDefault="00636B5B" w:rsidP="00CE7936">
      <w:pPr>
        <w:widowControl w:val="0"/>
        <w:autoSpaceDE w:val="0"/>
        <w:autoSpaceDN w:val="0"/>
        <w:adjustRightInd w:val="0"/>
        <w:rPr>
          <w:b/>
          <w:bCs/>
        </w:rPr>
      </w:pPr>
    </w:p>
    <w:p w14:paraId="750C3B78" w14:textId="77777777" w:rsidR="00636B5B" w:rsidRDefault="00636B5B" w:rsidP="00CE7936">
      <w:pPr>
        <w:widowControl w:val="0"/>
        <w:autoSpaceDE w:val="0"/>
        <w:autoSpaceDN w:val="0"/>
        <w:adjustRightInd w:val="0"/>
        <w:rPr>
          <w:b/>
          <w:bCs/>
        </w:rPr>
      </w:pPr>
    </w:p>
    <w:p w14:paraId="71524E8C" w14:textId="77777777" w:rsidR="00636B5B" w:rsidRDefault="00636B5B" w:rsidP="00CE7936">
      <w:pPr>
        <w:widowControl w:val="0"/>
        <w:autoSpaceDE w:val="0"/>
        <w:autoSpaceDN w:val="0"/>
        <w:adjustRightInd w:val="0"/>
        <w:rPr>
          <w:b/>
          <w:bCs/>
        </w:rPr>
      </w:pPr>
    </w:p>
    <w:p w14:paraId="7D9C36AF" w14:textId="77777777" w:rsidR="00636B5B" w:rsidRDefault="00636B5B" w:rsidP="00CE7936">
      <w:pPr>
        <w:widowControl w:val="0"/>
        <w:autoSpaceDE w:val="0"/>
        <w:autoSpaceDN w:val="0"/>
        <w:adjustRightInd w:val="0"/>
        <w:rPr>
          <w:b/>
          <w:bCs/>
        </w:rPr>
      </w:pPr>
    </w:p>
    <w:p w14:paraId="6CEAD214" w14:textId="77777777" w:rsidR="00636B5B" w:rsidRDefault="00636B5B" w:rsidP="00CE7936">
      <w:pPr>
        <w:widowControl w:val="0"/>
        <w:autoSpaceDE w:val="0"/>
        <w:autoSpaceDN w:val="0"/>
        <w:adjustRightInd w:val="0"/>
        <w:rPr>
          <w:b/>
          <w:bCs/>
        </w:rPr>
      </w:pPr>
    </w:p>
    <w:p w14:paraId="078A48DF" w14:textId="77777777" w:rsidR="00636B5B" w:rsidRDefault="00636B5B" w:rsidP="00CE7936">
      <w:pPr>
        <w:widowControl w:val="0"/>
        <w:autoSpaceDE w:val="0"/>
        <w:autoSpaceDN w:val="0"/>
        <w:adjustRightInd w:val="0"/>
        <w:rPr>
          <w:b/>
          <w:bCs/>
        </w:rPr>
      </w:pPr>
    </w:p>
    <w:p w14:paraId="5F1A5360" w14:textId="77777777" w:rsidR="00636B5B" w:rsidRDefault="00636B5B" w:rsidP="00CE7936">
      <w:pPr>
        <w:widowControl w:val="0"/>
        <w:autoSpaceDE w:val="0"/>
        <w:autoSpaceDN w:val="0"/>
        <w:adjustRightInd w:val="0"/>
        <w:rPr>
          <w:b/>
          <w:bCs/>
        </w:rPr>
      </w:pPr>
    </w:p>
    <w:p w14:paraId="0FFD64D7" w14:textId="519CD095" w:rsidR="00636B5B" w:rsidRDefault="00752AE5" w:rsidP="00CE7936">
      <w:pPr>
        <w:widowControl w:val="0"/>
        <w:autoSpaceDE w:val="0"/>
        <w:autoSpaceDN w:val="0"/>
        <w:adjustRightInd w:val="0"/>
        <w:rPr>
          <w:b/>
          <w:bCs/>
        </w:rPr>
      </w:pPr>
      <w:r w:rsidRPr="008E2DC9">
        <w:rPr>
          <w:b/>
          <w:bCs/>
          <w:noProof/>
        </w:rPr>
        <mc:AlternateContent>
          <mc:Choice Requires="wps">
            <w:drawing>
              <wp:anchor distT="0" distB="0" distL="114300" distR="114300" simplePos="0" relativeHeight="251689984" behindDoc="0" locked="0" layoutInCell="1" allowOverlap="1" wp14:anchorId="1E011B93" wp14:editId="3563DAA5">
                <wp:simplePos x="0" y="0"/>
                <wp:positionH relativeFrom="margin">
                  <wp:align>left</wp:align>
                </wp:positionH>
                <wp:positionV relativeFrom="paragraph">
                  <wp:posOffset>123825</wp:posOffset>
                </wp:positionV>
                <wp:extent cx="5943600" cy="571500"/>
                <wp:effectExtent l="0" t="0" r="0" b="0"/>
                <wp:wrapNone/>
                <wp:docPr id="35" name="Rectangle 1"/>
                <wp:cNvGraphicFramePr/>
                <a:graphic xmlns:a="http://schemas.openxmlformats.org/drawingml/2006/main">
                  <a:graphicData uri="http://schemas.microsoft.com/office/word/2010/wordprocessingShape">
                    <wps:wsp>
                      <wps:cNvSpPr/>
                      <wps:spPr>
                        <a:xfrm>
                          <a:off x="0" y="0"/>
                          <a:ext cx="5943600" cy="571500"/>
                        </a:xfrm>
                        <a:prstGeom prst="rect">
                          <a:avLst/>
                        </a:prstGeom>
                      </wps:spPr>
                      <wps:txbx>
                        <w:txbxContent>
                          <w:p w14:paraId="06EC84EE" w14:textId="77777777" w:rsidR="00636B5B" w:rsidRPr="008E2DC9" w:rsidRDefault="00636B5B" w:rsidP="00CE7936">
                            <w:pPr>
                              <w:jc w:val="both"/>
                              <w:rPr>
                                <w:rFonts w:eastAsia="Times New Roman" w:cstheme="minorBidi"/>
                                <w:b/>
                                <w:bCs/>
                                <w:color w:val="222222"/>
                                <w:kern w:val="24"/>
                              </w:rPr>
                            </w:pPr>
                            <w:r w:rsidRPr="008E2DC9">
                              <w:rPr>
                                <w:rFonts w:eastAsia="Times New Roman" w:cstheme="minorBidi"/>
                                <w:b/>
                                <w:bCs/>
                                <w:color w:val="222222"/>
                                <w:kern w:val="24"/>
                              </w:rPr>
                              <w:t xml:space="preserve">Figure II-S15. </w:t>
                            </w:r>
                            <w:r w:rsidRPr="008E2DC9">
                              <w:rPr>
                                <w:rFonts w:eastAsia="Times New Roman" w:cstheme="minorBidi"/>
                                <w:color w:val="222222"/>
                                <w:kern w:val="24"/>
                              </w:rPr>
                              <w:t xml:space="preserve">Tissue specificity index (tau) comparison between non-orphan and orphan genes. </w:t>
                            </w:r>
                            <w:r w:rsidRPr="008E2DC9">
                              <w:rPr>
                                <w:color w:val="000000" w:themeColor="text1"/>
                                <w:kern w:val="24"/>
                                <w:szCs w:val="26"/>
                              </w:rPr>
                              <w:t>*: p &lt; 0.05, Wilcoxon signed rank test.</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1E011B93" id="_x0000_s1040" style="position:absolute;margin-left:0;margin-top:9.75pt;width:468pt;height:45pt;z-index:2516899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" filled="f" stroked="f">
                <v:textbox>
                  <w:txbxContent>
                    <w:p w14:paraId="06EC84EE" w14:textId="77777777" w:rsidR="00636B5B" w:rsidRPr="008E2DC9" w:rsidRDefault="00636B5B" w:rsidP="00CE7936">
                      <w:pPr>
                        <w:jc w:val="both"/>
                        <w:rPr>
                          <w:rFonts w:eastAsia="Times New Roman" w:cstheme="minorBidi"/>
                          <w:b/>
                          <w:bCs/>
                          <w:color w:val="222222"/>
                          <w:kern w:val="24"/>
                        </w:rPr>
                      </w:pPr>
                      <w:r w:rsidRPr="008E2DC9">
                        <w:rPr>
                          <w:rFonts w:eastAsia="Times New Roman" w:cstheme="minorBidi"/>
                          <w:b/>
                          <w:bCs/>
                          <w:color w:val="222222"/>
                          <w:kern w:val="24"/>
                        </w:rPr>
                        <w:t xml:space="preserve">Figure II-S15. </w:t>
                      </w:r>
                      <w:r w:rsidRPr="008E2DC9">
                        <w:rPr>
                          <w:rFonts w:eastAsia="Times New Roman" w:cstheme="minorBidi"/>
                          <w:color w:val="222222"/>
                          <w:kern w:val="24"/>
                        </w:rPr>
                        <w:t xml:space="preserve">Tissue specificity index (tau) comparison between non-orphan and orphan genes. </w:t>
                      </w:r>
                      <w:r w:rsidRPr="008E2DC9">
                        <w:rPr>
                          <w:color w:val="000000" w:themeColor="text1"/>
                          <w:kern w:val="24"/>
                          <w:szCs w:val="26"/>
                        </w:rPr>
                        <w:t>*: p &lt; 0.05, Wilcoxon signed rank test.</w:t>
                      </w:r>
                    </w:p>
                  </w:txbxContent>
                </v:textbox>
                <w10:wrap anchorx="margin"/>
              </v:rect>
            </w:pict>
          </mc:Fallback>
        </mc:AlternateContent>
      </w:r>
    </w:p>
    <w:p w14:paraId="07125337" w14:textId="373A4604" w:rsidR="00636B5B" w:rsidRDefault="00636B5B" w:rsidP="00CE7936">
      <w:pPr>
        <w:widowControl w:val="0"/>
        <w:autoSpaceDE w:val="0"/>
        <w:autoSpaceDN w:val="0"/>
        <w:adjustRightInd w:val="0"/>
        <w:rPr>
          <w:b/>
          <w:bCs/>
        </w:rPr>
      </w:pPr>
    </w:p>
    <w:p w14:paraId="650F26EA" w14:textId="77777777" w:rsidR="00636B5B" w:rsidRDefault="00636B5B" w:rsidP="00CE7936">
      <w:pPr>
        <w:widowControl w:val="0"/>
        <w:autoSpaceDE w:val="0"/>
        <w:autoSpaceDN w:val="0"/>
        <w:adjustRightInd w:val="0"/>
        <w:rPr>
          <w:b/>
          <w:bCs/>
        </w:rPr>
      </w:pPr>
    </w:p>
    <w:p w14:paraId="1154D938" w14:textId="77777777" w:rsidR="00636B5B" w:rsidRDefault="00636B5B" w:rsidP="00CE7936">
      <w:pPr>
        <w:widowControl w:val="0"/>
        <w:autoSpaceDE w:val="0"/>
        <w:autoSpaceDN w:val="0"/>
        <w:adjustRightInd w:val="0"/>
        <w:rPr>
          <w:b/>
          <w:bCs/>
        </w:rPr>
      </w:pPr>
      <w:r w:rsidRPr="008E2DC9">
        <w:rPr>
          <w:b/>
          <w:bCs/>
          <w:noProof/>
        </w:rPr>
        <w:lastRenderedPageBreak/>
        <w:drawing>
          <wp:anchor distT="0" distB="0" distL="114300" distR="114300" simplePos="0" relativeHeight="251691008" behindDoc="0" locked="0" layoutInCell="1" allowOverlap="1" wp14:anchorId="23382E48" wp14:editId="70E04B35">
            <wp:simplePos x="0" y="0"/>
            <wp:positionH relativeFrom="margin">
              <wp:posOffset>457200</wp:posOffset>
            </wp:positionH>
            <wp:positionV relativeFrom="paragraph">
              <wp:posOffset>113665</wp:posOffset>
            </wp:positionV>
            <wp:extent cx="5029200" cy="3592439"/>
            <wp:effectExtent l="0" t="0" r="0" b="1905"/>
            <wp:wrapNone/>
            <wp:docPr id="38" name="Picture 3">
              <a:extLst xmlns:a="http://schemas.openxmlformats.org/drawingml/2006/main">
                <a:ext uri="{FF2B5EF4-FFF2-40B4-BE49-F238E27FC236}">
                  <a16:creationId xmlns:a16="http://schemas.microsoft.com/office/drawing/2014/main" id="{D96B5BE8-411B-6D49-9467-CA6A09EE120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D96B5BE8-411B-6D49-9467-CA6A09EE1203}"/>
                        </a:ext>
                      </a:extLst>
                    </pic:cNvPr>
                    <pic:cNvPicPr>
                      <a:picLocks noChangeAspect="1"/>
                    </pic:cNvPicPr>
                  </pic:nvPicPr>
                  <pic:blipFill>
                    <a:blip r:embed="rId37">
                      <a:extLst>
                        <a:ext uri="{28A0092B-C50C-407E-A947-70E740481C1C}">
                          <a14:useLocalDpi xmlns:a14="http://schemas.microsoft.com/office/drawing/2010/main"/>
                        </a:ext>
                      </a:extLst>
                    </a:blip>
                    <a:stretch>
                      <a:fillRect/>
                    </a:stretch>
                  </pic:blipFill>
                  <pic:spPr>
                    <a:xfrm>
                      <a:off x="0" y="0"/>
                      <a:ext cx="5029200" cy="3592439"/>
                    </a:xfrm>
                    <a:prstGeom prst="rect">
                      <a:avLst/>
                    </a:prstGeom>
                  </pic:spPr>
                </pic:pic>
              </a:graphicData>
            </a:graphic>
            <wp14:sizeRelH relativeFrom="margin">
              <wp14:pctWidth>0</wp14:pctWidth>
            </wp14:sizeRelH>
            <wp14:sizeRelV relativeFrom="margin">
              <wp14:pctHeight>0</wp14:pctHeight>
            </wp14:sizeRelV>
          </wp:anchor>
        </w:drawing>
      </w:r>
    </w:p>
    <w:p w14:paraId="7F1DF6A2" w14:textId="77777777" w:rsidR="00636B5B" w:rsidRDefault="00636B5B" w:rsidP="00CE7936">
      <w:pPr>
        <w:widowControl w:val="0"/>
        <w:autoSpaceDE w:val="0"/>
        <w:autoSpaceDN w:val="0"/>
        <w:adjustRightInd w:val="0"/>
        <w:rPr>
          <w:b/>
          <w:bCs/>
        </w:rPr>
      </w:pPr>
    </w:p>
    <w:p w14:paraId="3B8B9505" w14:textId="77777777" w:rsidR="00636B5B" w:rsidRDefault="00636B5B" w:rsidP="00CE7936">
      <w:pPr>
        <w:widowControl w:val="0"/>
        <w:autoSpaceDE w:val="0"/>
        <w:autoSpaceDN w:val="0"/>
        <w:adjustRightInd w:val="0"/>
        <w:rPr>
          <w:b/>
          <w:bCs/>
        </w:rPr>
      </w:pPr>
    </w:p>
    <w:p w14:paraId="74E0B781" w14:textId="77777777" w:rsidR="00636B5B" w:rsidRDefault="00636B5B" w:rsidP="00CE7936">
      <w:pPr>
        <w:widowControl w:val="0"/>
        <w:autoSpaceDE w:val="0"/>
        <w:autoSpaceDN w:val="0"/>
        <w:adjustRightInd w:val="0"/>
        <w:rPr>
          <w:b/>
          <w:bCs/>
        </w:rPr>
      </w:pPr>
    </w:p>
    <w:p w14:paraId="6BECD622" w14:textId="77777777" w:rsidR="00636B5B" w:rsidRDefault="00636B5B" w:rsidP="00CE7936">
      <w:pPr>
        <w:widowControl w:val="0"/>
        <w:autoSpaceDE w:val="0"/>
        <w:autoSpaceDN w:val="0"/>
        <w:adjustRightInd w:val="0"/>
        <w:rPr>
          <w:b/>
          <w:bCs/>
        </w:rPr>
      </w:pPr>
    </w:p>
    <w:p w14:paraId="77DFC35F" w14:textId="77777777" w:rsidR="00636B5B" w:rsidRDefault="00636B5B" w:rsidP="00CE7936">
      <w:pPr>
        <w:widowControl w:val="0"/>
        <w:autoSpaceDE w:val="0"/>
        <w:autoSpaceDN w:val="0"/>
        <w:adjustRightInd w:val="0"/>
        <w:rPr>
          <w:b/>
          <w:bCs/>
        </w:rPr>
      </w:pPr>
    </w:p>
    <w:p w14:paraId="5E56F870" w14:textId="77777777" w:rsidR="00636B5B" w:rsidRDefault="00636B5B" w:rsidP="00CE7936">
      <w:pPr>
        <w:widowControl w:val="0"/>
        <w:autoSpaceDE w:val="0"/>
        <w:autoSpaceDN w:val="0"/>
        <w:adjustRightInd w:val="0"/>
        <w:rPr>
          <w:b/>
          <w:bCs/>
        </w:rPr>
      </w:pPr>
    </w:p>
    <w:p w14:paraId="4985D44D" w14:textId="77777777" w:rsidR="00636B5B" w:rsidRDefault="00636B5B" w:rsidP="00CE7936">
      <w:pPr>
        <w:widowControl w:val="0"/>
        <w:autoSpaceDE w:val="0"/>
        <w:autoSpaceDN w:val="0"/>
        <w:adjustRightInd w:val="0"/>
        <w:rPr>
          <w:b/>
          <w:bCs/>
        </w:rPr>
      </w:pPr>
    </w:p>
    <w:p w14:paraId="2E2E723A" w14:textId="77777777" w:rsidR="00636B5B" w:rsidRDefault="00636B5B" w:rsidP="00CE7936">
      <w:pPr>
        <w:widowControl w:val="0"/>
        <w:autoSpaceDE w:val="0"/>
        <w:autoSpaceDN w:val="0"/>
        <w:adjustRightInd w:val="0"/>
        <w:rPr>
          <w:b/>
          <w:bCs/>
        </w:rPr>
      </w:pPr>
    </w:p>
    <w:p w14:paraId="46E0F642" w14:textId="77777777" w:rsidR="00636B5B" w:rsidRDefault="00636B5B" w:rsidP="00CE7936">
      <w:pPr>
        <w:widowControl w:val="0"/>
        <w:autoSpaceDE w:val="0"/>
        <w:autoSpaceDN w:val="0"/>
        <w:adjustRightInd w:val="0"/>
        <w:rPr>
          <w:b/>
          <w:bCs/>
        </w:rPr>
      </w:pPr>
    </w:p>
    <w:p w14:paraId="3F541DFD" w14:textId="77777777" w:rsidR="00636B5B" w:rsidRDefault="00636B5B" w:rsidP="00CE7936">
      <w:pPr>
        <w:widowControl w:val="0"/>
        <w:autoSpaceDE w:val="0"/>
        <w:autoSpaceDN w:val="0"/>
        <w:adjustRightInd w:val="0"/>
        <w:rPr>
          <w:b/>
          <w:bCs/>
        </w:rPr>
      </w:pPr>
    </w:p>
    <w:p w14:paraId="190F4EDA" w14:textId="77777777" w:rsidR="00636B5B" w:rsidRDefault="00636B5B" w:rsidP="00CE7936">
      <w:pPr>
        <w:widowControl w:val="0"/>
        <w:autoSpaceDE w:val="0"/>
        <w:autoSpaceDN w:val="0"/>
        <w:adjustRightInd w:val="0"/>
        <w:rPr>
          <w:b/>
          <w:bCs/>
        </w:rPr>
      </w:pPr>
    </w:p>
    <w:p w14:paraId="7B50AFCC" w14:textId="77777777" w:rsidR="00636B5B" w:rsidRDefault="00636B5B" w:rsidP="00CE7936">
      <w:pPr>
        <w:widowControl w:val="0"/>
        <w:autoSpaceDE w:val="0"/>
        <w:autoSpaceDN w:val="0"/>
        <w:adjustRightInd w:val="0"/>
        <w:rPr>
          <w:b/>
          <w:bCs/>
        </w:rPr>
      </w:pPr>
    </w:p>
    <w:p w14:paraId="61752490" w14:textId="77777777" w:rsidR="00636B5B" w:rsidRDefault="00636B5B" w:rsidP="00CE7936">
      <w:pPr>
        <w:widowControl w:val="0"/>
        <w:autoSpaceDE w:val="0"/>
        <w:autoSpaceDN w:val="0"/>
        <w:adjustRightInd w:val="0"/>
        <w:rPr>
          <w:b/>
          <w:bCs/>
        </w:rPr>
      </w:pPr>
    </w:p>
    <w:p w14:paraId="6608811A" w14:textId="77777777" w:rsidR="00636B5B" w:rsidRDefault="00636B5B" w:rsidP="00CE7936">
      <w:pPr>
        <w:widowControl w:val="0"/>
        <w:autoSpaceDE w:val="0"/>
        <w:autoSpaceDN w:val="0"/>
        <w:adjustRightInd w:val="0"/>
        <w:rPr>
          <w:b/>
          <w:bCs/>
        </w:rPr>
      </w:pPr>
    </w:p>
    <w:p w14:paraId="6F4DA5A6" w14:textId="77777777" w:rsidR="00636B5B" w:rsidRDefault="00636B5B" w:rsidP="00CE7936">
      <w:pPr>
        <w:widowControl w:val="0"/>
        <w:autoSpaceDE w:val="0"/>
        <w:autoSpaceDN w:val="0"/>
        <w:adjustRightInd w:val="0"/>
        <w:rPr>
          <w:b/>
          <w:bCs/>
        </w:rPr>
      </w:pPr>
    </w:p>
    <w:p w14:paraId="10D8BE07" w14:textId="77777777" w:rsidR="00636B5B" w:rsidRDefault="00636B5B" w:rsidP="00CE7936">
      <w:pPr>
        <w:widowControl w:val="0"/>
        <w:autoSpaceDE w:val="0"/>
        <w:autoSpaceDN w:val="0"/>
        <w:adjustRightInd w:val="0"/>
        <w:rPr>
          <w:b/>
          <w:bCs/>
        </w:rPr>
      </w:pPr>
    </w:p>
    <w:p w14:paraId="65FEDB99" w14:textId="77777777" w:rsidR="00636B5B" w:rsidRDefault="00636B5B" w:rsidP="00CE7936">
      <w:pPr>
        <w:widowControl w:val="0"/>
        <w:autoSpaceDE w:val="0"/>
        <w:autoSpaceDN w:val="0"/>
        <w:adjustRightInd w:val="0"/>
        <w:rPr>
          <w:b/>
          <w:bCs/>
        </w:rPr>
      </w:pPr>
    </w:p>
    <w:p w14:paraId="7D3B5A3D" w14:textId="77777777" w:rsidR="00636B5B" w:rsidRDefault="00636B5B" w:rsidP="00CE7936">
      <w:pPr>
        <w:widowControl w:val="0"/>
        <w:autoSpaceDE w:val="0"/>
        <w:autoSpaceDN w:val="0"/>
        <w:adjustRightInd w:val="0"/>
        <w:rPr>
          <w:b/>
          <w:bCs/>
        </w:rPr>
      </w:pPr>
    </w:p>
    <w:p w14:paraId="6901D84F" w14:textId="77777777" w:rsidR="00636B5B" w:rsidRDefault="00636B5B" w:rsidP="00CE7936">
      <w:pPr>
        <w:widowControl w:val="0"/>
        <w:autoSpaceDE w:val="0"/>
        <w:autoSpaceDN w:val="0"/>
        <w:adjustRightInd w:val="0"/>
        <w:rPr>
          <w:b/>
          <w:bCs/>
        </w:rPr>
      </w:pPr>
    </w:p>
    <w:p w14:paraId="06D43C2C" w14:textId="77777777" w:rsidR="00636B5B" w:rsidRDefault="00636B5B" w:rsidP="00CE7936">
      <w:pPr>
        <w:widowControl w:val="0"/>
        <w:autoSpaceDE w:val="0"/>
        <w:autoSpaceDN w:val="0"/>
        <w:adjustRightInd w:val="0"/>
        <w:rPr>
          <w:b/>
          <w:bCs/>
        </w:rPr>
      </w:pPr>
    </w:p>
    <w:p w14:paraId="171525ED" w14:textId="77777777" w:rsidR="00636B5B" w:rsidRDefault="00636B5B" w:rsidP="00CE7936">
      <w:pPr>
        <w:widowControl w:val="0"/>
        <w:autoSpaceDE w:val="0"/>
        <w:autoSpaceDN w:val="0"/>
        <w:adjustRightInd w:val="0"/>
        <w:rPr>
          <w:b/>
          <w:bCs/>
        </w:rPr>
      </w:pPr>
    </w:p>
    <w:p w14:paraId="215CA295" w14:textId="77777777" w:rsidR="00636B5B" w:rsidRDefault="00636B5B" w:rsidP="00CE7936">
      <w:pPr>
        <w:widowControl w:val="0"/>
        <w:autoSpaceDE w:val="0"/>
        <w:autoSpaceDN w:val="0"/>
        <w:adjustRightInd w:val="0"/>
        <w:rPr>
          <w:b/>
          <w:bCs/>
        </w:rPr>
      </w:pPr>
      <w:r w:rsidRPr="008E2DC9">
        <w:rPr>
          <w:b/>
          <w:bCs/>
          <w:noProof/>
        </w:rPr>
        <mc:AlternateContent>
          <mc:Choice Requires="wps">
            <w:drawing>
              <wp:anchor distT="0" distB="0" distL="114300" distR="114300" simplePos="0" relativeHeight="251692032" behindDoc="0" locked="0" layoutInCell="1" allowOverlap="1" wp14:anchorId="675E0532" wp14:editId="52C7AE8D">
                <wp:simplePos x="0" y="0"/>
                <wp:positionH relativeFrom="margin">
                  <wp:align>left</wp:align>
                </wp:positionH>
                <wp:positionV relativeFrom="paragraph">
                  <wp:posOffset>59690</wp:posOffset>
                </wp:positionV>
                <wp:extent cx="5943600" cy="1384935"/>
                <wp:effectExtent l="0" t="0" r="0" b="0"/>
                <wp:wrapNone/>
                <wp:docPr id="37" name="Rectangle 2"/>
                <wp:cNvGraphicFramePr/>
                <a:graphic xmlns:a="http://schemas.openxmlformats.org/drawingml/2006/main">
                  <a:graphicData uri="http://schemas.microsoft.com/office/word/2010/wordprocessingShape">
                    <wps:wsp>
                      <wps:cNvSpPr/>
                      <wps:spPr>
                        <a:xfrm>
                          <a:off x="0" y="0"/>
                          <a:ext cx="5943600" cy="1384935"/>
                        </a:xfrm>
                        <a:prstGeom prst="rect">
                          <a:avLst/>
                        </a:prstGeom>
                      </wps:spPr>
                      <wps:txbx>
                        <w:txbxContent>
                          <w:p w14:paraId="30E0CB12" w14:textId="77777777" w:rsidR="00636B5B" w:rsidRPr="008E2DC9" w:rsidRDefault="00636B5B" w:rsidP="00CE7936">
                            <w:pPr>
                              <w:jc w:val="both"/>
                              <w:rPr>
                                <w:rFonts w:eastAsia="Times New Roman" w:cstheme="minorBidi"/>
                                <w:color w:val="222222"/>
                                <w:kern w:val="24"/>
                              </w:rPr>
                            </w:pPr>
                            <w:r w:rsidRPr="008E2DC9">
                              <w:rPr>
                                <w:rFonts w:eastAsia="Times New Roman" w:cstheme="minorBidi"/>
                                <w:b/>
                                <w:bCs/>
                                <w:color w:val="222222"/>
                                <w:kern w:val="24"/>
                              </w:rPr>
                              <w:t>Fig</w:t>
                            </w:r>
                            <w:r>
                              <w:rPr>
                                <w:rFonts w:eastAsia="Times New Roman" w:cstheme="minorBidi"/>
                                <w:b/>
                                <w:bCs/>
                                <w:color w:val="222222"/>
                                <w:kern w:val="24"/>
                              </w:rPr>
                              <w:t>ure II-</w:t>
                            </w:r>
                            <w:r w:rsidRPr="008E2DC9">
                              <w:rPr>
                                <w:rFonts w:eastAsia="Times New Roman" w:cstheme="minorBidi"/>
                                <w:b/>
                                <w:bCs/>
                                <w:color w:val="222222"/>
                                <w:kern w:val="24"/>
                              </w:rPr>
                              <w:t>S16</w:t>
                            </w:r>
                            <w:r>
                              <w:rPr>
                                <w:rFonts w:eastAsia="Times New Roman" w:cstheme="minorBidi"/>
                                <w:b/>
                                <w:bCs/>
                                <w:color w:val="222222"/>
                                <w:kern w:val="24"/>
                              </w:rPr>
                              <w:t>.</w:t>
                            </w:r>
                            <w:r w:rsidRPr="008E2DC9">
                              <w:rPr>
                                <w:rFonts w:eastAsia="Times New Roman" w:cstheme="minorBidi"/>
                                <w:b/>
                                <w:bCs/>
                                <w:color w:val="222222"/>
                                <w:kern w:val="24"/>
                              </w:rPr>
                              <w:t xml:space="preserve"> </w:t>
                            </w:r>
                            <w:r w:rsidRPr="008E2DC9">
                              <w:rPr>
                                <w:rFonts w:eastAsia="Times New Roman" w:cstheme="minorBidi"/>
                                <w:color w:val="222222"/>
                                <w:kern w:val="24"/>
                              </w:rPr>
                              <w:t xml:space="preserve">Non-orphan gene and orphan gene expression across five data sets. </w:t>
                            </w:r>
                            <w:r w:rsidRPr="008E2DC9">
                              <w:rPr>
                                <w:color w:val="000000"/>
                                <w:kern w:val="24"/>
                                <w:szCs w:val="26"/>
                              </w:rPr>
                              <w:t xml:space="preserve">****: p &lt;= 0.0001, Wilcoxon signed rank test. </w:t>
                            </w:r>
                            <w:r w:rsidRPr="008E2DC9">
                              <w:rPr>
                                <w:rFonts w:eastAsia="Times New Roman" w:cstheme="minorBidi"/>
                                <w:color w:val="000000"/>
                                <w:kern w:val="24"/>
                                <w:highlight w:val="white"/>
                              </w:rPr>
                              <w:t xml:space="preserve">Non-orphan genes are defined as genes excluded as orphan genes </w:t>
                            </w:r>
                            <w:proofErr w:type="gramStart"/>
                            <w:r w:rsidRPr="008E2DC9">
                              <w:rPr>
                                <w:rFonts w:eastAsia="Times New Roman" w:cstheme="minorBidi"/>
                                <w:color w:val="000000"/>
                                <w:kern w:val="24"/>
                                <w:highlight w:val="white"/>
                              </w:rPr>
                              <w:t>as a result of</w:t>
                            </w:r>
                            <w:proofErr w:type="gramEnd"/>
                            <w:r w:rsidRPr="008E2DC9">
                              <w:rPr>
                                <w:rFonts w:eastAsia="Times New Roman" w:cstheme="minorBidi"/>
                                <w:color w:val="000000"/>
                                <w:kern w:val="24"/>
                                <w:highlight w:val="white"/>
                              </w:rPr>
                              <w:t xml:space="preserve"> our curation pipeline</w:t>
                            </w:r>
                            <w:r w:rsidRPr="008E2DC9">
                              <w:rPr>
                                <w:rFonts w:eastAsia="Times New Roman" w:cstheme="minorBidi"/>
                                <w:color w:val="000000"/>
                                <w:kern w:val="24"/>
                              </w:rPr>
                              <w:t>.</w:t>
                            </w:r>
                            <w:r w:rsidRPr="008E2DC9">
                              <w:rPr>
                                <w:rFonts w:eastAsia="Times New Roman" w:cstheme="minorBidi"/>
                                <w:color w:val="000000" w:themeColor="text1"/>
                                <w:kern w:val="24"/>
                              </w:rPr>
                              <w:t xml:space="preserve"> </w:t>
                            </w:r>
                            <w:r w:rsidRPr="008E2DC9">
                              <w:rPr>
                                <w:rFonts w:eastAsia="Times New Roman" w:cstheme="minorBidi"/>
                                <w:color w:val="222222"/>
                                <w:kern w:val="24"/>
                              </w:rPr>
                              <w:t xml:space="preserve">All RNA-Seq data displayed here is publicly available (Table </w:t>
                            </w:r>
                            <w:r>
                              <w:rPr>
                                <w:rFonts w:eastAsia="Times New Roman" w:cstheme="minorBidi"/>
                                <w:color w:val="222222"/>
                                <w:kern w:val="24"/>
                              </w:rPr>
                              <w:t>II-</w:t>
                            </w:r>
                            <w:r w:rsidRPr="008E2DC9">
                              <w:rPr>
                                <w:rFonts w:eastAsia="Times New Roman" w:cstheme="minorBidi"/>
                                <w:color w:val="222222"/>
                                <w:kern w:val="24"/>
                              </w:rPr>
                              <w:t>S11).</w:t>
                            </w:r>
                          </w:p>
                        </w:txbxContent>
                      </wps:txbx>
                      <wps:bodyPr wrap="square">
                        <a:spAutoFit/>
                      </wps:bodyPr>
                    </wps:wsp>
                  </a:graphicData>
                </a:graphic>
                <wp14:sizeRelH relativeFrom="margin">
                  <wp14:pctWidth>0</wp14:pctWidth>
                </wp14:sizeRelH>
              </wp:anchor>
            </w:drawing>
          </mc:Choice>
          <mc:Fallback>
            <w:pict>
              <v:rect w14:anchorId="675E0532" id="Rectangle 2" o:spid="_x0000_s1041" style="position:absolute;margin-left:0;margin-top:4.7pt;width:468pt;height:109.05pt;z-index:25169203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" filled="f" stroked="f">
                <v:textbox style="mso-fit-shape-to-text:t">
                  <w:txbxContent>
                    <w:p w14:paraId="30E0CB12" w14:textId="77777777" w:rsidR="00636B5B" w:rsidRPr="008E2DC9" w:rsidRDefault="00636B5B" w:rsidP="00CE7936">
                      <w:pPr>
                        <w:jc w:val="both"/>
                        <w:rPr>
                          <w:rFonts w:eastAsia="Times New Roman" w:cstheme="minorBidi"/>
                          <w:color w:val="222222"/>
                          <w:kern w:val="24"/>
                        </w:rPr>
                      </w:pPr>
                      <w:r w:rsidRPr="008E2DC9">
                        <w:rPr>
                          <w:rFonts w:eastAsia="Times New Roman" w:cstheme="minorBidi"/>
                          <w:b/>
                          <w:bCs/>
                          <w:color w:val="222222"/>
                          <w:kern w:val="24"/>
                        </w:rPr>
                        <w:t>Fig</w:t>
                      </w:r>
                      <w:r>
                        <w:rPr>
                          <w:rFonts w:eastAsia="Times New Roman" w:cstheme="minorBidi"/>
                          <w:b/>
                          <w:bCs/>
                          <w:color w:val="222222"/>
                          <w:kern w:val="24"/>
                        </w:rPr>
                        <w:t>ure II-</w:t>
                      </w:r>
                      <w:r w:rsidRPr="008E2DC9">
                        <w:rPr>
                          <w:rFonts w:eastAsia="Times New Roman" w:cstheme="minorBidi"/>
                          <w:b/>
                          <w:bCs/>
                          <w:color w:val="222222"/>
                          <w:kern w:val="24"/>
                        </w:rPr>
                        <w:t>S16</w:t>
                      </w:r>
                      <w:r>
                        <w:rPr>
                          <w:rFonts w:eastAsia="Times New Roman" w:cstheme="minorBidi"/>
                          <w:b/>
                          <w:bCs/>
                          <w:color w:val="222222"/>
                          <w:kern w:val="24"/>
                        </w:rPr>
                        <w:t>.</w:t>
                      </w:r>
                      <w:r w:rsidRPr="008E2DC9">
                        <w:rPr>
                          <w:rFonts w:eastAsia="Times New Roman" w:cstheme="minorBidi"/>
                          <w:b/>
                          <w:bCs/>
                          <w:color w:val="222222"/>
                          <w:kern w:val="24"/>
                        </w:rPr>
                        <w:t xml:space="preserve"> </w:t>
                      </w:r>
                      <w:r w:rsidRPr="008E2DC9">
                        <w:rPr>
                          <w:rFonts w:eastAsia="Times New Roman" w:cstheme="minorBidi"/>
                          <w:color w:val="222222"/>
                          <w:kern w:val="24"/>
                        </w:rPr>
                        <w:t xml:space="preserve">Non-orphan gene and orphan gene expression across five data sets. </w:t>
                      </w:r>
                      <w:r w:rsidRPr="008E2DC9">
                        <w:rPr>
                          <w:color w:val="000000"/>
                          <w:kern w:val="24"/>
                          <w:szCs w:val="26"/>
                        </w:rPr>
                        <w:t xml:space="preserve">****: p &lt;= 0.0001, Wilcoxon signed rank test. </w:t>
                      </w:r>
                      <w:r w:rsidRPr="008E2DC9">
                        <w:rPr>
                          <w:rFonts w:eastAsia="Times New Roman" w:cstheme="minorBidi"/>
                          <w:color w:val="000000"/>
                          <w:kern w:val="24"/>
                          <w:highlight w:val="white"/>
                        </w:rPr>
                        <w:t xml:space="preserve">Non-orphan genes are defined as genes excluded as orphan genes </w:t>
                      </w:r>
                      <w:proofErr w:type="gramStart"/>
                      <w:r w:rsidRPr="008E2DC9">
                        <w:rPr>
                          <w:rFonts w:eastAsia="Times New Roman" w:cstheme="minorBidi"/>
                          <w:color w:val="000000"/>
                          <w:kern w:val="24"/>
                          <w:highlight w:val="white"/>
                        </w:rPr>
                        <w:t>as a result of</w:t>
                      </w:r>
                      <w:proofErr w:type="gramEnd"/>
                      <w:r w:rsidRPr="008E2DC9">
                        <w:rPr>
                          <w:rFonts w:eastAsia="Times New Roman" w:cstheme="minorBidi"/>
                          <w:color w:val="000000"/>
                          <w:kern w:val="24"/>
                          <w:highlight w:val="white"/>
                        </w:rPr>
                        <w:t xml:space="preserve"> our curation pipeline</w:t>
                      </w:r>
                      <w:r w:rsidRPr="008E2DC9">
                        <w:rPr>
                          <w:rFonts w:eastAsia="Times New Roman" w:cstheme="minorBidi"/>
                          <w:color w:val="000000"/>
                          <w:kern w:val="24"/>
                        </w:rPr>
                        <w:t>.</w:t>
                      </w:r>
                      <w:r w:rsidRPr="008E2DC9">
                        <w:rPr>
                          <w:rFonts w:eastAsia="Times New Roman" w:cstheme="minorBidi"/>
                          <w:color w:val="000000" w:themeColor="text1"/>
                          <w:kern w:val="24"/>
                        </w:rPr>
                        <w:t xml:space="preserve"> </w:t>
                      </w:r>
                      <w:r w:rsidRPr="008E2DC9">
                        <w:rPr>
                          <w:rFonts w:eastAsia="Times New Roman" w:cstheme="minorBidi"/>
                          <w:color w:val="222222"/>
                          <w:kern w:val="24"/>
                        </w:rPr>
                        <w:t xml:space="preserve">All RNA-Seq data displayed here is publicly available (Table </w:t>
                      </w:r>
                      <w:r>
                        <w:rPr>
                          <w:rFonts w:eastAsia="Times New Roman" w:cstheme="minorBidi"/>
                          <w:color w:val="222222"/>
                          <w:kern w:val="24"/>
                        </w:rPr>
                        <w:t>II-</w:t>
                      </w:r>
                      <w:r w:rsidRPr="008E2DC9">
                        <w:rPr>
                          <w:rFonts w:eastAsia="Times New Roman" w:cstheme="minorBidi"/>
                          <w:color w:val="222222"/>
                          <w:kern w:val="24"/>
                        </w:rPr>
                        <w:t>S11).</w:t>
                      </w:r>
                    </w:p>
                  </w:txbxContent>
                </v:textbox>
                <w10:wrap anchorx="margin"/>
              </v:rect>
            </w:pict>
          </mc:Fallback>
        </mc:AlternateContent>
      </w:r>
    </w:p>
    <w:p w14:paraId="79D5EB6B" w14:textId="77777777" w:rsidR="00636B5B" w:rsidRDefault="00636B5B" w:rsidP="00CE7936">
      <w:pPr>
        <w:widowControl w:val="0"/>
        <w:autoSpaceDE w:val="0"/>
        <w:autoSpaceDN w:val="0"/>
        <w:adjustRightInd w:val="0"/>
        <w:rPr>
          <w:b/>
          <w:bCs/>
        </w:rPr>
      </w:pPr>
    </w:p>
    <w:p w14:paraId="1EB5580B" w14:textId="77777777" w:rsidR="00636B5B" w:rsidRDefault="00636B5B" w:rsidP="00CE7936">
      <w:pPr>
        <w:widowControl w:val="0"/>
        <w:autoSpaceDE w:val="0"/>
        <w:autoSpaceDN w:val="0"/>
        <w:adjustRightInd w:val="0"/>
        <w:rPr>
          <w:b/>
          <w:bCs/>
        </w:rPr>
      </w:pPr>
    </w:p>
    <w:p w14:paraId="2DFF4E54" w14:textId="77777777" w:rsidR="00636B5B" w:rsidRDefault="00636B5B" w:rsidP="00CE7936">
      <w:pPr>
        <w:widowControl w:val="0"/>
        <w:autoSpaceDE w:val="0"/>
        <w:autoSpaceDN w:val="0"/>
        <w:adjustRightInd w:val="0"/>
        <w:rPr>
          <w:b/>
          <w:bCs/>
        </w:rPr>
      </w:pPr>
    </w:p>
    <w:p w14:paraId="366CA610" w14:textId="77777777" w:rsidR="00636B5B" w:rsidRDefault="00636B5B" w:rsidP="00CE7936">
      <w:pPr>
        <w:widowControl w:val="0"/>
        <w:autoSpaceDE w:val="0"/>
        <w:autoSpaceDN w:val="0"/>
        <w:adjustRightInd w:val="0"/>
        <w:rPr>
          <w:b/>
          <w:bCs/>
        </w:rPr>
      </w:pPr>
    </w:p>
    <w:p w14:paraId="012B7A79" w14:textId="77777777" w:rsidR="00636B5B" w:rsidRDefault="00636B5B" w:rsidP="00CE7936">
      <w:pPr>
        <w:widowControl w:val="0"/>
        <w:autoSpaceDE w:val="0"/>
        <w:autoSpaceDN w:val="0"/>
        <w:adjustRightInd w:val="0"/>
        <w:rPr>
          <w:b/>
          <w:bCs/>
        </w:rPr>
      </w:pPr>
    </w:p>
    <w:p w14:paraId="7C063272" w14:textId="77777777" w:rsidR="00636B5B" w:rsidRDefault="00636B5B" w:rsidP="00CE7936">
      <w:pPr>
        <w:widowControl w:val="0"/>
        <w:autoSpaceDE w:val="0"/>
        <w:autoSpaceDN w:val="0"/>
        <w:adjustRightInd w:val="0"/>
        <w:rPr>
          <w:b/>
          <w:bCs/>
        </w:rPr>
      </w:pPr>
    </w:p>
    <w:p w14:paraId="14CA2BFD" w14:textId="77777777" w:rsidR="00636B5B" w:rsidRDefault="00636B5B" w:rsidP="00CE7936">
      <w:pPr>
        <w:widowControl w:val="0"/>
        <w:autoSpaceDE w:val="0"/>
        <w:autoSpaceDN w:val="0"/>
        <w:adjustRightInd w:val="0"/>
        <w:rPr>
          <w:b/>
          <w:bCs/>
        </w:rPr>
      </w:pPr>
    </w:p>
    <w:p w14:paraId="2B064F92" w14:textId="77777777" w:rsidR="00636B5B" w:rsidRDefault="00636B5B" w:rsidP="00CE7936">
      <w:pPr>
        <w:widowControl w:val="0"/>
        <w:autoSpaceDE w:val="0"/>
        <w:autoSpaceDN w:val="0"/>
        <w:adjustRightInd w:val="0"/>
        <w:rPr>
          <w:b/>
          <w:bCs/>
        </w:rPr>
      </w:pPr>
    </w:p>
    <w:p w14:paraId="2C275288" w14:textId="77777777" w:rsidR="00636B5B" w:rsidRDefault="00636B5B" w:rsidP="00CE7936">
      <w:pPr>
        <w:widowControl w:val="0"/>
        <w:autoSpaceDE w:val="0"/>
        <w:autoSpaceDN w:val="0"/>
        <w:adjustRightInd w:val="0"/>
        <w:rPr>
          <w:b/>
          <w:bCs/>
        </w:rPr>
      </w:pPr>
    </w:p>
    <w:p w14:paraId="7B95F19C" w14:textId="77777777" w:rsidR="00636B5B" w:rsidRDefault="00636B5B" w:rsidP="00CE7936">
      <w:pPr>
        <w:widowControl w:val="0"/>
        <w:autoSpaceDE w:val="0"/>
        <w:autoSpaceDN w:val="0"/>
        <w:adjustRightInd w:val="0"/>
        <w:rPr>
          <w:b/>
          <w:bCs/>
        </w:rPr>
      </w:pPr>
    </w:p>
    <w:p w14:paraId="4262F571" w14:textId="77777777" w:rsidR="00636B5B" w:rsidRDefault="00636B5B" w:rsidP="00CE7936">
      <w:pPr>
        <w:widowControl w:val="0"/>
        <w:autoSpaceDE w:val="0"/>
        <w:autoSpaceDN w:val="0"/>
        <w:adjustRightInd w:val="0"/>
        <w:rPr>
          <w:b/>
          <w:bCs/>
        </w:rPr>
      </w:pPr>
    </w:p>
    <w:p w14:paraId="696ECEFC" w14:textId="77777777" w:rsidR="00636B5B" w:rsidRDefault="00636B5B" w:rsidP="00CE7936">
      <w:pPr>
        <w:widowControl w:val="0"/>
        <w:autoSpaceDE w:val="0"/>
        <w:autoSpaceDN w:val="0"/>
        <w:adjustRightInd w:val="0"/>
        <w:rPr>
          <w:b/>
          <w:bCs/>
        </w:rPr>
      </w:pPr>
    </w:p>
    <w:p w14:paraId="5B0778B4" w14:textId="77777777" w:rsidR="00636B5B" w:rsidRDefault="00636B5B" w:rsidP="00CE7936">
      <w:pPr>
        <w:widowControl w:val="0"/>
        <w:autoSpaceDE w:val="0"/>
        <w:autoSpaceDN w:val="0"/>
        <w:adjustRightInd w:val="0"/>
        <w:rPr>
          <w:b/>
          <w:bCs/>
        </w:rPr>
      </w:pPr>
    </w:p>
    <w:p w14:paraId="48AE8574" w14:textId="77777777" w:rsidR="00636B5B" w:rsidRDefault="00636B5B" w:rsidP="00CE7936">
      <w:pPr>
        <w:widowControl w:val="0"/>
        <w:autoSpaceDE w:val="0"/>
        <w:autoSpaceDN w:val="0"/>
        <w:adjustRightInd w:val="0"/>
        <w:rPr>
          <w:b/>
          <w:bCs/>
        </w:rPr>
      </w:pPr>
    </w:p>
    <w:p w14:paraId="6A429AD7" w14:textId="77777777" w:rsidR="00636B5B" w:rsidRDefault="00636B5B" w:rsidP="00CE7936">
      <w:pPr>
        <w:widowControl w:val="0"/>
        <w:autoSpaceDE w:val="0"/>
        <w:autoSpaceDN w:val="0"/>
        <w:adjustRightInd w:val="0"/>
        <w:rPr>
          <w:b/>
          <w:bCs/>
        </w:rPr>
      </w:pPr>
    </w:p>
    <w:p w14:paraId="183B12EF" w14:textId="77777777" w:rsidR="00636B5B" w:rsidRDefault="00636B5B" w:rsidP="00CE7936">
      <w:pPr>
        <w:widowControl w:val="0"/>
        <w:autoSpaceDE w:val="0"/>
        <w:autoSpaceDN w:val="0"/>
        <w:adjustRightInd w:val="0"/>
        <w:rPr>
          <w:b/>
          <w:bCs/>
        </w:rPr>
      </w:pPr>
    </w:p>
    <w:p w14:paraId="2D5212B9" w14:textId="77777777" w:rsidR="00636B5B" w:rsidRDefault="00636B5B" w:rsidP="00CE7936">
      <w:pPr>
        <w:widowControl w:val="0"/>
        <w:autoSpaceDE w:val="0"/>
        <w:autoSpaceDN w:val="0"/>
        <w:adjustRightInd w:val="0"/>
        <w:rPr>
          <w:b/>
          <w:bCs/>
        </w:rPr>
      </w:pPr>
    </w:p>
    <w:p w14:paraId="40A50A04" w14:textId="77777777" w:rsidR="00636B5B" w:rsidRDefault="00636B5B" w:rsidP="00CE7936">
      <w:pPr>
        <w:widowControl w:val="0"/>
        <w:autoSpaceDE w:val="0"/>
        <w:autoSpaceDN w:val="0"/>
        <w:adjustRightInd w:val="0"/>
        <w:rPr>
          <w:b/>
          <w:bCs/>
        </w:rPr>
      </w:pPr>
    </w:p>
    <w:p w14:paraId="167E07E2" w14:textId="77777777" w:rsidR="00636B5B" w:rsidRDefault="00636B5B" w:rsidP="00CE7936">
      <w:pPr>
        <w:widowControl w:val="0"/>
        <w:autoSpaceDE w:val="0"/>
        <w:autoSpaceDN w:val="0"/>
        <w:adjustRightInd w:val="0"/>
        <w:rPr>
          <w:b/>
          <w:bCs/>
        </w:rPr>
      </w:pPr>
    </w:p>
    <w:p w14:paraId="7C012710" w14:textId="77777777" w:rsidR="00636B5B" w:rsidRDefault="00636B5B" w:rsidP="00CE7936">
      <w:pPr>
        <w:widowControl w:val="0"/>
        <w:autoSpaceDE w:val="0"/>
        <w:autoSpaceDN w:val="0"/>
        <w:adjustRightInd w:val="0"/>
        <w:rPr>
          <w:b/>
          <w:bCs/>
        </w:rPr>
      </w:pPr>
    </w:p>
    <w:p w14:paraId="53449955" w14:textId="77777777" w:rsidR="00636B5B" w:rsidRDefault="00636B5B" w:rsidP="00CE7936">
      <w:pPr>
        <w:widowControl w:val="0"/>
        <w:autoSpaceDE w:val="0"/>
        <w:autoSpaceDN w:val="0"/>
        <w:adjustRightInd w:val="0"/>
        <w:rPr>
          <w:b/>
          <w:bCs/>
        </w:rPr>
      </w:pPr>
    </w:p>
    <w:p w14:paraId="09BB29EC" w14:textId="77777777" w:rsidR="00636B5B" w:rsidRDefault="00636B5B" w:rsidP="00CE7936">
      <w:pPr>
        <w:widowControl w:val="0"/>
        <w:autoSpaceDE w:val="0"/>
        <w:autoSpaceDN w:val="0"/>
        <w:adjustRightInd w:val="0"/>
        <w:rPr>
          <w:b/>
          <w:bCs/>
        </w:rPr>
      </w:pPr>
    </w:p>
    <w:p w14:paraId="6C44069E" w14:textId="77777777" w:rsidR="00636B5B" w:rsidRDefault="00636B5B" w:rsidP="00CE7936">
      <w:pPr>
        <w:widowControl w:val="0"/>
        <w:autoSpaceDE w:val="0"/>
        <w:autoSpaceDN w:val="0"/>
        <w:adjustRightInd w:val="0"/>
        <w:rPr>
          <w:b/>
          <w:bCs/>
        </w:rPr>
      </w:pPr>
    </w:p>
    <w:p w14:paraId="08BECAF8" w14:textId="51BE5251" w:rsidR="00636B5B" w:rsidRDefault="00636B5B" w:rsidP="00CE7936">
      <w:pPr>
        <w:widowControl w:val="0"/>
        <w:autoSpaceDE w:val="0"/>
        <w:autoSpaceDN w:val="0"/>
        <w:adjustRightInd w:val="0"/>
        <w:rPr>
          <w:b/>
          <w:bCs/>
        </w:rPr>
      </w:pPr>
    </w:p>
    <w:p w14:paraId="1A7D5168" w14:textId="0D68BBE1" w:rsidR="00636B5B" w:rsidRDefault="00752AE5" w:rsidP="00CE7936">
      <w:pPr>
        <w:widowControl w:val="0"/>
        <w:autoSpaceDE w:val="0"/>
        <w:autoSpaceDN w:val="0"/>
        <w:adjustRightInd w:val="0"/>
        <w:rPr>
          <w:b/>
          <w:bCs/>
        </w:rPr>
      </w:pPr>
      <w:r w:rsidRPr="008E2DC9">
        <w:rPr>
          <w:b/>
          <w:bCs/>
          <w:noProof/>
        </w:rPr>
        <w:drawing>
          <wp:anchor distT="0" distB="0" distL="114300" distR="114300" simplePos="0" relativeHeight="251693056" behindDoc="0" locked="0" layoutInCell="1" allowOverlap="1" wp14:anchorId="47201936" wp14:editId="3E2355E2">
            <wp:simplePos x="0" y="0"/>
            <wp:positionH relativeFrom="margin">
              <wp:posOffset>800100</wp:posOffset>
            </wp:positionH>
            <wp:positionV relativeFrom="paragraph">
              <wp:posOffset>81280</wp:posOffset>
            </wp:positionV>
            <wp:extent cx="4343400" cy="6716395"/>
            <wp:effectExtent l="0" t="0" r="0" b="1905"/>
            <wp:wrapNone/>
            <wp:docPr id="40" name="Content Placeholder 4" descr="A close up of a map&#10;&#10;Description automatically generated">
              <a:extLst xmlns:a="http://schemas.openxmlformats.org/drawingml/2006/main">
                <a:ext uri="{FF2B5EF4-FFF2-40B4-BE49-F238E27FC236}">
                  <a16:creationId xmlns:a16="http://schemas.microsoft.com/office/drawing/2014/main" id="{7E464E0C-ECAD-1041-9A66-3DDD4F91EF52}"/>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4" descr="A close up of a map&#10;&#10;Description automatically generated">
                      <a:extLst>
                        <a:ext uri="{FF2B5EF4-FFF2-40B4-BE49-F238E27FC236}">
                          <a16:creationId xmlns:a16="http://schemas.microsoft.com/office/drawing/2014/main" id="{7E464E0C-ECAD-1041-9A66-3DDD4F91EF52}"/>
                        </a:ext>
                      </a:extLst>
                    </pic:cNvPr>
                    <pic:cNvPicPr>
                      <a:picLocks noGrp="1" noChangeAspect="1"/>
                    </pic:cNvPicPr>
                  </pic:nvPicPr>
                  <pic:blipFill>
                    <a:blip r:embed="rId38" cstate="print">
                      <a:extLst>
                        <a:ext uri="{28A0092B-C50C-407E-A947-70E740481C1C}">
                          <a14:useLocalDpi xmlns:a14="http://schemas.microsoft.com/office/drawing/2010/main"/>
                        </a:ext>
                      </a:extLst>
                    </a:blip>
                    <a:stretch>
                      <a:fillRect/>
                    </a:stretch>
                  </pic:blipFill>
                  <pic:spPr>
                    <a:xfrm>
                      <a:off x="0" y="0"/>
                      <a:ext cx="4343400" cy="6716395"/>
                    </a:xfrm>
                    <a:prstGeom prst="rect">
                      <a:avLst/>
                    </a:prstGeom>
                  </pic:spPr>
                </pic:pic>
              </a:graphicData>
            </a:graphic>
            <wp14:sizeRelH relativeFrom="margin">
              <wp14:pctWidth>0</wp14:pctWidth>
            </wp14:sizeRelH>
            <wp14:sizeRelV relativeFrom="margin">
              <wp14:pctHeight>0</wp14:pctHeight>
            </wp14:sizeRelV>
          </wp:anchor>
        </w:drawing>
      </w:r>
    </w:p>
    <w:p w14:paraId="54A8B6EE" w14:textId="77777777" w:rsidR="00636B5B" w:rsidRDefault="00636B5B" w:rsidP="00CE7936">
      <w:pPr>
        <w:widowControl w:val="0"/>
        <w:autoSpaceDE w:val="0"/>
        <w:autoSpaceDN w:val="0"/>
        <w:adjustRightInd w:val="0"/>
        <w:rPr>
          <w:b/>
          <w:bCs/>
        </w:rPr>
      </w:pPr>
    </w:p>
    <w:p w14:paraId="677EB27B" w14:textId="77777777" w:rsidR="00636B5B" w:rsidRDefault="00636B5B" w:rsidP="00CE7936">
      <w:pPr>
        <w:widowControl w:val="0"/>
        <w:autoSpaceDE w:val="0"/>
        <w:autoSpaceDN w:val="0"/>
        <w:adjustRightInd w:val="0"/>
        <w:rPr>
          <w:b/>
          <w:bCs/>
        </w:rPr>
      </w:pPr>
    </w:p>
    <w:p w14:paraId="029219B7" w14:textId="77777777" w:rsidR="00636B5B" w:rsidRDefault="00636B5B" w:rsidP="00CE7936">
      <w:pPr>
        <w:widowControl w:val="0"/>
        <w:autoSpaceDE w:val="0"/>
        <w:autoSpaceDN w:val="0"/>
        <w:adjustRightInd w:val="0"/>
        <w:rPr>
          <w:b/>
          <w:bCs/>
        </w:rPr>
      </w:pPr>
    </w:p>
    <w:p w14:paraId="39F12CB7" w14:textId="77777777" w:rsidR="00636B5B" w:rsidRDefault="00636B5B" w:rsidP="00CE7936">
      <w:pPr>
        <w:widowControl w:val="0"/>
        <w:autoSpaceDE w:val="0"/>
        <w:autoSpaceDN w:val="0"/>
        <w:adjustRightInd w:val="0"/>
        <w:rPr>
          <w:b/>
          <w:bCs/>
        </w:rPr>
      </w:pPr>
    </w:p>
    <w:p w14:paraId="744D3AE7" w14:textId="77777777" w:rsidR="00636B5B" w:rsidRDefault="00636B5B" w:rsidP="00CE7936">
      <w:pPr>
        <w:widowControl w:val="0"/>
        <w:autoSpaceDE w:val="0"/>
        <w:autoSpaceDN w:val="0"/>
        <w:adjustRightInd w:val="0"/>
        <w:rPr>
          <w:b/>
          <w:bCs/>
        </w:rPr>
      </w:pPr>
    </w:p>
    <w:p w14:paraId="51D99944" w14:textId="77777777" w:rsidR="00636B5B" w:rsidRDefault="00636B5B" w:rsidP="00CE7936">
      <w:pPr>
        <w:widowControl w:val="0"/>
        <w:autoSpaceDE w:val="0"/>
        <w:autoSpaceDN w:val="0"/>
        <w:adjustRightInd w:val="0"/>
        <w:rPr>
          <w:b/>
          <w:bCs/>
        </w:rPr>
      </w:pPr>
    </w:p>
    <w:p w14:paraId="23D9AE88" w14:textId="77777777" w:rsidR="00636B5B" w:rsidRDefault="00636B5B" w:rsidP="00CE7936">
      <w:pPr>
        <w:widowControl w:val="0"/>
        <w:autoSpaceDE w:val="0"/>
        <w:autoSpaceDN w:val="0"/>
        <w:adjustRightInd w:val="0"/>
        <w:rPr>
          <w:b/>
          <w:bCs/>
        </w:rPr>
      </w:pPr>
    </w:p>
    <w:p w14:paraId="71094F4D" w14:textId="77777777" w:rsidR="00636B5B" w:rsidRDefault="00636B5B" w:rsidP="00CE7936">
      <w:pPr>
        <w:widowControl w:val="0"/>
        <w:autoSpaceDE w:val="0"/>
        <w:autoSpaceDN w:val="0"/>
        <w:adjustRightInd w:val="0"/>
        <w:rPr>
          <w:b/>
          <w:bCs/>
        </w:rPr>
      </w:pPr>
    </w:p>
    <w:p w14:paraId="0D342A26" w14:textId="77777777" w:rsidR="00636B5B" w:rsidRDefault="00636B5B" w:rsidP="00CE7936">
      <w:pPr>
        <w:widowControl w:val="0"/>
        <w:autoSpaceDE w:val="0"/>
        <w:autoSpaceDN w:val="0"/>
        <w:adjustRightInd w:val="0"/>
        <w:rPr>
          <w:b/>
          <w:bCs/>
        </w:rPr>
      </w:pPr>
    </w:p>
    <w:p w14:paraId="254199F2" w14:textId="77777777" w:rsidR="00636B5B" w:rsidRDefault="00636B5B" w:rsidP="00CE7936">
      <w:pPr>
        <w:widowControl w:val="0"/>
        <w:autoSpaceDE w:val="0"/>
        <w:autoSpaceDN w:val="0"/>
        <w:adjustRightInd w:val="0"/>
        <w:rPr>
          <w:b/>
          <w:bCs/>
        </w:rPr>
      </w:pPr>
    </w:p>
    <w:p w14:paraId="60BB9DD9" w14:textId="77777777" w:rsidR="00636B5B" w:rsidRDefault="00636B5B" w:rsidP="00CE7936">
      <w:pPr>
        <w:widowControl w:val="0"/>
        <w:autoSpaceDE w:val="0"/>
        <w:autoSpaceDN w:val="0"/>
        <w:adjustRightInd w:val="0"/>
        <w:rPr>
          <w:b/>
          <w:bCs/>
        </w:rPr>
      </w:pPr>
    </w:p>
    <w:p w14:paraId="18A36BDF" w14:textId="77777777" w:rsidR="00636B5B" w:rsidRDefault="00636B5B" w:rsidP="00CE7936">
      <w:pPr>
        <w:widowControl w:val="0"/>
        <w:autoSpaceDE w:val="0"/>
        <w:autoSpaceDN w:val="0"/>
        <w:adjustRightInd w:val="0"/>
        <w:rPr>
          <w:b/>
          <w:bCs/>
        </w:rPr>
      </w:pPr>
    </w:p>
    <w:p w14:paraId="506DFBEA" w14:textId="77777777" w:rsidR="00636B5B" w:rsidRDefault="00636B5B" w:rsidP="00CE7936">
      <w:pPr>
        <w:widowControl w:val="0"/>
        <w:autoSpaceDE w:val="0"/>
        <w:autoSpaceDN w:val="0"/>
        <w:adjustRightInd w:val="0"/>
        <w:rPr>
          <w:b/>
          <w:bCs/>
        </w:rPr>
      </w:pPr>
    </w:p>
    <w:p w14:paraId="266618CD" w14:textId="77777777" w:rsidR="00636B5B" w:rsidRDefault="00636B5B" w:rsidP="00CE7936">
      <w:pPr>
        <w:widowControl w:val="0"/>
        <w:autoSpaceDE w:val="0"/>
        <w:autoSpaceDN w:val="0"/>
        <w:adjustRightInd w:val="0"/>
        <w:rPr>
          <w:b/>
          <w:bCs/>
        </w:rPr>
      </w:pPr>
    </w:p>
    <w:p w14:paraId="35D22D51" w14:textId="77777777" w:rsidR="00636B5B" w:rsidRDefault="00636B5B" w:rsidP="00CE7936">
      <w:pPr>
        <w:widowControl w:val="0"/>
        <w:autoSpaceDE w:val="0"/>
        <w:autoSpaceDN w:val="0"/>
        <w:adjustRightInd w:val="0"/>
        <w:rPr>
          <w:b/>
          <w:bCs/>
        </w:rPr>
      </w:pPr>
    </w:p>
    <w:p w14:paraId="5B2142C8" w14:textId="77777777" w:rsidR="00636B5B" w:rsidRDefault="00636B5B" w:rsidP="00CE7936">
      <w:pPr>
        <w:widowControl w:val="0"/>
        <w:autoSpaceDE w:val="0"/>
        <w:autoSpaceDN w:val="0"/>
        <w:adjustRightInd w:val="0"/>
        <w:rPr>
          <w:b/>
          <w:bCs/>
        </w:rPr>
      </w:pPr>
    </w:p>
    <w:p w14:paraId="260BE200" w14:textId="77777777" w:rsidR="00636B5B" w:rsidRDefault="00636B5B" w:rsidP="00CE7936">
      <w:pPr>
        <w:widowControl w:val="0"/>
        <w:autoSpaceDE w:val="0"/>
        <w:autoSpaceDN w:val="0"/>
        <w:adjustRightInd w:val="0"/>
        <w:rPr>
          <w:b/>
          <w:bCs/>
        </w:rPr>
      </w:pPr>
    </w:p>
    <w:p w14:paraId="30E9F0B1" w14:textId="77777777" w:rsidR="00636B5B" w:rsidRDefault="00636B5B" w:rsidP="00CE7936">
      <w:pPr>
        <w:widowControl w:val="0"/>
        <w:autoSpaceDE w:val="0"/>
        <w:autoSpaceDN w:val="0"/>
        <w:adjustRightInd w:val="0"/>
        <w:rPr>
          <w:b/>
          <w:bCs/>
        </w:rPr>
      </w:pPr>
    </w:p>
    <w:p w14:paraId="19C39636" w14:textId="77777777" w:rsidR="00636B5B" w:rsidRDefault="00636B5B" w:rsidP="00CE7936">
      <w:pPr>
        <w:widowControl w:val="0"/>
        <w:autoSpaceDE w:val="0"/>
        <w:autoSpaceDN w:val="0"/>
        <w:adjustRightInd w:val="0"/>
        <w:rPr>
          <w:b/>
          <w:bCs/>
        </w:rPr>
      </w:pPr>
    </w:p>
    <w:p w14:paraId="7F665C45" w14:textId="77777777" w:rsidR="00636B5B" w:rsidRDefault="00636B5B" w:rsidP="00CE7936">
      <w:pPr>
        <w:widowControl w:val="0"/>
        <w:autoSpaceDE w:val="0"/>
        <w:autoSpaceDN w:val="0"/>
        <w:adjustRightInd w:val="0"/>
        <w:rPr>
          <w:b/>
          <w:bCs/>
        </w:rPr>
      </w:pPr>
    </w:p>
    <w:p w14:paraId="14EECE49" w14:textId="77777777" w:rsidR="00636B5B" w:rsidRDefault="00636B5B" w:rsidP="00CE7936">
      <w:pPr>
        <w:widowControl w:val="0"/>
        <w:autoSpaceDE w:val="0"/>
        <w:autoSpaceDN w:val="0"/>
        <w:adjustRightInd w:val="0"/>
        <w:rPr>
          <w:b/>
          <w:bCs/>
        </w:rPr>
      </w:pPr>
    </w:p>
    <w:p w14:paraId="286C8CE1" w14:textId="77777777" w:rsidR="00636B5B" w:rsidRDefault="00636B5B" w:rsidP="00CE7936">
      <w:pPr>
        <w:widowControl w:val="0"/>
        <w:autoSpaceDE w:val="0"/>
        <w:autoSpaceDN w:val="0"/>
        <w:adjustRightInd w:val="0"/>
        <w:rPr>
          <w:b/>
          <w:bCs/>
        </w:rPr>
      </w:pPr>
    </w:p>
    <w:p w14:paraId="67655CB7" w14:textId="77777777" w:rsidR="00636B5B" w:rsidRDefault="00636B5B" w:rsidP="00CE7936">
      <w:pPr>
        <w:widowControl w:val="0"/>
        <w:autoSpaceDE w:val="0"/>
        <w:autoSpaceDN w:val="0"/>
        <w:adjustRightInd w:val="0"/>
        <w:rPr>
          <w:b/>
          <w:bCs/>
        </w:rPr>
      </w:pPr>
    </w:p>
    <w:p w14:paraId="36A2D589" w14:textId="77777777" w:rsidR="00636B5B" w:rsidRDefault="00636B5B" w:rsidP="00CE7936">
      <w:pPr>
        <w:widowControl w:val="0"/>
        <w:autoSpaceDE w:val="0"/>
        <w:autoSpaceDN w:val="0"/>
        <w:adjustRightInd w:val="0"/>
        <w:rPr>
          <w:b/>
          <w:bCs/>
        </w:rPr>
      </w:pPr>
    </w:p>
    <w:p w14:paraId="1FE6C8AE" w14:textId="77777777" w:rsidR="00636B5B" w:rsidRDefault="00636B5B" w:rsidP="00CE7936">
      <w:pPr>
        <w:widowControl w:val="0"/>
        <w:autoSpaceDE w:val="0"/>
        <w:autoSpaceDN w:val="0"/>
        <w:adjustRightInd w:val="0"/>
        <w:rPr>
          <w:b/>
          <w:bCs/>
        </w:rPr>
      </w:pPr>
    </w:p>
    <w:p w14:paraId="73AD81DE" w14:textId="77777777" w:rsidR="00636B5B" w:rsidRDefault="00636B5B" w:rsidP="00CE7936">
      <w:pPr>
        <w:widowControl w:val="0"/>
        <w:autoSpaceDE w:val="0"/>
        <w:autoSpaceDN w:val="0"/>
        <w:adjustRightInd w:val="0"/>
        <w:rPr>
          <w:b/>
          <w:bCs/>
        </w:rPr>
      </w:pPr>
    </w:p>
    <w:p w14:paraId="625C0680" w14:textId="77777777" w:rsidR="00636B5B" w:rsidRDefault="00636B5B" w:rsidP="00CE7936">
      <w:pPr>
        <w:widowControl w:val="0"/>
        <w:autoSpaceDE w:val="0"/>
        <w:autoSpaceDN w:val="0"/>
        <w:adjustRightInd w:val="0"/>
        <w:rPr>
          <w:b/>
          <w:bCs/>
        </w:rPr>
      </w:pPr>
    </w:p>
    <w:p w14:paraId="7F724938" w14:textId="77777777" w:rsidR="00636B5B" w:rsidRDefault="00636B5B" w:rsidP="00CE7936">
      <w:pPr>
        <w:widowControl w:val="0"/>
        <w:autoSpaceDE w:val="0"/>
        <w:autoSpaceDN w:val="0"/>
        <w:adjustRightInd w:val="0"/>
        <w:rPr>
          <w:b/>
          <w:bCs/>
        </w:rPr>
      </w:pPr>
    </w:p>
    <w:p w14:paraId="5E6FD8B0" w14:textId="77777777" w:rsidR="00636B5B" w:rsidRDefault="00636B5B" w:rsidP="00CE7936">
      <w:pPr>
        <w:widowControl w:val="0"/>
        <w:autoSpaceDE w:val="0"/>
        <w:autoSpaceDN w:val="0"/>
        <w:adjustRightInd w:val="0"/>
        <w:rPr>
          <w:b/>
          <w:bCs/>
        </w:rPr>
      </w:pPr>
    </w:p>
    <w:p w14:paraId="03D8AEC9" w14:textId="77777777" w:rsidR="00636B5B" w:rsidRDefault="00636B5B" w:rsidP="00CE7936">
      <w:pPr>
        <w:widowControl w:val="0"/>
        <w:autoSpaceDE w:val="0"/>
        <w:autoSpaceDN w:val="0"/>
        <w:adjustRightInd w:val="0"/>
        <w:rPr>
          <w:b/>
          <w:bCs/>
        </w:rPr>
      </w:pPr>
    </w:p>
    <w:p w14:paraId="2AB5F624" w14:textId="77777777" w:rsidR="00636B5B" w:rsidRDefault="00636B5B" w:rsidP="00CE7936">
      <w:pPr>
        <w:widowControl w:val="0"/>
        <w:autoSpaceDE w:val="0"/>
        <w:autoSpaceDN w:val="0"/>
        <w:adjustRightInd w:val="0"/>
        <w:rPr>
          <w:b/>
          <w:bCs/>
        </w:rPr>
      </w:pPr>
    </w:p>
    <w:p w14:paraId="21B0817F" w14:textId="77777777" w:rsidR="00636B5B" w:rsidRDefault="00636B5B" w:rsidP="00CE7936">
      <w:pPr>
        <w:widowControl w:val="0"/>
        <w:autoSpaceDE w:val="0"/>
        <w:autoSpaceDN w:val="0"/>
        <w:adjustRightInd w:val="0"/>
        <w:rPr>
          <w:b/>
          <w:bCs/>
        </w:rPr>
      </w:pPr>
    </w:p>
    <w:p w14:paraId="0B64A461" w14:textId="77777777" w:rsidR="00636B5B" w:rsidRDefault="00636B5B" w:rsidP="00CE7936">
      <w:pPr>
        <w:widowControl w:val="0"/>
        <w:autoSpaceDE w:val="0"/>
        <w:autoSpaceDN w:val="0"/>
        <w:adjustRightInd w:val="0"/>
        <w:rPr>
          <w:b/>
          <w:bCs/>
        </w:rPr>
      </w:pPr>
    </w:p>
    <w:p w14:paraId="2F02DC67" w14:textId="77777777" w:rsidR="00636B5B" w:rsidRDefault="00636B5B" w:rsidP="00CE7936">
      <w:pPr>
        <w:widowControl w:val="0"/>
        <w:autoSpaceDE w:val="0"/>
        <w:autoSpaceDN w:val="0"/>
        <w:adjustRightInd w:val="0"/>
        <w:rPr>
          <w:b/>
          <w:bCs/>
        </w:rPr>
      </w:pPr>
    </w:p>
    <w:p w14:paraId="1BCE39FB" w14:textId="77777777" w:rsidR="00636B5B" w:rsidRDefault="00636B5B" w:rsidP="00CE7936">
      <w:pPr>
        <w:widowControl w:val="0"/>
        <w:autoSpaceDE w:val="0"/>
        <w:autoSpaceDN w:val="0"/>
        <w:adjustRightInd w:val="0"/>
        <w:rPr>
          <w:b/>
          <w:bCs/>
        </w:rPr>
      </w:pPr>
    </w:p>
    <w:p w14:paraId="51930E80" w14:textId="77777777" w:rsidR="00636B5B" w:rsidRDefault="00636B5B" w:rsidP="00CE7936">
      <w:pPr>
        <w:widowControl w:val="0"/>
        <w:autoSpaceDE w:val="0"/>
        <w:autoSpaceDN w:val="0"/>
        <w:adjustRightInd w:val="0"/>
        <w:rPr>
          <w:b/>
          <w:bCs/>
        </w:rPr>
      </w:pPr>
    </w:p>
    <w:p w14:paraId="11A026CF" w14:textId="77777777" w:rsidR="00636B5B" w:rsidRDefault="00636B5B" w:rsidP="00CE7936">
      <w:pPr>
        <w:widowControl w:val="0"/>
        <w:autoSpaceDE w:val="0"/>
        <w:autoSpaceDN w:val="0"/>
        <w:adjustRightInd w:val="0"/>
        <w:rPr>
          <w:b/>
          <w:bCs/>
        </w:rPr>
      </w:pPr>
    </w:p>
    <w:p w14:paraId="47FD92AA" w14:textId="77777777" w:rsidR="00636B5B" w:rsidRDefault="00636B5B" w:rsidP="00CE7936">
      <w:pPr>
        <w:widowControl w:val="0"/>
        <w:autoSpaceDE w:val="0"/>
        <w:autoSpaceDN w:val="0"/>
        <w:adjustRightInd w:val="0"/>
        <w:rPr>
          <w:b/>
          <w:bCs/>
        </w:rPr>
      </w:pPr>
      <w:r w:rsidRPr="008E2DC9">
        <w:rPr>
          <w:b/>
          <w:bCs/>
          <w:noProof/>
        </w:rPr>
        <mc:AlternateContent>
          <mc:Choice Requires="wps">
            <w:drawing>
              <wp:anchor distT="0" distB="0" distL="114300" distR="114300" simplePos="0" relativeHeight="251694080" behindDoc="0" locked="0" layoutInCell="1" allowOverlap="1" wp14:anchorId="407E98C9" wp14:editId="5180436B">
                <wp:simplePos x="0" y="0"/>
                <wp:positionH relativeFrom="margin">
                  <wp:align>left</wp:align>
                </wp:positionH>
                <wp:positionV relativeFrom="paragraph">
                  <wp:posOffset>24765</wp:posOffset>
                </wp:positionV>
                <wp:extent cx="5959929" cy="1022985"/>
                <wp:effectExtent l="0" t="0" r="0" b="0"/>
                <wp:wrapNone/>
                <wp:docPr id="39" name="Rectangle 1"/>
                <wp:cNvGraphicFramePr/>
                <a:graphic xmlns:a="http://schemas.openxmlformats.org/drawingml/2006/main">
                  <a:graphicData uri="http://schemas.microsoft.com/office/word/2010/wordprocessingShape">
                    <wps:wsp>
                      <wps:cNvSpPr/>
                      <wps:spPr>
                        <a:xfrm>
                          <a:off x="0" y="0"/>
                          <a:ext cx="5959929" cy="1022985"/>
                        </a:xfrm>
                        <a:prstGeom prst="rect">
                          <a:avLst/>
                        </a:prstGeom>
                      </wps:spPr>
                      <wps:txbx>
                        <w:txbxContent>
                          <w:p w14:paraId="07A2F40A" w14:textId="77777777" w:rsidR="00636B5B" w:rsidRDefault="00636B5B" w:rsidP="00CE7936">
                            <w:pPr>
                              <w:rPr>
                                <w:color w:val="000000" w:themeColor="text1"/>
                                <w:kern w:val="24"/>
                                <w:sz w:val="28"/>
                                <w:szCs w:val="28"/>
                              </w:rPr>
                            </w:pPr>
                            <w:r>
                              <w:rPr>
                                <w:color w:val="000000" w:themeColor="text1"/>
                                <w:kern w:val="24"/>
                                <w:sz w:val="28"/>
                                <w:szCs w:val="28"/>
                              </w:rPr>
                              <w:t> </w:t>
                            </w:r>
                          </w:p>
                          <w:p w14:paraId="1178CB20" w14:textId="77777777" w:rsidR="00636B5B" w:rsidRPr="004A730F" w:rsidRDefault="00636B5B" w:rsidP="00CE7936">
                            <w:pPr>
                              <w:rPr>
                                <w:b/>
                                <w:bCs/>
                                <w:color w:val="000000" w:themeColor="text1"/>
                                <w:kern w:val="24"/>
                                <w:szCs w:val="26"/>
                              </w:rPr>
                            </w:pPr>
                            <w:r w:rsidRPr="004A730F">
                              <w:rPr>
                                <w:b/>
                                <w:bCs/>
                                <w:color w:val="000000" w:themeColor="text1"/>
                                <w:kern w:val="24"/>
                                <w:szCs w:val="26"/>
                              </w:rPr>
                              <w:t xml:space="preserve">Figure II-S17. </w:t>
                            </w:r>
                            <w:r w:rsidRPr="004A730F">
                              <w:rPr>
                                <w:color w:val="000000" w:themeColor="text1"/>
                                <w:kern w:val="24"/>
                                <w:szCs w:val="26"/>
                              </w:rPr>
                              <w:t xml:space="preserve">Percentage and count of orphan genes by eQTL category, (A) </w:t>
                            </w:r>
                            <w:r w:rsidRPr="004A730F">
                              <w:rPr>
                                <w:i/>
                                <w:iCs/>
                                <w:color w:val="000000" w:themeColor="text1"/>
                                <w:kern w:val="24"/>
                                <w:szCs w:val="26"/>
                              </w:rPr>
                              <w:t>cis</w:t>
                            </w:r>
                            <w:r w:rsidRPr="004A730F">
                              <w:rPr>
                                <w:color w:val="000000" w:themeColor="text1"/>
                                <w:kern w:val="24"/>
                                <w:szCs w:val="26"/>
                              </w:rPr>
                              <w:t xml:space="preserve">-eQTL and (B) </w:t>
                            </w:r>
                            <w:r w:rsidRPr="004A730F">
                              <w:rPr>
                                <w:i/>
                                <w:iCs/>
                                <w:color w:val="000000" w:themeColor="text1"/>
                                <w:kern w:val="24"/>
                                <w:szCs w:val="26"/>
                              </w:rPr>
                              <w:t>trans-</w:t>
                            </w:r>
                            <w:r w:rsidRPr="004A730F">
                              <w:rPr>
                                <w:color w:val="000000" w:themeColor="text1"/>
                                <w:kern w:val="24"/>
                                <w:szCs w:val="26"/>
                              </w:rPr>
                              <w:t>eQTL.</w:t>
                            </w:r>
                          </w:p>
                        </w:txbxContent>
                      </wps:txbx>
                      <wps:bodyPr wrap="square">
                        <a:spAutoFit/>
                      </wps:bodyPr>
                    </wps:wsp>
                  </a:graphicData>
                </a:graphic>
                <wp14:sizeRelH relativeFrom="margin">
                  <wp14:pctWidth>0</wp14:pctWidth>
                </wp14:sizeRelH>
              </wp:anchor>
            </w:drawing>
          </mc:Choice>
          <mc:Fallback>
            <w:pict>
              <v:rect w14:anchorId="407E98C9" id="_x0000_s1042" style="position:absolute;margin-left:0;margin-top:1.95pt;width:469.3pt;height:80.55pt;z-index:25169408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" filled="f" stroked="f">
                <v:textbox style="mso-fit-shape-to-text:t">
                  <w:txbxContent>
                    <w:p w14:paraId="07A2F40A" w14:textId="77777777" w:rsidR="00636B5B" w:rsidRDefault="00636B5B" w:rsidP="00CE7936">
                      <w:pPr>
                        <w:rPr>
                          <w:color w:val="000000" w:themeColor="text1"/>
                          <w:kern w:val="24"/>
                          <w:sz w:val="28"/>
                          <w:szCs w:val="28"/>
                        </w:rPr>
                      </w:pPr>
                      <w:r>
                        <w:rPr>
                          <w:color w:val="000000" w:themeColor="text1"/>
                          <w:kern w:val="24"/>
                          <w:sz w:val="28"/>
                          <w:szCs w:val="28"/>
                        </w:rPr>
                        <w:t> </w:t>
                      </w:r>
                    </w:p>
                    <w:p w14:paraId="1178CB20" w14:textId="77777777" w:rsidR="00636B5B" w:rsidRPr="004A730F" w:rsidRDefault="00636B5B" w:rsidP="00CE7936">
                      <w:pPr>
                        <w:rPr>
                          <w:b/>
                          <w:bCs/>
                          <w:color w:val="000000" w:themeColor="text1"/>
                          <w:kern w:val="24"/>
                          <w:szCs w:val="26"/>
                        </w:rPr>
                      </w:pPr>
                      <w:r w:rsidRPr="004A730F">
                        <w:rPr>
                          <w:b/>
                          <w:bCs/>
                          <w:color w:val="000000" w:themeColor="text1"/>
                          <w:kern w:val="24"/>
                          <w:szCs w:val="26"/>
                        </w:rPr>
                        <w:t xml:space="preserve">Figure II-S17. </w:t>
                      </w:r>
                      <w:r w:rsidRPr="004A730F">
                        <w:rPr>
                          <w:color w:val="000000" w:themeColor="text1"/>
                          <w:kern w:val="24"/>
                          <w:szCs w:val="26"/>
                        </w:rPr>
                        <w:t xml:space="preserve">Percentage and count of orphan genes by eQTL category, (A) </w:t>
                      </w:r>
                      <w:r w:rsidRPr="004A730F">
                        <w:rPr>
                          <w:i/>
                          <w:iCs/>
                          <w:color w:val="000000" w:themeColor="text1"/>
                          <w:kern w:val="24"/>
                          <w:szCs w:val="26"/>
                        </w:rPr>
                        <w:t>cis</w:t>
                      </w:r>
                      <w:r w:rsidRPr="004A730F">
                        <w:rPr>
                          <w:color w:val="000000" w:themeColor="text1"/>
                          <w:kern w:val="24"/>
                          <w:szCs w:val="26"/>
                        </w:rPr>
                        <w:t xml:space="preserve">-eQTL and (B) </w:t>
                      </w:r>
                      <w:r w:rsidRPr="004A730F">
                        <w:rPr>
                          <w:i/>
                          <w:iCs/>
                          <w:color w:val="000000" w:themeColor="text1"/>
                          <w:kern w:val="24"/>
                          <w:szCs w:val="26"/>
                        </w:rPr>
                        <w:t>trans-</w:t>
                      </w:r>
                      <w:r w:rsidRPr="004A730F">
                        <w:rPr>
                          <w:color w:val="000000" w:themeColor="text1"/>
                          <w:kern w:val="24"/>
                          <w:szCs w:val="26"/>
                        </w:rPr>
                        <w:t>eQTL.</w:t>
                      </w:r>
                    </w:p>
                  </w:txbxContent>
                </v:textbox>
                <w10:wrap anchorx="margin"/>
              </v:rect>
            </w:pict>
          </mc:Fallback>
        </mc:AlternateContent>
      </w:r>
    </w:p>
    <w:p w14:paraId="65F057D3" w14:textId="77777777" w:rsidR="00636B5B" w:rsidRDefault="00636B5B" w:rsidP="00CE7936">
      <w:pPr>
        <w:widowControl w:val="0"/>
        <w:autoSpaceDE w:val="0"/>
        <w:autoSpaceDN w:val="0"/>
        <w:adjustRightInd w:val="0"/>
        <w:rPr>
          <w:b/>
          <w:bCs/>
        </w:rPr>
      </w:pPr>
    </w:p>
    <w:p w14:paraId="50663236" w14:textId="77777777" w:rsidR="00636B5B" w:rsidRDefault="00636B5B" w:rsidP="00CE7936">
      <w:pPr>
        <w:widowControl w:val="0"/>
        <w:autoSpaceDE w:val="0"/>
        <w:autoSpaceDN w:val="0"/>
        <w:adjustRightInd w:val="0"/>
        <w:rPr>
          <w:b/>
          <w:bCs/>
        </w:rPr>
      </w:pPr>
    </w:p>
    <w:p w14:paraId="7BA1256B" w14:textId="77777777" w:rsidR="00636B5B" w:rsidRDefault="00636B5B" w:rsidP="00CE7936">
      <w:pPr>
        <w:widowControl w:val="0"/>
        <w:autoSpaceDE w:val="0"/>
        <w:autoSpaceDN w:val="0"/>
        <w:adjustRightInd w:val="0"/>
        <w:rPr>
          <w:b/>
          <w:bCs/>
        </w:rPr>
      </w:pPr>
    </w:p>
    <w:p w14:paraId="702577F9" w14:textId="77777777" w:rsidR="00636B5B" w:rsidRDefault="00636B5B" w:rsidP="00CE7936">
      <w:pPr>
        <w:widowControl w:val="0"/>
        <w:autoSpaceDE w:val="0"/>
        <w:autoSpaceDN w:val="0"/>
        <w:adjustRightInd w:val="0"/>
        <w:rPr>
          <w:b/>
          <w:bCs/>
        </w:rPr>
      </w:pPr>
    </w:p>
    <w:p w14:paraId="68788045" w14:textId="77777777" w:rsidR="00636B5B" w:rsidRDefault="00636B5B" w:rsidP="00CE7936">
      <w:pPr>
        <w:widowControl w:val="0"/>
        <w:autoSpaceDE w:val="0"/>
        <w:autoSpaceDN w:val="0"/>
        <w:adjustRightInd w:val="0"/>
        <w:rPr>
          <w:b/>
          <w:bCs/>
        </w:rPr>
      </w:pPr>
    </w:p>
    <w:p w14:paraId="71DDB7CC" w14:textId="77777777" w:rsidR="00636B5B" w:rsidRDefault="00636B5B" w:rsidP="00CE7936">
      <w:pPr>
        <w:widowControl w:val="0"/>
        <w:autoSpaceDE w:val="0"/>
        <w:autoSpaceDN w:val="0"/>
        <w:adjustRightInd w:val="0"/>
        <w:rPr>
          <w:b/>
          <w:bCs/>
        </w:rPr>
      </w:pPr>
    </w:p>
    <w:p w14:paraId="61E0FA0E" w14:textId="2365D5AD" w:rsidR="00636B5B" w:rsidRDefault="00636B5B" w:rsidP="00CE7936">
      <w:pPr>
        <w:widowControl w:val="0"/>
        <w:autoSpaceDE w:val="0"/>
        <w:autoSpaceDN w:val="0"/>
        <w:adjustRightInd w:val="0"/>
        <w:rPr>
          <w:b/>
          <w:bCs/>
        </w:rPr>
      </w:pPr>
    </w:p>
    <w:p w14:paraId="0EE5C920" w14:textId="08027438" w:rsidR="00636B5B" w:rsidRDefault="00752AE5" w:rsidP="00CE7936">
      <w:pPr>
        <w:widowControl w:val="0"/>
        <w:autoSpaceDE w:val="0"/>
        <w:autoSpaceDN w:val="0"/>
        <w:adjustRightInd w:val="0"/>
        <w:rPr>
          <w:b/>
          <w:bCs/>
        </w:rPr>
      </w:pPr>
      <w:r w:rsidRPr="00042B37">
        <w:rPr>
          <w:b/>
          <w:bCs/>
          <w:noProof/>
        </w:rPr>
        <w:drawing>
          <wp:anchor distT="0" distB="0" distL="114300" distR="114300" simplePos="0" relativeHeight="251695104" behindDoc="0" locked="0" layoutInCell="1" allowOverlap="1" wp14:anchorId="5D650C03" wp14:editId="1CCDAAA1">
            <wp:simplePos x="0" y="0"/>
            <wp:positionH relativeFrom="column">
              <wp:posOffset>228600</wp:posOffset>
            </wp:positionH>
            <wp:positionV relativeFrom="paragraph">
              <wp:posOffset>52705</wp:posOffset>
            </wp:positionV>
            <wp:extent cx="5486400" cy="7315200"/>
            <wp:effectExtent l="0" t="0" r="0" b="0"/>
            <wp:wrapNone/>
            <wp:docPr id="44" name="Content Placeholder 4">
              <a:extLst xmlns:a="http://schemas.openxmlformats.org/drawingml/2006/main">
                <a:ext uri="{FF2B5EF4-FFF2-40B4-BE49-F238E27FC236}">
                  <a16:creationId xmlns:a16="http://schemas.microsoft.com/office/drawing/2014/main" id="{FE2230F1-5024-154A-AC22-91E9E899453A}"/>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4">
                      <a:extLst>
                        <a:ext uri="{FF2B5EF4-FFF2-40B4-BE49-F238E27FC236}">
                          <a16:creationId xmlns:a16="http://schemas.microsoft.com/office/drawing/2014/main" id="{FE2230F1-5024-154A-AC22-91E9E899453A}"/>
                        </a:ext>
                      </a:extLst>
                    </pic:cNvPr>
                    <pic:cNvPicPr>
                      <a:picLocks noGrp="1" noChangeAspect="1"/>
                    </pic:cNvPicPr>
                  </pic:nvPicPr>
                  <pic:blipFill>
                    <a:blip r:embed="rId39"/>
                    <a:stretch>
                      <a:fillRect/>
                    </a:stretch>
                  </pic:blipFill>
                  <pic:spPr>
                    <a:xfrm>
                      <a:off x="0" y="0"/>
                      <a:ext cx="5486400" cy="7315200"/>
                    </a:xfrm>
                    <a:prstGeom prst="rect">
                      <a:avLst/>
                    </a:prstGeom>
                  </pic:spPr>
                </pic:pic>
              </a:graphicData>
            </a:graphic>
            <wp14:sizeRelH relativeFrom="margin">
              <wp14:pctWidth>0</wp14:pctWidth>
            </wp14:sizeRelH>
            <wp14:sizeRelV relativeFrom="margin">
              <wp14:pctHeight>0</wp14:pctHeight>
            </wp14:sizeRelV>
          </wp:anchor>
        </w:drawing>
      </w:r>
    </w:p>
    <w:p w14:paraId="20618288" w14:textId="0DAEDA89" w:rsidR="00636B5B" w:rsidRDefault="00636B5B" w:rsidP="00CE7936">
      <w:pPr>
        <w:widowControl w:val="0"/>
        <w:autoSpaceDE w:val="0"/>
        <w:autoSpaceDN w:val="0"/>
        <w:adjustRightInd w:val="0"/>
        <w:rPr>
          <w:b/>
          <w:bCs/>
        </w:rPr>
      </w:pPr>
    </w:p>
    <w:p w14:paraId="57D94DD5" w14:textId="77777777" w:rsidR="00636B5B" w:rsidRDefault="00636B5B" w:rsidP="00CE7936">
      <w:pPr>
        <w:widowControl w:val="0"/>
        <w:autoSpaceDE w:val="0"/>
        <w:autoSpaceDN w:val="0"/>
        <w:adjustRightInd w:val="0"/>
        <w:rPr>
          <w:b/>
          <w:bCs/>
        </w:rPr>
      </w:pPr>
    </w:p>
    <w:p w14:paraId="468BC795" w14:textId="77777777" w:rsidR="00636B5B" w:rsidRDefault="00636B5B" w:rsidP="00CE7936">
      <w:pPr>
        <w:widowControl w:val="0"/>
        <w:autoSpaceDE w:val="0"/>
        <w:autoSpaceDN w:val="0"/>
        <w:adjustRightInd w:val="0"/>
        <w:rPr>
          <w:b/>
          <w:bCs/>
        </w:rPr>
      </w:pPr>
    </w:p>
    <w:p w14:paraId="7B748BD9" w14:textId="77777777" w:rsidR="00636B5B" w:rsidRDefault="00636B5B" w:rsidP="00CE7936">
      <w:pPr>
        <w:widowControl w:val="0"/>
        <w:autoSpaceDE w:val="0"/>
        <w:autoSpaceDN w:val="0"/>
        <w:adjustRightInd w:val="0"/>
        <w:rPr>
          <w:b/>
          <w:bCs/>
        </w:rPr>
      </w:pPr>
    </w:p>
    <w:p w14:paraId="4125F32D" w14:textId="77777777" w:rsidR="00636B5B" w:rsidRDefault="00636B5B" w:rsidP="00CE7936">
      <w:pPr>
        <w:widowControl w:val="0"/>
        <w:autoSpaceDE w:val="0"/>
        <w:autoSpaceDN w:val="0"/>
        <w:adjustRightInd w:val="0"/>
        <w:rPr>
          <w:b/>
          <w:bCs/>
        </w:rPr>
      </w:pPr>
    </w:p>
    <w:p w14:paraId="67EEDC30" w14:textId="77777777" w:rsidR="00636B5B" w:rsidRDefault="00636B5B" w:rsidP="00CE7936">
      <w:pPr>
        <w:widowControl w:val="0"/>
        <w:autoSpaceDE w:val="0"/>
        <w:autoSpaceDN w:val="0"/>
        <w:adjustRightInd w:val="0"/>
        <w:rPr>
          <w:b/>
          <w:bCs/>
        </w:rPr>
      </w:pPr>
    </w:p>
    <w:p w14:paraId="51820B48" w14:textId="77777777" w:rsidR="00636B5B" w:rsidRDefault="00636B5B" w:rsidP="00CE7936">
      <w:pPr>
        <w:widowControl w:val="0"/>
        <w:autoSpaceDE w:val="0"/>
        <w:autoSpaceDN w:val="0"/>
        <w:adjustRightInd w:val="0"/>
        <w:rPr>
          <w:b/>
          <w:bCs/>
        </w:rPr>
      </w:pPr>
    </w:p>
    <w:p w14:paraId="04F7ADF0" w14:textId="77777777" w:rsidR="00636B5B" w:rsidRDefault="00636B5B" w:rsidP="00CE7936">
      <w:pPr>
        <w:widowControl w:val="0"/>
        <w:autoSpaceDE w:val="0"/>
        <w:autoSpaceDN w:val="0"/>
        <w:adjustRightInd w:val="0"/>
        <w:rPr>
          <w:b/>
          <w:bCs/>
        </w:rPr>
      </w:pPr>
    </w:p>
    <w:p w14:paraId="2CD88F6E" w14:textId="77777777" w:rsidR="00636B5B" w:rsidRDefault="00636B5B" w:rsidP="00CE7936">
      <w:pPr>
        <w:widowControl w:val="0"/>
        <w:autoSpaceDE w:val="0"/>
        <w:autoSpaceDN w:val="0"/>
        <w:adjustRightInd w:val="0"/>
        <w:rPr>
          <w:b/>
          <w:bCs/>
        </w:rPr>
      </w:pPr>
    </w:p>
    <w:p w14:paraId="0B032E21" w14:textId="77777777" w:rsidR="00636B5B" w:rsidRDefault="00636B5B" w:rsidP="00CE7936">
      <w:pPr>
        <w:widowControl w:val="0"/>
        <w:autoSpaceDE w:val="0"/>
        <w:autoSpaceDN w:val="0"/>
        <w:adjustRightInd w:val="0"/>
        <w:rPr>
          <w:b/>
          <w:bCs/>
        </w:rPr>
      </w:pPr>
    </w:p>
    <w:p w14:paraId="140D6030" w14:textId="77777777" w:rsidR="00636B5B" w:rsidRDefault="00636B5B" w:rsidP="00CE7936">
      <w:pPr>
        <w:widowControl w:val="0"/>
        <w:autoSpaceDE w:val="0"/>
        <w:autoSpaceDN w:val="0"/>
        <w:adjustRightInd w:val="0"/>
        <w:rPr>
          <w:b/>
          <w:bCs/>
        </w:rPr>
      </w:pPr>
    </w:p>
    <w:p w14:paraId="602FCDC1" w14:textId="77777777" w:rsidR="00636B5B" w:rsidRDefault="00636B5B" w:rsidP="00CE7936">
      <w:pPr>
        <w:widowControl w:val="0"/>
        <w:autoSpaceDE w:val="0"/>
        <w:autoSpaceDN w:val="0"/>
        <w:adjustRightInd w:val="0"/>
        <w:rPr>
          <w:b/>
          <w:bCs/>
        </w:rPr>
      </w:pPr>
    </w:p>
    <w:p w14:paraId="24F5476C" w14:textId="77777777" w:rsidR="00636B5B" w:rsidRDefault="00636B5B" w:rsidP="00CE7936">
      <w:pPr>
        <w:widowControl w:val="0"/>
        <w:autoSpaceDE w:val="0"/>
        <w:autoSpaceDN w:val="0"/>
        <w:adjustRightInd w:val="0"/>
        <w:rPr>
          <w:b/>
          <w:bCs/>
        </w:rPr>
      </w:pPr>
    </w:p>
    <w:p w14:paraId="70C1B9B2" w14:textId="77777777" w:rsidR="00636B5B" w:rsidRDefault="00636B5B" w:rsidP="00CE7936">
      <w:pPr>
        <w:widowControl w:val="0"/>
        <w:autoSpaceDE w:val="0"/>
        <w:autoSpaceDN w:val="0"/>
        <w:adjustRightInd w:val="0"/>
        <w:rPr>
          <w:b/>
          <w:bCs/>
        </w:rPr>
      </w:pPr>
    </w:p>
    <w:p w14:paraId="52FDDC19" w14:textId="77777777" w:rsidR="00636B5B" w:rsidRDefault="00636B5B" w:rsidP="00CE7936">
      <w:pPr>
        <w:widowControl w:val="0"/>
        <w:autoSpaceDE w:val="0"/>
        <w:autoSpaceDN w:val="0"/>
        <w:adjustRightInd w:val="0"/>
        <w:rPr>
          <w:b/>
          <w:bCs/>
        </w:rPr>
      </w:pPr>
    </w:p>
    <w:p w14:paraId="6FF17D6D" w14:textId="77777777" w:rsidR="00636B5B" w:rsidRDefault="00636B5B" w:rsidP="00CE7936">
      <w:pPr>
        <w:widowControl w:val="0"/>
        <w:autoSpaceDE w:val="0"/>
        <w:autoSpaceDN w:val="0"/>
        <w:adjustRightInd w:val="0"/>
        <w:rPr>
          <w:b/>
          <w:bCs/>
        </w:rPr>
      </w:pPr>
    </w:p>
    <w:p w14:paraId="1E65B057" w14:textId="77777777" w:rsidR="00636B5B" w:rsidRDefault="00636B5B" w:rsidP="00CE7936">
      <w:pPr>
        <w:widowControl w:val="0"/>
        <w:autoSpaceDE w:val="0"/>
        <w:autoSpaceDN w:val="0"/>
        <w:adjustRightInd w:val="0"/>
        <w:rPr>
          <w:b/>
          <w:bCs/>
        </w:rPr>
      </w:pPr>
    </w:p>
    <w:p w14:paraId="3E2AC941" w14:textId="77777777" w:rsidR="00636B5B" w:rsidRDefault="00636B5B" w:rsidP="00CE7936">
      <w:pPr>
        <w:widowControl w:val="0"/>
        <w:autoSpaceDE w:val="0"/>
        <w:autoSpaceDN w:val="0"/>
        <w:adjustRightInd w:val="0"/>
        <w:rPr>
          <w:b/>
          <w:bCs/>
        </w:rPr>
      </w:pPr>
    </w:p>
    <w:p w14:paraId="0A779FAE" w14:textId="77777777" w:rsidR="00636B5B" w:rsidRDefault="00636B5B" w:rsidP="00CE7936">
      <w:pPr>
        <w:widowControl w:val="0"/>
        <w:autoSpaceDE w:val="0"/>
        <w:autoSpaceDN w:val="0"/>
        <w:adjustRightInd w:val="0"/>
        <w:rPr>
          <w:b/>
          <w:bCs/>
        </w:rPr>
      </w:pPr>
    </w:p>
    <w:p w14:paraId="2A357A41" w14:textId="77777777" w:rsidR="00636B5B" w:rsidRDefault="00636B5B" w:rsidP="00CE7936">
      <w:pPr>
        <w:widowControl w:val="0"/>
        <w:autoSpaceDE w:val="0"/>
        <w:autoSpaceDN w:val="0"/>
        <w:adjustRightInd w:val="0"/>
        <w:rPr>
          <w:b/>
          <w:bCs/>
        </w:rPr>
      </w:pPr>
    </w:p>
    <w:p w14:paraId="609FD140" w14:textId="77777777" w:rsidR="00636B5B" w:rsidRDefault="00636B5B" w:rsidP="00CE7936">
      <w:pPr>
        <w:widowControl w:val="0"/>
        <w:autoSpaceDE w:val="0"/>
        <w:autoSpaceDN w:val="0"/>
        <w:adjustRightInd w:val="0"/>
        <w:rPr>
          <w:b/>
          <w:bCs/>
        </w:rPr>
      </w:pPr>
    </w:p>
    <w:p w14:paraId="6E2B6295" w14:textId="77777777" w:rsidR="00636B5B" w:rsidRDefault="00636B5B" w:rsidP="00CE7936">
      <w:pPr>
        <w:widowControl w:val="0"/>
        <w:autoSpaceDE w:val="0"/>
        <w:autoSpaceDN w:val="0"/>
        <w:adjustRightInd w:val="0"/>
        <w:rPr>
          <w:b/>
          <w:bCs/>
        </w:rPr>
      </w:pPr>
    </w:p>
    <w:p w14:paraId="1171E245" w14:textId="77777777" w:rsidR="00636B5B" w:rsidRDefault="00636B5B" w:rsidP="00CE7936">
      <w:pPr>
        <w:widowControl w:val="0"/>
        <w:autoSpaceDE w:val="0"/>
        <w:autoSpaceDN w:val="0"/>
        <w:adjustRightInd w:val="0"/>
        <w:rPr>
          <w:b/>
          <w:bCs/>
        </w:rPr>
      </w:pPr>
    </w:p>
    <w:p w14:paraId="59023985" w14:textId="77777777" w:rsidR="00636B5B" w:rsidRDefault="00636B5B" w:rsidP="00CE7936">
      <w:pPr>
        <w:widowControl w:val="0"/>
        <w:autoSpaceDE w:val="0"/>
        <w:autoSpaceDN w:val="0"/>
        <w:adjustRightInd w:val="0"/>
        <w:rPr>
          <w:b/>
          <w:bCs/>
        </w:rPr>
      </w:pPr>
    </w:p>
    <w:p w14:paraId="456595F5" w14:textId="77777777" w:rsidR="00636B5B" w:rsidRDefault="00636B5B" w:rsidP="00CE7936">
      <w:pPr>
        <w:widowControl w:val="0"/>
        <w:autoSpaceDE w:val="0"/>
        <w:autoSpaceDN w:val="0"/>
        <w:adjustRightInd w:val="0"/>
        <w:rPr>
          <w:b/>
          <w:bCs/>
        </w:rPr>
      </w:pPr>
    </w:p>
    <w:p w14:paraId="6536AE65" w14:textId="77777777" w:rsidR="00636B5B" w:rsidRDefault="00636B5B" w:rsidP="00CE7936">
      <w:pPr>
        <w:widowControl w:val="0"/>
        <w:autoSpaceDE w:val="0"/>
        <w:autoSpaceDN w:val="0"/>
        <w:adjustRightInd w:val="0"/>
        <w:rPr>
          <w:b/>
          <w:bCs/>
        </w:rPr>
      </w:pPr>
    </w:p>
    <w:p w14:paraId="7DCD4316" w14:textId="77777777" w:rsidR="00636B5B" w:rsidRDefault="00636B5B" w:rsidP="00CE7936">
      <w:pPr>
        <w:widowControl w:val="0"/>
        <w:autoSpaceDE w:val="0"/>
        <w:autoSpaceDN w:val="0"/>
        <w:adjustRightInd w:val="0"/>
        <w:rPr>
          <w:b/>
          <w:bCs/>
        </w:rPr>
      </w:pPr>
    </w:p>
    <w:p w14:paraId="4693A07F" w14:textId="77777777" w:rsidR="00636B5B" w:rsidRDefault="00636B5B" w:rsidP="00CE7936">
      <w:pPr>
        <w:widowControl w:val="0"/>
        <w:autoSpaceDE w:val="0"/>
        <w:autoSpaceDN w:val="0"/>
        <w:adjustRightInd w:val="0"/>
        <w:rPr>
          <w:b/>
          <w:bCs/>
        </w:rPr>
      </w:pPr>
    </w:p>
    <w:p w14:paraId="28810B91" w14:textId="77777777" w:rsidR="00636B5B" w:rsidRDefault="00636B5B" w:rsidP="00CE7936">
      <w:pPr>
        <w:widowControl w:val="0"/>
        <w:autoSpaceDE w:val="0"/>
        <w:autoSpaceDN w:val="0"/>
        <w:adjustRightInd w:val="0"/>
        <w:rPr>
          <w:b/>
          <w:bCs/>
        </w:rPr>
      </w:pPr>
    </w:p>
    <w:p w14:paraId="79A594EF" w14:textId="77777777" w:rsidR="00636B5B" w:rsidRDefault="00636B5B" w:rsidP="00CE7936">
      <w:pPr>
        <w:widowControl w:val="0"/>
        <w:autoSpaceDE w:val="0"/>
        <w:autoSpaceDN w:val="0"/>
        <w:adjustRightInd w:val="0"/>
        <w:rPr>
          <w:b/>
          <w:bCs/>
        </w:rPr>
      </w:pPr>
    </w:p>
    <w:p w14:paraId="604F9E2B" w14:textId="77777777" w:rsidR="00636B5B" w:rsidRDefault="00636B5B" w:rsidP="00CE7936">
      <w:pPr>
        <w:widowControl w:val="0"/>
        <w:autoSpaceDE w:val="0"/>
        <w:autoSpaceDN w:val="0"/>
        <w:adjustRightInd w:val="0"/>
        <w:rPr>
          <w:b/>
          <w:bCs/>
        </w:rPr>
      </w:pPr>
    </w:p>
    <w:p w14:paraId="6973AF83" w14:textId="77777777" w:rsidR="00636B5B" w:rsidRDefault="00636B5B" w:rsidP="00CE7936">
      <w:pPr>
        <w:widowControl w:val="0"/>
        <w:autoSpaceDE w:val="0"/>
        <w:autoSpaceDN w:val="0"/>
        <w:adjustRightInd w:val="0"/>
        <w:rPr>
          <w:b/>
          <w:bCs/>
        </w:rPr>
      </w:pPr>
    </w:p>
    <w:p w14:paraId="162110E8" w14:textId="77777777" w:rsidR="00636B5B" w:rsidRDefault="00636B5B" w:rsidP="00CE7936">
      <w:pPr>
        <w:widowControl w:val="0"/>
        <w:autoSpaceDE w:val="0"/>
        <w:autoSpaceDN w:val="0"/>
        <w:adjustRightInd w:val="0"/>
        <w:rPr>
          <w:b/>
          <w:bCs/>
        </w:rPr>
      </w:pPr>
    </w:p>
    <w:p w14:paraId="0D923F5E" w14:textId="77777777" w:rsidR="00636B5B" w:rsidRDefault="00636B5B" w:rsidP="00CE7936">
      <w:pPr>
        <w:widowControl w:val="0"/>
        <w:autoSpaceDE w:val="0"/>
        <w:autoSpaceDN w:val="0"/>
        <w:adjustRightInd w:val="0"/>
        <w:rPr>
          <w:b/>
          <w:bCs/>
        </w:rPr>
      </w:pPr>
    </w:p>
    <w:p w14:paraId="3E95BDA2" w14:textId="77777777" w:rsidR="00636B5B" w:rsidRDefault="00636B5B" w:rsidP="00CE7936">
      <w:pPr>
        <w:widowControl w:val="0"/>
        <w:autoSpaceDE w:val="0"/>
        <w:autoSpaceDN w:val="0"/>
        <w:adjustRightInd w:val="0"/>
        <w:rPr>
          <w:b/>
          <w:bCs/>
        </w:rPr>
      </w:pPr>
    </w:p>
    <w:p w14:paraId="1198CA71" w14:textId="77777777" w:rsidR="00636B5B" w:rsidRDefault="00636B5B" w:rsidP="00CE7936">
      <w:pPr>
        <w:widowControl w:val="0"/>
        <w:autoSpaceDE w:val="0"/>
        <w:autoSpaceDN w:val="0"/>
        <w:adjustRightInd w:val="0"/>
        <w:rPr>
          <w:b/>
          <w:bCs/>
        </w:rPr>
      </w:pPr>
    </w:p>
    <w:p w14:paraId="2D9B1BAE" w14:textId="77777777" w:rsidR="00636B5B" w:rsidRDefault="00636B5B" w:rsidP="00CE7936">
      <w:pPr>
        <w:widowControl w:val="0"/>
        <w:autoSpaceDE w:val="0"/>
        <w:autoSpaceDN w:val="0"/>
        <w:adjustRightInd w:val="0"/>
        <w:rPr>
          <w:b/>
          <w:bCs/>
        </w:rPr>
      </w:pPr>
    </w:p>
    <w:p w14:paraId="3281B8C1" w14:textId="77777777" w:rsidR="00636B5B" w:rsidRDefault="00636B5B" w:rsidP="00CE7936">
      <w:pPr>
        <w:widowControl w:val="0"/>
        <w:autoSpaceDE w:val="0"/>
        <w:autoSpaceDN w:val="0"/>
        <w:adjustRightInd w:val="0"/>
        <w:rPr>
          <w:b/>
          <w:bCs/>
        </w:rPr>
      </w:pPr>
    </w:p>
    <w:p w14:paraId="35999616" w14:textId="77777777" w:rsidR="00636B5B" w:rsidRDefault="00636B5B" w:rsidP="00CE7936">
      <w:pPr>
        <w:widowControl w:val="0"/>
        <w:autoSpaceDE w:val="0"/>
        <w:autoSpaceDN w:val="0"/>
        <w:adjustRightInd w:val="0"/>
        <w:rPr>
          <w:b/>
          <w:bCs/>
        </w:rPr>
      </w:pPr>
    </w:p>
    <w:p w14:paraId="601F98E4" w14:textId="77777777" w:rsidR="00636B5B" w:rsidRDefault="00636B5B" w:rsidP="00CE7936">
      <w:pPr>
        <w:widowControl w:val="0"/>
        <w:autoSpaceDE w:val="0"/>
        <w:autoSpaceDN w:val="0"/>
        <w:adjustRightInd w:val="0"/>
        <w:rPr>
          <w:b/>
          <w:bCs/>
        </w:rPr>
      </w:pPr>
    </w:p>
    <w:p w14:paraId="373946EF" w14:textId="77777777" w:rsidR="00636B5B" w:rsidRDefault="00636B5B" w:rsidP="00CE7936">
      <w:pPr>
        <w:widowControl w:val="0"/>
        <w:autoSpaceDE w:val="0"/>
        <w:autoSpaceDN w:val="0"/>
        <w:adjustRightInd w:val="0"/>
        <w:rPr>
          <w:b/>
          <w:bCs/>
        </w:rPr>
      </w:pPr>
    </w:p>
    <w:p w14:paraId="2B630C14" w14:textId="36FB46DA" w:rsidR="00636B5B" w:rsidRDefault="00752AE5" w:rsidP="00CE7936">
      <w:pPr>
        <w:widowControl w:val="0"/>
        <w:autoSpaceDE w:val="0"/>
        <w:autoSpaceDN w:val="0"/>
        <w:adjustRightInd w:val="0"/>
        <w:rPr>
          <w:b/>
          <w:bCs/>
        </w:rPr>
      </w:pPr>
      <w:r w:rsidRPr="00042B37">
        <w:rPr>
          <w:b/>
          <w:bCs/>
          <w:noProof/>
        </w:rPr>
        <mc:AlternateContent>
          <mc:Choice Requires="wps">
            <w:drawing>
              <wp:anchor distT="0" distB="0" distL="114300" distR="114300" simplePos="0" relativeHeight="251696128" behindDoc="0" locked="0" layoutInCell="1" allowOverlap="1" wp14:anchorId="4E92F530" wp14:editId="40A744CD">
                <wp:simplePos x="0" y="0"/>
                <wp:positionH relativeFrom="margin">
                  <wp:align>left</wp:align>
                </wp:positionH>
                <wp:positionV relativeFrom="paragraph">
                  <wp:posOffset>6350</wp:posOffset>
                </wp:positionV>
                <wp:extent cx="5943600" cy="522605"/>
                <wp:effectExtent l="0" t="0" r="0" b="0"/>
                <wp:wrapNone/>
                <wp:docPr id="43" name="Rectangle 1"/>
                <wp:cNvGraphicFramePr/>
                <a:graphic xmlns:a="http://schemas.openxmlformats.org/drawingml/2006/main">
                  <a:graphicData uri="http://schemas.microsoft.com/office/word/2010/wordprocessingShape">
                    <wps:wsp>
                      <wps:cNvSpPr/>
                      <wps:spPr>
                        <a:xfrm>
                          <a:off x="0" y="0"/>
                          <a:ext cx="5943600" cy="522605"/>
                        </a:xfrm>
                        <a:prstGeom prst="rect">
                          <a:avLst/>
                        </a:prstGeom>
                      </wps:spPr>
                      <wps:txbx>
                        <w:txbxContent>
                          <w:p w14:paraId="6266EF5A" w14:textId="77777777" w:rsidR="00636B5B" w:rsidRPr="00042B37" w:rsidRDefault="00636B5B" w:rsidP="00CE7936">
                            <w:pPr>
                              <w:shd w:val="clear" w:color="auto" w:fill="FFFFFF"/>
                              <w:jc w:val="both"/>
                              <w:rPr>
                                <w:rFonts w:eastAsia="Times New Roman" w:cstheme="minorBidi"/>
                                <w:b/>
                                <w:bCs/>
                                <w:color w:val="222222"/>
                                <w:kern w:val="24"/>
                              </w:rPr>
                            </w:pPr>
                            <w:r w:rsidRPr="00042B37">
                              <w:rPr>
                                <w:rFonts w:eastAsia="Times New Roman" w:cstheme="minorBidi"/>
                                <w:b/>
                                <w:bCs/>
                                <w:color w:val="222222"/>
                                <w:kern w:val="24"/>
                                <w:highlight w:val="white"/>
                              </w:rPr>
                              <w:t xml:space="preserve">Figure II-S18. </w:t>
                            </w:r>
                            <w:r w:rsidRPr="00042B37">
                              <w:rPr>
                                <w:rFonts w:eastAsia="Times New Roman" w:cstheme="minorBidi"/>
                                <w:color w:val="222222"/>
                                <w:kern w:val="24"/>
                                <w:highlight w:val="white"/>
                              </w:rPr>
                              <w:t>Comparative functional analysis of genes in trans-eQTL intervals in xylem and leaf based on the ‘BP’ GO ontology.</w:t>
                            </w:r>
                          </w:p>
                        </w:txbxContent>
                      </wps:txbx>
                      <wps:bodyPr wrap="square">
                        <a:spAutoFit/>
                      </wps:bodyPr>
                    </wps:wsp>
                  </a:graphicData>
                </a:graphic>
                <wp14:sizeRelH relativeFrom="margin">
                  <wp14:pctWidth>0</wp14:pctWidth>
                </wp14:sizeRelH>
              </wp:anchor>
            </w:drawing>
          </mc:Choice>
          <mc:Fallback>
            <w:pict>
              <v:rect w14:anchorId="4E92F530" id="_x0000_s1043" style="position:absolute;margin-left:0;margin-top:.5pt;width:468pt;height:41.15pt;z-index:25169612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" filled="f" stroked="f">
                <v:textbox style="mso-fit-shape-to-text:t">
                  <w:txbxContent>
                    <w:p w14:paraId="6266EF5A" w14:textId="77777777" w:rsidR="00636B5B" w:rsidRPr="00042B37" w:rsidRDefault="00636B5B" w:rsidP="00CE7936">
                      <w:pPr>
                        <w:shd w:val="clear" w:color="auto" w:fill="FFFFFF"/>
                        <w:jc w:val="both"/>
                        <w:rPr>
                          <w:rFonts w:eastAsia="Times New Roman" w:cstheme="minorBidi"/>
                          <w:b/>
                          <w:bCs/>
                          <w:color w:val="222222"/>
                          <w:kern w:val="24"/>
                        </w:rPr>
                      </w:pPr>
                      <w:r w:rsidRPr="00042B37">
                        <w:rPr>
                          <w:rFonts w:eastAsia="Times New Roman" w:cstheme="minorBidi"/>
                          <w:b/>
                          <w:bCs/>
                          <w:color w:val="222222"/>
                          <w:kern w:val="24"/>
                          <w:highlight w:val="white"/>
                        </w:rPr>
                        <w:t xml:space="preserve">Figure II-S18. </w:t>
                      </w:r>
                      <w:r w:rsidRPr="00042B37">
                        <w:rPr>
                          <w:rFonts w:eastAsia="Times New Roman" w:cstheme="minorBidi"/>
                          <w:color w:val="222222"/>
                          <w:kern w:val="24"/>
                          <w:highlight w:val="white"/>
                        </w:rPr>
                        <w:t>Comparative functional analysis of genes in trans-eQTL intervals in xylem and leaf based on the ‘BP’ GO ontology.</w:t>
                      </w:r>
                    </w:p>
                  </w:txbxContent>
                </v:textbox>
                <w10:wrap anchorx="margin"/>
              </v:rect>
            </w:pict>
          </mc:Fallback>
        </mc:AlternateContent>
      </w:r>
    </w:p>
    <w:p w14:paraId="11D31929" w14:textId="4CCEDCD9" w:rsidR="00636B5B" w:rsidRDefault="00636B5B" w:rsidP="00CE7936">
      <w:pPr>
        <w:widowControl w:val="0"/>
        <w:autoSpaceDE w:val="0"/>
        <w:autoSpaceDN w:val="0"/>
        <w:adjustRightInd w:val="0"/>
        <w:rPr>
          <w:b/>
          <w:bCs/>
        </w:rPr>
      </w:pPr>
    </w:p>
    <w:p w14:paraId="6A78EEB7" w14:textId="77777777" w:rsidR="00636B5B" w:rsidRDefault="00636B5B" w:rsidP="00CE7936">
      <w:pPr>
        <w:widowControl w:val="0"/>
        <w:autoSpaceDE w:val="0"/>
        <w:autoSpaceDN w:val="0"/>
        <w:adjustRightInd w:val="0"/>
        <w:rPr>
          <w:b/>
          <w:bCs/>
        </w:rPr>
      </w:pPr>
    </w:p>
    <w:p w14:paraId="3C6AE4DB" w14:textId="03CEEC7C" w:rsidR="00636B5B" w:rsidRDefault="00636B5B" w:rsidP="00CE7936">
      <w:pPr>
        <w:widowControl w:val="0"/>
        <w:autoSpaceDE w:val="0"/>
        <w:autoSpaceDN w:val="0"/>
        <w:adjustRightInd w:val="0"/>
        <w:rPr>
          <w:b/>
          <w:bCs/>
        </w:rPr>
      </w:pPr>
    </w:p>
    <w:p w14:paraId="6BDA817E" w14:textId="345313F5" w:rsidR="00636B5B" w:rsidRDefault="00752AE5" w:rsidP="00CE7936">
      <w:pPr>
        <w:widowControl w:val="0"/>
        <w:autoSpaceDE w:val="0"/>
        <w:autoSpaceDN w:val="0"/>
        <w:adjustRightInd w:val="0"/>
        <w:rPr>
          <w:b/>
          <w:bCs/>
        </w:rPr>
      </w:pPr>
      <w:r w:rsidRPr="006B3294">
        <w:rPr>
          <w:b/>
          <w:bCs/>
          <w:noProof/>
        </w:rPr>
        <w:drawing>
          <wp:anchor distT="0" distB="0" distL="114300" distR="114300" simplePos="0" relativeHeight="251697152" behindDoc="0" locked="0" layoutInCell="1" allowOverlap="1" wp14:anchorId="663C31DA" wp14:editId="781D180D">
            <wp:simplePos x="0" y="0"/>
            <wp:positionH relativeFrom="margin">
              <wp:posOffset>228600</wp:posOffset>
            </wp:positionH>
            <wp:positionV relativeFrom="paragraph">
              <wp:posOffset>52705</wp:posOffset>
            </wp:positionV>
            <wp:extent cx="5486400" cy="7315200"/>
            <wp:effectExtent l="0" t="0" r="0" b="0"/>
            <wp:wrapNone/>
            <wp:docPr id="46" name="Content Placeholder 4">
              <a:extLst xmlns:a="http://schemas.openxmlformats.org/drawingml/2006/main">
                <a:ext uri="{FF2B5EF4-FFF2-40B4-BE49-F238E27FC236}">
                  <a16:creationId xmlns:a16="http://schemas.microsoft.com/office/drawing/2014/main" id="{C0144131-D4D7-DA45-9493-67C02DC75C59}"/>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4">
                      <a:extLst>
                        <a:ext uri="{FF2B5EF4-FFF2-40B4-BE49-F238E27FC236}">
                          <a16:creationId xmlns:a16="http://schemas.microsoft.com/office/drawing/2014/main" id="{C0144131-D4D7-DA45-9493-67C02DC75C59}"/>
                        </a:ext>
                      </a:extLst>
                    </pic:cNvPr>
                    <pic:cNvPicPr>
                      <a:picLocks noGrp="1" noChangeAspect="1"/>
                    </pic:cNvPicPr>
                  </pic:nvPicPr>
                  <pic:blipFill>
                    <a:blip r:embed="rId40"/>
                    <a:stretch>
                      <a:fillRect/>
                    </a:stretch>
                  </pic:blipFill>
                  <pic:spPr>
                    <a:xfrm>
                      <a:off x="0" y="0"/>
                      <a:ext cx="5486400" cy="7315200"/>
                    </a:xfrm>
                    <a:prstGeom prst="rect">
                      <a:avLst/>
                    </a:prstGeom>
                  </pic:spPr>
                </pic:pic>
              </a:graphicData>
            </a:graphic>
            <wp14:sizeRelH relativeFrom="margin">
              <wp14:pctWidth>0</wp14:pctWidth>
            </wp14:sizeRelH>
            <wp14:sizeRelV relativeFrom="margin">
              <wp14:pctHeight>0</wp14:pctHeight>
            </wp14:sizeRelV>
          </wp:anchor>
        </w:drawing>
      </w:r>
    </w:p>
    <w:p w14:paraId="38A6BA1B" w14:textId="77777777" w:rsidR="00636B5B" w:rsidRDefault="00636B5B" w:rsidP="00CE7936">
      <w:pPr>
        <w:widowControl w:val="0"/>
        <w:autoSpaceDE w:val="0"/>
        <w:autoSpaceDN w:val="0"/>
        <w:adjustRightInd w:val="0"/>
        <w:rPr>
          <w:b/>
          <w:bCs/>
        </w:rPr>
      </w:pPr>
    </w:p>
    <w:p w14:paraId="6F3E770C" w14:textId="77777777" w:rsidR="00636B5B" w:rsidRDefault="00636B5B" w:rsidP="00CE7936">
      <w:pPr>
        <w:widowControl w:val="0"/>
        <w:autoSpaceDE w:val="0"/>
        <w:autoSpaceDN w:val="0"/>
        <w:adjustRightInd w:val="0"/>
        <w:rPr>
          <w:b/>
          <w:bCs/>
        </w:rPr>
      </w:pPr>
    </w:p>
    <w:p w14:paraId="4A69EE03" w14:textId="77777777" w:rsidR="00636B5B" w:rsidRDefault="00636B5B" w:rsidP="00CE7936">
      <w:pPr>
        <w:widowControl w:val="0"/>
        <w:autoSpaceDE w:val="0"/>
        <w:autoSpaceDN w:val="0"/>
        <w:adjustRightInd w:val="0"/>
        <w:rPr>
          <w:b/>
          <w:bCs/>
        </w:rPr>
      </w:pPr>
    </w:p>
    <w:p w14:paraId="5CDCBD3C" w14:textId="77777777" w:rsidR="00636B5B" w:rsidRDefault="00636B5B" w:rsidP="00CE7936">
      <w:pPr>
        <w:widowControl w:val="0"/>
        <w:autoSpaceDE w:val="0"/>
        <w:autoSpaceDN w:val="0"/>
        <w:adjustRightInd w:val="0"/>
        <w:rPr>
          <w:b/>
          <w:bCs/>
        </w:rPr>
      </w:pPr>
    </w:p>
    <w:p w14:paraId="1B547FF7" w14:textId="77777777" w:rsidR="00636B5B" w:rsidRDefault="00636B5B" w:rsidP="00CE7936">
      <w:pPr>
        <w:widowControl w:val="0"/>
        <w:autoSpaceDE w:val="0"/>
        <w:autoSpaceDN w:val="0"/>
        <w:adjustRightInd w:val="0"/>
        <w:rPr>
          <w:b/>
          <w:bCs/>
        </w:rPr>
      </w:pPr>
    </w:p>
    <w:p w14:paraId="13BDE00E" w14:textId="77777777" w:rsidR="00636B5B" w:rsidRDefault="00636B5B" w:rsidP="00CE7936">
      <w:pPr>
        <w:widowControl w:val="0"/>
        <w:autoSpaceDE w:val="0"/>
        <w:autoSpaceDN w:val="0"/>
        <w:adjustRightInd w:val="0"/>
        <w:rPr>
          <w:b/>
          <w:bCs/>
        </w:rPr>
      </w:pPr>
    </w:p>
    <w:p w14:paraId="76492AD6" w14:textId="77777777" w:rsidR="00636B5B" w:rsidRDefault="00636B5B" w:rsidP="00CE7936">
      <w:pPr>
        <w:widowControl w:val="0"/>
        <w:autoSpaceDE w:val="0"/>
        <w:autoSpaceDN w:val="0"/>
        <w:adjustRightInd w:val="0"/>
        <w:rPr>
          <w:b/>
          <w:bCs/>
        </w:rPr>
      </w:pPr>
    </w:p>
    <w:p w14:paraId="6FFD44F5" w14:textId="77777777" w:rsidR="00636B5B" w:rsidRDefault="00636B5B" w:rsidP="00CE7936">
      <w:pPr>
        <w:widowControl w:val="0"/>
        <w:autoSpaceDE w:val="0"/>
        <w:autoSpaceDN w:val="0"/>
        <w:adjustRightInd w:val="0"/>
        <w:rPr>
          <w:b/>
          <w:bCs/>
        </w:rPr>
      </w:pPr>
    </w:p>
    <w:p w14:paraId="624B5686" w14:textId="77777777" w:rsidR="00636B5B" w:rsidRDefault="00636B5B" w:rsidP="00CE7936">
      <w:pPr>
        <w:widowControl w:val="0"/>
        <w:autoSpaceDE w:val="0"/>
        <w:autoSpaceDN w:val="0"/>
        <w:adjustRightInd w:val="0"/>
        <w:rPr>
          <w:b/>
          <w:bCs/>
        </w:rPr>
      </w:pPr>
    </w:p>
    <w:p w14:paraId="7F4345B1" w14:textId="77777777" w:rsidR="00636B5B" w:rsidRDefault="00636B5B" w:rsidP="00CE7936">
      <w:pPr>
        <w:widowControl w:val="0"/>
        <w:autoSpaceDE w:val="0"/>
        <w:autoSpaceDN w:val="0"/>
        <w:adjustRightInd w:val="0"/>
        <w:rPr>
          <w:b/>
          <w:bCs/>
        </w:rPr>
      </w:pPr>
    </w:p>
    <w:p w14:paraId="52D59089" w14:textId="77777777" w:rsidR="00636B5B" w:rsidRDefault="00636B5B" w:rsidP="00CE7936">
      <w:pPr>
        <w:widowControl w:val="0"/>
        <w:autoSpaceDE w:val="0"/>
        <w:autoSpaceDN w:val="0"/>
        <w:adjustRightInd w:val="0"/>
        <w:rPr>
          <w:b/>
          <w:bCs/>
        </w:rPr>
      </w:pPr>
    </w:p>
    <w:p w14:paraId="6616ADB6" w14:textId="77777777" w:rsidR="00636B5B" w:rsidRDefault="00636B5B" w:rsidP="00CE7936">
      <w:pPr>
        <w:widowControl w:val="0"/>
        <w:autoSpaceDE w:val="0"/>
        <w:autoSpaceDN w:val="0"/>
        <w:adjustRightInd w:val="0"/>
        <w:rPr>
          <w:b/>
          <w:bCs/>
        </w:rPr>
      </w:pPr>
    </w:p>
    <w:p w14:paraId="0F130612" w14:textId="77777777" w:rsidR="00636B5B" w:rsidRDefault="00636B5B" w:rsidP="00CE7936">
      <w:pPr>
        <w:widowControl w:val="0"/>
        <w:autoSpaceDE w:val="0"/>
        <w:autoSpaceDN w:val="0"/>
        <w:adjustRightInd w:val="0"/>
        <w:rPr>
          <w:b/>
          <w:bCs/>
        </w:rPr>
      </w:pPr>
    </w:p>
    <w:p w14:paraId="67DCAA0B" w14:textId="77777777" w:rsidR="00636B5B" w:rsidRDefault="00636B5B" w:rsidP="00CE7936">
      <w:pPr>
        <w:widowControl w:val="0"/>
        <w:autoSpaceDE w:val="0"/>
        <w:autoSpaceDN w:val="0"/>
        <w:adjustRightInd w:val="0"/>
        <w:rPr>
          <w:b/>
          <w:bCs/>
        </w:rPr>
      </w:pPr>
    </w:p>
    <w:p w14:paraId="1774491B" w14:textId="77777777" w:rsidR="00636B5B" w:rsidRDefault="00636B5B" w:rsidP="00CE7936">
      <w:pPr>
        <w:widowControl w:val="0"/>
        <w:autoSpaceDE w:val="0"/>
        <w:autoSpaceDN w:val="0"/>
        <w:adjustRightInd w:val="0"/>
        <w:rPr>
          <w:b/>
          <w:bCs/>
        </w:rPr>
      </w:pPr>
    </w:p>
    <w:p w14:paraId="632553DE" w14:textId="77777777" w:rsidR="00636B5B" w:rsidRDefault="00636B5B" w:rsidP="00CE7936">
      <w:pPr>
        <w:widowControl w:val="0"/>
        <w:autoSpaceDE w:val="0"/>
        <w:autoSpaceDN w:val="0"/>
        <w:adjustRightInd w:val="0"/>
        <w:rPr>
          <w:b/>
          <w:bCs/>
        </w:rPr>
      </w:pPr>
    </w:p>
    <w:p w14:paraId="2A0F5B4B" w14:textId="77777777" w:rsidR="00636B5B" w:rsidRDefault="00636B5B" w:rsidP="00CE7936">
      <w:pPr>
        <w:widowControl w:val="0"/>
        <w:autoSpaceDE w:val="0"/>
        <w:autoSpaceDN w:val="0"/>
        <w:adjustRightInd w:val="0"/>
        <w:rPr>
          <w:b/>
          <w:bCs/>
        </w:rPr>
      </w:pPr>
    </w:p>
    <w:p w14:paraId="2A2E1873" w14:textId="77777777" w:rsidR="00636B5B" w:rsidRDefault="00636B5B" w:rsidP="00CE7936">
      <w:pPr>
        <w:widowControl w:val="0"/>
        <w:autoSpaceDE w:val="0"/>
        <w:autoSpaceDN w:val="0"/>
        <w:adjustRightInd w:val="0"/>
        <w:rPr>
          <w:b/>
          <w:bCs/>
        </w:rPr>
      </w:pPr>
    </w:p>
    <w:p w14:paraId="456CC334" w14:textId="77777777" w:rsidR="00636B5B" w:rsidRDefault="00636B5B" w:rsidP="00CE7936">
      <w:pPr>
        <w:widowControl w:val="0"/>
        <w:autoSpaceDE w:val="0"/>
        <w:autoSpaceDN w:val="0"/>
        <w:adjustRightInd w:val="0"/>
        <w:rPr>
          <w:b/>
          <w:bCs/>
        </w:rPr>
      </w:pPr>
    </w:p>
    <w:p w14:paraId="78896A0B" w14:textId="77777777" w:rsidR="00636B5B" w:rsidRDefault="00636B5B" w:rsidP="00CE7936">
      <w:pPr>
        <w:widowControl w:val="0"/>
        <w:autoSpaceDE w:val="0"/>
        <w:autoSpaceDN w:val="0"/>
        <w:adjustRightInd w:val="0"/>
        <w:rPr>
          <w:b/>
          <w:bCs/>
        </w:rPr>
      </w:pPr>
    </w:p>
    <w:p w14:paraId="4AB62520" w14:textId="77777777" w:rsidR="00636B5B" w:rsidRDefault="00636B5B" w:rsidP="00CE7936">
      <w:pPr>
        <w:widowControl w:val="0"/>
        <w:autoSpaceDE w:val="0"/>
        <w:autoSpaceDN w:val="0"/>
        <w:adjustRightInd w:val="0"/>
        <w:rPr>
          <w:b/>
          <w:bCs/>
        </w:rPr>
      </w:pPr>
    </w:p>
    <w:p w14:paraId="48BB23A7" w14:textId="77777777" w:rsidR="00636B5B" w:rsidRDefault="00636B5B" w:rsidP="00CE7936">
      <w:pPr>
        <w:widowControl w:val="0"/>
        <w:autoSpaceDE w:val="0"/>
        <w:autoSpaceDN w:val="0"/>
        <w:adjustRightInd w:val="0"/>
        <w:rPr>
          <w:b/>
          <w:bCs/>
        </w:rPr>
      </w:pPr>
    </w:p>
    <w:p w14:paraId="4E538E24" w14:textId="77777777" w:rsidR="00636B5B" w:rsidRDefault="00636B5B" w:rsidP="00CE7936">
      <w:pPr>
        <w:widowControl w:val="0"/>
        <w:autoSpaceDE w:val="0"/>
        <w:autoSpaceDN w:val="0"/>
        <w:adjustRightInd w:val="0"/>
        <w:rPr>
          <w:b/>
          <w:bCs/>
        </w:rPr>
      </w:pPr>
    </w:p>
    <w:p w14:paraId="7680D810" w14:textId="77777777" w:rsidR="00636B5B" w:rsidRDefault="00636B5B" w:rsidP="00CE7936">
      <w:pPr>
        <w:widowControl w:val="0"/>
        <w:autoSpaceDE w:val="0"/>
        <w:autoSpaceDN w:val="0"/>
        <w:adjustRightInd w:val="0"/>
        <w:rPr>
          <w:b/>
          <w:bCs/>
        </w:rPr>
      </w:pPr>
    </w:p>
    <w:p w14:paraId="47EDC79C" w14:textId="77777777" w:rsidR="00636B5B" w:rsidRDefault="00636B5B" w:rsidP="00CE7936">
      <w:pPr>
        <w:widowControl w:val="0"/>
        <w:autoSpaceDE w:val="0"/>
        <w:autoSpaceDN w:val="0"/>
        <w:adjustRightInd w:val="0"/>
        <w:rPr>
          <w:b/>
          <w:bCs/>
        </w:rPr>
      </w:pPr>
    </w:p>
    <w:p w14:paraId="080F97CC" w14:textId="77777777" w:rsidR="00636B5B" w:rsidRDefault="00636B5B" w:rsidP="00CE7936">
      <w:pPr>
        <w:widowControl w:val="0"/>
        <w:autoSpaceDE w:val="0"/>
        <w:autoSpaceDN w:val="0"/>
        <w:adjustRightInd w:val="0"/>
        <w:rPr>
          <w:b/>
          <w:bCs/>
        </w:rPr>
      </w:pPr>
    </w:p>
    <w:p w14:paraId="593F24B4" w14:textId="77777777" w:rsidR="00636B5B" w:rsidRDefault="00636B5B" w:rsidP="00CE7936">
      <w:pPr>
        <w:widowControl w:val="0"/>
        <w:autoSpaceDE w:val="0"/>
        <w:autoSpaceDN w:val="0"/>
        <w:adjustRightInd w:val="0"/>
        <w:rPr>
          <w:b/>
          <w:bCs/>
        </w:rPr>
      </w:pPr>
    </w:p>
    <w:p w14:paraId="6670050D" w14:textId="77777777" w:rsidR="00636B5B" w:rsidRDefault="00636B5B" w:rsidP="00CE7936">
      <w:pPr>
        <w:widowControl w:val="0"/>
        <w:autoSpaceDE w:val="0"/>
        <w:autoSpaceDN w:val="0"/>
        <w:adjustRightInd w:val="0"/>
        <w:rPr>
          <w:b/>
          <w:bCs/>
        </w:rPr>
      </w:pPr>
    </w:p>
    <w:p w14:paraId="727EA0A2" w14:textId="77777777" w:rsidR="00636B5B" w:rsidRDefault="00636B5B" w:rsidP="00CE7936">
      <w:pPr>
        <w:widowControl w:val="0"/>
        <w:autoSpaceDE w:val="0"/>
        <w:autoSpaceDN w:val="0"/>
        <w:adjustRightInd w:val="0"/>
        <w:rPr>
          <w:b/>
          <w:bCs/>
        </w:rPr>
      </w:pPr>
    </w:p>
    <w:p w14:paraId="7EE549AE" w14:textId="77777777" w:rsidR="00636B5B" w:rsidRDefault="00636B5B" w:rsidP="00CE7936">
      <w:pPr>
        <w:widowControl w:val="0"/>
        <w:autoSpaceDE w:val="0"/>
        <w:autoSpaceDN w:val="0"/>
        <w:adjustRightInd w:val="0"/>
        <w:rPr>
          <w:b/>
          <w:bCs/>
        </w:rPr>
      </w:pPr>
    </w:p>
    <w:p w14:paraId="3D488887" w14:textId="77777777" w:rsidR="00636B5B" w:rsidRDefault="00636B5B" w:rsidP="00CE7936">
      <w:pPr>
        <w:widowControl w:val="0"/>
        <w:autoSpaceDE w:val="0"/>
        <w:autoSpaceDN w:val="0"/>
        <w:adjustRightInd w:val="0"/>
        <w:rPr>
          <w:b/>
          <w:bCs/>
        </w:rPr>
      </w:pPr>
    </w:p>
    <w:p w14:paraId="22AA87AC" w14:textId="77777777" w:rsidR="00636B5B" w:rsidRDefault="00636B5B" w:rsidP="00CE7936">
      <w:pPr>
        <w:widowControl w:val="0"/>
        <w:autoSpaceDE w:val="0"/>
        <w:autoSpaceDN w:val="0"/>
        <w:adjustRightInd w:val="0"/>
        <w:rPr>
          <w:b/>
          <w:bCs/>
        </w:rPr>
      </w:pPr>
    </w:p>
    <w:p w14:paraId="0323A928" w14:textId="77777777" w:rsidR="00636B5B" w:rsidRDefault="00636B5B" w:rsidP="00CE7936">
      <w:pPr>
        <w:widowControl w:val="0"/>
        <w:autoSpaceDE w:val="0"/>
        <w:autoSpaceDN w:val="0"/>
        <w:adjustRightInd w:val="0"/>
        <w:rPr>
          <w:b/>
          <w:bCs/>
        </w:rPr>
      </w:pPr>
    </w:p>
    <w:p w14:paraId="0A1D0494" w14:textId="77777777" w:rsidR="00636B5B" w:rsidRDefault="00636B5B" w:rsidP="00CE7936">
      <w:pPr>
        <w:widowControl w:val="0"/>
        <w:autoSpaceDE w:val="0"/>
        <w:autoSpaceDN w:val="0"/>
        <w:adjustRightInd w:val="0"/>
        <w:rPr>
          <w:b/>
          <w:bCs/>
        </w:rPr>
      </w:pPr>
    </w:p>
    <w:p w14:paraId="16455938" w14:textId="77777777" w:rsidR="00636B5B" w:rsidRDefault="00636B5B" w:rsidP="00CE7936">
      <w:pPr>
        <w:widowControl w:val="0"/>
        <w:autoSpaceDE w:val="0"/>
        <w:autoSpaceDN w:val="0"/>
        <w:adjustRightInd w:val="0"/>
        <w:rPr>
          <w:b/>
          <w:bCs/>
        </w:rPr>
      </w:pPr>
    </w:p>
    <w:p w14:paraId="7D7C6D55" w14:textId="77777777" w:rsidR="00636B5B" w:rsidRDefault="00636B5B" w:rsidP="00CE7936">
      <w:pPr>
        <w:widowControl w:val="0"/>
        <w:autoSpaceDE w:val="0"/>
        <w:autoSpaceDN w:val="0"/>
        <w:adjustRightInd w:val="0"/>
        <w:rPr>
          <w:b/>
          <w:bCs/>
        </w:rPr>
      </w:pPr>
    </w:p>
    <w:p w14:paraId="297B4915" w14:textId="77777777" w:rsidR="00636B5B" w:rsidRDefault="00636B5B" w:rsidP="00CE7936">
      <w:pPr>
        <w:widowControl w:val="0"/>
        <w:autoSpaceDE w:val="0"/>
        <w:autoSpaceDN w:val="0"/>
        <w:adjustRightInd w:val="0"/>
        <w:rPr>
          <w:b/>
          <w:bCs/>
        </w:rPr>
      </w:pPr>
    </w:p>
    <w:p w14:paraId="79AF7BC6" w14:textId="77777777" w:rsidR="00636B5B" w:rsidRDefault="00636B5B" w:rsidP="00CE7936">
      <w:pPr>
        <w:widowControl w:val="0"/>
        <w:autoSpaceDE w:val="0"/>
        <w:autoSpaceDN w:val="0"/>
        <w:adjustRightInd w:val="0"/>
        <w:rPr>
          <w:b/>
          <w:bCs/>
        </w:rPr>
      </w:pPr>
    </w:p>
    <w:p w14:paraId="5C2C5044" w14:textId="77777777" w:rsidR="00636B5B" w:rsidRDefault="00636B5B" w:rsidP="00CE7936">
      <w:pPr>
        <w:widowControl w:val="0"/>
        <w:autoSpaceDE w:val="0"/>
        <w:autoSpaceDN w:val="0"/>
        <w:adjustRightInd w:val="0"/>
        <w:rPr>
          <w:b/>
          <w:bCs/>
        </w:rPr>
      </w:pPr>
    </w:p>
    <w:p w14:paraId="2B102BED" w14:textId="77777777" w:rsidR="00636B5B" w:rsidRDefault="00636B5B" w:rsidP="00CE7936">
      <w:pPr>
        <w:widowControl w:val="0"/>
        <w:autoSpaceDE w:val="0"/>
        <w:autoSpaceDN w:val="0"/>
        <w:adjustRightInd w:val="0"/>
        <w:rPr>
          <w:b/>
          <w:bCs/>
        </w:rPr>
      </w:pPr>
    </w:p>
    <w:p w14:paraId="2671FA2B" w14:textId="77777777" w:rsidR="00636B5B" w:rsidRDefault="00636B5B" w:rsidP="00CE7936">
      <w:pPr>
        <w:widowControl w:val="0"/>
        <w:autoSpaceDE w:val="0"/>
        <w:autoSpaceDN w:val="0"/>
        <w:adjustRightInd w:val="0"/>
        <w:rPr>
          <w:b/>
          <w:bCs/>
        </w:rPr>
      </w:pPr>
    </w:p>
    <w:p w14:paraId="7D96F9A4" w14:textId="4179BC9B" w:rsidR="00636B5B" w:rsidRDefault="00752AE5" w:rsidP="00CE7936">
      <w:pPr>
        <w:widowControl w:val="0"/>
        <w:autoSpaceDE w:val="0"/>
        <w:autoSpaceDN w:val="0"/>
        <w:adjustRightInd w:val="0"/>
        <w:rPr>
          <w:b/>
          <w:bCs/>
        </w:rPr>
      </w:pPr>
      <w:r w:rsidRPr="006B3294">
        <w:rPr>
          <w:b/>
          <w:bCs/>
          <w:noProof/>
        </w:rPr>
        <mc:AlternateContent>
          <mc:Choice Requires="wps">
            <w:drawing>
              <wp:anchor distT="0" distB="0" distL="114300" distR="114300" simplePos="0" relativeHeight="251698176" behindDoc="0" locked="0" layoutInCell="1" allowOverlap="1" wp14:anchorId="0290E041" wp14:editId="6C0739A5">
                <wp:simplePos x="0" y="0"/>
                <wp:positionH relativeFrom="margin">
                  <wp:align>left</wp:align>
                </wp:positionH>
                <wp:positionV relativeFrom="paragraph">
                  <wp:posOffset>5080</wp:posOffset>
                </wp:positionV>
                <wp:extent cx="5943600" cy="522605"/>
                <wp:effectExtent l="0" t="0" r="0" b="0"/>
                <wp:wrapNone/>
                <wp:docPr id="45" name="Rectangle 1"/>
                <wp:cNvGraphicFramePr/>
                <a:graphic xmlns:a="http://schemas.openxmlformats.org/drawingml/2006/main">
                  <a:graphicData uri="http://schemas.microsoft.com/office/word/2010/wordprocessingShape">
                    <wps:wsp>
                      <wps:cNvSpPr/>
                      <wps:spPr>
                        <a:xfrm>
                          <a:off x="0" y="0"/>
                          <a:ext cx="5943600" cy="522605"/>
                        </a:xfrm>
                        <a:prstGeom prst="rect">
                          <a:avLst/>
                        </a:prstGeom>
                      </wps:spPr>
                      <wps:txbx>
                        <w:txbxContent>
                          <w:p w14:paraId="6F819584" w14:textId="77777777" w:rsidR="00636B5B" w:rsidRPr="006B3294" w:rsidRDefault="00636B5B" w:rsidP="00CE7936">
                            <w:pPr>
                              <w:shd w:val="clear" w:color="auto" w:fill="FFFFFF"/>
                              <w:jc w:val="both"/>
                              <w:rPr>
                                <w:rFonts w:eastAsia="Times New Roman" w:cstheme="minorBidi"/>
                                <w:b/>
                                <w:bCs/>
                                <w:color w:val="222222"/>
                                <w:kern w:val="24"/>
                              </w:rPr>
                            </w:pPr>
                            <w:r w:rsidRPr="006B3294">
                              <w:rPr>
                                <w:rFonts w:eastAsia="Times New Roman" w:cstheme="minorBidi"/>
                                <w:b/>
                                <w:bCs/>
                                <w:color w:val="222222"/>
                                <w:kern w:val="24"/>
                                <w:highlight w:val="white"/>
                              </w:rPr>
                              <w:t xml:space="preserve">Figure II-S19. </w:t>
                            </w:r>
                            <w:r w:rsidRPr="006B3294">
                              <w:rPr>
                                <w:rFonts w:eastAsia="Times New Roman" w:cstheme="minorBidi"/>
                                <w:color w:val="222222"/>
                                <w:kern w:val="24"/>
                                <w:highlight w:val="white"/>
                              </w:rPr>
                              <w:t>Comparative functional analysis of genes in trans-eQTL intervals in xylem and leaf based on the ‘MF’ GO ontology.</w:t>
                            </w:r>
                          </w:p>
                        </w:txbxContent>
                      </wps:txbx>
                      <wps:bodyPr wrap="square">
                        <a:spAutoFit/>
                      </wps:bodyPr>
                    </wps:wsp>
                  </a:graphicData>
                </a:graphic>
                <wp14:sizeRelH relativeFrom="margin">
                  <wp14:pctWidth>0</wp14:pctWidth>
                </wp14:sizeRelH>
              </wp:anchor>
            </w:drawing>
          </mc:Choice>
          <mc:Fallback>
            <w:pict>
              <v:rect w14:anchorId="0290E041" id="_x0000_s1044" style="position:absolute;margin-left:0;margin-top:.4pt;width:468pt;height:41.15pt;z-index:25169817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" filled="f" stroked="f">
                <v:textbox style="mso-fit-shape-to-text:t">
                  <w:txbxContent>
                    <w:p w14:paraId="6F819584" w14:textId="77777777" w:rsidR="00636B5B" w:rsidRPr="006B3294" w:rsidRDefault="00636B5B" w:rsidP="00CE7936">
                      <w:pPr>
                        <w:shd w:val="clear" w:color="auto" w:fill="FFFFFF"/>
                        <w:jc w:val="both"/>
                        <w:rPr>
                          <w:rFonts w:eastAsia="Times New Roman" w:cstheme="minorBidi"/>
                          <w:b/>
                          <w:bCs/>
                          <w:color w:val="222222"/>
                          <w:kern w:val="24"/>
                        </w:rPr>
                      </w:pPr>
                      <w:r w:rsidRPr="006B3294">
                        <w:rPr>
                          <w:rFonts w:eastAsia="Times New Roman" w:cstheme="minorBidi"/>
                          <w:b/>
                          <w:bCs/>
                          <w:color w:val="222222"/>
                          <w:kern w:val="24"/>
                          <w:highlight w:val="white"/>
                        </w:rPr>
                        <w:t xml:space="preserve">Figure II-S19. </w:t>
                      </w:r>
                      <w:r w:rsidRPr="006B3294">
                        <w:rPr>
                          <w:rFonts w:eastAsia="Times New Roman" w:cstheme="minorBidi"/>
                          <w:color w:val="222222"/>
                          <w:kern w:val="24"/>
                          <w:highlight w:val="white"/>
                        </w:rPr>
                        <w:t>Comparative functional analysis of genes in trans-eQTL intervals in xylem and leaf based on the ‘MF’ GO ontology.</w:t>
                      </w:r>
                    </w:p>
                  </w:txbxContent>
                </v:textbox>
                <w10:wrap anchorx="margin"/>
              </v:rect>
            </w:pict>
          </mc:Fallback>
        </mc:AlternateContent>
      </w:r>
    </w:p>
    <w:p w14:paraId="23F4075C" w14:textId="790149D1" w:rsidR="00636B5B" w:rsidRDefault="00636B5B" w:rsidP="00CE7936">
      <w:pPr>
        <w:widowControl w:val="0"/>
        <w:autoSpaceDE w:val="0"/>
        <w:autoSpaceDN w:val="0"/>
        <w:adjustRightInd w:val="0"/>
        <w:rPr>
          <w:b/>
          <w:bCs/>
        </w:rPr>
      </w:pPr>
    </w:p>
    <w:p w14:paraId="63CB14C9" w14:textId="77777777" w:rsidR="00636B5B" w:rsidRDefault="00636B5B" w:rsidP="00CE7936">
      <w:pPr>
        <w:widowControl w:val="0"/>
        <w:autoSpaceDE w:val="0"/>
        <w:autoSpaceDN w:val="0"/>
        <w:adjustRightInd w:val="0"/>
        <w:rPr>
          <w:b/>
          <w:bCs/>
        </w:rPr>
      </w:pPr>
    </w:p>
    <w:p w14:paraId="00E93DFD" w14:textId="35B44D79" w:rsidR="00636B5B" w:rsidRDefault="00636B5B" w:rsidP="00CE7936">
      <w:pPr>
        <w:widowControl w:val="0"/>
        <w:autoSpaceDE w:val="0"/>
        <w:autoSpaceDN w:val="0"/>
        <w:adjustRightInd w:val="0"/>
        <w:rPr>
          <w:b/>
          <w:bCs/>
        </w:rPr>
      </w:pPr>
    </w:p>
    <w:p w14:paraId="0EFBB3A8" w14:textId="610CE1B0" w:rsidR="00636B5B" w:rsidRDefault="00752AE5" w:rsidP="00CE7936">
      <w:pPr>
        <w:widowControl w:val="0"/>
        <w:autoSpaceDE w:val="0"/>
        <w:autoSpaceDN w:val="0"/>
        <w:adjustRightInd w:val="0"/>
        <w:rPr>
          <w:b/>
          <w:bCs/>
        </w:rPr>
      </w:pPr>
      <w:r w:rsidRPr="006B3294">
        <w:rPr>
          <w:b/>
          <w:bCs/>
          <w:noProof/>
        </w:rPr>
        <w:drawing>
          <wp:anchor distT="0" distB="0" distL="114300" distR="114300" simplePos="0" relativeHeight="251699200" behindDoc="0" locked="0" layoutInCell="1" allowOverlap="1" wp14:anchorId="5EF7FE38" wp14:editId="36DB764E">
            <wp:simplePos x="0" y="0"/>
            <wp:positionH relativeFrom="column">
              <wp:posOffset>228600</wp:posOffset>
            </wp:positionH>
            <wp:positionV relativeFrom="paragraph">
              <wp:posOffset>52705</wp:posOffset>
            </wp:positionV>
            <wp:extent cx="5486400" cy="3918585"/>
            <wp:effectExtent l="0" t="0" r="0" b="5715"/>
            <wp:wrapNone/>
            <wp:docPr id="48" name="Content Placeholder 4">
              <a:extLst xmlns:a="http://schemas.openxmlformats.org/drawingml/2006/main">
                <a:ext uri="{FF2B5EF4-FFF2-40B4-BE49-F238E27FC236}">
                  <a16:creationId xmlns:a16="http://schemas.microsoft.com/office/drawing/2014/main" id="{49097FAB-7A19-8D45-8953-0A159CE6E1AB}"/>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a:extLst>
                        <a:ext uri="{FF2B5EF4-FFF2-40B4-BE49-F238E27FC236}">
                          <a16:creationId xmlns:a16="http://schemas.microsoft.com/office/drawing/2014/main" id="{49097FAB-7A19-8D45-8953-0A159CE6E1AB}"/>
                        </a:ext>
                      </a:extLst>
                    </pic:cNvPr>
                    <pic:cNvPicPr>
                      <a:picLocks noGrp="1" noChangeAspect="1"/>
                    </pic:cNvPicPr>
                  </pic:nvPicPr>
                  <pic:blipFill>
                    <a:blip r:embed="rId41"/>
                    <a:stretch>
                      <a:fillRect/>
                    </a:stretch>
                  </pic:blipFill>
                  <pic:spPr>
                    <a:xfrm>
                      <a:off x="0" y="0"/>
                      <a:ext cx="5486400" cy="3918585"/>
                    </a:xfrm>
                    <a:prstGeom prst="rect">
                      <a:avLst/>
                    </a:prstGeom>
                  </pic:spPr>
                </pic:pic>
              </a:graphicData>
            </a:graphic>
            <wp14:sizeRelH relativeFrom="margin">
              <wp14:pctWidth>0</wp14:pctWidth>
            </wp14:sizeRelH>
            <wp14:sizeRelV relativeFrom="margin">
              <wp14:pctHeight>0</wp14:pctHeight>
            </wp14:sizeRelV>
          </wp:anchor>
        </w:drawing>
      </w:r>
    </w:p>
    <w:p w14:paraId="6927F5F8" w14:textId="77777777" w:rsidR="00636B5B" w:rsidRDefault="00636B5B" w:rsidP="00CE7936">
      <w:pPr>
        <w:widowControl w:val="0"/>
        <w:autoSpaceDE w:val="0"/>
        <w:autoSpaceDN w:val="0"/>
        <w:adjustRightInd w:val="0"/>
        <w:rPr>
          <w:b/>
          <w:bCs/>
        </w:rPr>
      </w:pPr>
    </w:p>
    <w:p w14:paraId="3D140A71" w14:textId="77777777" w:rsidR="00636B5B" w:rsidRDefault="00636B5B" w:rsidP="00CE7936">
      <w:pPr>
        <w:widowControl w:val="0"/>
        <w:autoSpaceDE w:val="0"/>
        <w:autoSpaceDN w:val="0"/>
        <w:adjustRightInd w:val="0"/>
        <w:rPr>
          <w:b/>
          <w:bCs/>
        </w:rPr>
      </w:pPr>
    </w:p>
    <w:p w14:paraId="44E15D07" w14:textId="77777777" w:rsidR="00636B5B" w:rsidRDefault="00636B5B" w:rsidP="00CE7936">
      <w:pPr>
        <w:widowControl w:val="0"/>
        <w:autoSpaceDE w:val="0"/>
        <w:autoSpaceDN w:val="0"/>
        <w:adjustRightInd w:val="0"/>
        <w:rPr>
          <w:b/>
          <w:bCs/>
        </w:rPr>
      </w:pPr>
    </w:p>
    <w:p w14:paraId="14BAB66E" w14:textId="77777777" w:rsidR="00636B5B" w:rsidRDefault="00636B5B" w:rsidP="00CE7936">
      <w:pPr>
        <w:widowControl w:val="0"/>
        <w:autoSpaceDE w:val="0"/>
        <w:autoSpaceDN w:val="0"/>
        <w:adjustRightInd w:val="0"/>
        <w:rPr>
          <w:b/>
          <w:bCs/>
        </w:rPr>
      </w:pPr>
    </w:p>
    <w:p w14:paraId="59F5481E" w14:textId="77777777" w:rsidR="00636B5B" w:rsidRDefault="00636B5B" w:rsidP="00CE7936">
      <w:pPr>
        <w:widowControl w:val="0"/>
        <w:autoSpaceDE w:val="0"/>
        <w:autoSpaceDN w:val="0"/>
        <w:adjustRightInd w:val="0"/>
        <w:rPr>
          <w:b/>
          <w:bCs/>
        </w:rPr>
      </w:pPr>
    </w:p>
    <w:p w14:paraId="31DC7C8B" w14:textId="77777777" w:rsidR="00636B5B" w:rsidRDefault="00636B5B" w:rsidP="00CE7936">
      <w:pPr>
        <w:widowControl w:val="0"/>
        <w:autoSpaceDE w:val="0"/>
        <w:autoSpaceDN w:val="0"/>
        <w:adjustRightInd w:val="0"/>
        <w:rPr>
          <w:b/>
          <w:bCs/>
        </w:rPr>
      </w:pPr>
    </w:p>
    <w:p w14:paraId="72A2AB92" w14:textId="77777777" w:rsidR="00636B5B" w:rsidRDefault="00636B5B" w:rsidP="00CE7936">
      <w:pPr>
        <w:widowControl w:val="0"/>
        <w:autoSpaceDE w:val="0"/>
        <w:autoSpaceDN w:val="0"/>
        <w:adjustRightInd w:val="0"/>
        <w:rPr>
          <w:b/>
          <w:bCs/>
        </w:rPr>
      </w:pPr>
    </w:p>
    <w:p w14:paraId="659D0064" w14:textId="77777777" w:rsidR="00636B5B" w:rsidRDefault="00636B5B" w:rsidP="00CE7936">
      <w:pPr>
        <w:widowControl w:val="0"/>
        <w:autoSpaceDE w:val="0"/>
        <w:autoSpaceDN w:val="0"/>
        <w:adjustRightInd w:val="0"/>
        <w:rPr>
          <w:b/>
          <w:bCs/>
        </w:rPr>
      </w:pPr>
    </w:p>
    <w:p w14:paraId="5324DC03" w14:textId="77777777" w:rsidR="00636B5B" w:rsidRDefault="00636B5B" w:rsidP="00CE7936">
      <w:pPr>
        <w:widowControl w:val="0"/>
        <w:autoSpaceDE w:val="0"/>
        <w:autoSpaceDN w:val="0"/>
        <w:adjustRightInd w:val="0"/>
        <w:rPr>
          <w:b/>
          <w:bCs/>
        </w:rPr>
      </w:pPr>
    </w:p>
    <w:p w14:paraId="48193735" w14:textId="77777777" w:rsidR="00636B5B" w:rsidRDefault="00636B5B" w:rsidP="00CE7936">
      <w:pPr>
        <w:widowControl w:val="0"/>
        <w:autoSpaceDE w:val="0"/>
        <w:autoSpaceDN w:val="0"/>
        <w:adjustRightInd w:val="0"/>
        <w:rPr>
          <w:b/>
          <w:bCs/>
        </w:rPr>
      </w:pPr>
    </w:p>
    <w:p w14:paraId="0A67B71C" w14:textId="77777777" w:rsidR="00636B5B" w:rsidRDefault="00636B5B" w:rsidP="00CE7936">
      <w:pPr>
        <w:widowControl w:val="0"/>
        <w:autoSpaceDE w:val="0"/>
        <w:autoSpaceDN w:val="0"/>
        <w:adjustRightInd w:val="0"/>
        <w:rPr>
          <w:b/>
          <w:bCs/>
        </w:rPr>
      </w:pPr>
    </w:p>
    <w:p w14:paraId="47E87241" w14:textId="77777777" w:rsidR="00636B5B" w:rsidRDefault="00636B5B" w:rsidP="00CE7936">
      <w:pPr>
        <w:widowControl w:val="0"/>
        <w:autoSpaceDE w:val="0"/>
        <w:autoSpaceDN w:val="0"/>
        <w:adjustRightInd w:val="0"/>
        <w:rPr>
          <w:b/>
          <w:bCs/>
        </w:rPr>
      </w:pPr>
    </w:p>
    <w:p w14:paraId="3B741396" w14:textId="77777777" w:rsidR="00636B5B" w:rsidRDefault="00636B5B" w:rsidP="00CE7936">
      <w:pPr>
        <w:widowControl w:val="0"/>
        <w:autoSpaceDE w:val="0"/>
        <w:autoSpaceDN w:val="0"/>
        <w:adjustRightInd w:val="0"/>
        <w:rPr>
          <w:b/>
          <w:bCs/>
        </w:rPr>
      </w:pPr>
    </w:p>
    <w:p w14:paraId="6F203183" w14:textId="77777777" w:rsidR="00636B5B" w:rsidRDefault="00636B5B" w:rsidP="00CE7936">
      <w:pPr>
        <w:widowControl w:val="0"/>
        <w:autoSpaceDE w:val="0"/>
        <w:autoSpaceDN w:val="0"/>
        <w:adjustRightInd w:val="0"/>
        <w:rPr>
          <w:b/>
          <w:bCs/>
        </w:rPr>
      </w:pPr>
    </w:p>
    <w:p w14:paraId="41186E7E" w14:textId="77777777" w:rsidR="00636B5B" w:rsidRDefault="00636B5B" w:rsidP="00CE7936">
      <w:pPr>
        <w:widowControl w:val="0"/>
        <w:autoSpaceDE w:val="0"/>
        <w:autoSpaceDN w:val="0"/>
        <w:adjustRightInd w:val="0"/>
        <w:rPr>
          <w:b/>
          <w:bCs/>
        </w:rPr>
      </w:pPr>
    </w:p>
    <w:p w14:paraId="6153B402" w14:textId="77777777" w:rsidR="00636B5B" w:rsidRDefault="00636B5B" w:rsidP="00CE7936">
      <w:pPr>
        <w:widowControl w:val="0"/>
        <w:autoSpaceDE w:val="0"/>
        <w:autoSpaceDN w:val="0"/>
        <w:adjustRightInd w:val="0"/>
        <w:rPr>
          <w:b/>
          <w:bCs/>
        </w:rPr>
      </w:pPr>
    </w:p>
    <w:p w14:paraId="632DA191" w14:textId="77777777" w:rsidR="00636B5B" w:rsidRDefault="00636B5B" w:rsidP="00CE7936">
      <w:pPr>
        <w:widowControl w:val="0"/>
        <w:autoSpaceDE w:val="0"/>
        <w:autoSpaceDN w:val="0"/>
        <w:adjustRightInd w:val="0"/>
        <w:rPr>
          <w:b/>
          <w:bCs/>
        </w:rPr>
      </w:pPr>
    </w:p>
    <w:p w14:paraId="689C26A4" w14:textId="77777777" w:rsidR="00636B5B" w:rsidRDefault="00636B5B" w:rsidP="00CE7936">
      <w:pPr>
        <w:widowControl w:val="0"/>
        <w:autoSpaceDE w:val="0"/>
        <w:autoSpaceDN w:val="0"/>
        <w:adjustRightInd w:val="0"/>
        <w:rPr>
          <w:b/>
          <w:bCs/>
        </w:rPr>
      </w:pPr>
    </w:p>
    <w:p w14:paraId="49836228" w14:textId="77777777" w:rsidR="00636B5B" w:rsidRDefault="00636B5B" w:rsidP="00CE7936">
      <w:pPr>
        <w:widowControl w:val="0"/>
        <w:autoSpaceDE w:val="0"/>
        <w:autoSpaceDN w:val="0"/>
        <w:adjustRightInd w:val="0"/>
        <w:rPr>
          <w:b/>
          <w:bCs/>
        </w:rPr>
      </w:pPr>
    </w:p>
    <w:p w14:paraId="505966AE" w14:textId="77777777" w:rsidR="00636B5B" w:rsidRDefault="00636B5B" w:rsidP="00CE7936">
      <w:pPr>
        <w:widowControl w:val="0"/>
        <w:autoSpaceDE w:val="0"/>
        <w:autoSpaceDN w:val="0"/>
        <w:adjustRightInd w:val="0"/>
        <w:rPr>
          <w:b/>
          <w:bCs/>
        </w:rPr>
      </w:pPr>
    </w:p>
    <w:p w14:paraId="10C50C5D" w14:textId="77777777" w:rsidR="00636B5B" w:rsidRDefault="00636B5B" w:rsidP="00CE7936">
      <w:pPr>
        <w:widowControl w:val="0"/>
        <w:autoSpaceDE w:val="0"/>
        <w:autoSpaceDN w:val="0"/>
        <w:adjustRightInd w:val="0"/>
        <w:rPr>
          <w:b/>
          <w:bCs/>
        </w:rPr>
      </w:pPr>
    </w:p>
    <w:p w14:paraId="7277F584" w14:textId="77777777" w:rsidR="00636B5B" w:rsidRDefault="00636B5B" w:rsidP="00CE7936">
      <w:pPr>
        <w:widowControl w:val="0"/>
        <w:autoSpaceDE w:val="0"/>
        <w:autoSpaceDN w:val="0"/>
        <w:adjustRightInd w:val="0"/>
        <w:rPr>
          <w:b/>
          <w:bCs/>
        </w:rPr>
      </w:pPr>
    </w:p>
    <w:p w14:paraId="7F12CFD2" w14:textId="77777777" w:rsidR="00636B5B" w:rsidRDefault="00636B5B" w:rsidP="00CE7936">
      <w:pPr>
        <w:widowControl w:val="0"/>
        <w:autoSpaceDE w:val="0"/>
        <w:autoSpaceDN w:val="0"/>
        <w:adjustRightInd w:val="0"/>
        <w:rPr>
          <w:b/>
          <w:bCs/>
        </w:rPr>
      </w:pPr>
      <w:r w:rsidRPr="006B3294">
        <w:rPr>
          <w:b/>
          <w:bCs/>
          <w:noProof/>
        </w:rPr>
        <mc:AlternateContent>
          <mc:Choice Requires="wps">
            <w:drawing>
              <wp:anchor distT="0" distB="0" distL="114300" distR="114300" simplePos="0" relativeHeight="251700224" behindDoc="0" locked="0" layoutInCell="1" allowOverlap="1" wp14:anchorId="455D70A7" wp14:editId="6C3B7297">
                <wp:simplePos x="0" y="0"/>
                <wp:positionH relativeFrom="margin">
                  <wp:align>left</wp:align>
                </wp:positionH>
                <wp:positionV relativeFrom="paragraph">
                  <wp:posOffset>24130</wp:posOffset>
                </wp:positionV>
                <wp:extent cx="5943600" cy="646331"/>
                <wp:effectExtent l="0" t="0" r="0" b="0"/>
                <wp:wrapNone/>
                <wp:docPr id="47" name="Rectangle 5"/>
                <wp:cNvGraphicFramePr/>
                <a:graphic xmlns:a="http://schemas.openxmlformats.org/drawingml/2006/main">
                  <a:graphicData uri="http://schemas.microsoft.com/office/word/2010/wordprocessingShape">
                    <wps:wsp>
                      <wps:cNvSpPr/>
                      <wps:spPr>
                        <a:xfrm>
                          <a:off x="0" y="0"/>
                          <a:ext cx="5943600" cy="646331"/>
                        </a:xfrm>
                        <a:prstGeom prst="rect">
                          <a:avLst/>
                        </a:prstGeom>
                      </wps:spPr>
                      <wps:txbx>
                        <w:txbxContent>
                          <w:p w14:paraId="33FAB16B" w14:textId="77777777" w:rsidR="00636B5B" w:rsidRPr="006B3294" w:rsidRDefault="00636B5B" w:rsidP="00CE7936">
                            <w:pPr>
                              <w:shd w:val="clear" w:color="auto" w:fill="FFFFFF"/>
                              <w:jc w:val="both"/>
                              <w:rPr>
                                <w:rFonts w:eastAsia="Times New Roman" w:cstheme="minorBidi"/>
                                <w:color w:val="222222"/>
                                <w:kern w:val="24"/>
                              </w:rPr>
                            </w:pPr>
                            <w:r w:rsidRPr="006B3294">
                              <w:rPr>
                                <w:rFonts w:eastAsia="Times New Roman" w:cstheme="minorBidi"/>
                                <w:b/>
                                <w:bCs/>
                                <w:color w:val="222222"/>
                                <w:kern w:val="24"/>
                                <w:highlight w:val="white"/>
                              </w:rPr>
                              <w:t xml:space="preserve">Figure II-S20. </w:t>
                            </w:r>
                            <w:r w:rsidRPr="006B3294">
                              <w:rPr>
                                <w:rFonts w:eastAsia="Times New Roman" w:cstheme="minorBidi"/>
                                <w:color w:val="222222"/>
                                <w:kern w:val="24"/>
                                <w:highlight w:val="white"/>
                              </w:rPr>
                              <w:t>Correlation of the proportion orphan genes in 1 Mb bins with nucleotide diversity</w:t>
                            </w:r>
                            <w:r w:rsidRPr="006B3294">
                              <w:rPr>
                                <w:rFonts w:eastAsia="Times New Roman" w:cstheme="minorBidi"/>
                                <w:color w:val="222222"/>
                                <w:kern w:val="24"/>
                              </w:rPr>
                              <w:t>.</w:t>
                            </w:r>
                          </w:p>
                        </w:txbxContent>
                      </wps:txbx>
                      <wps:bodyPr wrap="square">
                        <a:spAutoFit/>
                      </wps:bodyPr>
                    </wps:wsp>
                  </a:graphicData>
                </a:graphic>
                <wp14:sizeRelH relativeFrom="margin">
                  <wp14:pctWidth>0</wp14:pctWidth>
                </wp14:sizeRelH>
              </wp:anchor>
            </w:drawing>
          </mc:Choice>
          <mc:Fallback>
            <w:pict>
              <v:rect w14:anchorId="455D70A7" id="_x0000_s1045" style="position:absolute;margin-left:0;margin-top:1.9pt;width:468pt;height:50.9pt;z-index:25170022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" filled="f" stroked="f">
                <v:textbox style="mso-fit-shape-to-text:t">
                  <w:txbxContent>
                    <w:p w14:paraId="33FAB16B" w14:textId="77777777" w:rsidR="00636B5B" w:rsidRPr="006B3294" w:rsidRDefault="00636B5B" w:rsidP="00CE7936">
                      <w:pPr>
                        <w:shd w:val="clear" w:color="auto" w:fill="FFFFFF"/>
                        <w:jc w:val="both"/>
                        <w:rPr>
                          <w:rFonts w:eastAsia="Times New Roman" w:cstheme="minorBidi"/>
                          <w:color w:val="222222"/>
                          <w:kern w:val="24"/>
                        </w:rPr>
                      </w:pPr>
                      <w:r w:rsidRPr="006B3294">
                        <w:rPr>
                          <w:rFonts w:eastAsia="Times New Roman" w:cstheme="minorBidi"/>
                          <w:b/>
                          <w:bCs/>
                          <w:color w:val="222222"/>
                          <w:kern w:val="24"/>
                          <w:highlight w:val="white"/>
                        </w:rPr>
                        <w:t xml:space="preserve">Figure II-S20. </w:t>
                      </w:r>
                      <w:r w:rsidRPr="006B3294">
                        <w:rPr>
                          <w:rFonts w:eastAsia="Times New Roman" w:cstheme="minorBidi"/>
                          <w:color w:val="222222"/>
                          <w:kern w:val="24"/>
                          <w:highlight w:val="white"/>
                        </w:rPr>
                        <w:t>Correlation of the proportion orphan genes in 1 Mb bins with nucleotide diversity</w:t>
                      </w:r>
                      <w:r w:rsidRPr="006B3294">
                        <w:rPr>
                          <w:rFonts w:eastAsia="Times New Roman" w:cstheme="minorBidi"/>
                          <w:color w:val="222222"/>
                          <w:kern w:val="24"/>
                        </w:rPr>
                        <w:t>.</w:t>
                      </w:r>
                    </w:p>
                  </w:txbxContent>
                </v:textbox>
                <w10:wrap anchorx="margin"/>
              </v:rect>
            </w:pict>
          </mc:Fallback>
        </mc:AlternateContent>
      </w:r>
    </w:p>
    <w:p w14:paraId="0FBBA9B2" w14:textId="77777777" w:rsidR="00636B5B" w:rsidRDefault="00636B5B" w:rsidP="00CE7936">
      <w:pPr>
        <w:widowControl w:val="0"/>
        <w:autoSpaceDE w:val="0"/>
        <w:autoSpaceDN w:val="0"/>
        <w:adjustRightInd w:val="0"/>
        <w:rPr>
          <w:b/>
          <w:bCs/>
        </w:rPr>
      </w:pPr>
    </w:p>
    <w:p w14:paraId="2D69D5A0" w14:textId="77777777" w:rsidR="00636B5B" w:rsidRDefault="00636B5B" w:rsidP="00CE7936">
      <w:pPr>
        <w:widowControl w:val="0"/>
        <w:autoSpaceDE w:val="0"/>
        <w:autoSpaceDN w:val="0"/>
        <w:adjustRightInd w:val="0"/>
        <w:rPr>
          <w:b/>
          <w:bCs/>
        </w:rPr>
      </w:pPr>
    </w:p>
    <w:p w14:paraId="50352B4C" w14:textId="77777777" w:rsidR="00636B5B" w:rsidRDefault="00636B5B" w:rsidP="00CE7936">
      <w:pPr>
        <w:widowControl w:val="0"/>
        <w:autoSpaceDE w:val="0"/>
        <w:autoSpaceDN w:val="0"/>
        <w:adjustRightInd w:val="0"/>
        <w:rPr>
          <w:b/>
          <w:bCs/>
        </w:rPr>
      </w:pPr>
    </w:p>
    <w:p w14:paraId="22CAEA16" w14:textId="77777777" w:rsidR="00636B5B" w:rsidRDefault="00636B5B" w:rsidP="00CE7936">
      <w:pPr>
        <w:widowControl w:val="0"/>
        <w:autoSpaceDE w:val="0"/>
        <w:autoSpaceDN w:val="0"/>
        <w:adjustRightInd w:val="0"/>
        <w:rPr>
          <w:b/>
          <w:bCs/>
        </w:rPr>
      </w:pPr>
    </w:p>
    <w:p w14:paraId="5D8321E9" w14:textId="77777777" w:rsidR="00636B5B" w:rsidRDefault="00636B5B" w:rsidP="00CE7936">
      <w:pPr>
        <w:widowControl w:val="0"/>
        <w:autoSpaceDE w:val="0"/>
        <w:autoSpaceDN w:val="0"/>
        <w:adjustRightInd w:val="0"/>
        <w:rPr>
          <w:b/>
          <w:bCs/>
        </w:rPr>
      </w:pPr>
    </w:p>
    <w:p w14:paraId="0AB8D245" w14:textId="77777777" w:rsidR="00636B5B" w:rsidRDefault="00636B5B" w:rsidP="00CE7936">
      <w:pPr>
        <w:widowControl w:val="0"/>
        <w:autoSpaceDE w:val="0"/>
        <w:autoSpaceDN w:val="0"/>
        <w:adjustRightInd w:val="0"/>
        <w:rPr>
          <w:b/>
          <w:bCs/>
        </w:rPr>
      </w:pPr>
    </w:p>
    <w:p w14:paraId="6F6766BF" w14:textId="77777777" w:rsidR="00636B5B" w:rsidRDefault="00636B5B" w:rsidP="00CE7936">
      <w:pPr>
        <w:widowControl w:val="0"/>
        <w:autoSpaceDE w:val="0"/>
        <w:autoSpaceDN w:val="0"/>
        <w:adjustRightInd w:val="0"/>
        <w:rPr>
          <w:b/>
          <w:bCs/>
        </w:rPr>
      </w:pPr>
    </w:p>
    <w:p w14:paraId="6CDDAABD" w14:textId="77777777" w:rsidR="00636B5B" w:rsidRDefault="00636B5B" w:rsidP="00CE7936">
      <w:pPr>
        <w:widowControl w:val="0"/>
        <w:autoSpaceDE w:val="0"/>
        <w:autoSpaceDN w:val="0"/>
        <w:adjustRightInd w:val="0"/>
        <w:rPr>
          <w:b/>
          <w:bCs/>
        </w:rPr>
      </w:pPr>
    </w:p>
    <w:p w14:paraId="0EEC1085" w14:textId="77777777" w:rsidR="00636B5B" w:rsidRDefault="00636B5B" w:rsidP="00CE7936">
      <w:pPr>
        <w:widowControl w:val="0"/>
        <w:autoSpaceDE w:val="0"/>
        <w:autoSpaceDN w:val="0"/>
        <w:adjustRightInd w:val="0"/>
        <w:rPr>
          <w:b/>
          <w:bCs/>
        </w:rPr>
      </w:pPr>
    </w:p>
    <w:p w14:paraId="11427B89" w14:textId="77777777" w:rsidR="00636B5B" w:rsidRDefault="00636B5B" w:rsidP="00CE7936">
      <w:pPr>
        <w:widowControl w:val="0"/>
        <w:autoSpaceDE w:val="0"/>
        <w:autoSpaceDN w:val="0"/>
        <w:adjustRightInd w:val="0"/>
        <w:rPr>
          <w:b/>
          <w:bCs/>
        </w:rPr>
      </w:pPr>
    </w:p>
    <w:p w14:paraId="3E89F99B" w14:textId="77777777" w:rsidR="00636B5B" w:rsidRDefault="00636B5B" w:rsidP="00CE7936">
      <w:pPr>
        <w:widowControl w:val="0"/>
        <w:autoSpaceDE w:val="0"/>
        <w:autoSpaceDN w:val="0"/>
        <w:adjustRightInd w:val="0"/>
        <w:rPr>
          <w:b/>
          <w:bCs/>
        </w:rPr>
      </w:pPr>
    </w:p>
    <w:p w14:paraId="4E398A0C" w14:textId="77777777" w:rsidR="00636B5B" w:rsidRDefault="00636B5B" w:rsidP="00CE7936">
      <w:pPr>
        <w:widowControl w:val="0"/>
        <w:autoSpaceDE w:val="0"/>
        <w:autoSpaceDN w:val="0"/>
        <w:adjustRightInd w:val="0"/>
        <w:rPr>
          <w:b/>
          <w:bCs/>
        </w:rPr>
      </w:pPr>
    </w:p>
    <w:p w14:paraId="1071C6EE" w14:textId="77777777" w:rsidR="00636B5B" w:rsidRDefault="00636B5B" w:rsidP="00CE7936">
      <w:pPr>
        <w:widowControl w:val="0"/>
        <w:autoSpaceDE w:val="0"/>
        <w:autoSpaceDN w:val="0"/>
        <w:adjustRightInd w:val="0"/>
        <w:rPr>
          <w:b/>
          <w:bCs/>
        </w:rPr>
      </w:pPr>
    </w:p>
    <w:p w14:paraId="77E94065" w14:textId="77777777" w:rsidR="00636B5B" w:rsidRDefault="00636B5B" w:rsidP="00CE7936">
      <w:pPr>
        <w:widowControl w:val="0"/>
        <w:autoSpaceDE w:val="0"/>
        <w:autoSpaceDN w:val="0"/>
        <w:adjustRightInd w:val="0"/>
        <w:rPr>
          <w:b/>
          <w:bCs/>
        </w:rPr>
      </w:pPr>
    </w:p>
    <w:p w14:paraId="4A585BC6" w14:textId="77777777" w:rsidR="00636B5B" w:rsidRDefault="00636B5B" w:rsidP="00CE7936">
      <w:pPr>
        <w:widowControl w:val="0"/>
        <w:autoSpaceDE w:val="0"/>
        <w:autoSpaceDN w:val="0"/>
        <w:adjustRightInd w:val="0"/>
        <w:rPr>
          <w:b/>
          <w:bCs/>
        </w:rPr>
      </w:pPr>
    </w:p>
    <w:p w14:paraId="3AC5A926" w14:textId="77777777" w:rsidR="00636B5B" w:rsidRDefault="00636B5B" w:rsidP="00CE7936">
      <w:pPr>
        <w:widowControl w:val="0"/>
        <w:autoSpaceDE w:val="0"/>
        <w:autoSpaceDN w:val="0"/>
        <w:adjustRightInd w:val="0"/>
        <w:rPr>
          <w:b/>
          <w:bCs/>
        </w:rPr>
      </w:pPr>
    </w:p>
    <w:p w14:paraId="4BF6F810" w14:textId="77777777" w:rsidR="00636B5B" w:rsidRDefault="00636B5B" w:rsidP="00CE7936">
      <w:pPr>
        <w:widowControl w:val="0"/>
        <w:autoSpaceDE w:val="0"/>
        <w:autoSpaceDN w:val="0"/>
        <w:adjustRightInd w:val="0"/>
        <w:rPr>
          <w:b/>
          <w:bCs/>
        </w:rPr>
      </w:pPr>
    </w:p>
    <w:p w14:paraId="5C974ECF" w14:textId="77777777" w:rsidR="00636B5B" w:rsidRPr="00117C4F" w:rsidRDefault="00636B5B" w:rsidP="00CE7936">
      <w:pPr>
        <w:widowControl w:val="0"/>
        <w:autoSpaceDE w:val="0"/>
        <w:autoSpaceDN w:val="0"/>
        <w:adjustRightInd w:val="0"/>
        <w:rPr>
          <w:b/>
          <w:bCs/>
        </w:rPr>
      </w:pPr>
    </w:p>
    <w:p w14:paraId="33B7429A" w14:textId="77777777" w:rsidR="00636B5B" w:rsidRDefault="00636B5B" w:rsidP="00CE7936"/>
    <w:p w14:paraId="1882DAE6" w14:textId="77777777" w:rsidR="00636B5B" w:rsidRPr="00CE7936" w:rsidRDefault="00636B5B" w:rsidP="00CE7936"/>
    <w:p w14:paraId="1FEBAE59" w14:textId="77777777" w:rsidR="003D49EA" w:rsidRDefault="003D49EA" w:rsidP="003D49EA"/>
    <w:p w14:paraId="4C89A3CF" w14:textId="530FCB00" w:rsidR="00636B5B" w:rsidRDefault="00636B5B" w:rsidP="003D49EA">
      <w:pPr>
        <w:jc w:val="center"/>
        <w:rPr>
          <w:b/>
          <w:bCs/>
          <w:sz w:val="28"/>
          <w:szCs w:val="26"/>
        </w:rPr>
      </w:pPr>
      <w:r>
        <w:rPr>
          <w:b/>
          <w:bCs/>
          <w:sz w:val="28"/>
          <w:szCs w:val="26"/>
        </w:rPr>
        <w:lastRenderedPageBreak/>
        <w:t>CHAPTER III</w:t>
      </w:r>
    </w:p>
    <w:p w14:paraId="575E0E8B" w14:textId="77777777" w:rsidR="00636B5B" w:rsidRDefault="00636B5B" w:rsidP="00EE03F0">
      <w:pPr>
        <w:jc w:val="center"/>
        <w:rPr>
          <w:b/>
          <w:i/>
          <w:iCs/>
          <w:sz w:val="32"/>
          <w:szCs w:val="32"/>
        </w:rPr>
      </w:pPr>
      <w:r w:rsidRPr="004013DD">
        <w:rPr>
          <w:b/>
          <w:sz w:val="32"/>
          <w:szCs w:val="32"/>
        </w:rPr>
        <w:t xml:space="preserve">A comparative analyses of organelle DNA transfer to nuclear genomes in </w:t>
      </w:r>
      <w:r w:rsidRPr="004013DD">
        <w:rPr>
          <w:b/>
          <w:i/>
          <w:iCs/>
          <w:sz w:val="32"/>
          <w:szCs w:val="32"/>
        </w:rPr>
        <w:t xml:space="preserve">Populus </w:t>
      </w:r>
      <w:proofErr w:type="spellStart"/>
      <w:r w:rsidRPr="004013DD">
        <w:rPr>
          <w:b/>
          <w:i/>
          <w:iCs/>
          <w:sz w:val="32"/>
          <w:szCs w:val="32"/>
        </w:rPr>
        <w:t>trichocarpa</w:t>
      </w:r>
      <w:proofErr w:type="spellEnd"/>
      <w:r w:rsidRPr="004013DD">
        <w:rPr>
          <w:b/>
          <w:sz w:val="32"/>
          <w:szCs w:val="32"/>
        </w:rPr>
        <w:t xml:space="preserve"> and </w:t>
      </w:r>
      <w:r w:rsidRPr="004013DD">
        <w:rPr>
          <w:b/>
          <w:i/>
          <w:iCs/>
          <w:sz w:val="32"/>
          <w:szCs w:val="32"/>
        </w:rPr>
        <w:t xml:space="preserve">Populus </w:t>
      </w:r>
      <w:proofErr w:type="spellStart"/>
      <w:r w:rsidRPr="004013DD">
        <w:rPr>
          <w:b/>
          <w:i/>
          <w:iCs/>
          <w:sz w:val="32"/>
          <w:szCs w:val="32"/>
        </w:rPr>
        <w:t>deltoides</w:t>
      </w:r>
      <w:proofErr w:type="spellEnd"/>
    </w:p>
    <w:p w14:paraId="4E60DC3D" w14:textId="77777777" w:rsidR="00636B5B" w:rsidRDefault="00636B5B" w:rsidP="00EE03F0">
      <w:pPr>
        <w:rPr>
          <w:b/>
          <w:sz w:val="32"/>
          <w:szCs w:val="32"/>
        </w:rPr>
      </w:pPr>
    </w:p>
    <w:p w14:paraId="74EDDFA8" w14:textId="77777777" w:rsidR="00636B5B" w:rsidRDefault="00636B5B" w:rsidP="00EE03F0">
      <w:pPr>
        <w:rPr>
          <w:b/>
          <w:sz w:val="32"/>
          <w:szCs w:val="32"/>
        </w:rPr>
      </w:pPr>
    </w:p>
    <w:p w14:paraId="64AA2584" w14:textId="77777777" w:rsidR="00636B5B" w:rsidRDefault="00636B5B" w:rsidP="00EE03F0">
      <w:pPr>
        <w:rPr>
          <w:b/>
          <w:sz w:val="32"/>
          <w:szCs w:val="32"/>
        </w:rPr>
      </w:pPr>
    </w:p>
    <w:p w14:paraId="6E6E31F6" w14:textId="77777777" w:rsidR="00636B5B" w:rsidRDefault="00636B5B" w:rsidP="00EE03F0">
      <w:pPr>
        <w:rPr>
          <w:b/>
          <w:sz w:val="32"/>
          <w:szCs w:val="32"/>
        </w:rPr>
      </w:pPr>
    </w:p>
    <w:p w14:paraId="147F919F" w14:textId="77777777" w:rsidR="00636B5B" w:rsidRDefault="00636B5B" w:rsidP="00EE03F0">
      <w:pPr>
        <w:rPr>
          <w:b/>
          <w:sz w:val="32"/>
          <w:szCs w:val="32"/>
        </w:rPr>
      </w:pPr>
    </w:p>
    <w:p w14:paraId="7D023FEC" w14:textId="77777777" w:rsidR="00636B5B" w:rsidRDefault="00636B5B" w:rsidP="00EE03F0">
      <w:pPr>
        <w:rPr>
          <w:b/>
          <w:sz w:val="32"/>
          <w:szCs w:val="32"/>
        </w:rPr>
      </w:pPr>
    </w:p>
    <w:p w14:paraId="5A5B45A8" w14:textId="77777777" w:rsidR="00636B5B" w:rsidRDefault="00636B5B" w:rsidP="00EE03F0">
      <w:pPr>
        <w:rPr>
          <w:b/>
          <w:sz w:val="32"/>
          <w:szCs w:val="32"/>
        </w:rPr>
      </w:pPr>
    </w:p>
    <w:p w14:paraId="7A8C20DC" w14:textId="77777777" w:rsidR="00636B5B" w:rsidRDefault="00636B5B" w:rsidP="00EE03F0">
      <w:pPr>
        <w:rPr>
          <w:b/>
          <w:sz w:val="32"/>
          <w:szCs w:val="32"/>
        </w:rPr>
      </w:pPr>
    </w:p>
    <w:p w14:paraId="6CD58829" w14:textId="77777777" w:rsidR="00636B5B" w:rsidRDefault="00636B5B" w:rsidP="00EE03F0">
      <w:pPr>
        <w:rPr>
          <w:b/>
          <w:sz w:val="32"/>
          <w:szCs w:val="32"/>
        </w:rPr>
      </w:pPr>
    </w:p>
    <w:p w14:paraId="56D590FE" w14:textId="77777777" w:rsidR="00636B5B" w:rsidRDefault="00636B5B" w:rsidP="00EE03F0">
      <w:pPr>
        <w:rPr>
          <w:b/>
          <w:sz w:val="32"/>
          <w:szCs w:val="32"/>
        </w:rPr>
      </w:pPr>
    </w:p>
    <w:p w14:paraId="5A28431A" w14:textId="77777777" w:rsidR="00636B5B" w:rsidRDefault="00636B5B" w:rsidP="00EE03F0">
      <w:pPr>
        <w:rPr>
          <w:b/>
          <w:sz w:val="32"/>
          <w:szCs w:val="32"/>
        </w:rPr>
      </w:pPr>
    </w:p>
    <w:p w14:paraId="55A32CB0" w14:textId="77777777" w:rsidR="00636B5B" w:rsidRDefault="00636B5B" w:rsidP="00EE03F0">
      <w:pPr>
        <w:rPr>
          <w:b/>
          <w:sz w:val="32"/>
          <w:szCs w:val="32"/>
        </w:rPr>
      </w:pPr>
    </w:p>
    <w:p w14:paraId="6FF63985" w14:textId="77777777" w:rsidR="00636B5B" w:rsidRDefault="00636B5B" w:rsidP="00EE03F0">
      <w:pPr>
        <w:rPr>
          <w:b/>
          <w:sz w:val="32"/>
          <w:szCs w:val="32"/>
        </w:rPr>
      </w:pPr>
    </w:p>
    <w:p w14:paraId="54099E7F" w14:textId="77777777" w:rsidR="00636B5B" w:rsidRDefault="00636B5B" w:rsidP="00EE03F0">
      <w:pPr>
        <w:rPr>
          <w:b/>
          <w:sz w:val="32"/>
          <w:szCs w:val="32"/>
        </w:rPr>
      </w:pPr>
    </w:p>
    <w:p w14:paraId="10125FA8" w14:textId="77777777" w:rsidR="00636B5B" w:rsidRDefault="00636B5B" w:rsidP="00EE03F0">
      <w:pPr>
        <w:rPr>
          <w:b/>
          <w:sz w:val="32"/>
          <w:szCs w:val="32"/>
        </w:rPr>
      </w:pPr>
    </w:p>
    <w:p w14:paraId="2BEC6AA0" w14:textId="77777777" w:rsidR="00636B5B" w:rsidRDefault="00636B5B" w:rsidP="00EE03F0">
      <w:pPr>
        <w:rPr>
          <w:b/>
          <w:sz w:val="32"/>
          <w:szCs w:val="32"/>
        </w:rPr>
      </w:pPr>
    </w:p>
    <w:p w14:paraId="27C3579D" w14:textId="77777777" w:rsidR="00636B5B" w:rsidRDefault="00636B5B" w:rsidP="00EE03F0">
      <w:pPr>
        <w:rPr>
          <w:b/>
          <w:sz w:val="32"/>
          <w:szCs w:val="32"/>
        </w:rPr>
      </w:pPr>
    </w:p>
    <w:p w14:paraId="0C04F390" w14:textId="77777777" w:rsidR="00636B5B" w:rsidRDefault="00636B5B" w:rsidP="00EE03F0">
      <w:pPr>
        <w:rPr>
          <w:b/>
          <w:sz w:val="32"/>
          <w:szCs w:val="32"/>
        </w:rPr>
      </w:pPr>
    </w:p>
    <w:p w14:paraId="35008067" w14:textId="77777777" w:rsidR="00636B5B" w:rsidRDefault="00636B5B" w:rsidP="00EE03F0">
      <w:pPr>
        <w:rPr>
          <w:b/>
          <w:sz w:val="32"/>
          <w:szCs w:val="32"/>
        </w:rPr>
      </w:pPr>
    </w:p>
    <w:p w14:paraId="6F4AC5E2" w14:textId="77777777" w:rsidR="00636B5B" w:rsidRDefault="00636B5B" w:rsidP="00EE03F0">
      <w:pPr>
        <w:rPr>
          <w:b/>
          <w:sz w:val="32"/>
          <w:szCs w:val="32"/>
        </w:rPr>
      </w:pPr>
    </w:p>
    <w:p w14:paraId="22966078" w14:textId="77777777" w:rsidR="00636B5B" w:rsidRDefault="00636B5B" w:rsidP="00EE03F0">
      <w:pPr>
        <w:rPr>
          <w:b/>
          <w:sz w:val="32"/>
          <w:szCs w:val="32"/>
        </w:rPr>
      </w:pPr>
    </w:p>
    <w:p w14:paraId="7DFFAEB0" w14:textId="77777777" w:rsidR="00636B5B" w:rsidRDefault="00636B5B" w:rsidP="00EE03F0">
      <w:pPr>
        <w:rPr>
          <w:b/>
          <w:sz w:val="32"/>
          <w:szCs w:val="32"/>
        </w:rPr>
      </w:pPr>
    </w:p>
    <w:p w14:paraId="54DD80A2" w14:textId="77777777" w:rsidR="00636B5B" w:rsidRDefault="00636B5B" w:rsidP="00EE03F0">
      <w:pPr>
        <w:rPr>
          <w:b/>
          <w:sz w:val="32"/>
          <w:szCs w:val="32"/>
        </w:rPr>
      </w:pPr>
    </w:p>
    <w:p w14:paraId="509CB9DE" w14:textId="77777777" w:rsidR="00636B5B" w:rsidRDefault="00636B5B" w:rsidP="00EE03F0">
      <w:pPr>
        <w:rPr>
          <w:b/>
          <w:sz w:val="32"/>
          <w:szCs w:val="32"/>
        </w:rPr>
      </w:pPr>
    </w:p>
    <w:p w14:paraId="27934C85" w14:textId="77777777" w:rsidR="00636B5B" w:rsidRDefault="00636B5B" w:rsidP="00EE03F0">
      <w:pPr>
        <w:rPr>
          <w:b/>
          <w:sz w:val="32"/>
          <w:szCs w:val="32"/>
        </w:rPr>
      </w:pPr>
    </w:p>
    <w:p w14:paraId="58EB601C" w14:textId="77777777" w:rsidR="00636B5B" w:rsidRDefault="00636B5B" w:rsidP="00EE03F0">
      <w:pPr>
        <w:rPr>
          <w:b/>
          <w:sz w:val="32"/>
          <w:szCs w:val="32"/>
        </w:rPr>
      </w:pPr>
    </w:p>
    <w:p w14:paraId="58D2EB2F" w14:textId="77777777" w:rsidR="00636B5B" w:rsidRDefault="00636B5B" w:rsidP="00EE03F0">
      <w:pPr>
        <w:rPr>
          <w:b/>
          <w:sz w:val="32"/>
          <w:szCs w:val="32"/>
        </w:rPr>
      </w:pPr>
    </w:p>
    <w:p w14:paraId="2E956230" w14:textId="77777777" w:rsidR="00636B5B" w:rsidRDefault="00636B5B" w:rsidP="00EE03F0">
      <w:pPr>
        <w:rPr>
          <w:b/>
          <w:sz w:val="32"/>
          <w:szCs w:val="32"/>
        </w:rPr>
      </w:pPr>
    </w:p>
    <w:p w14:paraId="33E4856F" w14:textId="77777777" w:rsidR="00636B5B" w:rsidRDefault="00636B5B" w:rsidP="00EE03F0">
      <w:pPr>
        <w:rPr>
          <w:b/>
          <w:sz w:val="32"/>
          <w:szCs w:val="32"/>
        </w:rPr>
      </w:pPr>
    </w:p>
    <w:p w14:paraId="60DFBD6D" w14:textId="77777777" w:rsidR="00636B5B" w:rsidRDefault="00636B5B" w:rsidP="00EE03F0">
      <w:pPr>
        <w:rPr>
          <w:b/>
          <w:sz w:val="32"/>
          <w:szCs w:val="32"/>
        </w:rPr>
      </w:pPr>
    </w:p>
    <w:p w14:paraId="0272F118" w14:textId="77777777" w:rsidR="00636B5B" w:rsidRDefault="00636B5B" w:rsidP="00EE03F0">
      <w:pPr>
        <w:rPr>
          <w:b/>
          <w:sz w:val="32"/>
          <w:szCs w:val="32"/>
        </w:rPr>
      </w:pPr>
    </w:p>
    <w:p w14:paraId="0E97C7D1" w14:textId="77777777" w:rsidR="00636B5B" w:rsidRDefault="00636B5B" w:rsidP="00EE03F0">
      <w:pPr>
        <w:rPr>
          <w:b/>
          <w:sz w:val="32"/>
          <w:szCs w:val="32"/>
        </w:rPr>
      </w:pPr>
    </w:p>
    <w:p w14:paraId="6FD942D7" w14:textId="77777777" w:rsidR="00636B5B" w:rsidRDefault="00636B5B" w:rsidP="00EE03F0">
      <w:pPr>
        <w:rPr>
          <w:bCs/>
          <w:szCs w:val="28"/>
        </w:rPr>
      </w:pPr>
      <w:r>
        <w:rPr>
          <w:bCs/>
          <w:szCs w:val="28"/>
        </w:rPr>
        <w:lastRenderedPageBreak/>
        <w:t>A version of this chapter is in preparation for publication by:</w:t>
      </w:r>
    </w:p>
    <w:p w14:paraId="7CE61F7F" w14:textId="77777777" w:rsidR="00636B5B" w:rsidRDefault="00636B5B" w:rsidP="00EE03F0">
      <w:pPr>
        <w:rPr>
          <w:bCs/>
          <w:szCs w:val="28"/>
        </w:rPr>
      </w:pPr>
    </w:p>
    <w:p w14:paraId="235352D5" w14:textId="77777777" w:rsidR="00636B5B" w:rsidRDefault="00636B5B" w:rsidP="00EE03F0">
      <w:pPr>
        <w:spacing w:line="360" w:lineRule="auto"/>
        <w:rPr>
          <w:bCs/>
          <w:szCs w:val="28"/>
        </w:rPr>
      </w:pPr>
      <w:r>
        <w:rPr>
          <w:bCs/>
          <w:szCs w:val="28"/>
        </w:rPr>
        <w:t xml:space="preserve">Timothy B. Yates, </w:t>
      </w:r>
      <w:r w:rsidRPr="004013DD">
        <w:rPr>
          <w:bCs/>
          <w:szCs w:val="28"/>
        </w:rPr>
        <w:t>Kai Fen</w:t>
      </w:r>
      <w:r>
        <w:rPr>
          <w:bCs/>
          <w:szCs w:val="28"/>
        </w:rPr>
        <w:t>g</w:t>
      </w:r>
      <w:r w:rsidRPr="004013DD">
        <w:rPr>
          <w:bCs/>
          <w:szCs w:val="28"/>
        </w:rPr>
        <w:t xml:space="preserve">, Paul E. Abraham, Vasanth </w:t>
      </w:r>
      <w:proofErr w:type="spellStart"/>
      <w:r w:rsidRPr="004013DD">
        <w:rPr>
          <w:bCs/>
          <w:szCs w:val="28"/>
        </w:rPr>
        <w:t>Singan</w:t>
      </w:r>
      <w:proofErr w:type="spellEnd"/>
      <w:r w:rsidRPr="004013DD">
        <w:rPr>
          <w:bCs/>
          <w:szCs w:val="28"/>
        </w:rPr>
        <w:t xml:space="preserve">, Sara S. </w:t>
      </w:r>
      <w:proofErr w:type="spellStart"/>
      <w:r w:rsidRPr="004013DD">
        <w:rPr>
          <w:bCs/>
          <w:szCs w:val="28"/>
        </w:rPr>
        <w:t>Jawdy</w:t>
      </w:r>
      <w:proofErr w:type="spellEnd"/>
      <w:r w:rsidRPr="004013DD">
        <w:rPr>
          <w:bCs/>
          <w:szCs w:val="28"/>
        </w:rPr>
        <w:t xml:space="preserve">, Kerrie Barry, Anna </w:t>
      </w:r>
      <w:proofErr w:type="spellStart"/>
      <w:r w:rsidRPr="004013DD">
        <w:rPr>
          <w:bCs/>
          <w:szCs w:val="28"/>
        </w:rPr>
        <w:t>Lipzen</w:t>
      </w:r>
      <w:proofErr w:type="spellEnd"/>
      <w:r w:rsidRPr="004013DD">
        <w:rPr>
          <w:bCs/>
          <w:szCs w:val="28"/>
        </w:rPr>
        <w:t xml:space="preserve">, </w:t>
      </w:r>
      <w:proofErr w:type="spellStart"/>
      <w:r w:rsidRPr="004013DD">
        <w:rPr>
          <w:bCs/>
          <w:szCs w:val="28"/>
        </w:rPr>
        <w:t>Chongle</w:t>
      </w:r>
      <w:proofErr w:type="spellEnd"/>
      <w:r w:rsidRPr="004013DD">
        <w:rPr>
          <w:bCs/>
          <w:szCs w:val="28"/>
        </w:rPr>
        <w:t xml:space="preserve"> Pan, Jeremy Schmutz, </w:t>
      </w:r>
      <w:proofErr w:type="spellStart"/>
      <w:r w:rsidRPr="004013DD">
        <w:rPr>
          <w:bCs/>
          <w:szCs w:val="28"/>
        </w:rPr>
        <w:t>Jin-Gui</w:t>
      </w:r>
      <w:proofErr w:type="spellEnd"/>
      <w:r w:rsidRPr="004013DD">
        <w:rPr>
          <w:bCs/>
          <w:szCs w:val="28"/>
        </w:rPr>
        <w:t xml:space="preserve"> Chen, Gerald A. </w:t>
      </w:r>
      <w:proofErr w:type="spellStart"/>
      <w:r w:rsidRPr="004013DD">
        <w:rPr>
          <w:bCs/>
          <w:szCs w:val="28"/>
        </w:rPr>
        <w:t>Tuskan</w:t>
      </w:r>
      <w:proofErr w:type="spellEnd"/>
      <w:r w:rsidRPr="004013DD">
        <w:rPr>
          <w:bCs/>
          <w:szCs w:val="28"/>
        </w:rPr>
        <w:t xml:space="preserve">, and Wellington </w:t>
      </w:r>
      <w:proofErr w:type="spellStart"/>
      <w:r w:rsidRPr="004013DD">
        <w:rPr>
          <w:bCs/>
          <w:szCs w:val="28"/>
        </w:rPr>
        <w:t>Muche</w:t>
      </w:r>
      <w:r>
        <w:rPr>
          <w:bCs/>
          <w:szCs w:val="28"/>
        </w:rPr>
        <w:t>ro</w:t>
      </w:r>
      <w:proofErr w:type="spellEnd"/>
    </w:p>
    <w:p w14:paraId="4E9D8D6B" w14:textId="77777777" w:rsidR="00636B5B" w:rsidRDefault="00636B5B" w:rsidP="00EE03F0">
      <w:pPr>
        <w:spacing w:line="360" w:lineRule="auto"/>
        <w:rPr>
          <w:bCs/>
          <w:szCs w:val="28"/>
        </w:rPr>
      </w:pPr>
    </w:p>
    <w:p w14:paraId="0D472C1F" w14:textId="77777777" w:rsidR="00636B5B" w:rsidRDefault="00636B5B" w:rsidP="00EE03F0">
      <w:pPr>
        <w:widowControl w:val="0"/>
        <w:autoSpaceDE w:val="0"/>
        <w:autoSpaceDN w:val="0"/>
        <w:adjustRightInd w:val="0"/>
        <w:spacing w:line="360" w:lineRule="auto"/>
      </w:pPr>
      <w:r w:rsidRPr="006D5D0D">
        <w:rPr>
          <w:b/>
          <w:bCs/>
        </w:rPr>
        <w:t>Author contributions:</w:t>
      </w:r>
      <w:r>
        <w:t xml:space="preserve"> </w:t>
      </w:r>
      <w:r w:rsidRPr="00291637">
        <w:t xml:space="preserve">T.B.Y. and W.M. designed this study. T.B.Y conducted data analysis and wrote the manuscript. V.S., K.B., and A.L. analyzed and curated the RNA-Seq data. S.J.S. and L.G. generated data. K.F. performed </w:t>
      </w:r>
      <w:proofErr w:type="spellStart"/>
      <w:r w:rsidRPr="00291637">
        <w:t>performed</w:t>
      </w:r>
      <w:proofErr w:type="spellEnd"/>
      <w:r w:rsidRPr="00291637">
        <w:t xml:space="preserve"> data analysis. C.P. contributed to data analysis. P.E.A. generated and analyzed proteomic data. T.B.Y, P.E.A., J.S., J.-G.C, G.A.T., and W.M. revised the manuscript.</w:t>
      </w:r>
    </w:p>
    <w:p w14:paraId="7E746A77" w14:textId="77777777" w:rsidR="00636B5B" w:rsidRDefault="00636B5B" w:rsidP="00EE03F0">
      <w:pPr>
        <w:widowControl w:val="0"/>
        <w:autoSpaceDE w:val="0"/>
        <w:autoSpaceDN w:val="0"/>
        <w:adjustRightInd w:val="0"/>
        <w:spacing w:line="360" w:lineRule="auto"/>
      </w:pPr>
    </w:p>
    <w:p w14:paraId="532542D4" w14:textId="77777777" w:rsidR="00636B5B" w:rsidRDefault="00636B5B" w:rsidP="00EE03F0">
      <w:pPr>
        <w:widowControl w:val="0"/>
        <w:autoSpaceDE w:val="0"/>
        <w:autoSpaceDN w:val="0"/>
        <w:adjustRightInd w:val="0"/>
        <w:spacing w:line="360" w:lineRule="auto"/>
      </w:pPr>
    </w:p>
    <w:p w14:paraId="5781928F" w14:textId="77777777" w:rsidR="00636B5B" w:rsidRDefault="00636B5B" w:rsidP="00EE03F0">
      <w:pPr>
        <w:widowControl w:val="0"/>
        <w:autoSpaceDE w:val="0"/>
        <w:autoSpaceDN w:val="0"/>
        <w:adjustRightInd w:val="0"/>
        <w:spacing w:line="360" w:lineRule="auto"/>
      </w:pPr>
    </w:p>
    <w:p w14:paraId="20E06619" w14:textId="77777777" w:rsidR="00636B5B" w:rsidRDefault="00636B5B" w:rsidP="00EE03F0">
      <w:pPr>
        <w:widowControl w:val="0"/>
        <w:autoSpaceDE w:val="0"/>
        <w:autoSpaceDN w:val="0"/>
        <w:adjustRightInd w:val="0"/>
        <w:spacing w:line="360" w:lineRule="auto"/>
      </w:pPr>
    </w:p>
    <w:p w14:paraId="5BB98102" w14:textId="77777777" w:rsidR="00636B5B" w:rsidRDefault="00636B5B" w:rsidP="00EE03F0">
      <w:pPr>
        <w:widowControl w:val="0"/>
        <w:autoSpaceDE w:val="0"/>
        <w:autoSpaceDN w:val="0"/>
        <w:adjustRightInd w:val="0"/>
        <w:spacing w:line="360" w:lineRule="auto"/>
      </w:pPr>
    </w:p>
    <w:p w14:paraId="7696FED8" w14:textId="77777777" w:rsidR="00636B5B" w:rsidRDefault="00636B5B" w:rsidP="00EE03F0">
      <w:pPr>
        <w:widowControl w:val="0"/>
        <w:autoSpaceDE w:val="0"/>
        <w:autoSpaceDN w:val="0"/>
        <w:adjustRightInd w:val="0"/>
        <w:spacing w:line="360" w:lineRule="auto"/>
      </w:pPr>
    </w:p>
    <w:p w14:paraId="19BB8B7F" w14:textId="77777777" w:rsidR="00636B5B" w:rsidRDefault="00636B5B" w:rsidP="00EE03F0">
      <w:pPr>
        <w:widowControl w:val="0"/>
        <w:autoSpaceDE w:val="0"/>
        <w:autoSpaceDN w:val="0"/>
        <w:adjustRightInd w:val="0"/>
        <w:spacing w:line="360" w:lineRule="auto"/>
      </w:pPr>
    </w:p>
    <w:p w14:paraId="4AE357AF" w14:textId="77777777" w:rsidR="00636B5B" w:rsidRDefault="00636B5B" w:rsidP="00EE03F0">
      <w:pPr>
        <w:widowControl w:val="0"/>
        <w:autoSpaceDE w:val="0"/>
        <w:autoSpaceDN w:val="0"/>
        <w:adjustRightInd w:val="0"/>
        <w:spacing w:line="360" w:lineRule="auto"/>
      </w:pPr>
    </w:p>
    <w:p w14:paraId="0EA7B888" w14:textId="77777777" w:rsidR="00636B5B" w:rsidRDefault="00636B5B" w:rsidP="00EE03F0">
      <w:pPr>
        <w:widowControl w:val="0"/>
        <w:autoSpaceDE w:val="0"/>
        <w:autoSpaceDN w:val="0"/>
        <w:adjustRightInd w:val="0"/>
        <w:spacing w:line="360" w:lineRule="auto"/>
      </w:pPr>
    </w:p>
    <w:p w14:paraId="535EF8B8" w14:textId="77777777" w:rsidR="00636B5B" w:rsidRDefault="00636B5B" w:rsidP="00EE03F0">
      <w:pPr>
        <w:widowControl w:val="0"/>
        <w:autoSpaceDE w:val="0"/>
        <w:autoSpaceDN w:val="0"/>
        <w:adjustRightInd w:val="0"/>
        <w:spacing w:line="360" w:lineRule="auto"/>
      </w:pPr>
    </w:p>
    <w:p w14:paraId="7D789756" w14:textId="77777777" w:rsidR="00636B5B" w:rsidRDefault="00636B5B" w:rsidP="00EE03F0">
      <w:pPr>
        <w:widowControl w:val="0"/>
        <w:autoSpaceDE w:val="0"/>
        <w:autoSpaceDN w:val="0"/>
        <w:adjustRightInd w:val="0"/>
        <w:spacing w:line="360" w:lineRule="auto"/>
      </w:pPr>
    </w:p>
    <w:p w14:paraId="1652BF0C" w14:textId="77777777" w:rsidR="00636B5B" w:rsidRDefault="00636B5B" w:rsidP="00EE03F0">
      <w:pPr>
        <w:widowControl w:val="0"/>
        <w:autoSpaceDE w:val="0"/>
        <w:autoSpaceDN w:val="0"/>
        <w:adjustRightInd w:val="0"/>
        <w:spacing w:line="360" w:lineRule="auto"/>
      </w:pPr>
    </w:p>
    <w:p w14:paraId="7F77EC1F" w14:textId="77777777" w:rsidR="00636B5B" w:rsidRDefault="00636B5B" w:rsidP="00EE03F0">
      <w:pPr>
        <w:widowControl w:val="0"/>
        <w:autoSpaceDE w:val="0"/>
        <w:autoSpaceDN w:val="0"/>
        <w:adjustRightInd w:val="0"/>
        <w:spacing w:line="360" w:lineRule="auto"/>
      </w:pPr>
    </w:p>
    <w:p w14:paraId="36AA6D61" w14:textId="77777777" w:rsidR="00636B5B" w:rsidRDefault="00636B5B" w:rsidP="00EE03F0">
      <w:pPr>
        <w:widowControl w:val="0"/>
        <w:autoSpaceDE w:val="0"/>
        <w:autoSpaceDN w:val="0"/>
        <w:adjustRightInd w:val="0"/>
        <w:spacing w:line="360" w:lineRule="auto"/>
      </w:pPr>
    </w:p>
    <w:p w14:paraId="4332EF7D" w14:textId="77777777" w:rsidR="00636B5B" w:rsidRDefault="00636B5B" w:rsidP="00EE03F0">
      <w:pPr>
        <w:widowControl w:val="0"/>
        <w:autoSpaceDE w:val="0"/>
        <w:autoSpaceDN w:val="0"/>
        <w:adjustRightInd w:val="0"/>
        <w:spacing w:line="360" w:lineRule="auto"/>
      </w:pPr>
    </w:p>
    <w:p w14:paraId="141A72AB" w14:textId="77777777" w:rsidR="00636B5B" w:rsidRDefault="00636B5B" w:rsidP="00EE03F0">
      <w:pPr>
        <w:widowControl w:val="0"/>
        <w:autoSpaceDE w:val="0"/>
        <w:autoSpaceDN w:val="0"/>
        <w:adjustRightInd w:val="0"/>
        <w:spacing w:line="360" w:lineRule="auto"/>
      </w:pPr>
    </w:p>
    <w:p w14:paraId="55ADBEF2" w14:textId="77777777" w:rsidR="00636B5B" w:rsidRDefault="00636B5B" w:rsidP="00EE03F0">
      <w:pPr>
        <w:widowControl w:val="0"/>
        <w:autoSpaceDE w:val="0"/>
        <w:autoSpaceDN w:val="0"/>
        <w:adjustRightInd w:val="0"/>
        <w:spacing w:line="360" w:lineRule="auto"/>
      </w:pPr>
    </w:p>
    <w:p w14:paraId="058325EE" w14:textId="77777777" w:rsidR="00636B5B" w:rsidRDefault="00636B5B" w:rsidP="00EE03F0">
      <w:pPr>
        <w:widowControl w:val="0"/>
        <w:autoSpaceDE w:val="0"/>
        <w:autoSpaceDN w:val="0"/>
        <w:adjustRightInd w:val="0"/>
        <w:spacing w:line="360" w:lineRule="auto"/>
      </w:pPr>
    </w:p>
    <w:p w14:paraId="1352D10A" w14:textId="77777777" w:rsidR="00636B5B" w:rsidRDefault="00636B5B" w:rsidP="00EE03F0">
      <w:pPr>
        <w:widowControl w:val="0"/>
        <w:autoSpaceDE w:val="0"/>
        <w:autoSpaceDN w:val="0"/>
        <w:adjustRightInd w:val="0"/>
        <w:spacing w:line="360" w:lineRule="auto"/>
      </w:pPr>
    </w:p>
    <w:p w14:paraId="6B2A1B3C" w14:textId="77777777" w:rsidR="00636B5B" w:rsidRDefault="00636B5B" w:rsidP="00EE03F0">
      <w:pPr>
        <w:widowControl w:val="0"/>
        <w:autoSpaceDE w:val="0"/>
        <w:autoSpaceDN w:val="0"/>
        <w:adjustRightInd w:val="0"/>
        <w:spacing w:line="360" w:lineRule="auto"/>
      </w:pPr>
    </w:p>
    <w:p w14:paraId="4963CC40" w14:textId="77777777" w:rsidR="00636B5B" w:rsidRDefault="00636B5B" w:rsidP="00EE03F0">
      <w:pPr>
        <w:widowControl w:val="0"/>
        <w:autoSpaceDE w:val="0"/>
        <w:autoSpaceDN w:val="0"/>
        <w:adjustRightInd w:val="0"/>
        <w:spacing w:line="360" w:lineRule="auto"/>
      </w:pPr>
    </w:p>
    <w:p w14:paraId="149F8C0B" w14:textId="77777777" w:rsidR="00636B5B" w:rsidRPr="006F508A" w:rsidRDefault="00636B5B" w:rsidP="00EE03F0">
      <w:pPr>
        <w:widowControl w:val="0"/>
        <w:autoSpaceDE w:val="0"/>
        <w:autoSpaceDN w:val="0"/>
        <w:adjustRightInd w:val="0"/>
        <w:jc w:val="center"/>
        <w:rPr>
          <w:b/>
          <w:bCs/>
          <w:sz w:val="28"/>
          <w:szCs w:val="26"/>
        </w:rPr>
      </w:pPr>
      <w:r w:rsidRPr="006F508A">
        <w:rPr>
          <w:b/>
          <w:bCs/>
          <w:sz w:val="28"/>
          <w:szCs w:val="26"/>
        </w:rPr>
        <w:lastRenderedPageBreak/>
        <w:t>Abstract</w:t>
      </w:r>
    </w:p>
    <w:p w14:paraId="47CC3ED6" w14:textId="77777777" w:rsidR="00636B5B" w:rsidRDefault="00636B5B" w:rsidP="00EE03F0">
      <w:pPr>
        <w:widowControl w:val="0"/>
        <w:autoSpaceDE w:val="0"/>
        <w:autoSpaceDN w:val="0"/>
        <w:adjustRightInd w:val="0"/>
        <w:spacing w:line="360" w:lineRule="auto"/>
        <w:jc w:val="center"/>
      </w:pPr>
    </w:p>
    <w:p w14:paraId="01938478" w14:textId="77777777" w:rsidR="00636B5B" w:rsidRDefault="00636B5B" w:rsidP="00EE03F0">
      <w:pPr>
        <w:spacing w:line="360" w:lineRule="auto"/>
        <w:rPr>
          <w:rFonts w:cs="Times New Roman"/>
          <w:iCs/>
        </w:rPr>
      </w:pPr>
      <w:r>
        <w:tab/>
      </w:r>
      <w:r w:rsidRPr="00C36A01">
        <w:rPr>
          <w:rFonts w:cs="Times New Roman"/>
        </w:rPr>
        <w:t>Organelle</w:t>
      </w:r>
      <w:r>
        <w:rPr>
          <w:rFonts w:cs="Times New Roman"/>
        </w:rPr>
        <w:t>-</w:t>
      </w:r>
      <w:r w:rsidRPr="00C36A01">
        <w:rPr>
          <w:rFonts w:cs="Times New Roman"/>
        </w:rPr>
        <w:t xml:space="preserve">derived features which have integrated into the nuclear genome from the chloroplast and mitochondria are known as NUPTs (“new plastid”) and NUMTs (“new </w:t>
      </w:r>
      <w:proofErr w:type="spellStart"/>
      <w:r w:rsidRPr="00C36A01">
        <w:rPr>
          <w:rFonts w:cs="Times New Roman"/>
        </w:rPr>
        <w:t>mito</w:t>
      </w:r>
      <w:proofErr w:type="spellEnd"/>
      <w:r w:rsidRPr="00C36A01">
        <w:rPr>
          <w:rFonts w:cs="Times New Roman"/>
        </w:rPr>
        <w:t>”), respectively.</w:t>
      </w:r>
      <w:r>
        <w:rPr>
          <w:rFonts w:cs="Times New Roman"/>
        </w:rPr>
        <w:t xml:space="preserve"> A</w:t>
      </w:r>
      <w:r w:rsidRPr="00C36A01">
        <w:rPr>
          <w:rFonts w:cs="Times New Roman"/>
        </w:rPr>
        <w:t>ssembled</w:t>
      </w:r>
      <w:r>
        <w:rPr>
          <w:rFonts w:cs="Times New Roman"/>
        </w:rPr>
        <w:t xml:space="preserve"> organelle </w:t>
      </w:r>
      <w:r w:rsidRPr="00C36A01">
        <w:rPr>
          <w:rFonts w:cs="Times New Roman"/>
        </w:rPr>
        <w:t>genomes allow for</w:t>
      </w:r>
      <w:r>
        <w:rPr>
          <w:rFonts w:cs="Times New Roman"/>
        </w:rPr>
        <w:t xml:space="preserve"> phylogenomic analyses as well as</w:t>
      </w:r>
      <w:r w:rsidRPr="00C36A01">
        <w:rPr>
          <w:rFonts w:cs="Times New Roman"/>
        </w:rPr>
        <w:t xml:space="preserve"> identification of NUPTs and NUMTs in </w:t>
      </w:r>
      <w:r w:rsidRPr="00C36A01">
        <w:rPr>
          <w:rFonts w:cs="Times New Roman"/>
          <w:i/>
          <w:iCs/>
        </w:rPr>
        <w:t>P</w:t>
      </w:r>
      <w:r>
        <w:rPr>
          <w:rFonts w:cs="Times New Roman"/>
          <w:i/>
          <w:iCs/>
        </w:rPr>
        <w:t>opulus</w:t>
      </w:r>
      <w:r w:rsidRPr="00C36A01">
        <w:rPr>
          <w:rFonts w:cs="Times New Roman"/>
          <w:i/>
          <w:iCs/>
        </w:rPr>
        <w:t xml:space="preserve"> </w:t>
      </w:r>
      <w:proofErr w:type="spellStart"/>
      <w:r w:rsidRPr="00C36A01">
        <w:rPr>
          <w:rFonts w:cs="Times New Roman"/>
          <w:i/>
          <w:iCs/>
        </w:rPr>
        <w:t>trichocarpa</w:t>
      </w:r>
      <w:proofErr w:type="spellEnd"/>
      <w:r w:rsidRPr="00C36A01">
        <w:rPr>
          <w:rFonts w:cs="Times New Roman"/>
          <w:i/>
          <w:iCs/>
        </w:rPr>
        <w:t xml:space="preserve"> </w:t>
      </w:r>
      <w:r w:rsidRPr="00C36A01">
        <w:rPr>
          <w:rFonts w:cs="Times New Roman"/>
        </w:rPr>
        <w:t xml:space="preserve">and </w:t>
      </w:r>
      <w:r w:rsidRPr="00C36A01">
        <w:rPr>
          <w:rFonts w:cs="Times New Roman"/>
          <w:i/>
          <w:iCs/>
        </w:rPr>
        <w:t>P</w:t>
      </w:r>
      <w:r>
        <w:rPr>
          <w:rFonts w:cs="Times New Roman"/>
          <w:i/>
          <w:iCs/>
        </w:rPr>
        <w:t>opulus</w:t>
      </w:r>
      <w:r w:rsidRPr="00C36A01">
        <w:rPr>
          <w:rFonts w:cs="Times New Roman"/>
          <w:i/>
          <w:iCs/>
        </w:rPr>
        <w:t xml:space="preserve"> </w:t>
      </w:r>
      <w:proofErr w:type="spellStart"/>
      <w:r w:rsidRPr="00C36A01">
        <w:rPr>
          <w:rFonts w:cs="Times New Roman"/>
          <w:i/>
          <w:iCs/>
        </w:rPr>
        <w:t>deltoides</w:t>
      </w:r>
      <w:proofErr w:type="spellEnd"/>
      <w:r>
        <w:rPr>
          <w:rFonts w:cs="Times New Roman"/>
          <w:i/>
          <w:iCs/>
        </w:rPr>
        <w:t xml:space="preserve"> </w:t>
      </w:r>
      <w:r>
        <w:rPr>
          <w:rFonts w:cs="Times New Roman"/>
        </w:rPr>
        <w:t>to</w:t>
      </w:r>
      <w:r w:rsidRPr="0058652A">
        <w:rPr>
          <w:rFonts w:cs="Times New Roman"/>
        </w:rPr>
        <w:t xml:space="preserve"> </w:t>
      </w:r>
      <w:r w:rsidRPr="00C36A01">
        <w:rPr>
          <w:rFonts w:cs="Times New Roman"/>
        </w:rPr>
        <w:t>facilitate comparison</w:t>
      </w:r>
      <w:r>
        <w:rPr>
          <w:rFonts w:cs="Times New Roman"/>
        </w:rPr>
        <w:t>s</w:t>
      </w:r>
      <w:r w:rsidRPr="00C36A01">
        <w:rPr>
          <w:rFonts w:cs="Times New Roman"/>
        </w:rPr>
        <w:t xml:space="preserve"> at the species level.</w:t>
      </w:r>
      <w:r>
        <w:rPr>
          <w:rFonts w:cs="Times New Roman"/>
        </w:rPr>
        <w:t xml:space="preserve"> We identified 1,076 (0.62 Mb) and 1,409 (0.41 Mb) NUPTs and NUMTs in </w:t>
      </w:r>
      <w:r w:rsidRPr="00333E28">
        <w:rPr>
          <w:rFonts w:cs="Times New Roman"/>
          <w:i/>
        </w:rPr>
        <w:t xml:space="preserve">P. </w:t>
      </w:r>
      <w:proofErr w:type="spellStart"/>
      <w:r w:rsidRPr="00333E28">
        <w:rPr>
          <w:rFonts w:cs="Times New Roman"/>
          <w:i/>
        </w:rPr>
        <w:t>trichocarpa</w:t>
      </w:r>
      <w:proofErr w:type="spellEnd"/>
      <w:r>
        <w:rPr>
          <w:rFonts w:cs="Times New Roman"/>
        </w:rPr>
        <w:t xml:space="preserve"> while the </w:t>
      </w:r>
      <w:r w:rsidRPr="00333E28">
        <w:rPr>
          <w:rFonts w:cs="Times New Roman"/>
          <w:i/>
        </w:rPr>
        <w:t xml:space="preserve">P. </w:t>
      </w:r>
      <w:proofErr w:type="spellStart"/>
      <w:r w:rsidRPr="00333E28">
        <w:rPr>
          <w:rFonts w:cs="Times New Roman"/>
          <w:i/>
        </w:rPr>
        <w:t>deltoides</w:t>
      </w:r>
      <w:proofErr w:type="spellEnd"/>
      <w:r>
        <w:rPr>
          <w:rFonts w:cs="Times New Roman"/>
        </w:rPr>
        <w:t xml:space="preserve"> analyses revealed significantly more NUPT and NUMT features with 1,201 (0.99 Mb) and 1,448 (0.76 Mb), respectively. Of these 586 (0.35 Mb) and 667 (0.74 Mb) NUPTs and 732 (0.2 Mb) and 802 (0.26 Mb) NUMTs were shared between </w:t>
      </w:r>
      <w:r w:rsidRPr="00333E28">
        <w:rPr>
          <w:rFonts w:cs="Times New Roman"/>
          <w:i/>
          <w:iCs/>
        </w:rPr>
        <w:t xml:space="preserve">P. </w:t>
      </w:r>
      <w:proofErr w:type="spellStart"/>
      <w:r w:rsidRPr="00333E28">
        <w:rPr>
          <w:rFonts w:cs="Times New Roman"/>
          <w:i/>
          <w:iCs/>
        </w:rPr>
        <w:t>trichocarpa</w:t>
      </w:r>
      <w:proofErr w:type="spellEnd"/>
      <w:r>
        <w:rPr>
          <w:rFonts w:cs="Times New Roman"/>
          <w:i/>
          <w:iCs/>
        </w:rPr>
        <w:t xml:space="preserve"> </w:t>
      </w:r>
      <w:r>
        <w:rPr>
          <w:rFonts w:cs="Times New Roman"/>
        </w:rPr>
        <w:t xml:space="preserve">and </w:t>
      </w:r>
      <w:r w:rsidRPr="00333E28">
        <w:rPr>
          <w:rFonts w:cs="Times New Roman"/>
          <w:i/>
          <w:iCs/>
        </w:rPr>
        <w:t xml:space="preserve">P. </w:t>
      </w:r>
      <w:proofErr w:type="spellStart"/>
      <w:r w:rsidRPr="00333E28">
        <w:rPr>
          <w:rFonts w:cs="Times New Roman"/>
          <w:i/>
          <w:iCs/>
        </w:rPr>
        <w:t>deltoides</w:t>
      </w:r>
      <w:proofErr w:type="spellEnd"/>
      <w:r>
        <w:rPr>
          <w:rFonts w:cs="Times New Roman"/>
        </w:rPr>
        <w:t xml:space="preserve">, respectively. Based on transcriptome analyses of </w:t>
      </w:r>
      <w:proofErr w:type="gramStart"/>
      <w:r>
        <w:rPr>
          <w:rFonts w:cs="Times New Roman"/>
        </w:rPr>
        <w:t>protein-coding</w:t>
      </w:r>
      <w:proofErr w:type="gramEnd"/>
      <w:r>
        <w:rPr>
          <w:rFonts w:cs="Times New Roman"/>
        </w:rPr>
        <w:t xml:space="preserve"> NUPTs and NUMTs, we provide expression evidence based on uniquely mapping transcripts for 64% in </w:t>
      </w:r>
      <w:r w:rsidRPr="00333E28">
        <w:rPr>
          <w:rFonts w:cs="Times New Roman"/>
          <w:i/>
        </w:rPr>
        <w:t xml:space="preserve">P. </w:t>
      </w:r>
      <w:proofErr w:type="spellStart"/>
      <w:r w:rsidRPr="00333E28">
        <w:rPr>
          <w:rFonts w:cs="Times New Roman"/>
          <w:i/>
        </w:rPr>
        <w:t>trichocarpa</w:t>
      </w:r>
      <w:proofErr w:type="spellEnd"/>
      <w:r>
        <w:rPr>
          <w:rFonts w:cs="Times New Roman"/>
        </w:rPr>
        <w:t xml:space="preserve">. Additionally, 28% of </w:t>
      </w:r>
      <w:proofErr w:type="gramStart"/>
      <w:r>
        <w:rPr>
          <w:rFonts w:cs="Times New Roman"/>
        </w:rPr>
        <w:t>protein-coding</w:t>
      </w:r>
      <w:proofErr w:type="gramEnd"/>
      <w:r>
        <w:rPr>
          <w:rFonts w:cs="Times New Roman"/>
        </w:rPr>
        <w:t xml:space="preserve"> NUPTs in </w:t>
      </w:r>
      <w:r w:rsidRPr="00333E28">
        <w:rPr>
          <w:rFonts w:cs="Times New Roman"/>
          <w:i/>
          <w:iCs/>
        </w:rPr>
        <w:t xml:space="preserve">P. </w:t>
      </w:r>
      <w:proofErr w:type="spellStart"/>
      <w:r w:rsidRPr="00333E28">
        <w:rPr>
          <w:rFonts w:cs="Times New Roman"/>
          <w:i/>
          <w:iCs/>
        </w:rPr>
        <w:t>trichocarpa</w:t>
      </w:r>
      <w:proofErr w:type="spellEnd"/>
      <w:r>
        <w:rPr>
          <w:rFonts w:cs="Times New Roman"/>
          <w:i/>
          <w:iCs/>
        </w:rPr>
        <w:t xml:space="preserve"> </w:t>
      </w:r>
      <w:r>
        <w:rPr>
          <w:rFonts w:cs="Times New Roman"/>
        </w:rPr>
        <w:t xml:space="preserve">had unique peptide evidence based on a proteomics dataset from 6 genotypes.  In general, expression levels were lower compared to non-organelle derived features. Aging of these features based on AT transversion-based genetic distance showed that features that were shared between </w:t>
      </w:r>
      <w:r w:rsidRPr="00333E28">
        <w:rPr>
          <w:rFonts w:cs="Times New Roman"/>
          <w:i/>
          <w:iCs/>
        </w:rPr>
        <w:t xml:space="preserve">P. </w:t>
      </w:r>
      <w:proofErr w:type="spellStart"/>
      <w:r w:rsidRPr="00333E28">
        <w:rPr>
          <w:rFonts w:cs="Times New Roman"/>
          <w:i/>
          <w:iCs/>
        </w:rPr>
        <w:t>trichocarpa</w:t>
      </w:r>
      <w:proofErr w:type="spellEnd"/>
      <w:r>
        <w:rPr>
          <w:rFonts w:cs="Times New Roman"/>
        </w:rPr>
        <w:t xml:space="preserve"> and </w:t>
      </w:r>
      <w:r w:rsidRPr="00333E28">
        <w:rPr>
          <w:rFonts w:cs="Times New Roman"/>
          <w:i/>
        </w:rPr>
        <w:t xml:space="preserve">P. </w:t>
      </w:r>
      <w:proofErr w:type="spellStart"/>
      <w:r w:rsidRPr="00333E28">
        <w:rPr>
          <w:rFonts w:cs="Times New Roman"/>
          <w:i/>
        </w:rPr>
        <w:t>deltoides</w:t>
      </w:r>
      <w:proofErr w:type="spellEnd"/>
      <w:r>
        <w:rPr>
          <w:rFonts w:cs="Times New Roman"/>
          <w:i/>
        </w:rPr>
        <w:t xml:space="preserve"> </w:t>
      </w:r>
      <w:r w:rsidRPr="001D1100">
        <w:rPr>
          <w:rFonts w:cs="Times New Roman"/>
        </w:rPr>
        <w:t>had higher</w:t>
      </w:r>
      <w:r>
        <w:rPr>
          <w:rFonts w:cs="Times New Roman"/>
        </w:rPr>
        <w:t xml:space="preserve"> AT transversion rates and had lower methylation levels in their gene body and promoter regions.  Lastly, we characterized the whole chloroplast integration event on chromosome 13 in </w:t>
      </w:r>
      <w:r w:rsidRPr="00333E28">
        <w:rPr>
          <w:rFonts w:cs="Times New Roman"/>
          <w:i/>
          <w:iCs/>
        </w:rPr>
        <w:t xml:space="preserve">P. </w:t>
      </w:r>
      <w:proofErr w:type="spellStart"/>
      <w:r w:rsidRPr="00333E28">
        <w:rPr>
          <w:rFonts w:cs="Times New Roman"/>
          <w:i/>
          <w:iCs/>
        </w:rPr>
        <w:t>trichocarpa</w:t>
      </w:r>
      <w:proofErr w:type="spellEnd"/>
      <w:r>
        <w:rPr>
          <w:rFonts w:cs="Times New Roman"/>
          <w:i/>
          <w:iCs/>
        </w:rPr>
        <w:t xml:space="preserve"> </w:t>
      </w:r>
      <w:r>
        <w:rPr>
          <w:rFonts w:cs="Times New Roman"/>
        </w:rPr>
        <w:t xml:space="preserve">and </w:t>
      </w:r>
      <w:r w:rsidRPr="00333E28">
        <w:rPr>
          <w:rFonts w:cs="Times New Roman"/>
          <w:i/>
          <w:iCs/>
        </w:rPr>
        <w:t xml:space="preserve">P. </w:t>
      </w:r>
      <w:proofErr w:type="spellStart"/>
      <w:r w:rsidRPr="00333E28">
        <w:rPr>
          <w:rFonts w:cs="Times New Roman"/>
          <w:i/>
          <w:iCs/>
        </w:rPr>
        <w:t>deltoides</w:t>
      </w:r>
      <w:proofErr w:type="spellEnd"/>
      <w:r>
        <w:rPr>
          <w:rFonts w:cs="Times New Roman"/>
          <w:i/>
          <w:iCs/>
        </w:rPr>
        <w:t xml:space="preserve"> </w:t>
      </w:r>
      <w:r>
        <w:rPr>
          <w:rFonts w:cs="Times New Roman"/>
          <w:iCs/>
        </w:rPr>
        <w:t xml:space="preserve">and revealed marked expansion in </w:t>
      </w:r>
      <w:r w:rsidRPr="00333E28">
        <w:rPr>
          <w:rFonts w:cs="Times New Roman"/>
          <w:i/>
          <w:iCs/>
        </w:rPr>
        <w:t xml:space="preserve">P. </w:t>
      </w:r>
      <w:proofErr w:type="spellStart"/>
      <w:r w:rsidRPr="00333E28">
        <w:rPr>
          <w:rFonts w:cs="Times New Roman"/>
          <w:i/>
          <w:iCs/>
        </w:rPr>
        <w:t>deltoides</w:t>
      </w:r>
      <w:proofErr w:type="spellEnd"/>
      <w:r>
        <w:rPr>
          <w:rFonts w:cs="Times New Roman"/>
          <w:iCs/>
        </w:rPr>
        <w:t xml:space="preserve"> resulting in a 370 </w:t>
      </w:r>
      <w:proofErr w:type="spellStart"/>
      <w:r>
        <w:rPr>
          <w:rFonts w:cs="Times New Roman"/>
          <w:iCs/>
        </w:rPr>
        <w:t>Kb</w:t>
      </w:r>
      <w:proofErr w:type="spellEnd"/>
      <w:r>
        <w:rPr>
          <w:rFonts w:cs="Times New Roman"/>
          <w:iCs/>
        </w:rPr>
        <w:t xml:space="preserve"> region with 8 NUPTs compared to </w:t>
      </w:r>
      <w:r w:rsidRPr="00333E28">
        <w:rPr>
          <w:rFonts w:cs="Times New Roman"/>
          <w:i/>
          <w:iCs/>
        </w:rPr>
        <w:t xml:space="preserve">P. </w:t>
      </w:r>
      <w:proofErr w:type="spellStart"/>
      <w:r w:rsidRPr="00333E28">
        <w:rPr>
          <w:rFonts w:cs="Times New Roman"/>
          <w:i/>
          <w:iCs/>
        </w:rPr>
        <w:t>trichocarpa</w:t>
      </w:r>
      <w:r>
        <w:rPr>
          <w:rFonts w:cs="Times New Roman"/>
          <w:iCs/>
        </w:rPr>
        <w:t>’s</w:t>
      </w:r>
      <w:proofErr w:type="spellEnd"/>
      <w:r>
        <w:rPr>
          <w:rFonts w:cs="Times New Roman"/>
          <w:iCs/>
        </w:rPr>
        <w:t xml:space="preserve"> 165 </w:t>
      </w:r>
      <w:proofErr w:type="spellStart"/>
      <w:r>
        <w:rPr>
          <w:rFonts w:cs="Times New Roman"/>
          <w:iCs/>
        </w:rPr>
        <w:t>Kb</w:t>
      </w:r>
      <w:proofErr w:type="spellEnd"/>
      <w:r>
        <w:rPr>
          <w:rFonts w:cs="Times New Roman"/>
          <w:iCs/>
        </w:rPr>
        <w:t xml:space="preserve"> and 4 NUPTs.</w:t>
      </w:r>
    </w:p>
    <w:p w14:paraId="134D9237" w14:textId="77777777" w:rsidR="00636B5B" w:rsidRDefault="00636B5B" w:rsidP="00EE03F0">
      <w:pPr>
        <w:spacing w:line="360" w:lineRule="auto"/>
        <w:rPr>
          <w:rFonts w:cs="Times New Roman"/>
          <w:iCs/>
        </w:rPr>
      </w:pPr>
    </w:p>
    <w:p w14:paraId="21EEF850" w14:textId="77777777" w:rsidR="00636B5B" w:rsidRPr="0074750D" w:rsidRDefault="00636B5B" w:rsidP="00EE03F0">
      <w:pPr>
        <w:spacing w:line="360" w:lineRule="auto"/>
        <w:rPr>
          <w:rFonts w:cs="Times New Roman"/>
        </w:rPr>
      </w:pPr>
      <w:r>
        <w:rPr>
          <w:rFonts w:cs="Times New Roman"/>
          <w:iCs/>
        </w:rPr>
        <w:t xml:space="preserve"> </w:t>
      </w:r>
    </w:p>
    <w:p w14:paraId="67B8DA1B" w14:textId="77777777" w:rsidR="00636B5B" w:rsidRDefault="00636B5B" w:rsidP="00EE03F0">
      <w:pPr>
        <w:widowControl w:val="0"/>
        <w:autoSpaceDE w:val="0"/>
        <w:autoSpaceDN w:val="0"/>
        <w:adjustRightInd w:val="0"/>
        <w:spacing w:line="360" w:lineRule="auto"/>
      </w:pPr>
    </w:p>
    <w:p w14:paraId="3994397A" w14:textId="77777777" w:rsidR="00636B5B" w:rsidRDefault="00636B5B" w:rsidP="00EE03F0">
      <w:pPr>
        <w:widowControl w:val="0"/>
        <w:autoSpaceDE w:val="0"/>
        <w:autoSpaceDN w:val="0"/>
        <w:adjustRightInd w:val="0"/>
        <w:spacing w:line="360" w:lineRule="auto"/>
      </w:pPr>
    </w:p>
    <w:p w14:paraId="066DE2A1" w14:textId="77777777" w:rsidR="00636B5B" w:rsidRDefault="00636B5B" w:rsidP="00EE03F0">
      <w:pPr>
        <w:widowControl w:val="0"/>
        <w:autoSpaceDE w:val="0"/>
        <w:autoSpaceDN w:val="0"/>
        <w:adjustRightInd w:val="0"/>
        <w:spacing w:line="360" w:lineRule="auto"/>
      </w:pPr>
    </w:p>
    <w:p w14:paraId="409BDDC8" w14:textId="77777777" w:rsidR="00636B5B" w:rsidRDefault="00636B5B" w:rsidP="00EE03F0">
      <w:pPr>
        <w:widowControl w:val="0"/>
        <w:autoSpaceDE w:val="0"/>
        <w:autoSpaceDN w:val="0"/>
        <w:adjustRightInd w:val="0"/>
        <w:spacing w:line="360" w:lineRule="auto"/>
      </w:pPr>
    </w:p>
    <w:p w14:paraId="36980A56" w14:textId="77777777" w:rsidR="00636B5B" w:rsidRDefault="00636B5B" w:rsidP="00EE03F0">
      <w:pPr>
        <w:widowControl w:val="0"/>
        <w:autoSpaceDE w:val="0"/>
        <w:autoSpaceDN w:val="0"/>
        <w:adjustRightInd w:val="0"/>
        <w:spacing w:line="360" w:lineRule="auto"/>
      </w:pPr>
    </w:p>
    <w:p w14:paraId="01D1666E" w14:textId="77777777" w:rsidR="00636B5B" w:rsidRDefault="00636B5B" w:rsidP="00EE03F0">
      <w:pPr>
        <w:widowControl w:val="0"/>
        <w:autoSpaceDE w:val="0"/>
        <w:autoSpaceDN w:val="0"/>
        <w:adjustRightInd w:val="0"/>
        <w:spacing w:line="360" w:lineRule="auto"/>
      </w:pPr>
    </w:p>
    <w:p w14:paraId="59532DA0" w14:textId="77777777" w:rsidR="00636B5B" w:rsidRDefault="00636B5B" w:rsidP="00EE03F0">
      <w:pPr>
        <w:widowControl w:val="0"/>
        <w:autoSpaceDE w:val="0"/>
        <w:autoSpaceDN w:val="0"/>
        <w:adjustRightInd w:val="0"/>
        <w:spacing w:line="360" w:lineRule="auto"/>
      </w:pPr>
    </w:p>
    <w:p w14:paraId="670A3EA6" w14:textId="77777777" w:rsidR="00636B5B" w:rsidRDefault="00636B5B" w:rsidP="00EE03F0">
      <w:pPr>
        <w:widowControl w:val="0"/>
        <w:autoSpaceDE w:val="0"/>
        <w:autoSpaceDN w:val="0"/>
        <w:adjustRightInd w:val="0"/>
        <w:spacing w:line="360" w:lineRule="auto"/>
      </w:pPr>
    </w:p>
    <w:p w14:paraId="0F1249E3" w14:textId="77777777" w:rsidR="00636B5B" w:rsidRPr="006F508A" w:rsidRDefault="00636B5B" w:rsidP="00EE03F0">
      <w:pPr>
        <w:widowControl w:val="0"/>
        <w:autoSpaceDE w:val="0"/>
        <w:autoSpaceDN w:val="0"/>
        <w:adjustRightInd w:val="0"/>
        <w:jc w:val="center"/>
        <w:rPr>
          <w:b/>
          <w:bCs/>
          <w:sz w:val="28"/>
          <w:szCs w:val="26"/>
        </w:rPr>
      </w:pPr>
      <w:r w:rsidRPr="006F508A">
        <w:rPr>
          <w:b/>
          <w:bCs/>
          <w:sz w:val="28"/>
          <w:szCs w:val="26"/>
        </w:rPr>
        <w:lastRenderedPageBreak/>
        <w:t>Introduction</w:t>
      </w:r>
    </w:p>
    <w:p w14:paraId="4BA94C4D" w14:textId="77777777" w:rsidR="00636B5B" w:rsidRDefault="00636B5B" w:rsidP="00EE03F0">
      <w:pPr>
        <w:widowControl w:val="0"/>
        <w:autoSpaceDE w:val="0"/>
        <w:autoSpaceDN w:val="0"/>
        <w:adjustRightInd w:val="0"/>
        <w:spacing w:line="360" w:lineRule="auto"/>
        <w:jc w:val="center"/>
      </w:pPr>
    </w:p>
    <w:p w14:paraId="38E100B6" w14:textId="77777777" w:rsidR="00636B5B" w:rsidRDefault="00636B5B" w:rsidP="00EE03F0">
      <w:pPr>
        <w:spacing w:line="360" w:lineRule="auto"/>
        <w:ind w:firstLine="720"/>
        <w:rPr>
          <w:rFonts w:cs="Times New Roman"/>
        </w:rPr>
      </w:pPr>
      <w:r>
        <w:rPr>
          <w:rFonts w:cs="Times New Roman"/>
        </w:rPr>
        <w:t xml:space="preserve">Organelle DNA transfer to the nuclear genome is a ubiquitous process in eukaryotes and has played a substantial role in genome evolution </w:t>
      </w:r>
      <w:r>
        <w:rPr>
          <w:rFonts w:cs="Times New Roman"/>
        </w:rPr>
        <w:fldChar w:fldCharType="begin" w:fldLock="1"/>
      </w:r>
      <w:r>
        <w:rPr>
          <w:rFonts w:cs="Times New Roman"/>
        </w:rPr>
        <w:instrText>ADDIN CSL_CITATION {"citationItems":[{"id":"ITEM-1","itemData":{"DOI":"10.1038/nrg1271","ISSN":"14710056","abstract":"Genome sequences reveal that a deluge of DNA from organelles has constantly been bombarding the nucleus since the origin of organelles. Recent experiments have shown that DNA is transferred from organelles to the nucleus at frequencies that were previously unimaginable. Endosymbiotic gene transfer is a ubiquitous, continuing and natural process that pervades nuclear DNA dynamics. This relentless influx of organelle DNA has abolished organelle autonomy and increased nuclear complexity.","author":[{"dropping-particle":"","family":"Timmis","given":"Jeremy N.","non-dropping-particle":"","parse-names":false,"suffix":""},{"dropping-particle":"","family":"Ayliff","given":"Michael A.","non-dropping-particle":"","parse-names":false,"suffix":""},{"dropping-particle":"","family":"Huang","given":"Chun Y.","non-dropping-particle":"","parse-names":false,"suffix":""},{"dropping-particle":"","family":"Martin","given":"William","non-dropping-particle":"","parse-names":false,"suffix":""}],"container-title":"Nature Reviews Genetics","id":"ITEM-1","issue":"2","issued":{"date-parts":[["2004"]]},"page":"123-135","title":"Endosymbiotic gene transfer: Organelle genomes forge eukaryotic chromosomes","type":"article-journal","volume":"5"},"uris":["http://www.mendeley.com/documents/?uuid=cb5dd404-027c-486e-8599-73e23177c9ce"]}],"mendeley":{"formattedCitation":"(Timmis, Ayliff, Huang, &amp; Martin, 2004)","manualFormatting":"(Timmis et al., 2004)","plainTextFormattedCitation":"(Timmis, Ayliff, Huang, &amp; Martin, 2004)","previouslyFormattedCitation":"(Timmis et al. 2004)"},"properties":{"noteIndex":0},"schema":"https://github.com/citation-style-language/schema/raw/master/csl-citation.json"}</w:instrText>
      </w:r>
      <w:r>
        <w:rPr>
          <w:rFonts w:cs="Times New Roman"/>
        </w:rPr>
        <w:fldChar w:fldCharType="separate"/>
      </w:r>
      <w:r w:rsidRPr="00DD592B">
        <w:rPr>
          <w:rFonts w:cs="Times New Roman"/>
          <w:noProof/>
        </w:rPr>
        <w:t>(Timmis</w:t>
      </w:r>
      <w:r>
        <w:rPr>
          <w:rFonts w:cs="Times New Roman"/>
          <w:noProof/>
        </w:rPr>
        <w:t xml:space="preserve"> et al., </w:t>
      </w:r>
      <w:r w:rsidRPr="00DD592B">
        <w:rPr>
          <w:rFonts w:cs="Times New Roman"/>
          <w:noProof/>
        </w:rPr>
        <w:t>2004)</w:t>
      </w:r>
      <w:r>
        <w:rPr>
          <w:rFonts w:cs="Times New Roman"/>
        </w:rPr>
        <w:fldChar w:fldCharType="end"/>
      </w:r>
      <w:r>
        <w:rPr>
          <w:rFonts w:cs="Times New Roman"/>
        </w:rPr>
        <w:t xml:space="preserve">. </w:t>
      </w:r>
      <w:r w:rsidRPr="007C7634">
        <w:rPr>
          <w:rFonts w:cs="Times New Roman"/>
        </w:rPr>
        <w:t>The evolutionary impacts of organelle DNA transfer are extensive. Broadly, endosymbiotic transfer allowed for the establishment of organelle genomes</w:t>
      </w:r>
      <w:r>
        <w:rPr>
          <w:rFonts w:cs="Times New Roman"/>
        </w:rPr>
        <w:t xml:space="preserve">. </w:t>
      </w:r>
      <w:r w:rsidRPr="00DD592B">
        <w:rPr>
          <w:rFonts w:cs="Times New Roman"/>
        </w:rPr>
        <w:t xml:space="preserve">Mitochondria and chloroplasts were once free-living prokaryotes, their closest relatives being </w:t>
      </w:r>
      <w:r w:rsidRPr="00DD592B">
        <w:rPr>
          <w:rFonts w:ascii="Cambria Math" w:hAnsi="Cambria Math" w:cs="Cambria Math"/>
        </w:rPr>
        <w:t>𝛼</w:t>
      </w:r>
      <w:r w:rsidRPr="00DD592B">
        <w:rPr>
          <w:rFonts w:cs="Times New Roman"/>
        </w:rPr>
        <w:t>-proteobacteria and cyanobacteria, respectively</w:t>
      </w:r>
      <w:r>
        <w:rPr>
          <w:rFonts w:cs="Times New Roman"/>
        </w:rPr>
        <w:t xml:space="preserve"> </w:t>
      </w:r>
      <w:r>
        <w:rPr>
          <w:rFonts w:cs="Times New Roman"/>
        </w:rPr>
        <w:fldChar w:fldCharType="begin" w:fldLock="1"/>
      </w:r>
      <w:r>
        <w:rPr>
          <w:rFonts w:cs="Times New Roman"/>
        </w:rPr>
        <w:instrText>ADDIN CSL_CITATION {"citationItems":[{"id":"ITEM-1","itemData":{"DOI":"10.1093/molbev/msn022","ISSN":"07374038","PMID":"18222943","abstract":"Plastids are descended from a cyanobacterial symbiosis which occurred over 1.2 billion years ago. During the course of endosymbiosis, most genes were lost from the cyanobacterium's genome and many were relocated to the host nucleus through endosymbiotic gene transfer (EGT). The issue of how many genes were acquired through EGT in different plant lineages is unresolved. Here, we report the genome-wide frequency of gene acquisitions from cyanobacteria in 4 photosynthetic eukaryotes - Arabidopsis, rice, Chlamydomonas, and the red alga Cyanidioschyzon - by comparision of the 83,138 proteins encoded in their genomes with 851,607 proteins encoded in 9 sequenced cyanobacterial genomes, 215 other reference prokaryotic genomes, and 13 reference eukaryotic genomes. The analyses entail 11,569 phylogenies inferred with both maximum likelihood and Neighbor-Joining approaches. Because each phylogenetic result is dependent not only upon the reconstruction method but also upon the site patterns in the underlying alignment, we investigated how the reliability of site pattern generation via alignment affects our results: if the site patterns in an alignment differ depending upon the order in which amino acids are introduced into multiple sequence alignment - N- to C-terminal versus C- to N-terminal - then the phylogenetic result is likely to be artifactual. Excluding unreliable alignments by this means, we obtain a conservative estimate, wherein about 14% of the proteins examined in each plant genome indicate a cyanobacterial origin for the corresponding nuclear gene, with higher proportions (17-25%) observed among the more reliable alignments. The identification of cyanobacterial genes in plant genomes affords access to an important question: From which type of cyanobacterium did the ancestor of plastids arise? Among the 9 cyanobacterial genomes sampled, Nostoc sp. PCC7120 and Anabaena variabilis ATCC29143 were found to harbor collections of genes which are - in terms of presence/absence and sequence similarity - more like those possessed by the plastid ancestor than those of the other 7 cyanobacterial genomes sampled here. This suggests that the ancestor of plastids might have been an organism more similar to filamentous, heterocyst-forming (nitrogen-fixing) representatives of section IV recognized in Stanier's cyanobacterial classification. Members of section IV are very common partners in contemporary symbiotic associations involving endosymbiotic cyanobacteria, whic…","author":[{"dropping-particle":"","family":"Deusch","given":"Oliver","non-dropping-particle":"","parse-names":false,"suffix":""},{"dropping-particle":"","family":"Landan","given":"Giddy","non-dropping-particle":"","parse-names":false,"suffix":""},{"dropping-particle":"","family":"Roettger","given":"Mayo","non-dropping-particle":"","parse-names":false,"suffix":""},{"dropping-particle":"","family":"Gruenheit","given":"Nicole","non-dropping-particle":"","parse-names":false,"suffix":""},{"dropping-particle":"V.","family":"Kowallik","given":"Klaus","non-dropping-particle":"","parse-names":false,"suffix":""},{"dropping-particle":"","family":"Allen","given":"John F.","non-dropping-particle":"","parse-names":false,"suffix":""},{"dropping-particle":"","family":"Martin","given":"William","non-dropping-particle":"","parse-names":false,"suffix":""},{"dropping-particle":"","family":"Dagan","given":"Tal","non-dropping-particle":"","parse-names":false,"suffix":""}],"container-title":"Molecular Biology and Evolution","id":"ITEM-1","issue":"4","issued":{"date-parts":[["2008"]]},"page":"748-761","title":"Genes of cyanobacterial origin in plant nuclear genomes point to a heterocyst-forming plastid ancestor","type":"article-journal","volume":"25"},"uris":["http://www.mendeley.com/documents/?uuid=6a445b40-ed57-47c7-897a-d2473bce5579"]},{"id":"ITEM-2","itemData":{"DOI":"10.1073/pnas.1421385112","ISBN":"1421385112","ISSN":"10916490","PMID":"25733873","abstract":"Endosymbiotic theory in eukaryotic-cell evolution rests upon a foundation of three cornerstone partners - the plastid (a cyanobacterium), the mitochondrion (a proteobacterium), and its host (an archaeon) - and carries a corollary that, over time, the majority of genes once present in the organelle genomes were relinquished to the chromosomes of the host (endosymbiotic gene transfer). However, notwithstanding eukaryote-specific gene inventions, single-gene phylogenies have never traced eukaryotic genes to three single prokaryotic sources, an issue that hinges crucially upon factors influencing phylogenetic inference. In the age of genomes, single-gene trees, once used to test the predictions of endosymbiotic theory, now spawn new theories that stand to eventually replace endosymbiotic theory with descriptive, gene tree-based variants featuring supernumerary symbionts: prokaryotic partners distinct from the cornerstone trio and whose existence is inferred solely from single-gene trees. We reason that the endosymbiotic ancestors of mitochondria and chloroplasts brought into the eukaryotic - and plant and algal - lineage a genome-sized sample of genes from the proteobacterial and cyanobacterial pangenomes of their respective day and that, even if molecular phylogeny were artifact-free, sampling prokaryotic pangenomes through endosymbiotic gene transfer would lead to inherited chimerism. Recombination in prokaryotes (transduction, conjugation, transformation) differs from recombination in eukaryotes (sex). Prokaryotic recombination leads to pangenomes, and eukaryotic recombination leads to vertical inheritance. Viewed from the perspective of endosymbiotic theory, the critical transition at the eukaryote origin that allowed escape from Muller's ratchet - the origin of eukaryotic recombination, or sex - might have required surprisingly little evolutionary innovation.","author":[{"dropping-particle":"","family":"Ku","given":"Chuan","non-dropping-particle":"","parse-names":false,"suffix":""},{"dropping-particle":"","family":"Nelson-Sathi","given":"Shijulal","non-dropping-particle":"","parse-names":false,"suffix":""},{"dropping-particle":"","family":"Roettger","given":"Mayo","non-dropping-particle":"","parse-names":false,"suffix":""},{"dropping-particle":"","family":"Garg","given":"Sriram","non-dropping-particle":"","parse-names":false,"suffix":""},{"dropping-particle":"","family":"Hazkani-Covo","given":"Einat","non-dropping-particle":"","parse-names":false,"suffix":""},{"dropping-particle":"","family":"Martin","given":"William F.","non-dropping-particle":"","parse-names":false,"suffix":""}],"container-title":"Proceedings of the National Academy of Sciences of the United States of America","id":"ITEM-2","issue":"33","issued":{"date-parts":[["2015"]]},"page":"10139-10146","title":"Endosymbiotic gene transfer from prokaryotic pangenomes: Inherited chimerism in eukaryotes","type":"article-journal","volume":"112"},"uris":["http://www.mendeley.com/documents/?uuid=6b23b1bc-2d2f-4f0a-9b2b-9754400e0aa5"]}],"mendeley":{"formattedCitation":"(Deusch et al., 2008; Ku et al., 2015)","plainTextFormattedCitation":"(Deusch et al., 2008; Ku et al., 2015)","previouslyFormattedCitation":"(Deusch et al. 2008; Ku et al. 2015)"},"properties":{"noteIndex":0},"schema":"https://github.com/citation-style-language/schema/raw/master/csl-citation.json"}</w:instrText>
      </w:r>
      <w:r>
        <w:rPr>
          <w:rFonts w:cs="Times New Roman"/>
        </w:rPr>
        <w:fldChar w:fldCharType="separate"/>
      </w:r>
      <w:r w:rsidRPr="00EE03F0">
        <w:rPr>
          <w:rFonts w:cs="Times New Roman"/>
          <w:noProof/>
        </w:rPr>
        <w:t>(Deusch et al., 2008; Ku et al., 2015)</w:t>
      </w:r>
      <w:r>
        <w:rPr>
          <w:rFonts w:cs="Times New Roman"/>
        </w:rPr>
        <w:fldChar w:fldCharType="end"/>
      </w:r>
      <w:r w:rsidRPr="00DD592B">
        <w:rPr>
          <w:rFonts w:cs="Times New Roman"/>
        </w:rPr>
        <w:t>. Comparison of organelle genomes with their progenitors has revealed extensive gene loss. Typical gene numbers in</w:t>
      </w:r>
      <w:r>
        <w:rPr>
          <w:rFonts w:cs="Times New Roman"/>
        </w:rPr>
        <w:t xml:space="preserve"> plant</w:t>
      </w:r>
      <w:r w:rsidRPr="00DD592B">
        <w:rPr>
          <w:rFonts w:cs="Times New Roman"/>
        </w:rPr>
        <w:t xml:space="preserve"> mitochondria range from 3 to 67 and 15 to 209 in </w:t>
      </w:r>
      <w:r>
        <w:rPr>
          <w:rFonts w:cs="Times New Roman"/>
        </w:rPr>
        <w:t xml:space="preserve">chloroplasts. Comparatively, the </w:t>
      </w:r>
      <w:r w:rsidRPr="00DD592B">
        <w:rPr>
          <w:rFonts w:ascii="Cambria Math" w:hAnsi="Cambria Math" w:cs="Cambria Math"/>
        </w:rPr>
        <w:t>𝛼</w:t>
      </w:r>
      <w:r w:rsidRPr="00DD592B">
        <w:rPr>
          <w:rFonts w:cs="Times New Roman"/>
        </w:rPr>
        <w:t>-proteobacteri</w:t>
      </w:r>
      <w:r>
        <w:rPr>
          <w:rFonts w:cs="Times New Roman"/>
        </w:rPr>
        <w:t xml:space="preserve">um </w:t>
      </w:r>
      <w:r w:rsidRPr="00BC7F89">
        <w:rPr>
          <w:rFonts w:ascii="Calibri" w:hAnsi="Calibri" w:cs="Calibri"/>
          <w:i/>
          <w:iCs/>
        </w:rPr>
        <w:t>﻿</w:t>
      </w:r>
      <w:proofErr w:type="spellStart"/>
      <w:r w:rsidRPr="00BC7F89">
        <w:rPr>
          <w:rFonts w:cs="Times New Roman"/>
          <w:i/>
          <w:iCs/>
        </w:rPr>
        <w:t>Mesorhizobium</w:t>
      </w:r>
      <w:proofErr w:type="spellEnd"/>
      <w:r w:rsidRPr="00BC7F89">
        <w:rPr>
          <w:rFonts w:cs="Times New Roman"/>
          <w:i/>
          <w:iCs/>
        </w:rPr>
        <w:t xml:space="preserve"> loti</w:t>
      </w:r>
      <w:r>
        <w:rPr>
          <w:rFonts w:cs="Times New Roman"/>
        </w:rPr>
        <w:t xml:space="preserve"> genome (7 Mb) encodes </w:t>
      </w:r>
      <w:r w:rsidRPr="00AA4BA9">
        <w:rPr>
          <w:rFonts w:ascii="Calibri" w:hAnsi="Calibri" w:cs="Calibri"/>
        </w:rPr>
        <w:t>﻿</w:t>
      </w:r>
      <w:r w:rsidRPr="00AA4BA9">
        <w:rPr>
          <w:rFonts w:cs="Times New Roman"/>
        </w:rPr>
        <w:t>6,700</w:t>
      </w:r>
      <w:r>
        <w:rPr>
          <w:rFonts w:cs="Times New Roman"/>
        </w:rPr>
        <w:t xml:space="preserve"> proteins and the cyanobacteria </w:t>
      </w:r>
      <w:r w:rsidRPr="00BC7F89">
        <w:rPr>
          <w:rFonts w:cs="Times New Roman"/>
        </w:rPr>
        <w:t>Nostoc sp. PCC 7</w:t>
      </w:r>
      <w:r>
        <w:rPr>
          <w:rFonts w:cs="Times New Roman"/>
        </w:rPr>
        <w:t>,</w:t>
      </w:r>
      <w:r w:rsidRPr="00BC7F89">
        <w:rPr>
          <w:rFonts w:cs="Times New Roman"/>
        </w:rPr>
        <w:t>120</w:t>
      </w:r>
      <w:r>
        <w:rPr>
          <w:rFonts w:cs="Times New Roman"/>
        </w:rPr>
        <w:t xml:space="preserve"> genome is 6.4 Mb in size and encodes 5,400 proteins </w:t>
      </w:r>
      <w:r>
        <w:rPr>
          <w:rFonts w:cs="Times New Roman"/>
        </w:rPr>
        <w:fldChar w:fldCharType="begin" w:fldLock="1"/>
      </w:r>
      <w:r>
        <w:rPr>
          <w:rFonts w:cs="Times New Roman"/>
        </w:rPr>
        <w:instrText>ADDIN CSL_CITATION {"citationItems":[{"id":"ITEM-1","itemData":{"DOI":"10.1038/nrg2386","ISSN":"14710056","PMID":"18591983","abstract":"Horizontal gene transfer (HGT; also known as lateral gene transfer) has had an important role in eukaryotic genome evolution, but its importance is often overshadowed by the greater prevalence and our more advanced understanding of gene transfer in prokaryotes. Recurrent endosymbioses and the generally poor sampling of most nuclear genes from diverse lineages have also complicated the search for transferred genes. Nevertheless, the number of well-supported cases of transfer from both prokaryotes and eukaryotes, many with significant functional implications, is now expanding rapidly. Major recent trends include the important role of HGT in adaptation to certain specialized niches and the highly variable impact of HGT in different lineages. © 2008 Macmillan Publishers Limited. All rights reserved.","author":[{"dropping-particle":"","family":"Keeling","given":"Patrick J.","non-dropping-particle":"","parse-names":false,"suffix":""},{"dropping-particle":"","family":"Palmer","given":"Jeffrey D.","non-dropping-particle":"","parse-names":false,"suffix":""}],"container-title":"Nature Reviews Genetics","id":"ITEM-1","issue":"8","issued":{"date-parts":[["2008"]]},"page":"605-618","title":"Horizontal gene transfer in eukaryotic evolution","type":"article-journal","volume":"9"},"uris":["http://www.mendeley.com/documents/?uuid=98c05e3d-4afb-43c1-9c15-caabe7555260"]},{"id":"ITEM-2","itemData":{"DOI":"10.1038/nrg1271","ISSN":"14710056","abstract":"Genome sequences reveal that a deluge of DNA from organelles has constantly been bombarding the nucleus since the origin of organelles. Recent experiments have shown that DNA is transferred from organelles to the nucleus at frequencies that were previously unimaginable. Endosymbiotic gene transfer is a ubiquitous, continuing and natural process that pervades nuclear DNA dynamics. This relentless influx of organelle DNA has abolished organelle autonomy and increased nuclear complexity.","author":[{"dropping-particle":"","family":"Timmis","given":"Jeremy N.","non-dropping-particle":"","parse-names":false,"suffix":""},{"dropping-particle":"","family":"Ayliff","given":"Michael A.","non-dropping-particle":"","parse-names":false,"suffix":""},{"dropping-particle":"","family":"Huang","given":"Chun Y.","non-dropping-particle":"","parse-names":false,"suffix":""},{"dropping-particle":"","family":"Martin","given":"William","non-dropping-particle":"","parse-names":false,"suffix":""}],"container-title":"Nature Reviews Genetics","id":"ITEM-2","issue":"2","issued":{"date-parts":[["2004"]]},"page":"123-135","title":"Endosymbiotic gene transfer: Organelle genomes forge eukaryotic chromosomes","type":"article-journal","volume":"5"},"uris":["http://www.mendeley.com/documents/?uuid=cb5dd404-027c-486e-8599-73e23177c9ce"]}],"mendeley":{"formattedCitation":"(Keeling &amp; Palmer, 2008; Timmis et al., 2004)","plainTextFormattedCitation":"(Keeling &amp; Palmer, 2008; Timmis et al., 2004)","previouslyFormattedCitation":"(Keeling &amp; Palmer 2008; Timmis et al. 2004)"},"properties":{"noteIndex":0},"schema":"https://github.com/citation-style-language/schema/raw/master/csl-citation.json"}</w:instrText>
      </w:r>
      <w:r>
        <w:rPr>
          <w:rFonts w:cs="Times New Roman"/>
        </w:rPr>
        <w:fldChar w:fldCharType="separate"/>
      </w:r>
      <w:r w:rsidRPr="00EE03F0">
        <w:rPr>
          <w:rFonts w:cs="Times New Roman"/>
          <w:noProof/>
        </w:rPr>
        <w:t>(Keeling &amp; Palmer, 2008; Timmis et al., 2004)</w:t>
      </w:r>
      <w:r>
        <w:rPr>
          <w:rFonts w:cs="Times New Roman"/>
        </w:rPr>
        <w:fldChar w:fldCharType="end"/>
      </w:r>
      <w:r>
        <w:rPr>
          <w:rFonts w:cs="Times New Roman"/>
        </w:rPr>
        <w:t xml:space="preserve">. This drastic reduction in genetic content in chloroplasts and mitochondria is a product of redundancy as entire organelle genomes, genes, and biochemical pathways have transferred to the nuclear genome </w:t>
      </w:r>
      <w:r>
        <w:rPr>
          <w:rFonts w:cs="Times New Roman"/>
        </w:rPr>
        <w:fldChar w:fldCharType="begin" w:fldLock="1"/>
      </w:r>
      <w:r>
        <w:rPr>
          <w:rFonts w:cs="Times New Roman"/>
        </w:rPr>
        <w:instrText>ADDIN CSL_CITATION {"citationItems":[{"id":"ITEM-1","itemData":{"DOI":"10.1146/annurev.arplant.043008.092119","ISSN":"1543-5008","abstract":"In eukaryotes, DNA is exchanged between endosymbiosis-derived compartments (mitochondria and chloroplasts) and the nucleus. Organelle-to-nucleus DNA transfer involves repair of double-stranded breaks by nonhomologous end-joining, and resulted during early organelle evolution in massive relocation of organelle genes to the nucleus. A large fraction of the products of the nuclear genes so acquired are retargeted to their ancestral compartment; many others now function in new subcellular locations. Almost all present-day nuclear transfers of mitochondrial or plastid DNA give rise to noncoding sequences, dubbed nuclear mitochondrial DNAs (NUMTs) and nuclear plastid DNAs (NUPTs). Some of these sequences were recruited as exons, thus introducing new coding sequences into preexisting nuclear genes by a novel mechanism. In organisms derived from secondary or tertiary endosymbiosis, serial gene transfers involving nucleus-to-nucleus migration of DNA have also occurred. Intercompartmental DNA transfer therefore represents a significant driving force for gene and genome evolution, relocating and refashioning genes and contributing to genetic diversity.","author":[{"dropping-particle":"","family":"Kleine","given":"Tatjana","non-dropping-particle":"","parse-names":false,"suffix":""},{"dropping-particle":"","family":"Maier","given":"Uwe G.","non-dropping-particle":"","parse-names":false,"suffix":""},{"dropping-particle":"","family":"Leister","given":"Dario","non-dropping-particle":"","parse-names":false,"suffix":""}],"container-title":"Annual Review of Plant Biology","id":"ITEM-1","issue":"1","issued":{"date-parts":[["2009"]]},"page":"115-138","title":"DNA Transfer from Organelles to the Nucleus: The Idiosyncratic Genetics of Endosymbiosis","type":"article-journal","volume":"60"},"uris":["http://www.mendeley.com/documents/?uuid=1afa5c1e-4e06-4d55-9226-3b5d9f03ce87"]}],"mendeley":{"formattedCitation":"(Kleine, Maier, &amp; Leister, 2009)","manualFormatting":"(Kleine et al., 2009)","plainTextFormattedCitation":"(Kleine, Maier, &amp; Leister, 2009)","previouslyFormattedCitation":"(Kleine et al. 2009)"},"properties":{"noteIndex":0},"schema":"https://github.com/citation-style-language/schema/raw/master/csl-citation.json"}</w:instrText>
      </w:r>
      <w:r>
        <w:rPr>
          <w:rFonts w:cs="Times New Roman"/>
        </w:rPr>
        <w:fldChar w:fldCharType="separate"/>
      </w:r>
      <w:r w:rsidRPr="005C757B">
        <w:rPr>
          <w:rFonts w:cs="Times New Roman"/>
          <w:noProof/>
        </w:rPr>
        <w:t>(Kleine</w:t>
      </w:r>
      <w:r>
        <w:rPr>
          <w:rFonts w:cs="Times New Roman"/>
          <w:noProof/>
        </w:rPr>
        <w:t xml:space="preserve"> et al.</w:t>
      </w:r>
      <w:r w:rsidRPr="005C757B">
        <w:rPr>
          <w:rFonts w:cs="Times New Roman"/>
          <w:noProof/>
        </w:rPr>
        <w:t>, 2009)</w:t>
      </w:r>
      <w:r>
        <w:rPr>
          <w:rFonts w:cs="Times New Roman"/>
        </w:rPr>
        <w:fldChar w:fldCharType="end"/>
      </w:r>
      <w:r>
        <w:rPr>
          <w:rFonts w:cs="Times New Roman"/>
        </w:rPr>
        <w:t xml:space="preserve">. </w:t>
      </w:r>
      <w:r w:rsidRPr="005C757B">
        <w:rPr>
          <w:rFonts w:cs="Times New Roman"/>
        </w:rPr>
        <w:t xml:space="preserve">A large proportion of these nuclear mitochondrial DNAs (NUMTs) and nuclear plastid DNAs (NUPTs) are noncoding sequences </w:t>
      </w:r>
      <w:r w:rsidRPr="005C757B">
        <w:rPr>
          <w:rFonts w:cs="Times New Roman"/>
        </w:rPr>
        <w:fldChar w:fldCharType="begin" w:fldLock="1"/>
      </w:r>
      <w:r>
        <w:rPr>
          <w:rFonts w:cs="Times New Roman"/>
        </w:rPr>
        <w:instrText>ADDIN CSL_CITATION {"citationItems":[{"id":"ITEM-1","itemData":{"DOI":"10.1146/annurev.arplant.043008.092119","ISSN":"1543-5008","abstract":"In eukaryotes, DNA is exchanged between endosymbiosis-derived compartments (mitochondria and chloroplasts) and the nucleus. Organelle-to-nucleus DNA transfer involves repair of double-stranded breaks by nonhomologous end-joining, and resulted during early organelle evolution in massive relocation of organelle genes to the nucleus. A large fraction of the products of the nuclear genes so acquired are retargeted to their ancestral compartment; many others now function in new subcellular locations. Almost all present-day nuclear transfers of mitochondrial or plastid DNA give rise to noncoding sequences, dubbed nuclear mitochondrial DNAs (NUMTs) and nuclear plastid DNAs (NUPTs). Some of these sequences were recruited as exons, thus introducing new coding sequences into preexisting nuclear genes by a novel mechanism. In organisms derived from secondary or tertiary endosymbiosis, serial gene transfers involving nucleus-to-nucleus migration of DNA have also occurred. Intercompartmental DNA transfer therefore represents a significant driving force for gene and genome evolution, relocating and refashioning genes and contributing to genetic diversity.","author":[{"dropping-particle":"","family":"Kleine","given":"Tatjana","non-dropping-particle":"","parse-names":false,"suffix":""},{"dropping-particle":"","family":"Maier","given":"Uwe G.","non-dropping-particle":"","parse-names":false,"suffix":""},{"dropping-particle":"","family":"Leister","given":"Dario","non-dropping-particle":"","parse-names":false,"suffix":""}],"container-title":"Annual Review of Plant Biology","id":"ITEM-1","issue":"1","issued":{"date-parts":[["2009"]]},"page":"115-138","title":"DNA Transfer from Organelles to the Nucleus: The Idiosyncratic Genetics of Endosymbiosis","type":"article-journal","volume":"60"},"uris":["http://www.mendeley.com/documents/?uuid=1afa5c1e-4e06-4d55-9226-3b5d9f03ce87"]}],"mendeley":{"formattedCitation":"(Kleine et al., 2009)","manualFormatting":"(Kleine et al., 2009)","plainTextFormattedCitation":"(Kleine et al., 2009)","previouslyFormattedCitation":"(Kleine et al. 2009)"},"properties":{"noteIndex":0},"schema":"https://github.com/citation-style-language/schema/raw/master/csl-citation.json"}</w:instrText>
      </w:r>
      <w:r w:rsidRPr="005C757B">
        <w:rPr>
          <w:rFonts w:cs="Times New Roman"/>
        </w:rPr>
        <w:fldChar w:fldCharType="separate"/>
      </w:r>
      <w:r w:rsidRPr="005C757B">
        <w:rPr>
          <w:rFonts w:cs="Times New Roman"/>
          <w:noProof/>
        </w:rPr>
        <w:t>(Kleine et al., 2009)</w:t>
      </w:r>
      <w:r w:rsidRPr="005C757B">
        <w:rPr>
          <w:rFonts w:cs="Times New Roman"/>
        </w:rPr>
        <w:fldChar w:fldCharType="end"/>
      </w:r>
      <w:r w:rsidRPr="005C757B">
        <w:rPr>
          <w:rFonts w:cs="Times New Roman"/>
        </w:rPr>
        <w:t>. However, some are functional and are retargeted to th</w:t>
      </w:r>
      <w:r>
        <w:rPr>
          <w:rFonts w:cs="Times New Roman"/>
        </w:rPr>
        <w:t xml:space="preserve">eir respective organelle, </w:t>
      </w:r>
      <w:r w:rsidRPr="005C757B">
        <w:rPr>
          <w:rFonts w:cs="Times New Roman"/>
        </w:rPr>
        <w:t xml:space="preserve">while others acquire novel functions following horizontal transfer and are involved in </w:t>
      </w:r>
      <w:proofErr w:type="spellStart"/>
      <w:r w:rsidRPr="005C757B">
        <w:rPr>
          <w:rFonts w:cs="Times New Roman"/>
        </w:rPr>
        <w:t>extraorganellar</w:t>
      </w:r>
      <w:proofErr w:type="spellEnd"/>
      <w:r w:rsidRPr="005C757B">
        <w:rPr>
          <w:rFonts w:cs="Times New Roman"/>
        </w:rPr>
        <w:t xml:space="preserve"> functions from all functional categories </w:t>
      </w:r>
      <w:r>
        <w:rPr>
          <w:rFonts w:cs="Times New Roman"/>
        </w:rPr>
        <w:fldChar w:fldCharType="begin" w:fldLock="1"/>
      </w:r>
      <w:r>
        <w:rPr>
          <w:rFonts w:cs="Times New Roman"/>
        </w:rPr>
        <w:instrText>ADDIN CSL_CITATION {"citationItems":[{"id":"ITEM-1","itemData":{"DOI":"10.1093/molbev/msn022","ISSN":"07374038","PMID":"18222943","abstract":"Plastids are descended from a cyanobacterial symbiosis which occurred over 1.2 billion years ago. During the course of endosymbiosis, most genes were lost from the cyanobacterium's genome and many were relocated to the host nucleus through endosymbiotic gene transfer (EGT). The issue of how many genes were acquired through EGT in different plant lineages is unresolved. Here, we report the genome-wide frequency of gene acquisitions from cyanobacteria in 4 photosynthetic eukaryotes - Arabidopsis, rice, Chlamydomonas, and the red alga Cyanidioschyzon - by comparision of the 83,138 proteins encoded in their genomes with 851,607 proteins encoded in 9 sequenced cyanobacterial genomes, 215 other reference prokaryotic genomes, and 13 reference eukaryotic genomes. The analyses entail 11,569 phylogenies inferred with both maximum likelihood and Neighbor-Joining approaches. Because each phylogenetic result is dependent not only upon the reconstruction method but also upon the site patterns in the underlying alignment, we investigated how the reliability of site pattern generation via alignment affects our results: if the site patterns in an alignment differ depending upon the order in which amino acids are introduced into multiple sequence alignment - N- to C-terminal versus C- to N-terminal - then the phylogenetic result is likely to be artifactual. Excluding unreliable alignments by this means, we obtain a conservative estimate, wherein about 14% of the proteins examined in each plant genome indicate a cyanobacterial origin for the corresponding nuclear gene, with higher proportions (17-25%) observed among the more reliable alignments. The identification of cyanobacterial genes in plant genomes affords access to an important question: From which type of cyanobacterium did the ancestor of plastids arise? Among the 9 cyanobacterial genomes sampled, Nostoc sp. PCC7120 and Anabaena variabilis ATCC29143 were found to harbor collections of genes which are - in terms of presence/absence and sequence similarity - more like those possessed by the plastid ancestor than those of the other 7 cyanobacterial genomes sampled here. This suggests that the ancestor of plastids might have been an organism more similar to filamentous, heterocyst-forming (nitrogen-fixing) representatives of section IV recognized in Stanier's cyanobacterial classification. Members of section IV are very common partners in contemporary symbiotic associations involving endosymbiotic cyanobacteria, whic…","author":[{"dropping-particle":"","family":"Deusch","given":"Oliver","non-dropping-particle":"","parse-names":false,"suffix":""},{"dropping-particle":"","family":"Landan","given":"Giddy","non-dropping-particle":"","parse-names":false,"suffix":""},{"dropping-particle":"","family":"Roettger","given":"Mayo","non-dropping-particle":"","parse-names":false,"suffix":""},{"dropping-particle":"","family":"Gruenheit","given":"Nicole","non-dropping-particle":"","parse-names":false,"suffix":""},{"dropping-particle":"V.","family":"Kowallik","given":"Klaus","non-dropping-particle":"","parse-names":false,"suffix":""},{"dropping-particle":"","family":"Allen","given":"John F.","non-dropping-particle":"","parse-names":false,"suffix":""},{"dropping-particle":"","family":"Martin","given":"William","non-dropping-particle":"","parse-names":false,"suffix":""},{"dropping-particle":"","family":"Dagan","given":"Tal","non-dropping-particle":"","parse-names":false,"suffix":""}],"container-title":"Molecular Biology and Evolution","id":"ITEM-1","issue":"4","issued":{"date-parts":[["2008"]]},"page":"748-761","title":"Genes of cyanobacterial origin in plant nuclear genomes point to a heterocyst-forming plastid ancestor","type":"article-journal","volume":"25"},"uris":["http://www.mendeley.com/documents/?uuid=6a445b40-ed57-47c7-897a-d2473bce5579"]}],"mendeley":{"formattedCitation":"(Deusch et al., 2008)","plainTextFormattedCitation":"(Deusch et al., 2008)","previouslyFormattedCitation":"(Deusch et al. 2008)"},"properties":{"noteIndex":0},"schema":"https://github.com/citation-style-language/schema/raw/master/csl-citation.json"}</w:instrText>
      </w:r>
      <w:r>
        <w:rPr>
          <w:rFonts w:cs="Times New Roman"/>
        </w:rPr>
        <w:fldChar w:fldCharType="separate"/>
      </w:r>
      <w:r w:rsidRPr="00EE03F0">
        <w:rPr>
          <w:rFonts w:cs="Times New Roman"/>
          <w:noProof/>
        </w:rPr>
        <w:t>(Deusch et al., 2008)</w:t>
      </w:r>
      <w:r>
        <w:rPr>
          <w:rFonts w:cs="Times New Roman"/>
        </w:rPr>
        <w:fldChar w:fldCharType="end"/>
      </w:r>
      <w:r>
        <w:rPr>
          <w:rFonts w:cs="Times New Roman"/>
        </w:rPr>
        <w:t xml:space="preserve">. </w:t>
      </w:r>
      <w:r w:rsidRPr="00B2121C">
        <w:rPr>
          <w:rFonts w:cs="Times New Roman"/>
        </w:rPr>
        <w:t>The</w:t>
      </w:r>
      <w:r>
        <w:rPr>
          <w:rFonts w:cs="Times New Roman"/>
        </w:rPr>
        <w:t xml:space="preserve"> general </w:t>
      </w:r>
      <w:r w:rsidRPr="00B2121C">
        <w:rPr>
          <w:rFonts w:cs="Times New Roman"/>
        </w:rPr>
        <w:t>mechanism</w:t>
      </w:r>
      <w:r>
        <w:rPr>
          <w:rFonts w:cs="Times New Roman"/>
        </w:rPr>
        <w:t xml:space="preserve"> of organelle DNA transfer to the nuclear genome involves organelle DNA escape, uptake by nuclear import machinery, which is then followed by double-strand break repair through non-homologous end joining (NHEJ) </w:t>
      </w:r>
      <w:r>
        <w:rPr>
          <w:rFonts w:cs="Times New Roman"/>
        </w:rPr>
        <w:fldChar w:fldCharType="begin" w:fldLock="1"/>
      </w:r>
      <w:r>
        <w:rPr>
          <w:rFonts w:cs="Times New Roman"/>
        </w:rPr>
        <w:instrText>ADDIN CSL_CITATION {"citationItems":[{"id":"ITEM-1","itemData":{"DOI":"10.1371/journal.pgen.1000237","ISSN":"15537390","PMID":"18949041","abstract":"Non-homologous end joining (NHEJ) is the major mechanism of double-strand break repair (DSBR) in mammalian cells. NHEJ has traditionally been inferred from experimental systems involving induced double strand breaks (DSBs). Whether or not the spectrum of repair events observed in experimental NHEJ reflects the repair of natural breaks by NHEJ during chromosomal evolution is an unresolved issue. In primate phylogeny, nuclear DNA sequences of mitochondrial origin, numts, are inserted into naturally occurring chromosomal breaks via NHEJ. Thus, numt integration sites harbor evidence for the mechanisms that act on the genome over evolutionary timescales. We have identified 35 and 55 lineage-specific numts in the human and chimpanzee genomes, respectively, using the rhesus monkey genome as an outgroup. One hundred and fifty two numt-chromosome fusion points were classified based on their repair patterns. Repair involving microhomology and repair leading to nucleotide additions were detected. These repair patterns are within the experimentally determined spectrum of classical NHEJ, suggesting that information from experimental systems is representative of broader genetic loci and end configurations. However, in incompatible DSBR events, small deletions always occur, whereas in 54% of numt integration events examined, no deletions were detected. Numts show a statistically significant reduction in deletion frequency, even in comparison to DSBR involving filler DNA. Therefore, numts show a unique mechanism of integration via NHEJ. Since the deletion frequency during numt insertion is low, native overhangs of chromosome breaks are preserved, allowing us to determine that 24% of the analyzed breaks are cohesive with overhangs of up to 11 bases. These data represent, to the best of our knowledge, the most comprehensive description of the structure of naturally occurring DSBs. We suggest a model in which the sealing of DSBs by numts, and probably by other filler DNA, prevents nuclear processing of DSBs that could result in deleterious repair.","author":[{"dropping-particle":"","family":"Hazkani-Covo","given":"Einat","non-dropping-particle":"","parse-names":false,"suffix":""},{"dropping-particle":"","family":"Covo","given":"Shay","non-dropping-particle":"","parse-names":false,"suffix":""}],"container-title":"PLoS Genetics","id":"ITEM-1","issue":"10","issued":{"date-parts":[["2008"]]},"title":"Numt-mediated double-strand break repair mitigates deletions during primate genome evolution","type":"article-journal","volume":"4"},"uris":["http://www.mendeley.com/documents/?uuid=31d94f82-dad2-4575-a225-4c38ec4a8b8f"]},{"id":"ITEM-2","itemData":{"DOI":"10.1134/s032097251904002x","ISSN":"03209725","author":[{"dropping-particle":"","family":"Thorsness","given":"Peter","non-dropping-particle":"","parse-names":false,"suffix":""},{"dropping-particle":"","family":"Fox","given":"Thomas","non-dropping-particle":"","parse-names":false,"suffix":""}],"container-title":"Nature","id":"ITEM-2","issue":"4","issued":{"date-parts":[["1990"]]},"page":"376-379","title":"Escape of DNA from mitochondria to the nucleus in Saccharomyces cerevisiae","type":"article-journal","volume":"346"},"uris":["http://www.mendeley.com/documents/?uuid=250f1adc-6a6e-45b9-9693-047ad01993d7"]}],"mendeley":{"formattedCitation":"(Hazkani-Covo &amp; Covo, 2008; Thorsness &amp; Fox, 1990)","plainTextFormattedCitation":"(Hazkani-Covo &amp; Covo, 2008; Thorsness &amp; Fox, 1990)","previouslyFormattedCitation":"(Hazkani-Covo &amp; Covo 2008; Thorsness &amp; Fox 1990)"},"properties":{"noteIndex":0},"schema":"https://github.com/citation-style-language/schema/raw/master/csl-citation.json"}</w:instrText>
      </w:r>
      <w:r>
        <w:rPr>
          <w:rFonts w:cs="Times New Roman"/>
        </w:rPr>
        <w:fldChar w:fldCharType="separate"/>
      </w:r>
      <w:r w:rsidRPr="00EE03F0">
        <w:rPr>
          <w:rFonts w:cs="Times New Roman"/>
          <w:noProof/>
        </w:rPr>
        <w:t>(Hazkani-Covo &amp; Covo, 2008; Thorsness &amp; Fox, 1990)</w:t>
      </w:r>
      <w:r>
        <w:rPr>
          <w:rFonts w:cs="Times New Roman"/>
        </w:rPr>
        <w:fldChar w:fldCharType="end"/>
      </w:r>
      <w:r>
        <w:rPr>
          <w:rFonts w:cs="Times New Roman"/>
        </w:rPr>
        <w:t xml:space="preserve">. </w:t>
      </w:r>
    </w:p>
    <w:p w14:paraId="2AE51EAF" w14:textId="77777777" w:rsidR="00636B5B" w:rsidRPr="00F2035F" w:rsidRDefault="00636B5B" w:rsidP="00EE03F0">
      <w:pPr>
        <w:spacing w:line="360" w:lineRule="auto"/>
        <w:rPr>
          <w:rFonts w:cs="Times New Roman"/>
        </w:rPr>
      </w:pPr>
      <w:r>
        <w:rPr>
          <w:rFonts w:cs="Times New Roman"/>
        </w:rPr>
        <w:tab/>
        <w:t xml:space="preserve">NUPTs and NUMTs can transfer to the nuclear genome as entire protein-coding genes and can alter existing nuclear gene structure. Although the majority of organelle DNA transfers to the nuclear genome are likely to be non-functional as the transfer must acquire the appropriate regulatory sequences, there is evidence that organelle DNA transfer has contributed functional genes which retained their original function as well as new genes with diverged function </w:t>
      </w:r>
      <w:r>
        <w:rPr>
          <w:rFonts w:cs="Times New Roman"/>
        </w:rPr>
        <w:fldChar w:fldCharType="begin" w:fldLock="1"/>
      </w:r>
      <w:r>
        <w:rPr>
          <w:rFonts w:cs="Times New Roman"/>
        </w:rPr>
        <w:instrText>ADDIN CSL_CITATION {"citationItems":[{"id":"ITEM-1","itemData":{"DOI":"10.1371/journal.pgen.1000323","ISSN":"15537390","abstract":"Functional gene transfer from the plastid (chloroplast) and mitochondrial genomes to the nucleus has been an important driving force in eukaryotic evolution. Non-functional DNA transfer is far more frequent, and the frequency of such transfers from the plastid to the nucleus has been determined experimentally in tobacco using transplastomic lines containing, in their plastid genome, a kanamycin resistance gene (neo) readymade for nuclear expression. Contrary to expectations, non-Mendelian segregation of the kanamycin resistance phenotype is seen in progeny of some lines in which neo has been transferred to the nuclear genome. Here, we provide a detailed analysis of the instability of kanamycin resistance in nine of these lines, and we show that it is due to deletion of neo. Four lines showed instability with variation between progeny derived from different areas of the same plant, suggesting a loss of neo during somatic cell division. One line showed a consistent reduction in the proportion of kanamycin-resistant progeny, suggesting a loss of neo during meiosis, and the remaining four lines were relatively stable. To avoid genomic enlargement, the high frequency of plastid DNA integration into the nuclear genome necessitates a counterbalancing removal process. This is the first demonstration of such loss involving a high proportion of recent nuclear integrants. We propose that insertion, deletion, and rearrangement of plastid sequences in the nuclear genome are important evolutionary processes in the generation of novel nuclear genes. This work is also relevant in the context of transgenic plant research and crop production, because similar processes to those described here may be involved in the loss of plant transgenes. © 2009 Sheppard, Timmis.","author":[{"dropping-particle":"","family":"Sheppard","given":"Anna E.","non-dropping-particle":"","parse-names":false,"suffix":""},{"dropping-particle":"","family":"Timmis","given":"Jeremy N.","non-dropping-particle":"","parse-names":false,"suffix":""}],"container-title":"PLoS Genetics","id":"ITEM-1","issue":"1","issued":{"date-parts":[["2009"]]},"page":"1-8","title":"Instability of plastid DNA in the nuclear genome","type":"article-journal","volume":"5"},"uris":["http://www.mendeley.com/documents/?uuid=421de1ee-7f72-4fb4-af6c-8a271cc91ca8"]}],"mendeley":{"formattedCitation":"(Sheppard &amp; Timmis, 2009)","plainTextFormattedCitation":"(Sheppard &amp; Timmis, 2009)","previouslyFormattedCitation":"(Sheppard &amp; Timmis 2009)"},"properties":{"noteIndex":0},"schema":"https://github.com/citation-style-language/schema/raw/master/csl-citation.json"}</w:instrText>
      </w:r>
      <w:r>
        <w:rPr>
          <w:rFonts w:cs="Times New Roman"/>
        </w:rPr>
        <w:fldChar w:fldCharType="separate"/>
      </w:r>
      <w:r w:rsidRPr="00EE03F0">
        <w:rPr>
          <w:rFonts w:cs="Times New Roman"/>
          <w:noProof/>
        </w:rPr>
        <w:t>(Sheppard &amp; Timmis, 2009)</w:t>
      </w:r>
      <w:r>
        <w:rPr>
          <w:rFonts w:cs="Times New Roman"/>
        </w:rPr>
        <w:fldChar w:fldCharType="end"/>
      </w:r>
      <w:r>
        <w:rPr>
          <w:rFonts w:cs="Times New Roman"/>
        </w:rPr>
        <w:t xml:space="preserve">. </w:t>
      </w:r>
      <w:r w:rsidRPr="007C7634">
        <w:rPr>
          <w:rFonts w:cs="Times New Roman"/>
        </w:rPr>
        <w:t xml:space="preserve">For example, in </w:t>
      </w:r>
      <w:r>
        <w:rPr>
          <w:rFonts w:cs="Times New Roman"/>
          <w:i/>
          <w:iCs/>
        </w:rPr>
        <w:t>Arabidopsis</w:t>
      </w:r>
      <w:r w:rsidRPr="007C7634">
        <w:rPr>
          <w:rFonts w:cs="Times New Roman"/>
          <w:i/>
          <w:iCs/>
        </w:rPr>
        <w:t xml:space="preserve"> thaliana</w:t>
      </w:r>
      <w:r w:rsidRPr="007C7634">
        <w:rPr>
          <w:rFonts w:cs="Times New Roman"/>
        </w:rPr>
        <w:t>, of the 3,500 to 4,500 genes of cyanobacterial origin, approximately half do not localize to the chloroplast</w:t>
      </w:r>
      <w:r>
        <w:rPr>
          <w:rFonts w:cs="Times New Roman"/>
        </w:rPr>
        <w:t xml:space="preserve"> </w:t>
      </w:r>
      <w:r>
        <w:rPr>
          <w:rFonts w:cs="Times New Roman"/>
        </w:rPr>
        <w:fldChar w:fldCharType="begin" w:fldLock="1"/>
      </w:r>
      <w:r>
        <w:rPr>
          <w:rFonts w:cs="Times New Roman"/>
        </w:rPr>
        <w:instrText>ADDIN CSL_CITATION {"citationItems":[{"id":"ITEM-1","itemData":{"DOI":"10.1073/pnas.182432999","ISSN":"00278424","PMID":"12218172","abstract":"Chloroplasts were once free-living cyanobacteria that became endosymbionts, but the genomes of contemporary plastids encode only ≈5-10% as many genes as those of their free-living cousins, indicating that many genes were either lost from plastids or transferred to the nucleus during the course of plant evolution. Previous estimates have suggested that between 800 and perhaps as many as 2,000 genes in the Arabidopsis genome might come from cyanobacteria, but genome-wide phylogenetic surveys that could provide direct estimates of this number are lacking. We compared 24,990 proteins encoded in the Arabidopsis genome to the proteins from three cyanobacterial genomes, 16 other prokaryotic reference genomes, and yeast. Of 9,368 Arabidopsis proteins sufficiently conserved for primary sequence comparison, 866 detected homologues only among cyanobacteria and 834 other branched with cyanobacterial homologues in phylogenetic trees. Extrapolating from these conserved proteins to the whole genome, the data suggest that ≈4,500 of Arabidopsis protein-coding genes (≈18% of the total) were acquired from the cyanobacterial ancestor of plastids. These proteins encompass all functional classes, and the majority of them are targeted to cell compartments other than the chloroplast. Analysis of 15 sequenced chloroplast genomes revealed 117 nuclear-encoded proteins that are also still present in at least one chloroplast genome. A phylogeny of chloroplast genomes inferred from 41 proteins and 8,303 amino acids sites indicates that at least two independent secondary endosymbiotic events have occurred involving red algae and that amino acid composition bias in chloroplast proteins strongly affects plastid genome phylogeny.","author":[{"dropping-particle":"","family":"Martin","given":"William","non-dropping-particle":"","parse-names":false,"suffix":""},{"dropping-particle":"","family":"Rujan","given":"Tamas","non-dropping-particle":"","parse-names":false,"suffix":""},{"dropping-particle":"","family":"Richly","given":"Erik","non-dropping-particle":"","parse-names":false,"suffix":""},{"dropping-particle":"","family":"Hansen","given":"Andrea","non-dropping-particle":"","parse-names":false,"suffix":""},{"dropping-particle":"","family":"Cornelsen","given":"Sabine","non-dropping-particle":"","parse-names":false,"suffix":""},{"dropping-particle":"","family":"Lins","given":"Thomas","non-dropping-particle":"","parse-names":false,"suffix":""},{"dropping-particle":"","family":"Leister","given":"Dario","non-dropping-particle":"","parse-names":false,"suffix":""},{"dropping-particle":"","family":"Stoebe","given":"Bettina","non-dropping-particle":"","parse-names":false,"suffix":""},{"dropping-particle":"","family":"Hasegawa","given":"Masami","non-dropping-particle":"","parse-names":false,"suffix":""},{"dropping-particle":"","family":"Penny","given":"David","non-dropping-particle":"","parse-names":false,"suffix":""}],"container-title":"Proceedings of the National Academy of Sciences of the United States of America","id":"ITEM-1","issue":"19","issued":{"date-parts":[["2002"]]},"page":"12246-12251","title":"Evolutionary analysis of Arabidopsis, cyanobacterial, and chloroplast genomes reveals plastid phylogeny and thousands of cyanobacterial genes in the nucleus","type":"article-journal","volume":"99"},"uris":["http://www.mendeley.com/documents/?uuid=906e01c1-b2d9-41b1-b197-bf473e2f1f15"]}],"mendeley":{"formattedCitation":"(Martin et al., 2002)","plainTextFormattedCitation":"(Martin et al., 2002)","previouslyFormattedCitation":"(Martin et al. 2002)"},"properties":{"noteIndex":0},"schema":"https://github.com/citation-style-language/schema/raw/master/csl-citation.json"}</w:instrText>
      </w:r>
      <w:r>
        <w:rPr>
          <w:rFonts w:cs="Times New Roman"/>
        </w:rPr>
        <w:fldChar w:fldCharType="separate"/>
      </w:r>
      <w:r w:rsidRPr="00EE03F0">
        <w:rPr>
          <w:rFonts w:cs="Times New Roman"/>
          <w:noProof/>
        </w:rPr>
        <w:t>(Martin et al., 2002)</w:t>
      </w:r>
      <w:r>
        <w:rPr>
          <w:rFonts w:cs="Times New Roman"/>
        </w:rPr>
        <w:fldChar w:fldCharType="end"/>
      </w:r>
      <w:r>
        <w:rPr>
          <w:rFonts w:cs="Times New Roman"/>
        </w:rPr>
        <w:t xml:space="preserve">. Additionally, organelle transfers may be responsible for genetic novelty in the form of new exons in existing genes and have also been associated with diseases in Humans </w:t>
      </w:r>
      <w:r>
        <w:rPr>
          <w:rFonts w:cs="Times New Roman"/>
        </w:rPr>
        <w:fldChar w:fldCharType="begin" w:fldLock="1"/>
      </w:r>
      <w:r>
        <w:rPr>
          <w:rFonts w:cs="Times New Roman"/>
        </w:rPr>
        <w:instrText>ADDIN CSL_CITATION {"citationItems":[{"id":"ITEM-1","itemData":{"DOI":"10.1016/j.tig.2007.08.016","ISSN":"01689525","abstract":"Recent nuclear transfer of organellar DNA is thought to result mainly in nonfunctional nuclear sequences or in genetic dysfunction. Here we show that nuclear exons encoding novel protein sequences can be generated by insertions of organellar DNA. Most of the protein sequences do not correspond to preexisting organellar coding sequences or they represent markedly reshaped protein domains, reflecting the recruitment and adaptation of encoded proteins to new functions. Organelle-derived DNA insertions might be responsible for many more ancient functional exon acquisitions that are not directly detectable. © 2007 Elsevier Ltd. All rights reserved.","author":[{"dropping-particle":"","family":"Noutsos","given":"Christos","non-dropping-particle":"","parse-names":false,"suffix":""},{"dropping-particle":"","family":"Kleine","given":"Tatjana","non-dropping-particle":"","parse-names":false,"suffix":""},{"dropping-particle":"","family":"Armbruster","given":"Ute","non-dropping-particle":"","parse-names":false,"suffix":""},{"dropping-particle":"","family":"DalCorso","given":"Giovanni","non-dropping-particle":"","parse-names":false,"suffix":""},{"dropping-particle":"","family":"Leister","given":"Dario","non-dropping-particle":"","parse-names":false,"suffix":""}],"container-title":"Trends in Genetics","id":"ITEM-1","issue":"12","issued":{"date-parts":[["2007"]]},"page":"597-601","title":"Nuclear insertions of organellar DNA can create novel patches of functional exon sequences","type":"article-journal","volume":"23"},"uris":["http://www.mendeley.com/documents/?uuid=4349ddbc-2169-4916-b997-8a82d0247337"]},{"id":"ITEM-2","itemData":{"DOI":"10.1007/s00439-002-0892-2","ISBN":"0043900208","ISSN":"03406717","PMID":"12545275","abstract":"Transfer of nucleic acid from cytoplasmic organelles to the nuclear genome is a well-established mechanism of evolutionary change in eukaryotes. Such transfers have occurred throughout evolution, but so far, none has been shown unequivocally to occur de novo to cause a heritable human disease. We have characterized a patient with a de novo nucleic acid transfer from the mitochondrial to the nuclear genome, a transfer that is responsible for a sporadic case of Pallister-Hall syndrome, a condition usually inherited in an autosomal dominant fashion. This mutation, a 72-bp insertion into exon 14 of the GLI3 gene, creates a premature stop codon and predicts a truncated protein product. Both the mechanism and the cause of the mitochondrial-nuclear transfer are unknown. Although the conception of this patient was temporally and geographically associated with high-level radioactive contamination following the Chernobyl accident, this case cannot, on its own, be used to establish a causal relationship between radiation exposure and this rare type of mutation. Thus, for the time being, it must be considered as an intriguing coincidence. Nevertheless, these data serve to demonstrate that de novo mitochondrial-nuclear transfer of nucleic acid is a novel mechanism of human inherited disease. © U.S. Government 2003.","author":[{"dropping-particle":"","family":"Turner","given":"Clesson","non-dropping-particle":"","parse-names":false,"suffix":""},{"dropping-particle":"","family":"Killoran","given":"Christina","non-dropping-particle":"","parse-names":false,"suffix":""},{"dropping-particle":"","family":"Thomas","given":"Nick S.T.","non-dropping-particle":"","parse-names":false,"suffix":""},{"dropping-particle":"","family":"Rosenberg","given":"Marjorie","non-dropping-particle":"","parse-names":false,"suffix":""},{"dropping-particle":"","family":"Chuzhanova","given":"Nadia A.","non-dropping-particle":"","parse-names":false,"suffix":""},{"dropping-particle":"","family":"Johnston","given":"Jennifer","non-dropping-particle":"","parse-names":false,"suffix":""},{"dropping-particle":"","family":"Kemel","given":"Yelena","non-dropping-particle":"","parse-names":false,"suffix":""},{"dropping-particle":"","family":"Cooper","given":"David N.","non-dropping-particle":"","parse-names":false,"suffix":""},{"dropping-particle":"","family":"Biesecker","given":"Leslie G.","non-dropping-particle":"","parse-names":false,"suffix":""}],"container-title":"Human Genetics","id":"ITEM-2","issue":"3","issued":{"date-parts":[["2003"]]},"page":"303-309","title":"Human genetic disease caused by de novo mitochondrial-nuclear DNA transfer","type":"article-journal","volume":"112"},"uris":["http://www.mendeley.com/documents/?uuid=316ee543-510b-45ed-b0db-a6a44f0353a2"]}],"mendeley":{"formattedCitation":"(Noutsos, Kleine, Armbruster, DalCorso, &amp; Leister, 2007; Turner et al., 2003)","manualFormatting":"(Noutsos et al., 2007; Turner et al., 2003)","plainTextFormattedCitation":"(Noutsos, Kleine, Armbruster, DalCorso, &amp; Leister, 2007; Turner et al., 2003)","previouslyFormattedCitation":"(Noutsos et al. 2007; Turner et al. 2003)"},"properties":{"noteIndex":0},"schema":"https://github.com/citation-style-language/schema/raw/master/csl-citation.json"}</w:instrText>
      </w:r>
      <w:r>
        <w:rPr>
          <w:rFonts w:cs="Times New Roman"/>
        </w:rPr>
        <w:fldChar w:fldCharType="separate"/>
      </w:r>
      <w:r w:rsidRPr="00640EA2">
        <w:rPr>
          <w:rFonts w:cs="Times New Roman"/>
          <w:noProof/>
        </w:rPr>
        <w:t>(Noutsos</w:t>
      </w:r>
      <w:r>
        <w:rPr>
          <w:rFonts w:cs="Times New Roman"/>
          <w:noProof/>
        </w:rPr>
        <w:t xml:space="preserve"> et </w:t>
      </w:r>
      <w:r>
        <w:rPr>
          <w:rFonts w:cs="Times New Roman"/>
          <w:noProof/>
        </w:rPr>
        <w:lastRenderedPageBreak/>
        <w:t>al.</w:t>
      </w:r>
      <w:r w:rsidRPr="00640EA2">
        <w:rPr>
          <w:rFonts w:cs="Times New Roman"/>
          <w:noProof/>
        </w:rPr>
        <w:t>, 2007; Turner et al., 2003)</w:t>
      </w:r>
      <w:r>
        <w:rPr>
          <w:rFonts w:cs="Times New Roman"/>
        </w:rPr>
        <w:fldChar w:fldCharType="end"/>
      </w:r>
      <w:r>
        <w:rPr>
          <w:rFonts w:cs="Times New Roman"/>
        </w:rPr>
        <w:t xml:space="preserve">.  NUPTs and NUMTs have been shown to preferentially insert into open chromatin and can be transcribed by a chloroplast promoter, albeit at lower levels compared to nuclear genes </w:t>
      </w:r>
      <w:r>
        <w:rPr>
          <w:rFonts w:cs="Times New Roman"/>
        </w:rPr>
        <w:fldChar w:fldCharType="begin" w:fldLock="1"/>
      </w:r>
      <w:r>
        <w:rPr>
          <w:rFonts w:cs="Times New Roman"/>
        </w:rPr>
        <w:instrText>ADDIN CSL_CITATION {"citationItems":[{"id":"ITEM-1","itemData":{"DOI":"10.1093/gbe/evu111","ISSN":"17596653","PMID":"24868015","abstract":"Endosymbioticgene transfer from cytoplasmic organelles (chloroplasts and mitochondria) to thenucleus is an ongoing process in land plants. Although the frequency of organelle DNA migration is high, functional gene transfer is rare because a nuclear promoter is thought necessary for activity in the nucleus. Here we show that a chloroplast promoter, 16S rrn, drives nuclear transcription, suggesting that a transferred organellar gene may become active without obtaining a nuclear promoter. Examining the chromatin status of a knownde novo chloroplast integrant indicates that plastid DNA inserts into open chromatin and that this relaxed condition is maintained after integration. Transcription of nuclear organelle DNA integrants was explored at the whole genome level by analyzing RNA-seq data of Oryza sativa subsp. japonica, and utilizing sequence polymorphisms to unequivocally discriminate nuclear organelle DNA transcripts from those of bona fide cytoplasmic organelle DNA. Nuclear copies of organelle DNA that are transcribed show a spectrum of transcriptional activity but at comparatively low levels compared with the majority of other nuclear genes. © The Author(s) 2014.","author":[{"dropping-particle":"","family":"Wang","given":"Dong","non-dropping-particle":"","parse-names":false,"suffix":""},{"dropping-particle":"","family":"Qu","given":"Zhipeng","non-dropping-particle":"","parse-names":false,"suffix":""},{"dropping-particle":"","family":"Adelson","given":"David L.","non-dropping-particle":"","parse-names":false,"suffix":""},{"dropping-particle":"","family":"Zhu","given":"Jian Kang","non-dropping-particle":"","parse-names":false,"suffix":""},{"dropping-particle":"","family":"Timmis","given":"Jeremy N.","non-dropping-particle":"","parse-names":false,"suffix":""}],"container-title":"Genome Biology and Evolution","id":"ITEM-1","issue":"6","issued":{"date-parts":[["2014"]]},"page":"1327-1334","title":"Transcription of nuclear organellar DNA in a model plant system","type":"article-journal","volume":"6"},"uris":["http://www.mendeley.com/documents/?uuid=8b5bdf66-eb91-4c83-a4fa-fafbf69289f2"]},{"id":"ITEM-2","itemData":{"DOI":"10.1093/gbe/evt070","ISSN":"17596653","PMID":"23661564","abstract":"DNA transfer from chloroplasts and mitochondria to the nucleus is ongoing in eukaryotes but the mechanisms involved are poorly understood. Mitochondrial DNA was observed to integrate into the nuclear genome through DNA double-strand break repair in Nicotiana tabacum. Here, 14 nuclear insertions of chloroplast DNA (nupts) that are unique to Oryza sativa subsp. indica were identified. Comparisons with the preinsertion nuclear loci identified in the related subspecies, O. sativa subsp. japonica, which lacked these nupts, indicated that chloroplast DNA had integrated by nonhomologous end joining. Analyzing public DNase-seq data revealed that nupts were significantly more frequent in open chromatin regions of the nucleus. This preference was tested further in the chimpanzee genome by comparing nuclear loci containing integrants of mitochondrial DNA (numts) with their corresponding numt-lacking preinsertion sites in the human genome. Mitochondrial DNAs also tended to insert more frequently into regions of open chromatin revealed by human DNase-seq and Formaldehyde-Assisted Isolation of Regulatory Elements-seq databases. © The Author(s) 2013.","author":[{"dropping-particle":"","family":"Wang","given":"Dong","non-dropping-particle":"","parse-names":false,"suffix":""},{"dropping-particle":"","family":"Timmis","given":"Jeremy N.","non-dropping-particle":"","parse-names":false,"suffix":""}],"container-title":"Genome Biology and Evolution","id":"ITEM-2","issue":"6","issued":{"date-parts":[["2013"]]},"page":"1060-1064","title":"Cytoplasmic organelle DNA preferentially inserts into open chromatin","type":"article-journal","volume":"5"},"uris":["http://www.mendeley.com/documents/?uuid=70ad7571-7c00-4b29-8472-69a17ef25cf6"]}],"mendeley":{"formattedCitation":"(Dong Wang, Qu, Adelson, Zhu, &amp; Timmis, 2014; Dong Wang &amp; Timmis, 2013)","manualFormatting":"(Wang et al., 2014; Wang &amp; Timmis, 2013)","plainTextFormattedCitation":"(Dong Wang, Qu, Adelson, Zhu, &amp; Timmis, 2014; Dong Wang &amp; Timmis, 2013)","previouslyFormattedCitation":"(Wang et al. 2014; Wang &amp; Timmis 2013)"},"properties":{"noteIndex":0},"schema":"https://github.com/citation-style-language/schema/raw/master/csl-citation.json"}</w:instrText>
      </w:r>
      <w:r>
        <w:rPr>
          <w:rFonts w:cs="Times New Roman"/>
        </w:rPr>
        <w:fldChar w:fldCharType="separate"/>
      </w:r>
      <w:r w:rsidRPr="009D3C15">
        <w:rPr>
          <w:rFonts w:cs="Times New Roman"/>
          <w:noProof/>
        </w:rPr>
        <w:t>(Wang</w:t>
      </w:r>
      <w:r>
        <w:rPr>
          <w:rFonts w:cs="Times New Roman"/>
          <w:noProof/>
        </w:rPr>
        <w:t xml:space="preserve"> et al.</w:t>
      </w:r>
      <w:r w:rsidRPr="009D3C15">
        <w:rPr>
          <w:rFonts w:cs="Times New Roman"/>
          <w:noProof/>
        </w:rPr>
        <w:t>, 2014; Wang &amp; Timmis, 2013)</w:t>
      </w:r>
      <w:r>
        <w:rPr>
          <w:rFonts w:cs="Times New Roman"/>
        </w:rPr>
        <w:fldChar w:fldCharType="end"/>
      </w:r>
      <w:r>
        <w:rPr>
          <w:rFonts w:cs="Times New Roman"/>
          <w:i/>
          <w:iCs/>
        </w:rPr>
        <w:t>.</w:t>
      </w:r>
    </w:p>
    <w:p w14:paraId="32D6EDE0" w14:textId="77777777" w:rsidR="00636B5B" w:rsidRDefault="00636B5B" w:rsidP="00EE03F0">
      <w:pPr>
        <w:spacing w:line="360" w:lineRule="auto"/>
        <w:rPr>
          <w:rFonts w:cs="Times New Roman"/>
        </w:rPr>
      </w:pPr>
      <w:r>
        <w:rPr>
          <w:rFonts w:cs="Times New Roman"/>
        </w:rPr>
        <w:tab/>
        <w:t xml:space="preserve">Previously, Huang et al., (2017) identified NUPTs in </w:t>
      </w:r>
      <w:r w:rsidRPr="00333E28">
        <w:rPr>
          <w:rFonts w:cs="Times New Roman"/>
          <w:i/>
          <w:iCs/>
        </w:rPr>
        <w:t xml:space="preserve">P. </w:t>
      </w:r>
      <w:proofErr w:type="spellStart"/>
      <w:r w:rsidRPr="00333E28">
        <w:rPr>
          <w:rFonts w:cs="Times New Roman"/>
          <w:i/>
          <w:iCs/>
        </w:rPr>
        <w:t>trichocarpa</w:t>
      </w:r>
      <w:proofErr w:type="spellEnd"/>
      <w:r>
        <w:rPr>
          <w:rFonts w:cs="Times New Roman"/>
          <w:i/>
          <w:iCs/>
        </w:rPr>
        <w:t xml:space="preserve"> </w:t>
      </w:r>
      <w:r>
        <w:rPr>
          <w:rFonts w:cs="Times New Roman"/>
        </w:rPr>
        <w:t xml:space="preserve">and identified the transfer of the entire chloroplast genome to chromosome 13. However, due to the lack of a </w:t>
      </w:r>
      <w:r w:rsidRPr="00333E28">
        <w:rPr>
          <w:rFonts w:cs="Times New Roman"/>
          <w:i/>
          <w:iCs/>
        </w:rPr>
        <w:t xml:space="preserve">P. </w:t>
      </w:r>
      <w:proofErr w:type="spellStart"/>
      <w:r w:rsidRPr="00333E28">
        <w:rPr>
          <w:rFonts w:cs="Times New Roman"/>
          <w:i/>
          <w:iCs/>
        </w:rPr>
        <w:t>trichocarpa</w:t>
      </w:r>
      <w:proofErr w:type="spellEnd"/>
      <w:r>
        <w:rPr>
          <w:rFonts w:cs="Times New Roman"/>
        </w:rPr>
        <w:t xml:space="preserve"> mitochondria genome assembly and organelle genome assemblies in </w:t>
      </w:r>
      <w:r w:rsidRPr="00333E28">
        <w:rPr>
          <w:rFonts w:cs="Times New Roman"/>
          <w:i/>
          <w:iCs/>
        </w:rPr>
        <w:t xml:space="preserve">P. </w:t>
      </w:r>
      <w:proofErr w:type="spellStart"/>
      <w:r w:rsidRPr="00333E28">
        <w:rPr>
          <w:rFonts w:cs="Times New Roman"/>
          <w:i/>
          <w:iCs/>
        </w:rPr>
        <w:t>deltoides</w:t>
      </w:r>
      <w:proofErr w:type="spellEnd"/>
      <w:r>
        <w:rPr>
          <w:rFonts w:cs="Times New Roman"/>
          <w:i/>
          <w:iCs/>
        </w:rPr>
        <w:t xml:space="preserve"> </w:t>
      </w:r>
      <w:r>
        <w:rPr>
          <w:rFonts w:cs="Times New Roman"/>
        </w:rPr>
        <w:t xml:space="preserve">these organelle derived features could neither be identified nor compared between these two closely related </w:t>
      </w:r>
      <w:r>
        <w:rPr>
          <w:rFonts w:cs="Times New Roman"/>
          <w:i/>
          <w:iCs/>
        </w:rPr>
        <w:t xml:space="preserve">Populus </w:t>
      </w:r>
      <w:r>
        <w:rPr>
          <w:rFonts w:cs="Times New Roman"/>
        </w:rPr>
        <w:t xml:space="preserve">species. Comparative analysis of NUPT and NUMT presence and absence variation (PAV) at the species level has only been explored in humans as well as domesticated and wild rice </w:t>
      </w:r>
      <w:r>
        <w:rPr>
          <w:rFonts w:cs="Times New Roman"/>
        </w:rPr>
        <w:fldChar w:fldCharType="begin" w:fldLock="1"/>
      </w:r>
      <w:r>
        <w:rPr>
          <w:rFonts w:cs="Times New Roman"/>
        </w:rPr>
        <w:instrText>ADDIN CSL_CITATION {"citationItems":[{"id":"ITEM-1","itemData":{"DOI":"10.1093/gbe/evt070","ISSN":"17596653","PMID":"23661564","abstract":"DNA transfer from chloroplasts and mitochondria to the nucleus is ongoing in eukaryotes but the mechanisms involved are poorly understood. Mitochondrial DNA was observed to integrate into the nuclear genome through DNA double-strand break repair in Nicotiana tabacum. Here, 14 nuclear insertions of chloroplast DNA (nupts) that are unique to Oryza sativa subsp. indica were identified. Comparisons with the preinsertion nuclear loci identified in the related subspecies, O. sativa subsp. japonica, which lacked these nupts, indicated that chloroplast DNA had integrated by nonhomologous end joining. Analyzing public DNase-seq data revealed that nupts were significantly more frequent in open chromatin regions of the nucleus. This preference was tested further in the chimpanzee genome by comparing nuclear loci containing integrants of mitochondrial DNA (numts) with their corresponding numt-lacking preinsertion sites in the human genome. Mitochondrial DNAs also tended to insert more frequently into regions of open chromatin revealed by human DNase-seq and Formaldehyde-Assisted Isolation of Regulatory Elements-seq databases. © The Author(s) 2013.","author":[{"dropping-particle":"","family":"Wang","given":"Dong","non-dropping-particle":"","parse-names":false,"suffix":""},{"dropping-particle":"","family":"Timmis","given":"Jeremy N.","non-dropping-particle":"","parse-names":false,"suffix":""}],"container-title":"Genome Biology and Evolution","id":"ITEM-1","issue":"6","issued":{"date-parts":[["2013"]]},"page":"1060-1064","title":"Cytoplasmic organelle DNA preferentially inserts into open chromatin","type":"article-journal","volume":"5"},"uris":["http://www.mendeley.com/documents/?uuid=70ad7571-7c00-4b29-8472-69a17ef25cf6"]},{"id":"ITEM-2","itemData":{"DOI":"10.1111/tpj.14946","ISSN":"1365313X","PMID":"32748498","abstract":"Asian cultivated rice (Oryza sativa) and African cultivated rice (Oryza glaberrima) originated from the wild rice species Oryza rufipogon and Oryza barthii, respectively. The genomes of both cultivated species have undergone profound changes during domestication. Whole-genome de novo assemblies of O. barthii, O. glaberrima, O. rufipogon and Oryza nivara, produced using PacBio single-molecule real-time (SMRT) and next-generation sequencing (NGS) technologies, showed that Gypsy-like retrotransposons are the major contributors to genome size variation in African and Asian rice. Through the detection of genome-wide structural variations (SVs), we observed that besides 28 shared SV hot spots, another 67 hot spots existed in either the Asian or African rice genomes. Based on gene annotation information of the SVs, we established that organelle-to-nucleus DNA transfers resulted in numerous SVs that participated in the nuclear genome divergence of rice species and subspecies. We detected 52 giant nuclear integrants of organelle DNA (NORGs, defined as &gt;10 kb) in six Oryza AA genomes. In addition, we developed an effective method to genotype giant NORGs, based on genome assembly, and first showed the dynamic change in the distribution of giant NORGs in rice natural population. Interestingly, 16 highly differentiated giant NORGs tended to accumulate in natural populations of Asian rice from higher latitude regions, grown at lower temperatures and light intensities. Our study provides new insight into the genome divergence of African and Asian rice, and establishes that organelle-to-nucleus DNA transfers, as potentially powerful contributors to environmental adaptation during rice evolution, play a major role in producing SVs in rice genomes.","author":[{"dropping-particle":"","family":"Ma","given":"Xin","non-dropping-particle":"","parse-names":false,"suffix":""},{"dropping-particle":"","family":"Fan","given":"Jinjian","non-dropping-particle":"","parse-names":false,"suffix":""},{"dropping-particle":"","family":"Wu","given":"Yongzhen","non-dropping-particle":"","parse-names":false,"suffix":""},{"dropping-particle":"","family":"Zhao","given":"Shuangshuang","non-dropping-particle":"","parse-names":false,"suffix":""},{"dropping-particle":"","family":"Zheng","given":"Xu","non-dropping-particle":"","parse-names":false,"suffix":""},{"dropping-particle":"","family":"Sun","given":"Chuanqing","non-dropping-particle":"","parse-names":false,"suffix":""},{"dropping-particle":"","family":"Tan","given":"Lubin","non-dropping-particle":"","parse-names":false,"suffix":""}],"container-title":"Plant Journal","id":"ITEM-2","issue":"3","issued":{"date-parts":[["2020"]]},"page":"596-612","title":"Whole-genome de novo assemblies reveal extensive structural variations and dynamic organelle-to-nucleus DNA transfers in African and Asian rice","type":"article-journal","volume":"104"},"uris":["http://www.mendeley.com/documents/?uuid=2c866635-5244-4920-b828-685ab7be1c0b"]},{"id":"ITEM-3","itemData":{"DOI":"10.1007/s00439-011-1125-3","ISBN":"0043901111253","ISSN":"03406717","PMID":"22160368","abstract":"The human genome is constantly subjected to evolutionary forces which shape its architecture. Insertions of mitochondrial DNA sequences into nuclear genome (NumtS) have been described in several eukaryotic species, including Homo sapiens and other primates. The ongoing process of the generation of NumtS has made them valuable markers in primate phylogenetic studies, as well as potentially informative loci for reconstructing the genetic history of modern humans. Here, we report the identification of 53 human-specific NumtS by inspection of the UCSC genome browser, showing that they may be direct insertions of mitochondrial DNA into the human nuclear DNA after the human-chimpanzee split. In silico analyses allowed us to identify 14 NumtS which are polymorphic in terms of their presence/absence within the human genome in individuals of different ancestry. The allele frequencies of these polymorphic NumtS were calculated for 1000 Genomes Project sequence data from 13 populations worldwide, and principal components analysis and hierarchical clustering methods allowed the detection of strong signals of geographical structure related to the genetic diversity of these loci. All identified polymorphic human-specific NumtS together with a tandemly duplicated NumtS have also been validated by PCR amplification on a panel of 60 samples belonging to five native populations worldwide, confirming the expected NumtS variability. On the basis of these findings, we have succeeded in depicting the landscape of variation of a series of NumtS in several ethnic groups, making an advance in their identification as useful markers in the study on human population genetics. © Springer-Verlag 2011.","author":[{"dropping-particle":"","family":"Lang","given":"Martin","non-dropping-particle":"","parse-names":false,"suffix":""},{"dropping-particle":"","family":"Sazzini","given":"Marco","non-dropping-particle":"","parse-names":false,"suffix":""},{"dropping-particle":"","family":"Calabrese","given":"Francesco Maria","non-dropping-particle":"","parse-names":false,"suffix":""},{"dropping-particle":"","family":"Simone","given":"Domenico","non-dropping-particle":"","parse-names":false,"suffix":""},{"dropping-particle":"","family":"Boattini","given":"Alessio","non-dropping-particle":"","parse-names":false,"suffix":""},{"dropping-particle":"","family":"Romeo","given":"Giovanni","non-dropping-particle":"","parse-names":false,"suffix":""},{"dropping-particle":"","family":"Luiselli","given":"Donata","non-dropping-particle":"","parse-names":false,"suffix":""},{"dropping-particle":"","family":"Attimonelli","given":"Marcella","non-dropping-particle":"","parse-names":false,"suffix":""},{"dropping-particle":"","family":"Gasparre","given":"Giuseppe","non-dropping-particle":"","parse-names":false,"suffix":""}],"container-title":"Human Genetics","id":"ITEM-3","issue":"5","issued":{"date-parts":[["2012"]]},"page":"757-771","title":"Polymorphic NumtS trace human population relationships","type":"article-journal","volume":"131"},"uris":["http://www.mendeley.com/documents/?uuid=09666737-950c-40ca-b0f7-cf5d0c82c57a"]},{"id":"ITEM-4","itemData":{"DOI":"10.1093/nar/gku1038","ISSN":"13624962","PMID":"25348406","abstract":"The transfer of mitochondrial genetic material into the nuclear genomes of eukaryotes is a well-established phenomenon that has been previously limited to the study of static reference genomes. The recent advancement of high throughput sequencing has enabled an expanded exploration into the diversity of polymorphic nuclear mitochondrial insertions (NumtS) within human populations. We have developed an approach to discover and genotype novel Numt insertions using whole genome, paired-end sequencing data. We have applied this method to a thousand individuals in 20 populations from the 1000 Genomes Project and other datasets and identified 141 new sites of Numt insertions, extending our current knowledge of existing NumtS by almost 20%. We find that recent Numt insertions are derived from throughout the mitochondrial genome, including the D-loop, and have integration biases that differ in some respects from previous studies on older, fixed NumtS in the reference genome. We determined the complete inserted sequence for a subset of these events and have identified a number of nearly full-length mitochondrial genome insertions into nuclear chromosomes. We further define their age and origin of insertion and present an analysis of their potential impact to ongoing studies of mitochondrial heteroplasmy and disease.","author":[{"dropping-particle":"","family":"Dayama","given":"Gargi","non-dropping-particle":"","parse-names":false,"suffix":""},{"dropping-particle":"","family":"Emery","given":"Sarah B.","non-dropping-particle":"","parse-names":false,"suffix":""},{"dropping-particle":"","family":"Kidd","given":"Jeffrey M.","non-dropping-particle":"","parse-names":false,"suffix":""},{"dropping-particle":"","family":"Mills","given":"Ryan E.","non-dropping-particle":"","parse-names":false,"suffix":""}],"container-title":"Nucleic acids research","id":"ITEM-4","issue":"20","issued":{"date-parts":[["2014"]]},"page":"12640-12649","title":"The genomic landscape of polymorphic human nuclear mitochondrial insertions","type":"article-journal","volume":"42"},"uris":["http://www.mendeley.com/documents/?uuid=5ce31508-4353-4d05-bd8d-532ee2e620c2"]}],"mendeley":{"formattedCitation":"(Dayama, Emery, Kidd, &amp; Mills, 2014; Lang et al., 2012; Ma et al., 2020; Dong Wang &amp; Timmis, 2013)","manualFormatting":"(Dayama et al., 2014; Lang et al., 2012; Ma et al., 2020; Wang &amp; Timmis, 2013)","plainTextFormattedCitation":"(Dayama, Emery, Kidd, &amp; Mills, 2014; Lang et al., 2012; Ma et al., 2020; Dong Wang &amp; Timmis, 2013)","previouslyFormattedCitation":"(Wang &amp; Timmis 2013; Ma et al. 2020; Lang et al. 2012; Dayama et al. 2014)"},"properties":{"noteIndex":0},"schema":"https://github.com/citation-style-language/schema/raw/master/csl-citation.json"}</w:instrText>
      </w:r>
      <w:r>
        <w:rPr>
          <w:rFonts w:cs="Times New Roman"/>
        </w:rPr>
        <w:fldChar w:fldCharType="separate"/>
      </w:r>
      <w:r w:rsidRPr="00047D84">
        <w:rPr>
          <w:rFonts w:cs="Times New Roman"/>
          <w:noProof/>
        </w:rPr>
        <w:t>(Dayama</w:t>
      </w:r>
      <w:r>
        <w:rPr>
          <w:rFonts w:cs="Times New Roman"/>
          <w:noProof/>
        </w:rPr>
        <w:t xml:space="preserve"> et al.</w:t>
      </w:r>
      <w:r w:rsidRPr="00047D84">
        <w:rPr>
          <w:rFonts w:cs="Times New Roman"/>
          <w:noProof/>
        </w:rPr>
        <w:t>, 2014; Lang et al., 2012; Ma et al., 2020; Wang &amp; Timmis, 2013)</w:t>
      </w:r>
      <w:r>
        <w:rPr>
          <w:rFonts w:cs="Times New Roman"/>
        </w:rPr>
        <w:fldChar w:fldCharType="end"/>
      </w:r>
      <w:r>
        <w:rPr>
          <w:rFonts w:cs="Times New Roman"/>
        </w:rPr>
        <w:t xml:space="preserve">. It was determined in both rice and humans that the presence and absence of NUPTs and NUMTs varied between populations. To address this, we compared presence and absence polymorphism of NUPTs and NUMTs in </w:t>
      </w:r>
      <w:r w:rsidRPr="00333E28">
        <w:rPr>
          <w:rFonts w:cs="Times New Roman"/>
          <w:i/>
          <w:iCs/>
        </w:rPr>
        <w:t xml:space="preserve">P. </w:t>
      </w:r>
      <w:proofErr w:type="spellStart"/>
      <w:r w:rsidRPr="00333E28">
        <w:rPr>
          <w:rFonts w:cs="Times New Roman"/>
          <w:i/>
          <w:iCs/>
        </w:rPr>
        <w:t>trichocarpa</w:t>
      </w:r>
      <w:proofErr w:type="spellEnd"/>
      <w:r>
        <w:rPr>
          <w:rFonts w:cs="Times New Roman"/>
          <w:i/>
          <w:iCs/>
        </w:rPr>
        <w:t xml:space="preserve"> </w:t>
      </w:r>
      <w:r>
        <w:rPr>
          <w:rFonts w:cs="Times New Roman"/>
        </w:rPr>
        <w:t xml:space="preserve">and </w:t>
      </w:r>
      <w:r w:rsidRPr="00333E28">
        <w:rPr>
          <w:rFonts w:cs="Times New Roman"/>
          <w:i/>
          <w:iCs/>
        </w:rPr>
        <w:t xml:space="preserve">P. </w:t>
      </w:r>
      <w:proofErr w:type="spellStart"/>
      <w:r w:rsidRPr="00333E28">
        <w:rPr>
          <w:rFonts w:cs="Times New Roman"/>
          <w:i/>
          <w:iCs/>
        </w:rPr>
        <w:t>deltoides</w:t>
      </w:r>
      <w:proofErr w:type="spellEnd"/>
      <w:r>
        <w:rPr>
          <w:rFonts w:cs="Times New Roman"/>
          <w:i/>
          <w:iCs/>
        </w:rPr>
        <w:t xml:space="preserve"> </w:t>
      </w:r>
      <w:r>
        <w:rPr>
          <w:rFonts w:cs="Times New Roman"/>
        </w:rPr>
        <w:t>which have species ranges along the west coast and in eastern and central parts of the United States, respectively. Additionally, we also explored DNA methylation and AT-transversion levels of NUPTs and NUMTs in the context of PAV.</w:t>
      </w:r>
    </w:p>
    <w:p w14:paraId="7A707D18" w14:textId="77777777" w:rsidR="00636B5B" w:rsidRDefault="00636B5B" w:rsidP="00EE03F0">
      <w:pPr>
        <w:spacing w:line="360" w:lineRule="auto"/>
        <w:ind w:firstLine="720"/>
        <w:rPr>
          <w:rFonts w:cs="Times New Roman"/>
        </w:rPr>
      </w:pPr>
      <w:r>
        <w:rPr>
          <w:rFonts w:cs="Times New Roman"/>
        </w:rPr>
        <w:t xml:space="preserve">To that end, we generated new organelle assemblies for </w:t>
      </w:r>
      <w:r w:rsidRPr="00333E28">
        <w:rPr>
          <w:rFonts w:cs="Times New Roman"/>
          <w:i/>
          <w:iCs/>
        </w:rPr>
        <w:t xml:space="preserve">P. </w:t>
      </w:r>
      <w:proofErr w:type="spellStart"/>
      <w:r w:rsidRPr="00333E28">
        <w:rPr>
          <w:rFonts w:cs="Times New Roman"/>
          <w:i/>
          <w:iCs/>
        </w:rPr>
        <w:t>trichocarpa</w:t>
      </w:r>
      <w:proofErr w:type="spellEnd"/>
      <w:r>
        <w:rPr>
          <w:rFonts w:cs="Times New Roman"/>
        </w:rPr>
        <w:t xml:space="preserve"> and </w:t>
      </w:r>
      <w:r w:rsidRPr="00333E28">
        <w:rPr>
          <w:rFonts w:cs="Times New Roman"/>
          <w:i/>
          <w:iCs/>
        </w:rPr>
        <w:t xml:space="preserve">P. </w:t>
      </w:r>
      <w:proofErr w:type="spellStart"/>
      <w:r w:rsidRPr="00333E28">
        <w:rPr>
          <w:rFonts w:cs="Times New Roman"/>
          <w:i/>
          <w:iCs/>
        </w:rPr>
        <w:t>deltoides</w:t>
      </w:r>
      <w:proofErr w:type="spellEnd"/>
      <w:r>
        <w:rPr>
          <w:rFonts w:cs="Times New Roman"/>
          <w:i/>
          <w:iCs/>
        </w:rPr>
        <w:t xml:space="preserve"> </w:t>
      </w:r>
      <w:r w:rsidRPr="00CD278A">
        <w:rPr>
          <w:rFonts w:cs="Times New Roman"/>
        </w:rPr>
        <w:t xml:space="preserve">and </w:t>
      </w:r>
      <w:r>
        <w:rPr>
          <w:rFonts w:cs="Times New Roman"/>
        </w:rPr>
        <w:t>identified</w:t>
      </w:r>
      <w:r w:rsidRPr="001B29E2">
        <w:rPr>
          <w:rFonts w:cs="Times New Roman"/>
        </w:rPr>
        <w:t xml:space="preserve"> </w:t>
      </w:r>
      <w:r>
        <w:rPr>
          <w:rFonts w:cs="Times New Roman"/>
        </w:rPr>
        <w:t xml:space="preserve">organelle derived DNA transfers to the nuclear genome. Additionally, we examined PAV for NUPTs and NUMTs between </w:t>
      </w:r>
      <w:r w:rsidRPr="00333E28">
        <w:rPr>
          <w:rFonts w:cs="Times New Roman"/>
          <w:i/>
          <w:iCs/>
        </w:rPr>
        <w:t xml:space="preserve">P. </w:t>
      </w:r>
      <w:proofErr w:type="spellStart"/>
      <w:r w:rsidRPr="00333E28">
        <w:rPr>
          <w:rFonts w:cs="Times New Roman"/>
          <w:i/>
          <w:iCs/>
        </w:rPr>
        <w:t>trichocarpa</w:t>
      </w:r>
      <w:proofErr w:type="spellEnd"/>
      <w:r>
        <w:rPr>
          <w:rFonts w:cs="Times New Roman"/>
          <w:i/>
          <w:iCs/>
        </w:rPr>
        <w:t xml:space="preserve"> </w:t>
      </w:r>
      <w:r>
        <w:rPr>
          <w:rFonts w:cs="Times New Roman"/>
        </w:rPr>
        <w:t xml:space="preserve">and </w:t>
      </w:r>
      <w:r w:rsidRPr="00333E28">
        <w:rPr>
          <w:rFonts w:cs="Times New Roman"/>
          <w:i/>
          <w:iCs/>
        </w:rPr>
        <w:t xml:space="preserve">P. </w:t>
      </w:r>
      <w:proofErr w:type="spellStart"/>
      <w:r w:rsidRPr="00333E28">
        <w:rPr>
          <w:rFonts w:cs="Times New Roman"/>
          <w:i/>
          <w:iCs/>
        </w:rPr>
        <w:t>deltoides</w:t>
      </w:r>
      <w:proofErr w:type="spellEnd"/>
      <w:r>
        <w:rPr>
          <w:rFonts w:cs="Times New Roman"/>
          <w:i/>
          <w:iCs/>
        </w:rPr>
        <w:t xml:space="preserve"> </w:t>
      </w:r>
      <w:r>
        <w:rPr>
          <w:rFonts w:cs="Times New Roman"/>
        </w:rPr>
        <w:t xml:space="preserve">and further characterized methylation and genetic distances between features which were present or absent. We also explored proteomic data in </w:t>
      </w:r>
      <w:r w:rsidRPr="00333E28">
        <w:rPr>
          <w:rFonts w:cs="Times New Roman"/>
          <w:i/>
          <w:iCs/>
        </w:rPr>
        <w:t xml:space="preserve">P. </w:t>
      </w:r>
      <w:proofErr w:type="spellStart"/>
      <w:r w:rsidRPr="00333E28">
        <w:rPr>
          <w:rFonts w:cs="Times New Roman"/>
          <w:i/>
          <w:iCs/>
        </w:rPr>
        <w:t>trichocarpa</w:t>
      </w:r>
      <w:proofErr w:type="spellEnd"/>
      <w:r>
        <w:rPr>
          <w:rFonts w:cs="Times New Roman"/>
          <w:i/>
          <w:iCs/>
        </w:rPr>
        <w:t xml:space="preserve"> </w:t>
      </w:r>
      <w:r>
        <w:rPr>
          <w:rFonts w:cs="Times New Roman"/>
        </w:rPr>
        <w:t xml:space="preserve">and transcriptome data across multiple tissues and experiments in </w:t>
      </w:r>
      <w:r w:rsidRPr="00333E28">
        <w:rPr>
          <w:rFonts w:cs="Times New Roman"/>
          <w:i/>
          <w:iCs/>
        </w:rPr>
        <w:t xml:space="preserve">P. </w:t>
      </w:r>
      <w:proofErr w:type="spellStart"/>
      <w:r w:rsidRPr="00333E28">
        <w:rPr>
          <w:rFonts w:cs="Times New Roman"/>
          <w:i/>
          <w:iCs/>
        </w:rPr>
        <w:t>trichocarpa</w:t>
      </w:r>
      <w:proofErr w:type="spellEnd"/>
      <w:r>
        <w:rPr>
          <w:rFonts w:cs="Times New Roman"/>
          <w:i/>
          <w:iCs/>
        </w:rPr>
        <w:t xml:space="preserve"> </w:t>
      </w:r>
      <w:r>
        <w:rPr>
          <w:rFonts w:cs="Times New Roman"/>
        </w:rPr>
        <w:t xml:space="preserve">and </w:t>
      </w:r>
      <w:r w:rsidRPr="00333E28">
        <w:rPr>
          <w:rFonts w:cs="Times New Roman"/>
          <w:i/>
          <w:iCs/>
        </w:rPr>
        <w:t xml:space="preserve">P. </w:t>
      </w:r>
      <w:proofErr w:type="spellStart"/>
      <w:r w:rsidRPr="00333E28">
        <w:rPr>
          <w:rFonts w:cs="Times New Roman"/>
          <w:i/>
          <w:iCs/>
        </w:rPr>
        <w:t>deltoides</w:t>
      </w:r>
      <w:proofErr w:type="spellEnd"/>
      <w:r>
        <w:rPr>
          <w:rFonts w:cs="Times New Roman"/>
          <w:i/>
          <w:iCs/>
        </w:rPr>
        <w:t xml:space="preserve"> </w:t>
      </w:r>
      <w:r>
        <w:rPr>
          <w:rFonts w:cs="Times New Roman"/>
        </w:rPr>
        <w:t xml:space="preserve">to assess expression evidence and variation of putative functional transfers from the organelle genome. Lastly, </w:t>
      </w:r>
      <w:r w:rsidRPr="005654AE">
        <w:rPr>
          <w:rFonts w:cs="Times New Roman"/>
        </w:rPr>
        <w:t xml:space="preserve">we </w:t>
      </w:r>
      <w:r>
        <w:rPr>
          <w:rFonts w:cs="Times New Roman"/>
        </w:rPr>
        <w:t xml:space="preserve">investigated the whole chloroplast integration event which is shared in </w:t>
      </w:r>
      <w:r w:rsidRPr="00333E28">
        <w:rPr>
          <w:rFonts w:cs="Times New Roman"/>
          <w:i/>
          <w:iCs/>
        </w:rPr>
        <w:t xml:space="preserve">P. </w:t>
      </w:r>
      <w:proofErr w:type="spellStart"/>
      <w:r w:rsidRPr="00333E28">
        <w:rPr>
          <w:rFonts w:cs="Times New Roman"/>
          <w:i/>
          <w:iCs/>
        </w:rPr>
        <w:t>trichocarpa</w:t>
      </w:r>
      <w:proofErr w:type="spellEnd"/>
      <w:r>
        <w:rPr>
          <w:rFonts w:cs="Times New Roman"/>
          <w:i/>
          <w:iCs/>
        </w:rPr>
        <w:t xml:space="preserve"> </w:t>
      </w:r>
      <w:r>
        <w:rPr>
          <w:rFonts w:cs="Times New Roman"/>
        </w:rPr>
        <w:t xml:space="preserve">and </w:t>
      </w:r>
      <w:r w:rsidRPr="00333E28">
        <w:rPr>
          <w:rFonts w:cs="Times New Roman"/>
          <w:i/>
          <w:iCs/>
        </w:rPr>
        <w:t xml:space="preserve">P. </w:t>
      </w:r>
      <w:proofErr w:type="spellStart"/>
      <w:r w:rsidRPr="00333E28">
        <w:rPr>
          <w:rFonts w:cs="Times New Roman"/>
          <w:i/>
          <w:iCs/>
        </w:rPr>
        <w:t>deltoides</w:t>
      </w:r>
      <w:proofErr w:type="spellEnd"/>
      <w:r>
        <w:rPr>
          <w:rFonts w:cs="Times New Roman"/>
          <w:i/>
          <w:iCs/>
        </w:rPr>
        <w:t xml:space="preserve"> </w:t>
      </w:r>
      <w:r>
        <w:rPr>
          <w:rFonts w:cs="Times New Roman"/>
        </w:rPr>
        <w:t>from comparative genomics and epigenomics perspectives.</w:t>
      </w:r>
    </w:p>
    <w:p w14:paraId="487BEFF0" w14:textId="77777777" w:rsidR="00636B5B" w:rsidRDefault="00636B5B" w:rsidP="00EE03F0">
      <w:pPr>
        <w:jc w:val="center"/>
        <w:rPr>
          <w:rFonts w:cs="Times New Roman"/>
        </w:rPr>
      </w:pPr>
    </w:p>
    <w:p w14:paraId="55B0AB85" w14:textId="77777777" w:rsidR="00636B5B" w:rsidRDefault="00636B5B" w:rsidP="00EE03F0">
      <w:pPr>
        <w:jc w:val="center"/>
        <w:rPr>
          <w:rFonts w:cs="Times New Roman"/>
          <w:b/>
          <w:bCs/>
          <w:sz w:val="28"/>
          <w:szCs w:val="28"/>
        </w:rPr>
      </w:pPr>
      <w:r>
        <w:rPr>
          <w:rFonts w:cs="Times New Roman"/>
          <w:b/>
          <w:bCs/>
          <w:sz w:val="28"/>
          <w:szCs w:val="28"/>
        </w:rPr>
        <w:t>Results</w:t>
      </w:r>
    </w:p>
    <w:p w14:paraId="75B0E547" w14:textId="77777777" w:rsidR="00636B5B" w:rsidRDefault="00636B5B" w:rsidP="00EE03F0">
      <w:pPr>
        <w:jc w:val="center"/>
        <w:rPr>
          <w:rFonts w:cs="Times New Roman"/>
          <w:b/>
          <w:bCs/>
          <w:sz w:val="28"/>
          <w:szCs w:val="28"/>
        </w:rPr>
      </w:pPr>
    </w:p>
    <w:p w14:paraId="1E58DE70" w14:textId="77777777" w:rsidR="00636B5B" w:rsidRDefault="00636B5B" w:rsidP="00EE03F0">
      <w:pPr>
        <w:rPr>
          <w:rFonts w:cs="Times New Roman"/>
          <w:b/>
          <w:bCs/>
        </w:rPr>
      </w:pPr>
      <w:r>
        <w:rPr>
          <w:rFonts w:cs="Times New Roman"/>
          <w:b/>
          <w:bCs/>
        </w:rPr>
        <w:t xml:space="preserve">Assembly and annotation of the </w:t>
      </w:r>
      <w:r w:rsidRPr="00333E28">
        <w:rPr>
          <w:rFonts w:cs="Times New Roman"/>
          <w:b/>
          <w:bCs/>
          <w:i/>
          <w:iCs/>
        </w:rPr>
        <w:t xml:space="preserve">P. </w:t>
      </w:r>
      <w:proofErr w:type="spellStart"/>
      <w:r w:rsidRPr="00333E28">
        <w:rPr>
          <w:rFonts w:cs="Times New Roman"/>
          <w:b/>
          <w:bCs/>
          <w:i/>
          <w:iCs/>
        </w:rPr>
        <w:t>trichocarpa</w:t>
      </w:r>
      <w:proofErr w:type="spellEnd"/>
      <w:r>
        <w:rPr>
          <w:rFonts w:cs="Times New Roman"/>
          <w:b/>
          <w:bCs/>
        </w:rPr>
        <w:t xml:space="preserve"> mitochondrial genome and the </w:t>
      </w:r>
      <w:r w:rsidRPr="00333E28">
        <w:rPr>
          <w:rFonts w:cs="Times New Roman"/>
          <w:b/>
          <w:bCs/>
          <w:i/>
          <w:iCs/>
        </w:rPr>
        <w:t xml:space="preserve">P. </w:t>
      </w:r>
      <w:proofErr w:type="spellStart"/>
      <w:r w:rsidRPr="00333E28">
        <w:rPr>
          <w:rFonts w:cs="Times New Roman"/>
          <w:b/>
          <w:bCs/>
          <w:i/>
          <w:iCs/>
        </w:rPr>
        <w:t>deltoides</w:t>
      </w:r>
      <w:proofErr w:type="spellEnd"/>
      <w:r>
        <w:rPr>
          <w:rFonts w:cs="Times New Roman"/>
          <w:b/>
          <w:bCs/>
          <w:i/>
          <w:iCs/>
        </w:rPr>
        <w:t xml:space="preserve"> </w:t>
      </w:r>
      <w:r>
        <w:rPr>
          <w:rFonts w:cs="Times New Roman"/>
          <w:b/>
          <w:bCs/>
        </w:rPr>
        <w:t>chloroplast and mitochondrial genomes</w:t>
      </w:r>
    </w:p>
    <w:p w14:paraId="525A3C16" w14:textId="77777777" w:rsidR="00636B5B" w:rsidRDefault="00636B5B" w:rsidP="00EE03F0">
      <w:pPr>
        <w:spacing w:line="360" w:lineRule="auto"/>
        <w:rPr>
          <w:rFonts w:cs="Times New Roman"/>
          <w:b/>
          <w:bCs/>
        </w:rPr>
      </w:pPr>
      <w:r>
        <w:rPr>
          <w:rFonts w:cs="Times New Roman"/>
          <w:b/>
          <w:bCs/>
        </w:rPr>
        <w:tab/>
      </w:r>
    </w:p>
    <w:p w14:paraId="6AC00A2E" w14:textId="77777777" w:rsidR="00636B5B" w:rsidRDefault="00636B5B" w:rsidP="00EE03F0">
      <w:pPr>
        <w:spacing w:line="360" w:lineRule="auto"/>
        <w:ind w:firstLine="720"/>
        <w:rPr>
          <w:rFonts w:cs="Times New Roman"/>
        </w:rPr>
      </w:pPr>
      <w:r>
        <w:rPr>
          <w:rFonts w:cs="Times New Roman"/>
        </w:rPr>
        <w:t xml:space="preserve">The assembly of the mitochondrial and chloroplast genomes was performed with </w:t>
      </w:r>
      <w:proofErr w:type="spellStart"/>
      <w:r>
        <w:rPr>
          <w:rFonts w:cs="Times New Roman"/>
        </w:rPr>
        <w:t>Unicyler</w:t>
      </w:r>
      <w:proofErr w:type="spellEnd"/>
      <w:r>
        <w:rPr>
          <w:rFonts w:cs="Times New Roman"/>
        </w:rPr>
        <w:t xml:space="preserve">. The </w:t>
      </w:r>
      <w:r w:rsidRPr="00333E28">
        <w:rPr>
          <w:rFonts w:cs="Times New Roman"/>
          <w:i/>
          <w:iCs/>
        </w:rPr>
        <w:t xml:space="preserve">P. </w:t>
      </w:r>
      <w:proofErr w:type="spellStart"/>
      <w:r w:rsidRPr="00333E28">
        <w:rPr>
          <w:rFonts w:cs="Times New Roman"/>
          <w:i/>
          <w:iCs/>
        </w:rPr>
        <w:t>deltoides</w:t>
      </w:r>
      <w:proofErr w:type="spellEnd"/>
      <w:r>
        <w:rPr>
          <w:rFonts w:cs="Times New Roman"/>
        </w:rPr>
        <w:t xml:space="preserve"> WV94</w:t>
      </w:r>
      <w:r>
        <w:rPr>
          <w:rFonts w:cs="Times New Roman"/>
          <w:i/>
          <w:iCs/>
        </w:rPr>
        <w:t xml:space="preserve"> </w:t>
      </w:r>
      <w:r>
        <w:rPr>
          <w:rFonts w:cs="Times New Roman"/>
        </w:rPr>
        <w:t xml:space="preserve">chloroplast assembled into a single circular contig of 156,967 </w:t>
      </w:r>
      <w:r>
        <w:rPr>
          <w:rFonts w:cs="Times New Roman"/>
        </w:rPr>
        <w:lastRenderedPageBreak/>
        <w:t xml:space="preserve">bp which was slightly smaller than the publicly available </w:t>
      </w:r>
      <w:r w:rsidRPr="00333E28">
        <w:rPr>
          <w:rFonts w:cs="Times New Roman"/>
          <w:i/>
          <w:iCs/>
        </w:rPr>
        <w:t xml:space="preserve">P. </w:t>
      </w:r>
      <w:proofErr w:type="spellStart"/>
      <w:r w:rsidRPr="00333E28">
        <w:rPr>
          <w:rFonts w:cs="Times New Roman"/>
          <w:i/>
          <w:iCs/>
        </w:rPr>
        <w:t>trichocarpa</w:t>
      </w:r>
      <w:proofErr w:type="spellEnd"/>
      <w:r>
        <w:rPr>
          <w:rFonts w:cs="Times New Roman"/>
          <w:i/>
          <w:iCs/>
        </w:rPr>
        <w:t xml:space="preserve"> </w:t>
      </w:r>
      <w:r>
        <w:rPr>
          <w:rFonts w:cs="Times New Roman"/>
        </w:rPr>
        <w:t xml:space="preserve">chloroplast genome which is 157,033 bp (Figure III-1A). Nucleotide identity between the </w:t>
      </w:r>
      <w:r w:rsidRPr="00333E28">
        <w:rPr>
          <w:rFonts w:cs="Times New Roman"/>
          <w:i/>
          <w:iCs/>
        </w:rPr>
        <w:t xml:space="preserve">P. </w:t>
      </w:r>
      <w:proofErr w:type="spellStart"/>
      <w:r w:rsidRPr="00333E28">
        <w:rPr>
          <w:rFonts w:cs="Times New Roman"/>
          <w:i/>
          <w:iCs/>
        </w:rPr>
        <w:t>deltoides</w:t>
      </w:r>
      <w:proofErr w:type="spellEnd"/>
      <w:r>
        <w:rPr>
          <w:rFonts w:cs="Times New Roman"/>
          <w:i/>
          <w:iCs/>
        </w:rPr>
        <w:t xml:space="preserve"> </w:t>
      </w:r>
      <w:r>
        <w:rPr>
          <w:rFonts w:cs="Times New Roman"/>
        </w:rPr>
        <w:t>WV94</w:t>
      </w:r>
      <w:r>
        <w:rPr>
          <w:rFonts w:cs="Times New Roman"/>
          <w:i/>
          <w:iCs/>
        </w:rPr>
        <w:t xml:space="preserve"> </w:t>
      </w:r>
      <w:r>
        <w:rPr>
          <w:rFonts w:cs="Times New Roman"/>
        </w:rPr>
        <w:t xml:space="preserve">and the publicly available </w:t>
      </w:r>
      <w:r w:rsidRPr="00333E28">
        <w:rPr>
          <w:rFonts w:cs="Times New Roman"/>
          <w:i/>
          <w:iCs/>
        </w:rPr>
        <w:t xml:space="preserve">P. </w:t>
      </w:r>
      <w:proofErr w:type="spellStart"/>
      <w:r w:rsidRPr="00333E28">
        <w:rPr>
          <w:rFonts w:cs="Times New Roman"/>
          <w:i/>
          <w:iCs/>
        </w:rPr>
        <w:t>trichocarpa</w:t>
      </w:r>
      <w:proofErr w:type="spellEnd"/>
      <w:r>
        <w:rPr>
          <w:rFonts w:cs="Times New Roman"/>
          <w:i/>
          <w:iCs/>
        </w:rPr>
        <w:t xml:space="preserve"> </w:t>
      </w:r>
      <w:r>
        <w:rPr>
          <w:rFonts w:cs="Times New Roman"/>
        </w:rPr>
        <w:t xml:space="preserve">chloroplast genomes was 99.2%. Protein-coding gene numbers totaled 97 and 100 in the </w:t>
      </w:r>
      <w:r w:rsidRPr="00333E28">
        <w:rPr>
          <w:rFonts w:cs="Times New Roman"/>
          <w:i/>
          <w:iCs/>
        </w:rPr>
        <w:t xml:space="preserve">P. </w:t>
      </w:r>
      <w:proofErr w:type="spellStart"/>
      <w:r w:rsidRPr="00333E28">
        <w:rPr>
          <w:rFonts w:cs="Times New Roman"/>
          <w:i/>
          <w:iCs/>
        </w:rPr>
        <w:t>deltoides</w:t>
      </w:r>
      <w:proofErr w:type="spellEnd"/>
      <w:r>
        <w:rPr>
          <w:rFonts w:cs="Times New Roman"/>
          <w:i/>
          <w:iCs/>
        </w:rPr>
        <w:t xml:space="preserve"> </w:t>
      </w:r>
      <w:r>
        <w:rPr>
          <w:rFonts w:cs="Times New Roman"/>
        </w:rPr>
        <w:t>WV94</w:t>
      </w:r>
      <w:r>
        <w:rPr>
          <w:rFonts w:cs="Times New Roman"/>
          <w:i/>
          <w:iCs/>
        </w:rPr>
        <w:t xml:space="preserve"> </w:t>
      </w:r>
      <w:r>
        <w:rPr>
          <w:rFonts w:cs="Times New Roman"/>
        </w:rPr>
        <w:t xml:space="preserve">and publicly available </w:t>
      </w:r>
      <w:r w:rsidRPr="00333E28">
        <w:rPr>
          <w:rFonts w:cs="Times New Roman"/>
          <w:i/>
          <w:iCs/>
        </w:rPr>
        <w:t xml:space="preserve">P. </w:t>
      </w:r>
      <w:proofErr w:type="spellStart"/>
      <w:r w:rsidRPr="00333E28">
        <w:rPr>
          <w:rFonts w:cs="Times New Roman"/>
          <w:i/>
          <w:iCs/>
        </w:rPr>
        <w:t>trichocarpa</w:t>
      </w:r>
      <w:proofErr w:type="spellEnd"/>
      <w:r>
        <w:rPr>
          <w:rFonts w:cs="Times New Roman"/>
          <w:i/>
          <w:iCs/>
        </w:rPr>
        <w:t xml:space="preserve"> </w:t>
      </w:r>
      <w:r>
        <w:rPr>
          <w:rFonts w:cs="Times New Roman"/>
        </w:rPr>
        <w:t xml:space="preserve">chloroplast genomes, respectively. Additionally, the numbers of RNA genes were identical as both genomes had 8 rRNA and 37 tRNA. We explored the phylogenetic relationship of the </w:t>
      </w:r>
      <w:r w:rsidRPr="00333E28">
        <w:rPr>
          <w:rFonts w:cs="Times New Roman"/>
          <w:i/>
          <w:iCs/>
        </w:rPr>
        <w:t xml:space="preserve">P. </w:t>
      </w:r>
      <w:proofErr w:type="spellStart"/>
      <w:r w:rsidRPr="00333E28">
        <w:rPr>
          <w:rFonts w:cs="Times New Roman"/>
          <w:i/>
          <w:iCs/>
        </w:rPr>
        <w:t>deltoides</w:t>
      </w:r>
      <w:proofErr w:type="spellEnd"/>
      <w:r>
        <w:rPr>
          <w:rFonts w:cs="Times New Roman"/>
          <w:i/>
          <w:iCs/>
        </w:rPr>
        <w:t xml:space="preserve"> </w:t>
      </w:r>
      <w:r>
        <w:rPr>
          <w:rFonts w:cs="Times New Roman"/>
        </w:rPr>
        <w:t xml:space="preserve">WV94 chloroplast genome to 38 other </w:t>
      </w:r>
      <w:r>
        <w:rPr>
          <w:rFonts w:cs="Times New Roman"/>
          <w:i/>
          <w:iCs/>
        </w:rPr>
        <w:t xml:space="preserve">Populus </w:t>
      </w:r>
      <w:r>
        <w:rPr>
          <w:rFonts w:cs="Times New Roman"/>
        </w:rPr>
        <w:t xml:space="preserve">species (Table III-S1) based on the alignment of single copy orthologs (Figure III-1B). Our phylogenomic analysis was consistent with previous analyses </w:t>
      </w:r>
      <w:r>
        <w:rPr>
          <w:rFonts w:cs="Times New Roman"/>
        </w:rPr>
        <w:fldChar w:fldCharType="begin" w:fldLock="1"/>
      </w:r>
      <w:r>
        <w:rPr>
          <w:rFonts w:cs="Times New Roman"/>
        </w:rPr>
        <w:instrText>ADDIN CSL_CITATION {"citationItems":[{"id":"ITEM-1","itemData":{"DOI":"10.3389/fpls.2017.01050","ISSN":"1664462X","abstract":"Chloroplast genomes of plants are highly conserved in both gene order and gene content. Analysis of the whole chloroplast genome is known to provide much more informative DNA sites and thus generates high resolution for plant phylogenies. Here, we report the complete chloroplast genomes of three Salix species in family Salicaceae. Phylogeny of Salicaceae inferred from complete chloroplast genomes is generally consistent with previous studies but resolved with higher statistical support. Incongruences of phylogeny, however, are observed in genus Populus, which most likely results from homoplasy. By comparing three Salix chloroplast genomes with the published chloroplast genomes of other Salicaceae species, we demonstrate that the synteny and length of chloroplast genomes in Salicaceae are highly conserved but experienced dynamic evolution among species. We identify seven positively selected chloroplast genes in Salicaceae, which might be related to the adaptive evolution of Salicaceae species. Comparative chloroplast genome analysis within the family also indicates that some chloroplast genes are lost or became pseudogenes, infer that the chloroplast genes horizontally transferred to the nucleus genome. Based on the complete nucleus genome sequences from two Salicaceae species, we remarkably identify that the entire chloroplast genome is indeed transferred and integrated to the nucleus genome in the individual of the reference genome of P. trichocarpa at least once. This observation, along with presence of the large nuclear plastid DNA (NUPTs) and NUPTs-containing multiple chloroplast genes in their original order in the chloroplast genome, favors the DNA-mediated hypothesis of organelle to nucleus DNA transfer. Overall, the phylogenomic analysis using chloroplast complete genomes clearly elucidates the phylogeny of Salicaceae. The identification of positively selected chloroplast genes and dynamic chloroplast-to-nucleus gene transfers in Salicaceae provide resources to better understand the successful adaptation of Salicaceae species.","author":[{"dropping-particle":"","family":"Huang","given":"Yuan","non-dropping-particle":"","parse-names":false,"suffix":""},{"dropping-particle":"","family":"Wang","given":"Jun","non-dropping-particle":"","parse-names":false,"suffix":""},{"dropping-particle":"","family":"Yang","given":"Yongping","non-dropping-particle":"","parse-names":false,"suffix":""},{"dropping-particle":"","family":"Fan","given":"Chuanzhu","non-dropping-particle":"","parse-names":false,"suffix":""},{"dropping-particle":"","family":"Chen","given":"Jiahui","non-dropping-particle":"","parse-names":false,"suffix":""}],"container-title":"Frontiers in Plant Science","id":"ITEM-1","issue":"June","issued":{"date-parts":[["2017"]]},"page":"1-13","title":"Phylogenomic analysis and dynamic evolution of chloroplast genomes in salicaceae","type":"article-journal","volume":"8"},"uris":["http://www.mendeley.com/documents/?uuid=9ac21e2f-6e3f-4ac6-accc-519fbac0dffb"]},{"id":"ITEM-2","itemData":{"DOI":"10.1016/j.bse.2015.09.020","ISSN":"03051978","abstract":"Section Leuce Duby (Populus, Salicaceae) is an important taxon among the 6 sections in the genus Populus. Although biological and taxonomic studies has greatly improved our understanding of this section, the phylogenetic relationships among the species of section Leuce remain uncertain due in part to the limited number of loci for analysis. In the present study, 34 chloroplast DNA fragments, which included 22 new chloroplast DNA fragments as well as 12 chloroplast DNA fragments used previously, were applied to explore interspecific relationships in this section. The inclusion of additional chloroplast DNA fragments recovered a well-resolved phylogeny of section Leuce. According to our phylogenetic tree, (1) we can confirm the monophyly of section Leuce and two sister clade subdivisions; (2) P. tremula L. shows closer affinity to P. davidiana Dode than other species, which has previously been a source of debate; (3) P. tremuloides Michx. and P. grandidentata Michx. form sister subclades; and (4) we propose that the previously unresolved phylogeny of section Leuce is most likely due to insufficient data. Our phylogenetic analysis successfully resolved the phylogeny of section Leuce using a sufficient dataset. This study provides an important foundation for evolutionary studies and for the effective utilization of the wild germplasm resources of section Leuce.","author":[{"dropping-particle":"","family":"Wang","given":"Dongsheng","non-dropping-particle":"","parse-names":false,"suffix":""},{"dropping-particle":"","family":"Wang","given":"Zhaoshan","non-dropping-particle":"","parse-names":false,"suffix":""},{"dropping-particle":"","family":"Du","given":"Shuhui","non-dropping-particle":"","parse-names":false,"suffix":""},{"dropping-particle":"","family":"Zhang","given":"Jianguo","non-dropping-particle":"","parse-names":false,"suffix":""}],"container-title":"Biochemical Systematics and Ecology","id":"ITEM-2","issued":{"date-parts":[["2015"]]},"page":"212-217","publisher":"Elsevier Ltd","title":"Phylogeny of section Leuce (Populus, Salicaceae) inferred from 34 chloroplast DNA fragments","type":"article-journal","volume":"63"},"uris":["http://www.mendeley.com/documents/?uuid=9835b5e8-ca0b-467d-bd3c-7dda24aee7fd"]}],"mendeley":{"formattedCitation":"(Y. Huang, Wang, Yang, Fan, &amp; Chen, 2017; Dongsheng Wang, Wang, Du, &amp; Zhang, 2015)","manualFormatting":"(Y. Huang et al., 2017; Wang et al., 2015)","plainTextFormattedCitation":"(Y. Huang, Wang, Yang, Fan, &amp; Chen, 2017; Dongsheng Wang, Wang, Du, &amp; Zhang, 2015)","previouslyFormattedCitation":"(Huang et al. 2017; Wang et al. 2015)"},"properties":{"noteIndex":0},"schema":"https://github.com/citation-style-language/schema/raw/master/csl-citation.json"}</w:instrText>
      </w:r>
      <w:r>
        <w:rPr>
          <w:rFonts w:cs="Times New Roman"/>
        </w:rPr>
        <w:fldChar w:fldCharType="separate"/>
      </w:r>
      <w:r w:rsidRPr="0040630A">
        <w:rPr>
          <w:rFonts w:cs="Times New Roman"/>
          <w:noProof/>
        </w:rPr>
        <w:t>(Y. Huang</w:t>
      </w:r>
      <w:r>
        <w:rPr>
          <w:rFonts w:cs="Times New Roman"/>
          <w:noProof/>
        </w:rPr>
        <w:t xml:space="preserve"> et al.</w:t>
      </w:r>
      <w:r w:rsidRPr="0040630A">
        <w:rPr>
          <w:rFonts w:cs="Times New Roman"/>
          <w:noProof/>
        </w:rPr>
        <w:t>, 2017; Wang</w:t>
      </w:r>
      <w:r>
        <w:rPr>
          <w:rFonts w:cs="Times New Roman"/>
          <w:noProof/>
        </w:rPr>
        <w:t xml:space="preserve"> et al.,</w:t>
      </w:r>
      <w:r w:rsidRPr="0040630A">
        <w:rPr>
          <w:rFonts w:cs="Times New Roman"/>
          <w:noProof/>
        </w:rPr>
        <w:t xml:space="preserve"> 2015)</w:t>
      </w:r>
      <w:r>
        <w:rPr>
          <w:rFonts w:cs="Times New Roman"/>
        </w:rPr>
        <w:fldChar w:fldCharType="end"/>
      </w:r>
      <w:r>
        <w:rPr>
          <w:rFonts w:cs="Times New Roman"/>
        </w:rPr>
        <w:t>.  We observed clades specific to the new world (</w:t>
      </w:r>
      <w:r w:rsidRPr="00333E28">
        <w:rPr>
          <w:rFonts w:cs="Times New Roman"/>
          <w:i/>
          <w:iCs/>
        </w:rPr>
        <w:t xml:space="preserve">P. </w:t>
      </w:r>
      <w:proofErr w:type="spellStart"/>
      <w:r w:rsidRPr="00333E28">
        <w:rPr>
          <w:rFonts w:cs="Times New Roman"/>
          <w:i/>
          <w:iCs/>
        </w:rPr>
        <w:t>trichocarpa</w:t>
      </w:r>
      <w:proofErr w:type="spellEnd"/>
      <w:r>
        <w:rPr>
          <w:rFonts w:cs="Times New Roman"/>
          <w:i/>
          <w:iCs/>
        </w:rPr>
        <w:t xml:space="preserve">, P. </w:t>
      </w:r>
      <w:proofErr w:type="spellStart"/>
      <w:r>
        <w:rPr>
          <w:rFonts w:cs="Times New Roman"/>
          <w:i/>
          <w:iCs/>
        </w:rPr>
        <w:t>fremontii</w:t>
      </w:r>
      <w:proofErr w:type="spellEnd"/>
      <w:r>
        <w:rPr>
          <w:rFonts w:cs="Times New Roman"/>
          <w:i/>
          <w:iCs/>
        </w:rPr>
        <w:t xml:space="preserve">, P. balsamifera, </w:t>
      </w:r>
      <w:r>
        <w:rPr>
          <w:rFonts w:cs="Times New Roman"/>
        </w:rPr>
        <w:t xml:space="preserve">and </w:t>
      </w:r>
      <w:r w:rsidRPr="00333E28">
        <w:rPr>
          <w:rFonts w:cs="Times New Roman"/>
          <w:i/>
          <w:iCs/>
        </w:rPr>
        <w:t xml:space="preserve">P. </w:t>
      </w:r>
      <w:proofErr w:type="spellStart"/>
      <w:r w:rsidRPr="00333E28">
        <w:rPr>
          <w:rFonts w:cs="Times New Roman"/>
          <w:i/>
          <w:iCs/>
        </w:rPr>
        <w:t>deltoides</w:t>
      </w:r>
      <w:proofErr w:type="spellEnd"/>
      <w:r>
        <w:rPr>
          <w:rFonts w:cs="Times New Roman"/>
        </w:rPr>
        <w:t>) and old world (</w:t>
      </w:r>
      <w:r>
        <w:rPr>
          <w:rFonts w:cs="Times New Roman"/>
          <w:i/>
          <w:iCs/>
        </w:rPr>
        <w:t xml:space="preserve">P. </w:t>
      </w:r>
      <w:proofErr w:type="spellStart"/>
      <w:r>
        <w:rPr>
          <w:rFonts w:cs="Times New Roman"/>
          <w:i/>
          <w:iCs/>
        </w:rPr>
        <w:t>tremula</w:t>
      </w:r>
      <w:proofErr w:type="spellEnd"/>
      <w:r>
        <w:rPr>
          <w:rFonts w:cs="Times New Roman"/>
          <w:i/>
          <w:iCs/>
        </w:rPr>
        <w:t xml:space="preserve">, P. alba, P. </w:t>
      </w:r>
      <w:proofErr w:type="spellStart"/>
      <w:r>
        <w:rPr>
          <w:rFonts w:cs="Times New Roman"/>
          <w:i/>
          <w:iCs/>
        </w:rPr>
        <w:t>euphratica</w:t>
      </w:r>
      <w:proofErr w:type="spellEnd"/>
      <w:r>
        <w:rPr>
          <w:rFonts w:cs="Times New Roman"/>
          <w:i/>
          <w:iCs/>
        </w:rPr>
        <w:t>,</w:t>
      </w:r>
      <w:r>
        <w:rPr>
          <w:rFonts w:cs="Times New Roman"/>
        </w:rPr>
        <w:t xml:space="preserve"> and </w:t>
      </w:r>
      <w:r>
        <w:rPr>
          <w:rFonts w:cs="Times New Roman"/>
          <w:i/>
          <w:iCs/>
        </w:rPr>
        <w:t xml:space="preserve">P. </w:t>
      </w:r>
      <w:proofErr w:type="spellStart"/>
      <w:r>
        <w:rPr>
          <w:rFonts w:cs="Times New Roman"/>
          <w:i/>
          <w:iCs/>
        </w:rPr>
        <w:t>davidiana</w:t>
      </w:r>
      <w:proofErr w:type="spellEnd"/>
      <w:r>
        <w:rPr>
          <w:rFonts w:cs="Times New Roman"/>
        </w:rPr>
        <w:t xml:space="preserve">) </w:t>
      </w:r>
      <w:r>
        <w:rPr>
          <w:rFonts w:cs="Times New Roman"/>
          <w:i/>
          <w:iCs/>
        </w:rPr>
        <w:t xml:space="preserve">Populus </w:t>
      </w:r>
      <w:r>
        <w:rPr>
          <w:rFonts w:cs="Times New Roman"/>
        </w:rPr>
        <w:t xml:space="preserve">species. </w:t>
      </w:r>
    </w:p>
    <w:p w14:paraId="64538005" w14:textId="77777777" w:rsidR="00636B5B" w:rsidRDefault="00636B5B" w:rsidP="00EE03F0">
      <w:pPr>
        <w:spacing w:line="360" w:lineRule="auto"/>
        <w:rPr>
          <w:rFonts w:cs="Times New Roman"/>
        </w:rPr>
      </w:pPr>
      <w:r>
        <w:rPr>
          <w:rFonts w:cs="Times New Roman"/>
        </w:rPr>
        <w:tab/>
        <w:t xml:space="preserve">The </w:t>
      </w:r>
      <w:r w:rsidRPr="00333E28">
        <w:rPr>
          <w:rFonts w:cs="Times New Roman"/>
          <w:i/>
          <w:iCs/>
        </w:rPr>
        <w:t xml:space="preserve">P. </w:t>
      </w:r>
      <w:proofErr w:type="spellStart"/>
      <w:r w:rsidRPr="00333E28">
        <w:rPr>
          <w:rFonts w:cs="Times New Roman"/>
          <w:i/>
          <w:iCs/>
        </w:rPr>
        <w:t>trichocarpa</w:t>
      </w:r>
      <w:proofErr w:type="spellEnd"/>
      <w:r>
        <w:rPr>
          <w:rFonts w:cs="Times New Roman"/>
          <w:i/>
          <w:iCs/>
        </w:rPr>
        <w:t xml:space="preserve"> </w:t>
      </w:r>
      <w:r>
        <w:rPr>
          <w:rFonts w:cs="Times New Roman"/>
        </w:rPr>
        <w:t xml:space="preserve">and </w:t>
      </w:r>
      <w:r w:rsidRPr="00333E28">
        <w:rPr>
          <w:rFonts w:cs="Times New Roman"/>
          <w:i/>
          <w:iCs/>
        </w:rPr>
        <w:t xml:space="preserve">P. </w:t>
      </w:r>
      <w:proofErr w:type="spellStart"/>
      <w:r w:rsidRPr="00333E28">
        <w:rPr>
          <w:rFonts w:cs="Times New Roman"/>
          <w:i/>
          <w:iCs/>
        </w:rPr>
        <w:t>deltoides</w:t>
      </w:r>
      <w:proofErr w:type="spellEnd"/>
      <w:r>
        <w:rPr>
          <w:rFonts w:cs="Times New Roman"/>
          <w:i/>
          <w:iCs/>
        </w:rPr>
        <w:t xml:space="preserve"> </w:t>
      </w:r>
      <w:r>
        <w:rPr>
          <w:rFonts w:cs="Times New Roman"/>
        </w:rPr>
        <w:t xml:space="preserve">mitochondria genomes assembled into three circular contigs. However, in both assemblies, the full ‘master circle’ which contains the complete mitochondrial sequence content and is generated through intermolecular recombination of </w:t>
      </w:r>
      <w:proofErr w:type="spellStart"/>
      <w:r>
        <w:rPr>
          <w:rFonts w:cs="Times New Roman"/>
        </w:rPr>
        <w:t>subgenomic</w:t>
      </w:r>
      <w:proofErr w:type="spellEnd"/>
      <w:r>
        <w:rPr>
          <w:rFonts w:cs="Times New Roman"/>
        </w:rPr>
        <w:t xml:space="preserve"> circles could not be recovered. It is clear through whole genome self-alignment that repeat regions are shared between the three </w:t>
      </w:r>
      <w:proofErr w:type="spellStart"/>
      <w:r>
        <w:rPr>
          <w:rFonts w:cs="Times New Roman"/>
        </w:rPr>
        <w:t>subgenomic</w:t>
      </w:r>
      <w:proofErr w:type="spellEnd"/>
      <w:r>
        <w:rPr>
          <w:rFonts w:cs="Times New Roman"/>
        </w:rPr>
        <w:t xml:space="preserve"> circles in both </w:t>
      </w:r>
      <w:r w:rsidRPr="00333E28">
        <w:rPr>
          <w:rFonts w:cs="Times New Roman"/>
          <w:i/>
          <w:iCs/>
        </w:rPr>
        <w:t xml:space="preserve">P. </w:t>
      </w:r>
      <w:proofErr w:type="spellStart"/>
      <w:r w:rsidRPr="00333E28">
        <w:rPr>
          <w:rFonts w:cs="Times New Roman"/>
          <w:i/>
          <w:iCs/>
        </w:rPr>
        <w:t>trichocarpa</w:t>
      </w:r>
      <w:proofErr w:type="spellEnd"/>
      <w:r>
        <w:rPr>
          <w:rFonts w:cs="Times New Roman"/>
          <w:i/>
          <w:iCs/>
        </w:rPr>
        <w:t xml:space="preserve"> </w:t>
      </w:r>
      <w:r>
        <w:rPr>
          <w:rFonts w:cs="Times New Roman"/>
        </w:rPr>
        <w:t xml:space="preserve">and </w:t>
      </w:r>
      <w:r w:rsidRPr="00333E28">
        <w:rPr>
          <w:rFonts w:cs="Times New Roman"/>
          <w:i/>
          <w:iCs/>
        </w:rPr>
        <w:t xml:space="preserve">P. </w:t>
      </w:r>
      <w:proofErr w:type="spellStart"/>
      <w:r w:rsidRPr="00333E28">
        <w:rPr>
          <w:rFonts w:cs="Times New Roman"/>
          <w:i/>
          <w:iCs/>
        </w:rPr>
        <w:t>deltoides</w:t>
      </w:r>
      <w:proofErr w:type="spellEnd"/>
      <w:r>
        <w:rPr>
          <w:rFonts w:cs="Times New Roman"/>
        </w:rPr>
        <w:t xml:space="preserve"> (Figure III-1C, III-1D, III-S1, III-S2) which further supports the ‘master circle’ model. However, if there was a ‘master circle’, it should have been recovered </w:t>
      </w:r>
      <w:proofErr w:type="gramStart"/>
      <w:r>
        <w:rPr>
          <w:rFonts w:cs="Times New Roman"/>
        </w:rPr>
        <w:t>as a result of</w:t>
      </w:r>
      <w:proofErr w:type="gramEnd"/>
      <w:r>
        <w:rPr>
          <w:rFonts w:cs="Times New Roman"/>
        </w:rPr>
        <w:t xml:space="preserve"> the hybrid assembly method which used long and short reads.  Multipartite mitochondria structures have been documented previously. Notably, the genus </w:t>
      </w:r>
      <w:r>
        <w:rPr>
          <w:rFonts w:cs="Times New Roman"/>
          <w:i/>
          <w:iCs/>
        </w:rPr>
        <w:t xml:space="preserve">Silene </w:t>
      </w:r>
      <w:r>
        <w:rPr>
          <w:rFonts w:cs="Times New Roman"/>
        </w:rPr>
        <w:t xml:space="preserve">has very large mitogenome sizes made up of large numbers of </w:t>
      </w:r>
      <w:proofErr w:type="spellStart"/>
      <w:r>
        <w:rPr>
          <w:rFonts w:cs="Times New Roman"/>
        </w:rPr>
        <w:t>subgenomic</w:t>
      </w:r>
      <w:proofErr w:type="spellEnd"/>
      <w:r>
        <w:rPr>
          <w:rFonts w:cs="Times New Roman"/>
        </w:rPr>
        <w:t xml:space="preserve"> circles, the largest being </w:t>
      </w:r>
      <w:r>
        <w:rPr>
          <w:rFonts w:cs="Times New Roman"/>
          <w:i/>
          <w:iCs/>
        </w:rPr>
        <w:t xml:space="preserve">S. </w:t>
      </w:r>
      <w:proofErr w:type="spellStart"/>
      <w:r>
        <w:rPr>
          <w:rFonts w:cs="Times New Roman"/>
          <w:i/>
          <w:iCs/>
        </w:rPr>
        <w:t>conica</w:t>
      </w:r>
      <w:proofErr w:type="spellEnd"/>
      <w:r>
        <w:rPr>
          <w:rFonts w:cs="Times New Roman"/>
          <w:i/>
          <w:iCs/>
        </w:rPr>
        <w:t xml:space="preserve"> </w:t>
      </w:r>
      <w:r>
        <w:rPr>
          <w:rFonts w:cs="Times New Roman"/>
        </w:rPr>
        <w:t xml:space="preserve">with a 11.3 Mb mitogenome comprised of 128 circular </w:t>
      </w:r>
      <w:proofErr w:type="spellStart"/>
      <w:r>
        <w:rPr>
          <w:rFonts w:cs="Times New Roman"/>
        </w:rPr>
        <w:t>subgenomes</w:t>
      </w:r>
      <w:proofErr w:type="spellEnd"/>
      <w:r>
        <w:rPr>
          <w:rFonts w:cs="Times New Roman"/>
        </w:rPr>
        <w:t xml:space="preserve"> </w:t>
      </w:r>
      <w:r>
        <w:rPr>
          <w:rFonts w:cs="Times New Roman"/>
        </w:rPr>
        <w:fldChar w:fldCharType="begin" w:fldLock="1"/>
      </w:r>
      <w:r>
        <w:rPr>
          <w:rFonts w:cs="Times New Roman"/>
        </w:rPr>
        <w:instrText>ADDIN CSL_CITATION {"citationItems":[{"id":"ITEM-1","itemData":{"DOI":"10.1371/journal.pbio.1001241","ISSN":"15449173","PMID":"22272183","abstract":"Genome size and complexity vary tremendously among eukaryotic species and their organelles. Comparisons across deeply divergent eukaryotic lineages have suggested that variation in mutation rates may explain this diversity, with increased mutational burdens favoring reduced genome size and complexity. The discovery that mitochondrial mutation rates can differ by orders of magnitude among closely related angiosperm species presents a unique opportunity to test this hypothesis. We sequenced the mitochondrial genomes from two species in the angiosperm genus Silene with recent and dramatic accelerations in their mitochondrial mutation rates. Contrary to theoretical predictions, these genomes have experienced a massive proliferation of noncoding content. At 6.7 and 11.3 Mb, they are by far the largest known mitochondrial genomes, larger than most bacterial genomes and even some nuclear genomes. In contrast, two slowly evolving Silene mitochondrial genomes are smaller than average for angiosperms. Consequently, this genus captures approximately 98% of known variation in organelle genome size. The expanded genomes reveal several architectural changes, including the evolution of complex multichromosomal structures (with 59 and 128 circular-mapping chromosomes, ranging in size from 44 to 192 kb). They also exhibit a substantial reduction in recombination and gene conversion activity as measured by the relative frequency of alternative genome conformations and the level of sequence divergence between repeat copies. The evolution of mutation rate, genome size, and chromosome structure can therefore be extremely rapid and interrelated in ways not predicted by current evolutionary theories. Our results raise the hypothesis that changes in recombinational processes, including gene conversion, may be a central force driving the evolution of both mutation rate and genome structure. © 2012 Sloan et al.","author":[{"dropping-particle":"","family":"Sloan","given":"Daniel B.","non-dropping-particle":"","parse-names":false,"suffix":""},{"dropping-particle":"","family":"Alverson","given":"Andrew J.","non-dropping-particle":"","parse-names":false,"suffix":""},{"dropping-particle":"","family":"Chuckalovcak","given":"John P.","non-dropping-particle":"","parse-names":false,"suffix":""},{"dropping-particle":"","family":"Wu","given":"Martin","non-dropping-particle":"","parse-names":false,"suffix":""},{"dropping-particle":"","family":"McCauley","given":"David E.","non-dropping-particle":"","parse-names":false,"suffix":""},{"dropping-particle":"","family":"Palmer","given":"Jeffrey D.","non-dropping-particle":"","parse-names":false,"suffix":""},{"dropping-particle":"","family":"Taylor","given":"Douglas R.","non-dropping-particle":"","parse-names":false,"suffix":""}],"container-title":"PLoS Biology","id":"ITEM-1","issue":"1","issued":{"date-parts":[["2012"]]},"title":"Rapid evolution of enormous, multichromosomal genomes in flowering plant mitochondria with exceptionally high mutation rates","type":"article-journal","volume":"10"},"uris":["http://www.mendeley.com/documents/?uuid=c86dafd2-64f1-4192-b5b6-6f9b94a3e8f7"]}],"mendeley":{"formattedCitation":"(Sloan et al., 2012)","plainTextFormattedCitation":"(Sloan et al., 2012)","previouslyFormattedCitation":"(Sloan et al. 2012)"},"properties":{"noteIndex":0},"schema":"https://github.com/citation-style-language/schema/raw/master/csl-citation.json"}</w:instrText>
      </w:r>
      <w:r>
        <w:rPr>
          <w:rFonts w:cs="Times New Roman"/>
        </w:rPr>
        <w:fldChar w:fldCharType="separate"/>
      </w:r>
      <w:r w:rsidRPr="00EE03F0">
        <w:rPr>
          <w:rFonts w:cs="Times New Roman"/>
          <w:noProof/>
        </w:rPr>
        <w:t>(Sloan et al., 2012)</w:t>
      </w:r>
      <w:r>
        <w:rPr>
          <w:rFonts w:cs="Times New Roman"/>
        </w:rPr>
        <w:fldChar w:fldCharType="end"/>
      </w:r>
      <w:r>
        <w:rPr>
          <w:rFonts w:cs="Times New Roman"/>
        </w:rPr>
        <w:t xml:space="preserve">. The total size of the assemblies for </w:t>
      </w:r>
      <w:r w:rsidRPr="00333E28">
        <w:rPr>
          <w:rFonts w:cs="Times New Roman"/>
          <w:i/>
          <w:iCs/>
        </w:rPr>
        <w:t xml:space="preserve">P. </w:t>
      </w:r>
      <w:proofErr w:type="spellStart"/>
      <w:r w:rsidRPr="00333E28">
        <w:rPr>
          <w:rFonts w:cs="Times New Roman"/>
          <w:i/>
          <w:iCs/>
        </w:rPr>
        <w:t>trichocarpa</w:t>
      </w:r>
      <w:proofErr w:type="spellEnd"/>
      <w:r>
        <w:rPr>
          <w:rFonts w:cs="Times New Roman"/>
          <w:i/>
          <w:iCs/>
        </w:rPr>
        <w:t xml:space="preserve"> </w:t>
      </w:r>
      <w:r>
        <w:rPr>
          <w:rFonts w:cs="Times New Roman"/>
        </w:rPr>
        <w:t xml:space="preserve">and </w:t>
      </w:r>
      <w:r w:rsidRPr="00333E28">
        <w:rPr>
          <w:rFonts w:cs="Times New Roman"/>
          <w:i/>
          <w:iCs/>
        </w:rPr>
        <w:t xml:space="preserve">P. </w:t>
      </w:r>
      <w:proofErr w:type="spellStart"/>
      <w:r w:rsidRPr="00333E28">
        <w:rPr>
          <w:rFonts w:cs="Times New Roman"/>
          <w:i/>
          <w:iCs/>
        </w:rPr>
        <w:t>deltoides</w:t>
      </w:r>
      <w:proofErr w:type="spellEnd"/>
      <w:r>
        <w:rPr>
          <w:rFonts w:cs="Times New Roman"/>
        </w:rPr>
        <w:t xml:space="preserve"> was 804,157 bp and 802,312 bp, respectively. Nucleotide identity between the two mitochondrial genomes was 99.84%. Gene content was highly similar between the two assemblies, with both having 3 rRNA and 21 tRNA genes. </w:t>
      </w:r>
      <w:r w:rsidRPr="00333E28">
        <w:rPr>
          <w:rFonts w:cs="Times New Roman"/>
          <w:i/>
          <w:iCs/>
        </w:rPr>
        <w:t xml:space="preserve">P. </w:t>
      </w:r>
      <w:proofErr w:type="spellStart"/>
      <w:r w:rsidRPr="00333E28">
        <w:rPr>
          <w:rFonts w:cs="Times New Roman"/>
          <w:i/>
          <w:iCs/>
        </w:rPr>
        <w:t>deltoides</w:t>
      </w:r>
      <w:proofErr w:type="spellEnd"/>
      <w:r>
        <w:rPr>
          <w:rFonts w:cs="Times New Roman"/>
          <w:i/>
          <w:iCs/>
        </w:rPr>
        <w:t xml:space="preserve"> </w:t>
      </w:r>
      <w:r>
        <w:rPr>
          <w:rFonts w:cs="Times New Roman"/>
        </w:rPr>
        <w:t xml:space="preserve">had 51 protein-coding genes while </w:t>
      </w:r>
      <w:r w:rsidRPr="00333E28">
        <w:rPr>
          <w:rFonts w:cs="Times New Roman"/>
          <w:i/>
          <w:iCs/>
        </w:rPr>
        <w:t xml:space="preserve">P. </w:t>
      </w:r>
      <w:proofErr w:type="spellStart"/>
      <w:r w:rsidRPr="00333E28">
        <w:rPr>
          <w:rFonts w:cs="Times New Roman"/>
          <w:i/>
          <w:iCs/>
        </w:rPr>
        <w:t>trichocarpa</w:t>
      </w:r>
      <w:proofErr w:type="spellEnd"/>
      <w:r>
        <w:rPr>
          <w:rFonts w:cs="Times New Roman"/>
          <w:i/>
          <w:iCs/>
        </w:rPr>
        <w:t xml:space="preserve"> </w:t>
      </w:r>
      <w:r>
        <w:rPr>
          <w:rFonts w:cs="Times New Roman"/>
        </w:rPr>
        <w:t xml:space="preserve">had 52. This difference in protein-coding gene number occurred at a locus on </w:t>
      </w:r>
      <w:proofErr w:type="spellStart"/>
      <w:r>
        <w:rPr>
          <w:rFonts w:cs="Times New Roman"/>
        </w:rPr>
        <w:t>subgenome</w:t>
      </w:r>
      <w:proofErr w:type="spellEnd"/>
      <w:r>
        <w:rPr>
          <w:rFonts w:cs="Times New Roman"/>
        </w:rPr>
        <w:t xml:space="preserve"> 2 for a hypothetical protein-coding gene. Although gene numbers are very similar, some variation was present in the presence and absence of hypothetical protein-coding genes. On </w:t>
      </w:r>
      <w:proofErr w:type="spellStart"/>
      <w:r>
        <w:rPr>
          <w:rFonts w:cs="Times New Roman"/>
        </w:rPr>
        <w:t>subgenomes</w:t>
      </w:r>
      <w:proofErr w:type="spellEnd"/>
      <w:r>
        <w:rPr>
          <w:rFonts w:cs="Times New Roman"/>
        </w:rPr>
        <w:t xml:space="preserve"> 2 in </w:t>
      </w:r>
      <w:r w:rsidRPr="00333E28">
        <w:rPr>
          <w:rFonts w:cs="Times New Roman"/>
          <w:i/>
          <w:iCs/>
        </w:rPr>
        <w:t xml:space="preserve">P. </w:t>
      </w:r>
      <w:proofErr w:type="spellStart"/>
      <w:r w:rsidRPr="00333E28">
        <w:rPr>
          <w:rFonts w:cs="Times New Roman"/>
          <w:i/>
          <w:iCs/>
        </w:rPr>
        <w:t>trichocarpa</w:t>
      </w:r>
      <w:proofErr w:type="spellEnd"/>
      <w:r>
        <w:rPr>
          <w:rFonts w:cs="Times New Roman"/>
          <w:i/>
          <w:iCs/>
        </w:rPr>
        <w:t xml:space="preserve"> </w:t>
      </w:r>
      <w:r>
        <w:rPr>
          <w:rFonts w:cs="Times New Roman"/>
        </w:rPr>
        <w:t xml:space="preserve">and </w:t>
      </w:r>
      <w:r w:rsidRPr="00333E28">
        <w:rPr>
          <w:rFonts w:cs="Times New Roman"/>
          <w:i/>
          <w:iCs/>
        </w:rPr>
        <w:t xml:space="preserve">P. </w:t>
      </w:r>
      <w:proofErr w:type="spellStart"/>
      <w:r w:rsidRPr="00333E28">
        <w:rPr>
          <w:rFonts w:cs="Times New Roman"/>
          <w:i/>
          <w:iCs/>
        </w:rPr>
        <w:t>deltoides</w:t>
      </w:r>
      <w:proofErr w:type="spellEnd"/>
      <w:r>
        <w:rPr>
          <w:rFonts w:cs="Times New Roman"/>
          <w:i/>
          <w:iCs/>
        </w:rPr>
        <w:t xml:space="preserve"> </w:t>
      </w:r>
      <w:r>
        <w:rPr>
          <w:rFonts w:cs="Times New Roman"/>
        </w:rPr>
        <w:t xml:space="preserve">there were two hypothetical protein-coding genes which were absent at the expected position in each respective species. Similarly, on </w:t>
      </w:r>
      <w:proofErr w:type="spellStart"/>
      <w:r>
        <w:rPr>
          <w:rFonts w:cs="Times New Roman"/>
        </w:rPr>
        <w:t>subgenome</w:t>
      </w:r>
      <w:proofErr w:type="spellEnd"/>
      <w:r>
        <w:rPr>
          <w:rFonts w:cs="Times New Roman"/>
        </w:rPr>
        <w:t xml:space="preserve"> 3, there was one hypothetical protein-coding gene </w:t>
      </w:r>
      <w:r>
        <w:rPr>
          <w:rFonts w:cs="Times New Roman"/>
        </w:rPr>
        <w:lastRenderedPageBreak/>
        <w:t xml:space="preserve">absent in </w:t>
      </w:r>
      <w:r w:rsidRPr="00333E28">
        <w:rPr>
          <w:rFonts w:cs="Times New Roman"/>
          <w:i/>
          <w:iCs/>
        </w:rPr>
        <w:t xml:space="preserve">P. </w:t>
      </w:r>
      <w:proofErr w:type="spellStart"/>
      <w:r w:rsidRPr="00333E28">
        <w:rPr>
          <w:rFonts w:cs="Times New Roman"/>
          <w:i/>
          <w:iCs/>
        </w:rPr>
        <w:t>deltoides</w:t>
      </w:r>
      <w:proofErr w:type="spellEnd"/>
      <w:r>
        <w:rPr>
          <w:rFonts w:cs="Times New Roman"/>
          <w:i/>
          <w:iCs/>
        </w:rPr>
        <w:t xml:space="preserve"> </w:t>
      </w:r>
      <w:r>
        <w:rPr>
          <w:rFonts w:cs="Times New Roman"/>
        </w:rPr>
        <w:t xml:space="preserve">which is present in </w:t>
      </w:r>
      <w:r w:rsidRPr="00333E28">
        <w:rPr>
          <w:rFonts w:cs="Times New Roman"/>
          <w:i/>
          <w:iCs/>
        </w:rPr>
        <w:t xml:space="preserve">P. </w:t>
      </w:r>
      <w:proofErr w:type="spellStart"/>
      <w:r w:rsidRPr="00333E28">
        <w:rPr>
          <w:rFonts w:cs="Times New Roman"/>
          <w:i/>
          <w:iCs/>
        </w:rPr>
        <w:t>trichocarpa</w:t>
      </w:r>
      <w:proofErr w:type="spellEnd"/>
      <w:r>
        <w:rPr>
          <w:rFonts w:cs="Times New Roman"/>
          <w:i/>
          <w:iCs/>
        </w:rPr>
        <w:t>.</w:t>
      </w:r>
      <w:r>
        <w:rPr>
          <w:rFonts w:cs="Times New Roman"/>
        </w:rPr>
        <w:t xml:space="preserve"> The phylogeny inferred from single copy orthologs of mitochondrial protein-coding genes agreed with the analysis performed with the whole chloroplast genome sequences (Figure III-1E).</w:t>
      </w:r>
    </w:p>
    <w:p w14:paraId="72631C93" w14:textId="77777777" w:rsidR="00636B5B" w:rsidRDefault="00636B5B" w:rsidP="00EE03F0">
      <w:pPr>
        <w:spacing w:line="360" w:lineRule="auto"/>
        <w:rPr>
          <w:rFonts w:cs="Times New Roman"/>
          <w:b/>
          <w:bCs/>
        </w:rPr>
      </w:pPr>
    </w:p>
    <w:p w14:paraId="5F4C2EA8" w14:textId="77777777" w:rsidR="00636B5B" w:rsidRPr="001176AC" w:rsidRDefault="00636B5B" w:rsidP="00EE03F0">
      <w:pPr>
        <w:rPr>
          <w:rFonts w:cs="Times New Roman"/>
          <w:b/>
          <w:bCs/>
          <w:sz w:val="28"/>
          <w:szCs w:val="28"/>
        </w:rPr>
      </w:pPr>
      <w:r>
        <w:rPr>
          <w:rFonts w:cs="Times New Roman"/>
          <w:b/>
          <w:bCs/>
        </w:rPr>
        <w:t>O</w:t>
      </w:r>
      <w:r w:rsidRPr="00105152">
        <w:rPr>
          <w:rFonts w:cs="Times New Roman"/>
          <w:b/>
          <w:bCs/>
        </w:rPr>
        <w:t xml:space="preserve">rganelle derived transfer to the nuclear genome in </w:t>
      </w:r>
      <w:r w:rsidRPr="00333E28">
        <w:rPr>
          <w:rFonts w:cs="Times New Roman"/>
          <w:b/>
          <w:bCs/>
          <w:i/>
          <w:iCs/>
        </w:rPr>
        <w:t xml:space="preserve">P. </w:t>
      </w:r>
      <w:proofErr w:type="spellStart"/>
      <w:r w:rsidRPr="00333E28">
        <w:rPr>
          <w:rFonts w:cs="Times New Roman"/>
          <w:b/>
          <w:bCs/>
          <w:i/>
          <w:iCs/>
        </w:rPr>
        <w:t>trichocarpa</w:t>
      </w:r>
      <w:proofErr w:type="spellEnd"/>
      <w:r w:rsidRPr="00105152">
        <w:rPr>
          <w:rFonts w:cs="Times New Roman"/>
          <w:b/>
          <w:bCs/>
          <w:i/>
          <w:iCs/>
        </w:rPr>
        <w:t xml:space="preserve"> </w:t>
      </w:r>
      <w:r w:rsidRPr="00105152">
        <w:rPr>
          <w:rFonts w:cs="Times New Roman"/>
          <w:b/>
          <w:bCs/>
        </w:rPr>
        <w:t xml:space="preserve">and </w:t>
      </w:r>
      <w:r w:rsidRPr="00333E28">
        <w:rPr>
          <w:rFonts w:cs="Times New Roman"/>
          <w:b/>
          <w:bCs/>
          <w:i/>
          <w:iCs/>
        </w:rPr>
        <w:t xml:space="preserve">P. </w:t>
      </w:r>
      <w:proofErr w:type="spellStart"/>
      <w:r w:rsidRPr="00333E28">
        <w:rPr>
          <w:rFonts w:cs="Times New Roman"/>
          <w:b/>
          <w:bCs/>
          <w:i/>
          <w:iCs/>
        </w:rPr>
        <w:t>deltoides</w:t>
      </w:r>
      <w:proofErr w:type="spellEnd"/>
    </w:p>
    <w:p w14:paraId="08A6DB98" w14:textId="77777777" w:rsidR="00636B5B" w:rsidRDefault="00636B5B" w:rsidP="00EE03F0">
      <w:pPr>
        <w:spacing w:line="360" w:lineRule="auto"/>
      </w:pPr>
      <w:r>
        <w:tab/>
      </w:r>
    </w:p>
    <w:p w14:paraId="044313AA" w14:textId="77777777" w:rsidR="00636B5B" w:rsidRDefault="00636B5B" w:rsidP="00EE03F0">
      <w:pPr>
        <w:spacing w:line="360" w:lineRule="auto"/>
        <w:ind w:firstLine="720"/>
        <w:rPr>
          <w:rFonts w:cs="Times New Roman"/>
        </w:rPr>
      </w:pPr>
      <w:r>
        <w:rPr>
          <w:rFonts w:cs="Times New Roman"/>
        </w:rPr>
        <w:t xml:space="preserve">We used BLAST to search for NUPTs and NUMTs in the </w:t>
      </w:r>
      <w:r w:rsidRPr="00333E28">
        <w:rPr>
          <w:rFonts w:cs="Times New Roman"/>
          <w:i/>
          <w:iCs/>
        </w:rPr>
        <w:t xml:space="preserve">P. </w:t>
      </w:r>
      <w:proofErr w:type="spellStart"/>
      <w:r w:rsidRPr="00333E28">
        <w:rPr>
          <w:rFonts w:cs="Times New Roman"/>
          <w:i/>
          <w:iCs/>
        </w:rPr>
        <w:t>trichocarpa</w:t>
      </w:r>
      <w:proofErr w:type="spellEnd"/>
      <w:r>
        <w:rPr>
          <w:rFonts w:cs="Times New Roman"/>
          <w:i/>
          <w:iCs/>
        </w:rPr>
        <w:t xml:space="preserve"> </w:t>
      </w:r>
      <w:r>
        <w:rPr>
          <w:rFonts w:cs="Times New Roman"/>
        </w:rPr>
        <w:t xml:space="preserve">and </w:t>
      </w:r>
      <w:r w:rsidRPr="00333E28">
        <w:rPr>
          <w:rFonts w:cs="Times New Roman"/>
          <w:i/>
          <w:iCs/>
        </w:rPr>
        <w:t xml:space="preserve">P. </w:t>
      </w:r>
      <w:proofErr w:type="spellStart"/>
      <w:r w:rsidRPr="00333E28">
        <w:rPr>
          <w:rFonts w:cs="Times New Roman"/>
          <w:i/>
          <w:iCs/>
        </w:rPr>
        <w:t>deltoides</w:t>
      </w:r>
      <w:proofErr w:type="spellEnd"/>
      <w:r>
        <w:rPr>
          <w:rFonts w:cs="Times New Roman"/>
          <w:iCs/>
        </w:rPr>
        <w:t xml:space="preserve"> nuclear genomes</w:t>
      </w:r>
      <w:r>
        <w:rPr>
          <w:rFonts w:cs="Times New Roman"/>
          <w:i/>
          <w:iCs/>
        </w:rPr>
        <w:t xml:space="preserve">. </w:t>
      </w:r>
      <w:r>
        <w:rPr>
          <w:rFonts w:cs="Times New Roman"/>
          <w:iCs/>
        </w:rPr>
        <w:t>In total,</w:t>
      </w:r>
      <w:r>
        <w:rPr>
          <w:rFonts w:cs="Times New Roman"/>
          <w:i/>
          <w:iCs/>
        </w:rPr>
        <w:t xml:space="preserve"> </w:t>
      </w:r>
      <w:r>
        <w:rPr>
          <w:rFonts w:cs="Times New Roman"/>
        </w:rPr>
        <w:t xml:space="preserve">1,076 (0.62 Mb) and 1,201 (0.99 Mb) NUPTs were identified in </w:t>
      </w:r>
      <w:r w:rsidRPr="00333E28">
        <w:rPr>
          <w:rFonts w:cs="Times New Roman"/>
          <w:i/>
          <w:iCs/>
        </w:rPr>
        <w:t xml:space="preserve">P. </w:t>
      </w:r>
      <w:proofErr w:type="spellStart"/>
      <w:r w:rsidRPr="00333E28">
        <w:rPr>
          <w:rFonts w:cs="Times New Roman"/>
          <w:i/>
          <w:iCs/>
        </w:rPr>
        <w:t>trichocarpa</w:t>
      </w:r>
      <w:proofErr w:type="spellEnd"/>
      <w:r>
        <w:rPr>
          <w:rFonts w:cs="Times New Roman"/>
          <w:i/>
          <w:iCs/>
        </w:rPr>
        <w:t xml:space="preserve"> </w:t>
      </w:r>
      <w:r>
        <w:rPr>
          <w:rFonts w:cs="Times New Roman"/>
        </w:rPr>
        <w:t xml:space="preserve">and </w:t>
      </w:r>
      <w:r w:rsidRPr="00333E28">
        <w:rPr>
          <w:rFonts w:cs="Times New Roman"/>
          <w:i/>
          <w:iCs/>
        </w:rPr>
        <w:t xml:space="preserve">P. </w:t>
      </w:r>
      <w:proofErr w:type="spellStart"/>
      <w:r w:rsidRPr="00333E28">
        <w:rPr>
          <w:rFonts w:cs="Times New Roman"/>
          <w:i/>
          <w:iCs/>
        </w:rPr>
        <w:t>deltoides</w:t>
      </w:r>
      <w:proofErr w:type="spellEnd"/>
      <w:r>
        <w:rPr>
          <w:rFonts w:cs="Times New Roman"/>
        </w:rPr>
        <w:t xml:space="preserve">, respectively (Table III-S2). For NUMTs, 1,409 (0.41 Mb) and 1,448 (0.76 Mb) were identified in </w:t>
      </w:r>
      <w:r w:rsidRPr="00333E28">
        <w:rPr>
          <w:rFonts w:cs="Times New Roman"/>
          <w:i/>
          <w:iCs/>
        </w:rPr>
        <w:t xml:space="preserve">P. </w:t>
      </w:r>
      <w:proofErr w:type="spellStart"/>
      <w:r w:rsidRPr="00333E28">
        <w:rPr>
          <w:rFonts w:cs="Times New Roman"/>
          <w:i/>
          <w:iCs/>
        </w:rPr>
        <w:t>trichocarpa</w:t>
      </w:r>
      <w:proofErr w:type="spellEnd"/>
      <w:r>
        <w:rPr>
          <w:rFonts w:cs="Times New Roman"/>
          <w:i/>
          <w:iCs/>
        </w:rPr>
        <w:t xml:space="preserve"> </w:t>
      </w:r>
      <w:r>
        <w:rPr>
          <w:rFonts w:cs="Times New Roman"/>
        </w:rPr>
        <w:t xml:space="preserve">and </w:t>
      </w:r>
      <w:r w:rsidRPr="00333E28">
        <w:rPr>
          <w:rFonts w:cs="Times New Roman"/>
          <w:i/>
          <w:iCs/>
        </w:rPr>
        <w:t xml:space="preserve">P. </w:t>
      </w:r>
      <w:proofErr w:type="spellStart"/>
      <w:r w:rsidRPr="00333E28">
        <w:rPr>
          <w:rFonts w:cs="Times New Roman"/>
          <w:i/>
          <w:iCs/>
        </w:rPr>
        <w:t>deltoides</w:t>
      </w:r>
      <w:proofErr w:type="spellEnd"/>
      <w:r>
        <w:rPr>
          <w:rFonts w:cs="Times New Roman"/>
        </w:rPr>
        <w:t xml:space="preserve">, respectively. Average size of NUPTs and NUMTs were considerably lower in </w:t>
      </w:r>
      <w:r w:rsidRPr="00333E28">
        <w:rPr>
          <w:rFonts w:cs="Times New Roman"/>
          <w:i/>
          <w:iCs/>
        </w:rPr>
        <w:t xml:space="preserve">P. </w:t>
      </w:r>
      <w:proofErr w:type="spellStart"/>
      <w:r w:rsidRPr="00333E28">
        <w:rPr>
          <w:rFonts w:cs="Times New Roman"/>
          <w:i/>
          <w:iCs/>
        </w:rPr>
        <w:t>trichocarpa</w:t>
      </w:r>
      <w:proofErr w:type="spellEnd"/>
      <w:r>
        <w:rPr>
          <w:rFonts w:cs="Times New Roman"/>
          <w:i/>
          <w:iCs/>
        </w:rPr>
        <w:t xml:space="preserve"> </w:t>
      </w:r>
      <w:r>
        <w:rPr>
          <w:rFonts w:cs="Times New Roman"/>
        </w:rPr>
        <w:t xml:space="preserve">compared to </w:t>
      </w:r>
      <w:r w:rsidRPr="00333E28">
        <w:rPr>
          <w:rFonts w:cs="Times New Roman"/>
          <w:i/>
          <w:iCs/>
        </w:rPr>
        <w:t xml:space="preserve">P. </w:t>
      </w:r>
      <w:proofErr w:type="spellStart"/>
      <w:r w:rsidRPr="00333E28">
        <w:rPr>
          <w:rFonts w:cs="Times New Roman"/>
          <w:i/>
          <w:iCs/>
        </w:rPr>
        <w:t>deltoides</w:t>
      </w:r>
      <w:proofErr w:type="spellEnd"/>
      <w:r>
        <w:rPr>
          <w:rFonts w:cs="Times New Roman"/>
          <w:i/>
          <w:iCs/>
        </w:rPr>
        <w:t xml:space="preserve"> </w:t>
      </w:r>
      <w:r>
        <w:rPr>
          <w:rFonts w:cs="Times New Roman"/>
        </w:rPr>
        <w:t xml:space="preserve">and the maximum length of NUPTs and NUMTs was much larger in </w:t>
      </w:r>
      <w:r w:rsidRPr="00333E28">
        <w:rPr>
          <w:rFonts w:cs="Times New Roman"/>
          <w:i/>
          <w:iCs/>
        </w:rPr>
        <w:t xml:space="preserve">P. </w:t>
      </w:r>
      <w:proofErr w:type="spellStart"/>
      <w:r w:rsidRPr="00333E28">
        <w:rPr>
          <w:rFonts w:cs="Times New Roman"/>
          <w:i/>
          <w:iCs/>
        </w:rPr>
        <w:t>deltoides</w:t>
      </w:r>
      <w:proofErr w:type="spellEnd"/>
      <w:r>
        <w:rPr>
          <w:rFonts w:cs="Times New Roman"/>
          <w:i/>
          <w:iCs/>
        </w:rPr>
        <w:t xml:space="preserve"> </w:t>
      </w:r>
      <w:r>
        <w:rPr>
          <w:rFonts w:cs="Times New Roman"/>
        </w:rPr>
        <w:t>(Figure III-2A).</w:t>
      </w:r>
      <w:r>
        <w:rPr>
          <w:rFonts w:cs="Times New Roman"/>
          <w:i/>
          <w:iCs/>
        </w:rPr>
        <w:t xml:space="preserve"> </w:t>
      </w:r>
      <w:r>
        <w:rPr>
          <w:rFonts w:cs="Times New Roman"/>
        </w:rPr>
        <w:t xml:space="preserve">The largest NUPT in </w:t>
      </w:r>
      <w:r w:rsidRPr="00333E28">
        <w:rPr>
          <w:rFonts w:cs="Times New Roman"/>
          <w:i/>
          <w:iCs/>
        </w:rPr>
        <w:t xml:space="preserve">P. </w:t>
      </w:r>
      <w:proofErr w:type="spellStart"/>
      <w:r w:rsidRPr="00333E28">
        <w:rPr>
          <w:rFonts w:cs="Times New Roman"/>
          <w:i/>
          <w:iCs/>
        </w:rPr>
        <w:t>deltoides</w:t>
      </w:r>
      <w:proofErr w:type="spellEnd"/>
      <w:r>
        <w:rPr>
          <w:rFonts w:cs="Times New Roman"/>
          <w:i/>
          <w:iCs/>
        </w:rPr>
        <w:t xml:space="preserve"> </w:t>
      </w:r>
      <w:r>
        <w:rPr>
          <w:rFonts w:cs="Times New Roman"/>
        </w:rPr>
        <w:t xml:space="preserve">was 91 </w:t>
      </w:r>
      <w:proofErr w:type="spellStart"/>
      <w:r>
        <w:rPr>
          <w:rFonts w:cs="Times New Roman"/>
        </w:rPr>
        <w:t>Kb</w:t>
      </w:r>
      <w:proofErr w:type="spellEnd"/>
      <w:r>
        <w:rPr>
          <w:rFonts w:cs="Times New Roman"/>
        </w:rPr>
        <w:t xml:space="preserve"> versus 40 </w:t>
      </w:r>
      <w:proofErr w:type="spellStart"/>
      <w:r>
        <w:rPr>
          <w:rFonts w:cs="Times New Roman"/>
        </w:rPr>
        <w:t>Kb</w:t>
      </w:r>
      <w:proofErr w:type="spellEnd"/>
      <w:r>
        <w:rPr>
          <w:rFonts w:cs="Times New Roman"/>
        </w:rPr>
        <w:t xml:space="preserve"> in </w:t>
      </w:r>
      <w:r w:rsidRPr="00333E28">
        <w:rPr>
          <w:rFonts w:cs="Times New Roman"/>
          <w:i/>
          <w:iCs/>
        </w:rPr>
        <w:t xml:space="preserve">P. </w:t>
      </w:r>
      <w:proofErr w:type="spellStart"/>
      <w:r w:rsidRPr="00333E28">
        <w:rPr>
          <w:rFonts w:cs="Times New Roman"/>
          <w:i/>
          <w:iCs/>
        </w:rPr>
        <w:t>trichocarpa</w:t>
      </w:r>
      <w:proofErr w:type="spellEnd"/>
      <w:r>
        <w:rPr>
          <w:rFonts w:cs="Times New Roman"/>
          <w:i/>
          <w:iCs/>
        </w:rPr>
        <w:t xml:space="preserve"> </w:t>
      </w:r>
      <w:r>
        <w:rPr>
          <w:rFonts w:cs="Times New Roman"/>
        </w:rPr>
        <w:t>(Figure III-2A)</w:t>
      </w:r>
      <w:r>
        <w:rPr>
          <w:rFonts w:cs="Times New Roman"/>
          <w:i/>
          <w:iCs/>
        </w:rPr>
        <w:t>.</w:t>
      </w:r>
      <w:r>
        <w:rPr>
          <w:rFonts w:cs="Times New Roman"/>
        </w:rPr>
        <w:t xml:space="preserve"> Furthermore, the same trend was apparent with NUMTs where </w:t>
      </w:r>
      <w:r w:rsidRPr="00333E28">
        <w:rPr>
          <w:rFonts w:cs="Times New Roman"/>
          <w:i/>
          <w:iCs/>
        </w:rPr>
        <w:t xml:space="preserve">P. </w:t>
      </w:r>
      <w:proofErr w:type="spellStart"/>
      <w:r w:rsidRPr="00333E28">
        <w:rPr>
          <w:rFonts w:cs="Times New Roman"/>
          <w:i/>
          <w:iCs/>
        </w:rPr>
        <w:t>deltoides</w:t>
      </w:r>
      <w:proofErr w:type="spellEnd"/>
      <w:r>
        <w:rPr>
          <w:rFonts w:cs="Times New Roman"/>
          <w:i/>
          <w:iCs/>
        </w:rPr>
        <w:t xml:space="preserve"> </w:t>
      </w:r>
      <w:r>
        <w:rPr>
          <w:rFonts w:cs="Times New Roman"/>
        </w:rPr>
        <w:t xml:space="preserve">longest NUMT was 41 </w:t>
      </w:r>
      <w:proofErr w:type="spellStart"/>
      <w:r>
        <w:rPr>
          <w:rFonts w:cs="Times New Roman"/>
        </w:rPr>
        <w:t>Kb</w:t>
      </w:r>
      <w:proofErr w:type="spellEnd"/>
      <w:r>
        <w:rPr>
          <w:rFonts w:cs="Times New Roman"/>
        </w:rPr>
        <w:t xml:space="preserve"> compared to 4.4 </w:t>
      </w:r>
      <w:proofErr w:type="spellStart"/>
      <w:r>
        <w:rPr>
          <w:rFonts w:cs="Times New Roman"/>
        </w:rPr>
        <w:t>Kb</w:t>
      </w:r>
      <w:proofErr w:type="spellEnd"/>
      <w:r>
        <w:rPr>
          <w:rFonts w:cs="Times New Roman"/>
        </w:rPr>
        <w:t xml:space="preserve"> in </w:t>
      </w:r>
      <w:r w:rsidRPr="00333E28">
        <w:rPr>
          <w:rFonts w:cs="Times New Roman"/>
          <w:i/>
          <w:iCs/>
        </w:rPr>
        <w:t xml:space="preserve">P. </w:t>
      </w:r>
      <w:proofErr w:type="spellStart"/>
      <w:r w:rsidRPr="00333E28">
        <w:rPr>
          <w:rFonts w:cs="Times New Roman"/>
          <w:i/>
          <w:iCs/>
        </w:rPr>
        <w:t>trichocarpa</w:t>
      </w:r>
      <w:proofErr w:type="spellEnd"/>
      <w:r>
        <w:rPr>
          <w:rFonts w:cs="Times New Roman"/>
        </w:rPr>
        <w:t>.</w:t>
      </w:r>
    </w:p>
    <w:p w14:paraId="1C561223" w14:textId="77777777" w:rsidR="00636B5B" w:rsidRDefault="00636B5B" w:rsidP="00EE03F0">
      <w:pPr>
        <w:spacing w:line="360" w:lineRule="auto"/>
        <w:rPr>
          <w:rFonts w:cs="Times New Roman"/>
        </w:rPr>
      </w:pPr>
      <w:r>
        <w:rPr>
          <w:rFonts w:cs="Times New Roman"/>
        </w:rPr>
        <w:tab/>
        <w:t xml:space="preserve">Three large mitochondrial derived features in </w:t>
      </w:r>
      <w:r w:rsidRPr="00333E28">
        <w:rPr>
          <w:rFonts w:cs="Times New Roman"/>
          <w:i/>
          <w:iCs/>
        </w:rPr>
        <w:t xml:space="preserve">P. </w:t>
      </w:r>
      <w:proofErr w:type="spellStart"/>
      <w:r w:rsidRPr="00333E28">
        <w:rPr>
          <w:rFonts w:cs="Times New Roman"/>
          <w:i/>
          <w:iCs/>
        </w:rPr>
        <w:t>deltoides</w:t>
      </w:r>
      <w:proofErr w:type="spellEnd"/>
      <w:r>
        <w:rPr>
          <w:rFonts w:cs="Times New Roman"/>
        </w:rPr>
        <w:t xml:space="preserve"> were removed as NUMTs and considered possible sources of </w:t>
      </w:r>
      <w:proofErr w:type="spellStart"/>
      <w:r>
        <w:rPr>
          <w:rFonts w:cs="Times New Roman"/>
        </w:rPr>
        <w:t>misassembly</w:t>
      </w:r>
      <w:proofErr w:type="spellEnd"/>
      <w:r>
        <w:rPr>
          <w:rFonts w:cs="Times New Roman"/>
        </w:rPr>
        <w:t xml:space="preserve"> (Table III-S7). One of these features on Chr02 was 336 kb in size, was located at </w:t>
      </w:r>
      <w:r w:rsidRPr="0013151B">
        <w:rPr>
          <w:rFonts w:cs="Times New Roman"/>
        </w:rPr>
        <w:t>Chr02:20</w:t>
      </w:r>
      <w:r>
        <w:rPr>
          <w:rFonts w:cs="Times New Roman"/>
        </w:rPr>
        <w:t>,</w:t>
      </w:r>
      <w:r w:rsidRPr="0013151B">
        <w:rPr>
          <w:rFonts w:cs="Times New Roman"/>
        </w:rPr>
        <w:t>020</w:t>
      </w:r>
      <w:r>
        <w:rPr>
          <w:rFonts w:cs="Times New Roman"/>
        </w:rPr>
        <w:t>,</w:t>
      </w:r>
      <w:r w:rsidRPr="0013151B">
        <w:rPr>
          <w:rFonts w:cs="Times New Roman"/>
        </w:rPr>
        <w:t>773-20</w:t>
      </w:r>
      <w:r>
        <w:rPr>
          <w:rFonts w:cs="Times New Roman"/>
        </w:rPr>
        <w:t>,</w:t>
      </w:r>
      <w:r w:rsidRPr="0013151B">
        <w:rPr>
          <w:rFonts w:cs="Times New Roman"/>
        </w:rPr>
        <w:t>357</w:t>
      </w:r>
      <w:r>
        <w:rPr>
          <w:rFonts w:cs="Times New Roman"/>
        </w:rPr>
        <w:t>,</w:t>
      </w:r>
      <w:r w:rsidRPr="0013151B">
        <w:rPr>
          <w:rFonts w:cs="Times New Roman"/>
        </w:rPr>
        <w:t>166</w:t>
      </w:r>
      <w:r>
        <w:rPr>
          <w:rFonts w:cs="Times New Roman"/>
        </w:rPr>
        <w:t xml:space="preserve"> which is in the</w:t>
      </w:r>
      <w:r>
        <w:rPr>
          <w:rFonts w:cs="Times New Roman"/>
          <w:i/>
          <w:iCs/>
        </w:rPr>
        <w:t xml:space="preserve"> </w:t>
      </w:r>
      <w:r>
        <w:rPr>
          <w:rFonts w:cs="Times New Roman"/>
        </w:rPr>
        <w:t xml:space="preserve">centromeric region </w:t>
      </w:r>
      <w:r>
        <w:rPr>
          <w:rFonts w:cs="Times New Roman"/>
        </w:rPr>
        <w:fldChar w:fldCharType="begin" w:fldLock="1"/>
      </w:r>
      <w:r>
        <w:rPr>
          <w:rFonts w:cs="Times New Roman"/>
        </w:rPr>
        <w:instrText>ADDIN CSL_CITATION {"citationItems":[{"id":"ITEM-1","itemData":{"DOI":"10.3389/fgene.2019.00487","ISSN":"16648021","abstract":"Various 'omics data types have been generated for Populus trichocarpa, each providing a layer of information which can be represented as a density signal across a chromosome. We make use of genome sequence data, variants data across a population as well as methylation data across 10 different tissues, combined with wavelet-based signal processing to perform a comprehensive analysis of the signature of the centromere in these different data signals, and successfully identify putative centromeric regions in P. trichocarpa from these signals. Furthermore, using SNP (single nucleotide polymorphism) correlations across a natural population of P. trichocarpa, we find evidence for the co-evolution of the centromeric histone CENH3 with the sequence of the newly identified centromeric regions, and identify a new CENH3 candidate in P. trichocarpa.","author":[{"dropping-particle":"","family":"Weighill","given":"Deborah","non-dropping-particle":"","parse-names":false,"suffix":""},{"dropping-particle":"","family":"Macaya-Sanz","given":"David","non-dropping-particle":"","parse-names":false,"suffix":""},{"dropping-particle":"","family":"DiFazio","given":"Stephen Paul","non-dropping-particle":"","parse-names":false,"suffix":""},{"dropping-particle":"","family":"Joubert","given":"Wayne","non-dropping-particle":"","parse-names":false,"suffix":""},{"dropping-particle":"","family":"Shah","given":"Manesh","non-dropping-particle":"","parse-names":false,"suffix":""},{"dropping-particle":"","family":"Schmutz","given":"Jeremy","non-dropping-particle":"","parse-names":false,"suffix":""},{"dropping-particle":"","family":"Sreedasyam","given":"Avinash","non-dropping-particle":"","parse-names":false,"suffix":""},{"dropping-particle":"","family":"Tuskan","given":"Gerald","non-dropping-particle":"","parse-names":false,"suffix":""},{"dropping-particle":"","family":"Jacobson","given":"Daniel","non-dropping-particle":"","parse-names":false,"suffix":""}],"container-title":"Frontiers in Genetics","id":"ITEM-1","issue":"MAY","issued":{"date-parts":[["2019"]]},"title":"Wavelet-based genomic signal processing for centromere identification and hypothesis generation","type":"article-journal","volume":"10"},"uris":["http://www.mendeley.com/documents/?uuid=3256ff38-0a8e-4e4c-9bbe-0302316f6a42"]}],"mendeley":{"formattedCitation":"(Weighill et al., 2019)","plainTextFormattedCitation":"(Weighill et al., 2019)","previouslyFormattedCitation":"(Weighill et al. 2019)"},"properties":{"noteIndex":0},"schema":"https://github.com/citation-style-language/schema/raw/master/csl-citation.json"}</w:instrText>
      </w:r>
      <w:r>
        <w:rPr>
          <w:rFonts w:cs="Times New Roman"/>
        </w:rPr>
        <w:fldChar w:fldCharType="separate"/>
      </w:r>
      <w:r w:rsidRPr="00EE03F0">
        <w:rPr>
          <w:rFonts w:cs="Times New Roman"/>
          <w:noProof/>
        </w:rPr>
        <w:t>(Weighill et al., 2019)</w:t>
      </w:r>
      <w:r>
        <w:rPr>
          <w:rFonts w:cs="Times New Roman"/>
        </w:rPr>
        <w:fldChar w:fldCharType="end"/>
      </w:r>
      <w:r>
        <w:rPr>
          <w:rFonts w:cs="Times New Roman"/>
        </w:rPr>
        <w:t xml:space="preserve">. This large feature aligned entirely with the </w:t>
      </w:r>
      <w:r w:rsidRPr="00333E28">
        <w:rPr>
          <w:rFonts w:cs="Times New Roman"/>
          <w:i/>
          <w:iCs/>
        </w:rPr>
        <w:t xml:space="preserve">P. </w:t>
      </w:r>
      <w:proofErr w:type="spellStart"/>
      <w:r w:rsidRPr="00333E28">
        <w:rPr>
          <w:rFonts w:cs="Times New Roman"/>
          <w:i/>
          <w:iCs/>
        </w:rPr>
        <w:t>deltoides</w:t>
      </w:r>
      <w:proofErr w:type="spellEnd"/>
      <w:r>
        <w:rPr>
          <w:rFonts w:cs="Times New Roman"/>
          <w:i/>
          <w:iCs/>
        </w:rPr>
        <w:t xml:space="preserve"> </w:t>
      </w:r>
      <w:r>
        <w:rPr>
          <w:rFonts w:cs="Times New Roman"/>
        </w:rPr>
        <w:t>mitogenome</w:t>
      </w:r>
      <w:r>
        <w:rPr>
          <w:rFonts w:cs="Times New Roman"/>
          <w:i/>
          <w:iCs/>
        </w:rPr>
        <w:t xml:space="preserve"> </w:t>
      </w:r>
      <w:proofErr w:type="spellStart"/>
      <w:r>
        <w:rPr>
          <w:rFonts w:cs="Times New Roman"/>
        </w:rPr>
        <w:t>subgenome</w:t>
      </w:r>
      <w:proofErr w:type="spellEnd"/>
      <w:r>
        <w:rPr>
          <w:rFonts w:cs="Times New Roman"/>
          <w:i/>
          <w:iCs/>
        </w:rPr>
        <w:t xml:space="preserve"> </w:t>
      </w:r>
      <w:r>
        <w:rPr>
          <w:rFonts w:cs="Times New Roman"/>
        </w:rPr>
        <w:t xml:space="preserve">1 with 99.82 % identity. Additionally, methylation frequency in this region was considerably lower when compared to its flanking sequence which is unexpected as NUPTs and NUMTs are rapidly methylated following integration suggesting that this interval may be a product of </w:t>
      </w:r>
      <w:proofErr w:type="spellStart"/>
      <w:r>
        <w:rPr>
          <w:rFonts w:cs="Times New Roman"/>
        </w:rPr>
        <w:t>misassembly</w:t>
      </w:r>
      <w:proofErr w:type="spellEnd"/>
      <w:r>
        <w:rPr>
          <w:rFonts w:cs="Times New Roman"/>
        </w:rPr>
        <w:t xml:space="preserve"> (Figure III-S3) </w:t>
      </w:r>
      <w:r>
        <w:rPr>
          <w:rFonts w:cs="Times New Roman"/>
        </w:rPr>
        <w:fldChar w:fldCharType="begin" w:fldLock="1"/>
      </w:r>
      <w:r>
        <w:rPr>
          <w:rFonts w:cs="Times New Roman"/>
        </w:rPr>
        <w:instrText>ADDIN CSL_CITATION {"citationItems":[{"id":"ITEM-1","itemData":{"DOI":"10.1104/pp.105.060327","ISSN":"00320889","PMID":"15951485","abstract":"Transfers of organelle DNA to the nucleus established several thousand functional genes in eukaryotic chromosomes over evolutionary time. Recent transfers have also contributed nonfunctional plastid (pt)- and mitochondrion (mt)-derived DNA (termed nupts and numts, respectively) to plant nuclear genomes. The two largest transferred organelle genome copies are 131-kb nuptDNA in rice (Oryza sativa) and 262-kb numtDNA in Arabidopsis (Arabidopsis thaliana). These transferred copies were compared in detail with their bona fide organelle counterparts, to which they are 99.77% and 99.91% identical, respectively. No evidence for purifying selection was found in either nuclear integrant, indicating that they are nonfunctional. Mutations attributable to 5-methylcytosine hypermutation have occurred at a 6- to 10-fold higher rate than other point mutations in Arabidopsis numtDNA and rice nuptDNA, respectively, revealing this as a major mechanism of mutational decay for these transferred organelle sequences. Short indels occurred preferentially within homopolymeric stretches but were less frequent than point mutations. The 131-kb nuptDNA is absent in the O. sativa subsp. indica or Oryza rufipogon nuclear genome, suggesting that it was transferred within the O. sativa subsp. japonica lineage and, as revealed by sequence comparisons, after its divergence from the indica chloroplast lineage. The time of the transfer for the rice nupt was estimated as 148,000 (74,000-296,000) years ago and that for the Arabidopsis numtDNA as 88,000 (44,000-176,000) years ago. The results reveal transfer and integration of entire organelle genomes into the nucleus as an ongoing evolutionary process and uncover mutational mechanisms affecting organelle genomes recently transferred into a new mutational environment. © 2005 American Society of Plant Biologists.","author":[{"dropping-particle":"","family":"Huang","given":"Chun Y.","non-dropping-particle":"","parse-names":false,"suffix":""},{"dropping-particle":"","family":"Grünheit","given":"Nicole","non-dropping-particle":"","parse-names":false,"suffix":""},{"dropping-particle":"","family":"Ahmadinejad","given":"Nahal","non-dropping-particle":"","parse-names":false,"suffix":""},{"dropping-particle":"","family":"Timmis","given":"Jeremy N.","non-dropping-particle":"","parse-names":false,"suffix":""},{"dropping-particle":"","family":"Martin","given":"William","non-dropping-particle":"","parse-names":false,"suffix":""}],"container-title":"Plant Physiology","id":"ITEM-1","issue":"3","issued":{"date-parts":[["2005"]]},"page":"1723-1733","title":"Mutational decay and age of chloroplast and mitochondrial genomes transferred recently to angiosperm nuclear chromosomes","type":"article-journal","volume":"138"},"uris":["http://www.mendeley.com/documents/?uuid=335aace0-c907-40b2-8992-6813240ac5bf"]}],"mendeley":{"formattedCitation":"(C. Y. Huang, Grünheit, Ahmadinejad, Timmis, &amp; Martin, 2005)","manualFormatting":"(C. Y. Huang et al., 2005)","plainTextFormattedCitation":"(C. Y. Huang, Grünheit, Ahmadinejad, Timmis, &amp; Martin, 2005)","previouslyFormattedCitation":"(Huang et al. 2005)"},"properties":{"noteIndex":0},"schema":"https://github.com/citation-style-language/schema/raw/master/csl-citation.json"}</w:instrText>
      </w:r>
      <w:r>
        <w:rPr>
          <w:rFonts w:cs="Times New Roman"/>
        </w:rPr>
        <w:fldChar w:fldCharType="separate"/>
      </w:r>
      <w:r w:rsidRPr="00A86E98">
        <w:rPr>
          <w:rFonts w:cs="Times New Roman"/>
          <w:noProof/>
        </w:rPr>
        <w:t>(C. Y. Huang</w:t>
      </w:r>
      <w:r>
        <w:rPr>
          <w:rFonts w:cs="Times New Roman"/>
          <w:noProof/>
        </w:rPr>
        <w:t xml:space="preserve"> et al.,</w:t>
      </w:r>
      <w:r w:rsidRPr="00A86E98">
        <w:rPr>
          <w:rFonts w:cs="Times New Roman"/>
          <w:noProof/>
        </w:rPr>
        <w:t xml:space="preserve"> 2005)</w:t>
      </w:r>
      <w:r>
        <w:rPr>
          <w:rFonts w:cs="Times New Roman"/>
        </w:rPr>
        <w:fldChar w:fldCharType="end"/>
      </w:r>
      <w:r>
        <w:rPr>
          <w:rFonts w:cs="Times New Roman"/>
        </w:rPr>
        <w:t xml:space="preserve">. The other two features located on scaffold_22 </w:t>
      </w:r>
      <w:proofErr w:type="gramStart"/>
      <w:r>
        <w:rPr>
          <w:rFonts w:cs="Times New Roman"/>
        </w:rPr>
        <w:t>are</w:t>
      </w:r>
      <w:proofErr w:type="gramEnd"/>
      <w:r>
        <w:rPr>
          <w:rFonts w:cs="Times New Roman"/>
        </w:rPr>
        <w:t xml:space="preserve"> derived from </w:t>
      </w:r>
      <w:proofErr w:type="spellStart"/>
      <w:r>
        <w:rPr>
          <w:rFonts w:cs="Times New Roman"/>
        </w:rPr>
        <w:t>subgenome</w:t>
      </w:r>
      <w:proofErr w:type="spellEnd"/>
      <w:r>
        <w:rPr>
          <w:rFonts w:cs="Times New Roman"/>
        </w:rPr>
        <w:t xml:space="preserve"> 2. Together, these two features cover 99.6% of </w:t>
      </w:r>
      <w:proofErr w:type="spellStart"/>
      <w:r>
        <w:rPr>
          <w:rFonts w:cs="Times New Roman"/>
        </w:rPr>
        <w:t>subgenome</w:t>
      </w:r>
      <w:proofErr w:type="spellEnd"/>
      <w:r>
        <w:rPr>
          <w:rFonts w:cs="Times New Roman"/>
        </w:rPr>
        <w:t xml:space="preserve"> 2 and average 99.9% identity. Scaffold_22 also has very low levels of methylation, further supporting that it is a mitochondrial </w:t>
      </w:r>
      <w:proofErr w:type="spellStart"/>
      <w:r>
        <w:rPr>
          <w:rFonts w:cs="Times New Roman"/>
        </w:rPr>
        <w:t>subgenome</w:t>
      </w:r>
      <w:proofErr w:type="spellEnd"/>
      <w:r>
        <w:rPr>
          <w:rFonts w:cs="Times New Roman"/>
        </w:rPr>
        <w:t xml:space="preserve"> which was not removed from the nuclear genome assembly (Figure III-S4).</w:t>
      </w:r>
    </w:p>
    <w:p w14:paraId="2D029717" w14:textId="77777777" w:rsidR="00636B5B" w:rsidRDefault="00636B5B" w:rsidP="00EE03F0">
      <w:pPr>
        <w:spacing w:line="360" w:lineRule="auto"/>
        <w:ind w:firstLine="720"/>
        <w:rPr>
          <w:rFonts w:cs="Times New Roman"/>
        </w:rPr>
      </w:pPr>
      <w:r>
        <w:rPr>
          <w:rFonts w:cs="Times New Roman"/>
        </w:rPr>
        <w:t xml:space="preserve">Putative protein-coding NUPT and NUMT transfer to the nuclear genome was also identified (Table III-S4). We observed larger numbers of protein-coding NUPTs compared to protein-coding NUMTs in both </w:t>
      </w:r>
      <w:r w:rsidRPr="00333E28">
        <w:rPr>
          <w:rFonts w:cs="Times New Roman"/>
          <w:i/>
          <w:iCs/>
        </w:rPr>
        <w:t xml:space="preserve">P. </w:t>
      </w:r>
      <w:proofErr w:type="spellStart"/>
      <w:r w:rsidRPr="00333E28">
        <w:rPr>
          <w:rFonts w:cs="Times New Roman"/>
          <w:i/>
          <w:iCs/>
        </w:rPr>
        <w:t>trichocarpa</w:t>
      </w:r>
      <w:proofErr w:type="spellEnd"/>
      <w:r>
        <w:rPr>
          <w:rFonts w:cs="Times New Roman"/>
          <w:i/>
          <w:iCs/>
        </w:rPr>
        <w:t xml:space="preserve"> </w:t>
      </w:r>
      <w:r>
        <w:rPr>
          <w:rFonts w:cs="Times New Roman"/>
        </w:rPr>
        <w:t xml:space="preserve">and </w:t>
      </w:r>
      <w:r w:rsidRPr="00333E28">
        <w:rPr>
          <w:rFonts w:cs="Times New Roman"/>
          <w:i/>
          <w:iCs/>
        </w:rPr>
        <w:t xml:space="preserve">P. </w:t>
      </w:r>
      <w:proofErr w:type="spellStart"/>
      <w:r w:rsidRPr="00333E28">
        <w:rPr>
          <w:rFonts w:cs="Times New Roman"/>
          <w:i/>
          <w:iCs/>
        </w:rPr>
        <w:t>deltoides</w:t>
      </w:r>
      <w:proofErr w:type="spellEnd"/>
      <w:r>
        <w:rPr>
          <w:rFonts w:cs="Times New Roman"/>
        </w:rPr>
        <w:t xml:space="preserve">. </w:t>
      </w:r>
      <w:r w:rsidRPr="00333E28">
        <w:rPr>
          <w:rFonts w:cs="Times New Roman"/>
          <w:i/>
          <w:iCs/>
        </w:rPr>
        <w:t xml:space="preserve">P. </w:t>
      </w:r>
      <w:proofErr w:type="spellStart"/>
      <w:r w:rsidRPr="00333E28">
        <w:rPr>
          <w:rFonts w:cs="Times New Roman"/>
          <w:i/>
          <w:iCs/>
        </w:rPr>
        <w:t>deltoides</w:t>
      </w:r>
      <w:proofErr w:type="spellEnd"/>
      <w:r>
        <w:rPr>
          <w:rFonts w:cs="Times New Roman"/>
          <w:i/>
          <w:iCs/>
        </w:rPr>
        <w:t xml:space="preserve"> </w:t>
      </w:r>
      <w:r>
        <w:rPr>
          <w:rFonts w:cs="Times New Roman"/>
        </w:rPr>
        <w:t xml:space="preserve">had larger numbers of protein-coding NUPTs (353) and NUMTs (18) compared to </w:t>
      </w:r>
      <w:r w:rsidRPr="00333E28">
        <w:rPr>
          <w:rFonts w:cs="Times New Roman"/>
          <w:i/>
          <w:iCs/>
        </w:rPr>
        <w:t xml:space="preserve">P. </w:t>
      </w:r>
      <w:proofErr w:type="spellStart"/>
      <w:r w:rsidRPr="00333E28">
        <w:rPr>
          <w:rFonts w:cs="Times New Roman"/>
          <w:i/>
          <w:iCs/>
        </w:rPr>
        <w:t>trichocarpa</w:t>
      </w:r>
      <w:r>
        <w:rPr>
          <w:rFonts w:cs="Times New Roman"/>
        </w:rPr>
        <w:t>’s</w:t>
      </w:r>
      <w:proofErr w:type="spellEnd"/>
      <w:r>
        <w:rPr>
          <w:rFonts w:cs="Times New Roman"/>
        </w:rPr>
        <w:t xml:space="preserve"> protein-coding </w:t>
      </w:r>
      <w:r>
        <w:rPr>
          <w:rFonts w:cs="Times New Roman"/>
        </w:rPr>
        <w:lastRenderedPageBreak/>
        <w:t xml:space="preserve">NUPTs (200) and NUMTs (10). Functional enrichment of the putative protein-coding NUPTs and NUMTs was also performed (Figure III-2B). Photosynthesis and translation were two most significantly enriched GO terms in the biological process ontology for </w:t>
      </w:r>
      <w:proofErr w:type="gramStart"/>
      <w:r>
        <w:rPr>
          <w:rFonts w:cs="Times New Roman"/>
        </w:rPr>
        <w:t>protein-coding</w:t>
      </w:r>
      <w:proofErr w:type="gramEnd"/>
      <w:r>
        <w:rPr>
          <w:rFonts w:cs="Times New Roman"/>
        </w:rPr>
        <w:t xml:space="preserve"> NUPTs in both </w:t>
      </w:r>
      <w:r w:rsidRPr="00333E28">
        <w:rPr>
          <w:rFonts w:cs="Times New Roman"/>
          <w:i/>
          <w:iCs/>
        </w:rPr>
        <w:t xml:space="preserve">P. </w:t>
      </w:r>
      <w:proofErr w:type="spellStart"/>
      <w:r w:rsidRPr="00333E28">
        <w:rPr>
          <w:rFonts w:cs="Times New Roman"/>
          <w:i/>
          <w:iCs/>
        </w:rPr>
        <w:t>trichocarpa</w:t>
      </w:r>
      <w:proofErr w:type="spellEnd"/>
      <w:r>
        <w:rPr>
          <w:rFonts w:cs="Times New Roman"/>
        </w:rPr>
        <w:t xml:space="preserve"> and </w:t>
      </w:r>
      <w:r w:rsidRPr="00333E28">
        <w:rPr>
          <w:rFonts w:cs="Times New Roman"/>
          <w:i/>
          <w:iCs/>
        </w:rPr>
        <w:t xml:space="preserve">P. </w:t>
      </w:r>
      <w:proofErr w:type="spellStart"/>
      <w:r w:rsidRPr="00333E28">
        <w:rPr>
          <w:rFonts w:cs="Times New Roman"/>
          <w:i/>
          <w:iCs/>
        </w:rPr>
        <w:t>deltoides</w:t>
      </w:r>
      <w:proofErr w:type="spellEnd"/>
      <w:r>
        <w:rPr>
          <w:rFonts w:cs="Times New Roman"/>
        </w:rPr>
        <w:t xml:space="preserve">. For </w:t>
      </w:r>
      <w:proofErr w:type="gramStart"/>
      <w:r>
        <w:rPr>
          <w:rFonts w:cs="Times New Roman"/>
        </w:rPr>
        <w:t>protein-coding</w:t>
      </w:r>
      <w:proofErr w:type="gramEnd"/>
      <w:r>
        <w:rPr>
          <w:rFonts w:cs="Times New Roman"/>
        </w:rPr>
        <w:t xml:space="preserve"> NUMTs in </w:t>
      </w:r>
      <w:r w:rsidRPr="00333E28">
        <w:rPr>
          <w:rFonts w:cs="Times New Roman"/>
          <w:i/>
          <w:iCs/>
        </w:rPr>
        <w:t xml:space="preserve">P. </w:t>
      </w:r>
      <w:proofErr w:type="spellStart"/>
      <w:r w:rsidRPr="00333E28">
        <w:rPr>
          <w:rFonts w:cs="Times New Roman"/>
          <w:i/>
          <w:iCs/>
        </w:rPr>
        <w:t>deltoides</w:t>
      </w:r>
      <w:proofErr w:type="spellEnd"/>
      <w:r>
        <w:rPr>
          <w:rFonts w:cs="Times New Roman"/>
          <w:i/>
          <w:iCs/>
        </w:rPr>
        <w:t xml:space="preserve"> </w:t>
      </w:r>
      <w:r>
        <w:rPr>
          <w:rFonts w:cs="Times New Roman"/>
        </w:rPr>
        <w:t xml:space="preserve">the most significant enrichments in the biological process ontology were for </w:t>
      </w:r>
      <w:r w:rsidRPr="003169A5">
        <w:rPr>
          <w:rFonts w:cs="Times New Roman"/>
        </w:rPr>
        <w:t>ATP synthesis coupled proton transport</w:t>
      </w:r>
      <w:r>
        <w:rPr>
          <w:rFonts w:cs="Times New Roman"/>
        </w:rPr>
        <w:t xml:space="preserve"> and </w:t>
      </w:r>
      <w:r w:rsidRPr="00733E5E">
        <w:rPr>
          <w:rFonts w:cs="Times New Roman"/>
        </w:rPr>
        <w:t>cytochrome complex assembly</w:t>
      </w:r>
      <w:r>
        <w:rPr>
          <w:rFonts w:cs="Times New Roman"/>
        </w:rPr>
        <w:t xml:space="preserve">. Due to the small number of </w:t>
      </w:r>
      <w:proofErr w:type="gramStart"/>
      <w:r>
        <w:rPr>
          <w:rFonts w:cs="Times New Roman"/>
        </w:rPr>
        <w:t>protein-coding</w:t>
      </w:r>
      <w:proofErr w:type="gramEnd"/>
      <w:r>
        <w:rPr>
          <w:rFonts w:cs="Times New Roman"/>
        </w:rPr>
        <w:t xml:space="preserve"> NUMTs in </w:t>
      </w:r>
      <w:r w:rsidRPr="00333E28">
        <w:rPr>
          <w:rFonts w:cs="Times New Roman"/>
          <w:i/>
          <w:iCs/>
        </w:rPr>
        <w:t xml:space="preserve">P. </w:t>
      </w:r>
      <w:proofErr w:type="spellStart"/>
      <w:r w:rsidRPr="00333E28">
        <w:rPr>
          <w:rFonts w:cs="Times New Roman"/>
          <w:i/>
          <w:iCs/>
        </w:rPr>
        <w:t>trichocarpa</w:t>
      </w:r>
      <w:proofErr w:type="spellEnd"/>
      <w:r>
        <w:rPr>
          <w:rFonts w:cs="Times New Roman"/>
          <w:i/>
          <w:iCs/>
        </w:rPr>
        <w:t xml:space="preserve"> </w:t>
      </w:r>
      <w:r>
        <w:rPr>
          <w:rFonts w:cs="Times New Roman"/>
        </w:rPr>
        <w:t>there was no significant functional enrichment.</w:t>
      </w:r>
    </w:p>
    <w:p w14:paraId="576B270B" w14:textId="77777777" w:rsidR="00636B5B" w:rsidRDefault="00636B5B" w:rsidP="00EE03F0">
      <w:pPr>
        <w:widowControl w:val="0"/>
        <w:autoSpaceDE w:val="0"/>
        <w:autoSpaceDN w:val="0"/>
        <w:adjustRightInd w:val="0"/>
        <w:spacing w:line="360" w:lineRule="auto"/>
      </w:pPr>
    </w:p>
    <w:p w14:paraId="44C5BB18" w14:textId="77777777" w:rsidR="00636B5B" w:rsidRDefault="00636B5B" w:rsidP="00EE03F0">
      <w:pPr>
        <w:widowControl w:val="0"/>
        <w:autoSpaceDE w:val="0"/>
        <w:autoSpaceDN w:val="0"/>
        <w:adjustRightInd w:val="0"/>
        <w:spacing w:line="360" w:lineRule="auto"/>
        <w:rPr>
          <w:rFonts w:cs="Times New Roman"/>
          <w:b/>
          <w:bCs/>
          <w:i/>
          <w:iCs/>
        </w:rPr>
      </w:pPr>
      <w:r>
        <w:rPr>
          <w:rFonts w:cs="Times New Roman"/>
          <w:b/>
          <w:bCs/>
        </w:rPr>
        <w:t xml:space="preserve">Presence and absence </w:t>
      </w:r>
      <w:r w:rsidRPr="006E7809">
        <w:rPr>
          <w:rFonts w:cs="Times New Roman"/>
          <w:b/>
          <w:bCs/>
        </w:rPr>
        <w:t xml:space="preserve">of NUPTs and NUMTs </w:t>
      </w:r>
      <w:r>
        <w:rPr>
          <w:rFonts w:cs="Times New Roman"/>
          <w:b/>
          <w:bCs/>
        </w:rPr>
        <w:t>between</w:t>
      </w:r>
      <w:r w:rsidRPr="006E7809">
        <w:rPr>
          <w:rFonts w:cs="Times New Roman"/>
          <w:b/>
          <w:bCs/>
        </w:rPr>
        <w:t xml:space="preserve"> </w:t>
      </w:r>
      <w:r w:rsidRPr="00333E28">
        <w:rPr>
          <w:rFonts w:cs="Times New Roman"/>
          <w:b/>
          <w:bCs/>
          <w:i/>
          <w:iCs/>
        </w:rPr>
        <w:t xml:space="preserve">P. </w:t>
      </w:r>
      <w:proofErr w:type="spellStart"/>
      <w:r w:rsidRPr="00333E28">
        <w:rPr>
          <w:rFonts w:cs="Times New Roman"/>
          <w:b/>
          <w:bCs/>
          <w:i/>
          <w:iCs/>
        </w:rPr>
        <w:t>deltoides</w:t>
      </w:r>
      <w:proofErr w:type="spellEnd"/>
      <w:r w:rsidRPr="006E7809">
        <w:rPr>
          <w:rFonts w:cs="Times New Roman"/>
          <w:b/>
          <w:bCs/>
          <w:i/>
          <w:iCs/>
        </w:rPr>
        <w:t xml:space="preserve"> </w:t>
      </w:r>
      <w:r w:rsidRPr="006E7809">
        <w:rPr>
          <w:rFonts w:cs="Times New Roman"/>
          <w:b/>
          <w:bCs/>
        </w:rPr>
        <w:t xml:space="preserve">and </w:t>
      </w:r>
      <w:r w:rsidRPr="00333E28">
        <w:rPr>
          <w:rFonts w:cs="Times New Roman"/>
          <w:b/>
          <w:bCs/>
          <w:i/>
          <w:iCs/>
        </w:rPr>
        <w:t xml:space="preserve">P. </w:t>
      </w:r>
      <w:proofErr w:type="spellStart"/>
      <w:r w:rsidRPr="00333E28">
        <w:rPr>
          <w:rFonts w:cs="Times New Roman"/>
          <w:b/>
          <w:bCs/>
          <w:i/>
          <w:iCs/>
        </w:rPr>
        <w:t>trichocarpa</w:t>
      </w:r>
      <w:proofErr w:type="spellEnd"/>
    </w:p>
    <w:p w14:paraId="70A76959" w14:textId="77777777" w:rsidR="00636B5B" w:rsidRDefault="00636B5B" w:rsidP="00EE03F0">
      <w:pPr>
        <w:spacing w:line="360" w:lineRule="auto"/>
        <w:ind w:firstLine="720"/>
        <w:rPr>
          <w:rFonts w:cs="Times New Roman"/>
        </w:rPr>
      </w:pPr>
    </w:p>
    <w:p w14:paraId="61816F2B" w14:textId="77777777" w:rsidR="00636B5B" w:rsidRDefault="00636B5B" w:rsidP="00EE03F0">
      <w:pPr>
        <w:spacing w:line="360" w:lineRule="auto"/>
        <w:ind w:firstLine="720"/>
        <w:rPr>
          <w:rFonts w:cs="Times New Roman"/>
        </w:rPr>
      </w:pPr>
      <w:r>
        <w:rPr>
          <w:rFonts w:cs="Times New Roman"/>
        </w:rPr>
        <w:t xml:space="preserve">Differences in organelle-derived content between the nuclear genomes of </w:t>
      </w:r>
      <w:r w:rsidRPr="00333E28">
        <w:rPr>
          <w:rFonts w:cs="Times New Roman"/>
          <w:i/>
          <w:iCs/>
        </w:rPr>
        <w:t xml:space="preserve">P. </w:t>
      </w:r>
      <w:proofErr w:type="spellStart"/>
      <w:r w:rsidRPr="00333E28">
        <w:rPr>
          <w:rFonts w:cs="Times New Roman"/>
          <w:i/>
          <w:iCs/>
        </w:rPr>
        <w:t>trichocarpa</w:t>
      </w:r>
      <w:proofErr w:type="spellEnd"/>
      <w:r>
        <w:rPr>
          <w:rFonts w:cs="Times New Roman"/>
          <w:i/>
          <w:iCs/>
        </w:rPr>
        <w:t xml:space="preserve"> </w:t>
      </w:r>
      <w:r>
        <w:rPr>
          <w:rFonts w:cs="Times New Roman"/>
        </w:rPr>
        <w:t xml:space="preserve">and </w:t>
      </w:r>
      <w:r w:rsidRPr="00333E28">
        <w:rPr>
          <w:rFonts w:cs="Times New Roman"/>
          <w:i/>
          <w:iCs/>
        </w:rPr>
        <w:t xml:space="preserve">P. </w:t>
      </w:r>
      <w:proofErr w:type="spellStart"/>
      <w:r w:rsidRPr="00333E28">
        <w:rPr>
          <w:rFonts w:cs="Times New Roman"/>
          <w:i/>
          <w:iCs/>
        </w:rPr>
        <w:t>deltoides</w:t>
      </w:r>
      <w:proofErr w:type="spellEnd"/>
      <w:r>
        <w:rPr>
          <w:rFonts w:cs="Times New Roman"/>
        </w:rPr>
        <w:t xml:space="preserve"> was significant. Some chromosomes were found to have considerable differences in transferred organellar DNA (Figure III-3A). For NUPTs, Chr11 and Chr13 in </w:t>
      </w:r>
      <w:r w:rsidRPr="00333E28">
        <w:rPr>
          <w:rFonts w:cs="Times New Roman"/>
          <w:i/>
          <w:iCs/>
        </w:rPr>
        <w:t xml:space="preserve">P. </w:t>
      </w:r>
      <w:proofErr w:type="spellStart"/>
      <w:r w:rsidRPr="00333E28">
        <w:rPr>
          <w:rFonts w:cs="Times New Roman"/>
          <w:i/>
          <w:iCs/>
        </w:rPr>
        <w:t>deltoides</w:t>
      </w:r>
      <w:proofErr w:type="spellEnd"/>
      <w:r>
        <w:rPr>
          <w:rFonts w:cs="Times New Roman"/>
        </w:rPr>
        <w:t xml:space="preserve"> had 22kb and 341kb more NUPT content, respectively, compared to their sister chromosomes in </w:t>
      </w:r>
      <w:r w:rsidRPr="00333E28">
        <w:rPr>
          <w:rFonts w:cs="Times New Roman"/>
          <w:i/>
          <w:iCs/>
        </w:rPr>
        <w:t xml:space="preserve">P. </w:t>
      </w:r>
      <w:proofErr w:type="spellStart"/>
      <w:r w:rsidRPr="00333E28">
        <w:rPr>
          <w:rFonts w:cs="Times New Roman"/>
          <w:i/>
          <w:iCs/>
        </w:rPr>
        <w:t>trichocarpa</w:t>
      </w:r>
      <w:proofErr w:type="spellEnd"/>
      <w:r>
        <w:rPr>
          <w:rFonts w:cs="Times New Roman"/>
        </w:rPr>
        <w:t xml:space="preserve">. Furthermore, NUMTs in </w:t>
      </w:r>
      <w:r w:rsidRPr="00333E28">
        <w:rPr>
          <w:rFonts w:cs="Times New Roman"/>
          <w:i/>
          <w:iCs/>
        </w:rPr>
        <w:t xml:space="preserve">P. </w:t>
      </w:r>
      <w:proofErr w:type="spellStart"/>
      <w:r w:rsidRPr="00333E28">
        <w:rPr>
          <w:rFonts w:cs="Times New Roman"/>
          <w:i/>
          <w:iCs/>
        </w:rPr>
        <w:t>deltoides</w:t>
      </w:r>
      <w:proofErr w:type="spellEnd"/>
      <w:r>
        <w:rPr>
          <w:rFonts w:cs="Times New Roman"/>
          <w:i/>
          <w:iCs/>
        </w:rPr>
        <w:t xml:space="preserve"> </w:t>
      </w:r>
      <w:r>
        <w:rPr>
          <w:rFonts w:cs="Times New Roman"/>
        </w:rPr>
        <w:t xml:space="preserve">on Chr18 had 65kb more NUMT content compared to the same chromosomes in </w:t>
      </w:r>
      <w:r w:rsidRPr="00333E28">
        <w:rPr>
          <w:rFonts w:cs="Times New Roman"/>
          <w:i/>
          <w:iCs/>
        </w:rPr>
        <w:t xml:space="preserve">P. </w:t>
      </w:r>
      <w:proofErr w:type="spellStart"/>
      <w:r w:rsidRPr="00333E28">
        <w:rPr>
          <w:rFonts w:cs="Times New Roman"/>
          <w:i/>
          <w:iCs/>
        </w:rPr>
        <w:t>trichocarpa</w:t>
      </w:r>
      <w:proofErr w:type="spellEnd"/>
      <w:r>
        <w:rPr>
          <w:rFonts w:cs="Times New Roman"/>
          <w:i/>
          <w:iCs/>
        </w:rPr>
        <w:t xml:space="preserve">. </w:t>
      </w:r>
    </w:p>
    <w:p w14:paraId="3D92BDEE" w14:textId="77777777" w:rsidR="00636B5B" w:rsidRDefault="00636B5B" w:rsidP="00EE03F0">
      <w:pPr>
        <w:spacing w:line="360" w:lineRule="auto"/>
        <w:ind w:firstLine="720"/>
        <w:rPr>
          <w:rFonts w:cs="Times New Roman"/>
        </w:rPr>
      </w:pPr>
      <w:r>
        <w:rPr>
          <w:rFonts w:cs="Times New Roman"/>
        </w:rPr>
        <w:t xml:space="preserve">We explored differences in organelle DNA transfer between </w:t>
      </w:r>
      <w:r w:rsidRPr="00333E28">
        <w:rPr>
          <w:rFonts w:cs="Times New Roman"/>
          <w:i/>
          <w:iCs/>
        </w:rPr>
        <w:t xml:space="preserve">P. </w:t>
      </w:r>
      <w:proofErr w:type="spellStart"/>
      <w:r w:rsidRPr="00333E28">
        <w:rPr>
          <w:rFonts w:cs="Times New Roman"/>
          <w:i/>
          <w:iCs/>
        </w:rPr>
        <w:t>trichocarpa</w:t>
      </w:r>
      <w:proofErr w:type="spellEnd"/>
      <w:r>
        <w:rPr>
          <w:rFonts w:cs="Times New Roman"/>
          <w:i/>
          <w:iCs/>
        </w:rPr>
        <w:t xml:space="preserve"> </w:t>
      </w:r>
      <w:r>
        <w:rPr>
          <w:rFonts w:cs="Times New Roman"/>
        </w:rPr>
        <w:t xml:space="preserve">and </w:t>
      </w:r>
      <w:r w:rsidRPr="00333E28">
        <w:rPr>
          <w:rFonts w:cs="Times New Roman"/>
          <w:i/>
          <w:iCs/>
        </w:rPr>
        <w:t xml:space="preserve">P. </w:t>
      </w:r>
      <w:proofErr w:type="spellStart"/>
      <w:r w:rsidRPr="00333E28">
        <w:rPr>
          <w:rFonts w:cs="Times New Roman"/>
          <w:i/>
          <w:iCs/>
        </w:rPr>
        <w:t>deltoides</w:t>
      </w:r>
      <w:proofErr w:type="spellEnd"/>
      <w:r>
        <w:rPr>
          <w:rFonts w:cs="Times New Roman"/>
        </w:rPr>
        <w:t xml:space="preserve"> through a combination of BLAST and syntenic analysis to infer presence and absence of NUPTs and NUMTs (Figure III-3B).  For NUPTs, 586 (349 kb) features in </w:t>
      </w:r>
      <w:r w:rsidRPr="00333E28">
        <w:rPr>
          <w:rFonts w:cs="Times New Roman"/>
          <w:i/>
          <w:iCs/>
        </w:rPr>
        <w:t xml:space="preserve">P. </w:t>
      </w:r>
      <w:proofErr w:type="spellStart"/>
      <w:r w:rsidRPr="00333E28">
        <w:rPr>
          <w:rFonts w:cs="Times New Roman"/>
          <w:i/>
          <w:iCs/>
        </w:rPr>
        <w:t>trichocarpa</w:t>
      </w:r>
      <w:proofErr w:type="spellEnd"/>
      <w:r>
        <w:rPr>
          <w:rFonts w:cs="Times New Roman"/>
        </w:rPr>
        <w:t xml:space="preserve"> had sequence and syntenic correspondence with 667 features in </w:t>
      </w:r>
      <w:r w:rsidRPr="00333E28">
        <w:rPr>
          <w:rFonts w:cs="Times New Roman"/>
          <w:i/>
          <w:iCs/>
        </w:rPr>
        <w:t xml:space="preserve">P. </w:t>
      </w:r>
      <w:proofErr w:type="spellStart"/>
      <w:r w:rsidRPr="00333E28">
        <w:rPr>
          <w:rFonts w:cs="Times New Roman"/>
          <w:i/>
          <w:iCs/>
        </w:rPr>
        <w:t>deltoides</w:t>
      </w:r>
      <w:proofErr w:type="spellEnd"/>
      <w:r>
        <w:rPr>
          <w:rFonts w:cs="Times New Roman"/>
          <w:i/>
          <w:iCs/>
        </w:rPr>
        <w:t xml:space="preserve"> </w:t>
      </w:r>
      <w:r>
        <w:rPr>
          <w:rFonts w:cs="Times New Roman"/>
        </w:rPr>
        <w:t xml:space="preserve">(743 kb), while 490 (274 kb) and 534 (246 kb) NUPTs were uniquely found in </w:t>
      </w:r>
      <w:r w:rsidRPr="00333E28">
        <w:rPr>
          <w:rFonts w:cs="Times New Roman"/>
          <w:i/>
          <w:iCs/>
        </w:rPr>
        <w:t xml:space="preserve">P. </w:t>
      </w:r>
      <w:proofErr w:type="spellStart"/>
      <w:r w:rsidRPr="00333E28">
        <w:rPr>
          <w:rFonts w:cs="Times New Roman"/>
          <w:i/>
          <w:iCs/>
        </w:rPr>
        <w:t>trichocarpa</w:t>
      </w:r>
      <w:proofErr w:type="spellEnd"/>
      <w:r>
        <w:rPr>
          <w:rFonts w:cs="Times New Roman"/>
          <w:i/>
          <w:iCs/>
        </w:rPr>
        <w:t xml:space="preserve"> </w:t>
      </w:r>
      <w:r>
        <w:rPr>
          <w:rFonts w:cs="Times New Roman"/>
        </w:rPr>
        <w:t xml:space="preserve">and in </w:t>
      </w:r>
      <w:r w:rsidRPr="00333E28">
        <w:rPr>
          <w:rFonts w:cs="Times New Roman"/>
          <w:i/>
          <w:iCs/>
        </w:rPr>
        <w:t xml:space="preserve">P. </w:t>
      </w:r>
      <w:proofErr w:type="spellStart"/>
      <w:r w:rsidRPr="00333E28">
        <w:rPr>
          <w:rFonts w:cs="Times New Roman"/>
          <w:i/>
          <w:iCs/>
        </w:rPr>
        <w:t>deltoides</w:t>
      </w:r>
      <w:proofErr w:type="spellEnd"/>
      <w:r>
        <w:rPr>
          <w:rFonts w:cs="Times New Roman"/>
          <w:i/>
          <w:iCs/>
        </w:rPr>
        <w:t>,</w:t>
      </w:r>
      <w:r>
        <w:rPr>
          <w:rFonts w:cs="Times New Roman"/>
          <w:iCs/>
        </w:rPr>
        <w:t xml:space="preserve"> respectively</w:t>
      </w:r>
      <w:r>
        <w:rPr>
          <w:rFonts w:cs="Times New Roman"/>
        </w:rPr>
        <w:t xml:space="preserve">.  For NUMTs, 732 (202 kb) </w:t>
      </w:r>
      <w:r w:rsidRPr="00333E28">
        <w:rPr>
          <w:rFonts w:cs="Times New Roman"/>
          <w:i/>
          <w:iCs/>
        </w:rPr>
        <w:t xml:space="preserve">P. </w:t>
      </w:r>
      <w:proofErr w:type="spellStart"/>
      <w:r w:rsidRPr="00333E28">
        <w:rPr>
          <w:rFonts w:cs="Times New Roman"/>
          <w:i/>
          <w:iCs/>
        </w:rPr>
        <w:t>trichocarpa</w:t>
      </w:r>
      <w:proofErr w:type="spellEnd"/>
      <w:r>
        <w:rPr>
          <w:rFonts w:cs="Times New Roman"/>
          <w:i/>
          <w:iCs/>
        </w:rPr>
        <w:t xml:space="preserve"> </w:t>
      </w:r>
      <w:r>
        <w:rPr>
          <w:rFonts w:cs="Times New Roman"/>
          <w:iCs/>
        </w:rPr>
        <w:t>features corresponded with</w:t>
      </w:r>
      <w:r>
        <w:rPr>
          <w:rFonts w:cs="Times New Roman"/>
        </w:rPr>
        <w:t xml:space="preserve"> 802 (261 kb) features in </w:t>
      </w:r>
      <w:r w:rsidRPr="00333E28">
        <w:rPr>
          <w:rFonts w:cs="Times New Roman"/>
          <w:i/>
          <w:iCs/>
        </w:rPr>
        <w:t xml:space="preserve">P. </w:t>
      </w:r>
      <w:proofErr w:type="spellStart"/>
      <w:r w:rsidRPr="00333E28">
        <w:rPr>
          <w:rFonts w:cs="Times New Roman"/>
          <w:i/>
          <w:iCs/>
        </w:rPr>
        <w:t>deltoides</w:t>
      </w:r>
      <w:proofErr w:type="spellEnd"/>
      <w:r>
        <w:rPr>
          <w:rFonts w:cs="Times New Roman"/>
        </w:rPr>
        <w:t xml:space="preserve"> while 677 (205 kb) and 644 (209 kb) were uniquely found in </w:t>
      </w:r>
      <w:r w:rsidRPr="00333E28">
        <w:rPr>
          <w:rFonts w:cs="Times New Roman"/>
          <w:i/>
          <w:iCs/>
        </w:rPr>
        <w:t xml:space="preserve">P. </w:t>
      </w:r>
      <w:proofErr w:type="spellStart"/>
      <w:r w:rsidRPr="00333E28">
        <w:rPr>
          <w:rFonts w:cs="Times New Roman"/>
          <w:i/>
          <w:iCs/>
        </w:rPr>
        <w:t>trichocarpa</w:t>
      </w:r>
      <w:proofErr w:type="spellEnd"/>
      <w:r>
        <w:rPr>
          <w:rFonts w:cs="Times New Roman"/>
          <w:i/>
          <w:iCs/>
        </w:rPr>
        <w:t xml:space="preserve"> </w:t>
      </w:r>
      <w:r>
        <w:rPr>
          <w:rFonts w:cs="Times New Roman"/>
        </w:rPr>
        <w:t xml:space="preserve">in </w:t>
      </w:r>
      <w:r w:rsidRPr="00333E28">
        <w:rPr>
          <w:rFonts w:cs="Times New Roman"/>
          <w:i/>
          <w:iCs/>
        </w:rPr>
        <w:t xml:space="preserve">P. </w:t>
      </w:r>
      <w:proofErr w:type="spellStart"/>
      <w:r w:rsidRPr="00333E28">
        <w:rPr>
          <w:rFonts w:cs="Times New Roman"/>
          <w:i/>
          <w:iCs/>
        </w:rPr>
        <w:t>deltoides</w:t>
      </w:r>
      <w:proofErr w:type="spellEnd"/>
      <w:r>
        <w:rPr>
          <w:rFonts w:cs="Times New Roman"/>
          <w:i/>
          <w:iCs/>
        </w:rPr>
        <w:t xml:space="preserve">, </w:t>
      </w:r>
      <w:r>
        <w:rPr>
          <w:rFonts w:cs="Times New Roman"/>
          <w:iCs/>
        </w:rPr>
        <w:t>respectively</w:t>
      </w:r>
      <w:r>
        <w:rPr>
          <w:rFonts w:cs="Times New Roman"/>
        </w:rPr>
        <w:t xml:space="preserve">. </w:t>
      </w:r>
    </w:p>
    <w:p w14:paraId="418D3039" w14:textId="77777777" w:rsidR="00636B5B" w:rsidRDefault="00636B5B" w:rsidP="00EE03F0">
      <w:pPr>
        <w:spacing w:line="360" w:lineRule="auto"/>
        <w:ind w:firstLine="720"/>
        <w:rPr>
          <w:rFonts w:cs="Times New Roman"/>
        </w:rPr>
      </w:pPr>
      <w:r>
        <w:rPr>
          <w:rFonts w:cs="Times New Roman"/>
        </w:rPr>
        <w:t xml:space="preserve">Methylation levels were explored in NUPTs and NUMTs in both shared and species-unique categories (Figure III-S5). Except for </w:t>
      </w:r>
      <w:r w:rsidRPr="00333E28">
        <w:rPr>
          <w:rFonts w:cs="Times New Roman"/>
          <w:i/>
          <w:iCs/>
        </w:rPr>
        <w:t xml:space="preserve">P. </w:t>
      </w:r>
      <w:proofErr w:type="spellStart"/>
      <w:r w:rsidRPr="00333E28">
        <w:rPr>
          <w:rFonts w:cs="Times New Roman"/>
          <w:i/>
          <w:iCs/>
        </w:rPr>
        <w:t>trichocarpa</w:t>
      </w:r>
      <w:proofErr w:type="spellEnd"/>
      <w:r>
        <w:rPr>
          <w:rFonts w:cs="Times New Roman"/>
          <w:i/>
          <w:iCs/>
        </w:rPr>
        <w:t xml:space="preserve"> </w:t>
      </w:r>
      <w:r>
        <w:rPr>
          <w:rFonts w:cs="Times New Roman"/>
        </w:rPr>
        <w:t xml:space="preserve">NUPTs in the CG methylation context, all NUPTs and NUMTs that were classified as shared had lower methylation frequencies compared to those determined to be unique to one species. Lower methylation levels of shared features can be indicative of age, as older NUPTs and NUMTs have been shown to have lower methylation levels compared to recently integrated features. </w:t>
      </w:r>
    </w:p>
    <w:p w14:paraId="607FCF99" w14:textId="77777777" w:rsidR="00636B5B" w:rsidRDefault="00636B5B" w:rsidP="00BB695D">
      <w:pPr>
        <w:widowControl w:val="0"/>
        <w:autoSpaceDE w:val="0"/>
        <w:autoSpaceDN w:val="0"/>
        <w:adjustRightInd w:val="0"/>
        <w:spacing w:line="360" w:lineRule="auto"/>
        <w:ind w:firstLine="720"/>
        <w:rPr>
          <w:rFonts w:cs="Times New Roman"/>
        </w:rPr>
      </w:pPr>
      <w:r>
        <w:rPr>
          <w:rFonts w:cs="Times New Roman"/>
        </w:rPr>
        <w:t xml:space="preserve">Additionally, AT transversion-based genetic distance of each NUPT and NUMT to its </w:t>
      </w:r>
      <w:r>
        <w:rPr>
          <w:rFonts w:cs="Times New Roman"/>
        </w:rPr>
        <w:lastRenderedPageBreak/>
        <w:t xml:space="preserve">organelle sequence was also examined in the lens of presence and absence variation (Figure III-S6). Shared NUPT and NUMT features, had a higher AT transversion-based genetic distance compared to features found uniquely in one species. This finding corroborates the methylation analysis and further supports the effectiveness of the presence and absence variation analysis as a reliable way to age these features. Additional work will be needed to address why </w:t>
      </w:r>
      <w:r w:rsidRPr="00333E28">
        <w:rPr>
          <w:rFonts w:cs="Times New Roman"/>
          <w:i/>
          <w:iCs/>
        </w:rPr>
        <w:t xml:space="preserve">P. </w:t>
      </w:r>
      <w:proofErr w:type="spellStart"/>
      <w:r w:rsidRPr="00333E28">
        <w:rPr>
          <w:rFonts w:cs="Times New Roman"/>
          <w:i/>
          <w:iCs/>
        </w:rPr>
        <w:t>trichocarpa</w:t>
      </w:r>
      <w:proofErr w:type="spellEnd"/>
      <w:r>
        <w:rPr>
          <w:rFonts w:cs="Times New Roman"/>
          <w:i/>
          <w:iCs/>
        </w:rPr>
        <w:t xml:space="preserve"> </w:t>
      </w:r>
      <w:r>
        <w:rPr>
          <w:rFonts w:cs="Times New Roman"/>
        </w:rPr>
        <w:t>NUPTs in present and absent classes had similar methylation levels in the CG methylation context.</w:t>
      </w:r>
    </w:p>
    <w:p w14:paraId="224C1912" w14:textId="77777777" w:rsidR="00636B5B" w:rsidRDefault="00636B5B" w:rsidP="00EE03F0">
      <w:pPr>
        <w:widowControl w:val="0"/>
        <w:autoSpaceDE w:val="0"/>
        <w:autoSpaceDN w:val="0"/>
        <w:adjustRightInd w:val="0"/>
        <w:spacing w:line="360" w:lineRule="auto"/>
        <w:rPr>
          <w:rFonts w:cs="Times New Roman"/>
        </w:rPr>
      </w:pPr>
    </w:p>
    <w:p w14:paraId="5C6A7E03" w14:textId="77777777" w:rsidR="00636B5B" w:rsidRDefault="00636B5B" w:rsidP="00EE03F0">
      <w:pPr>
        <w:widowControl w:val="0"/>
        <w:autoSpaceDE w:val="0"/>
        <w:autoSpaceDN w:val="0"/>
        <w:adjustRightInd w:val="0"/>
        <w:rPr>
          <w:rFonts w:cs="Times New Roman"/>
          <w:b/>
          <w:bCs/>
        </w:rPr>
      </w:pPr>
      <w:r>
        <w:rPr>
          <w:rFonts w:cs="Times New Roman"/>
          <w:b/>
          <w:bCs/>
        </w:rPr>
        <w:t xml:space="preserve">Expression and proteomic evidence for putative </w:t>
      </w:r>
      <w:proofErr w:type="gramStart"/>
      <w:r>
        <w:rPr>
          <w:rFonts w:cs="Times New Roman"/>
          <w:b/>
          <w:bCs/>
        </w:rPr>
        <w:t>protein-coding</w:t>
      </w:r>
      <w:proofErr w:type="gramEnd"/>
      <w:r>
        <w:rPr>
          <w:rFonts w:cs="Times New Roman"/>
          <w:b/>
          <w:bCs/>
        </w:rPr>
        <w:t xml:space="preserve"> NUPTs and NUPTs</w:t>
      </w:r>
    </w:p>
    <w:p w14:paraId="7C7114F3" w14:textId="77777777" w:rsidR="00636B5B" w:rsidRDefault="00636B5B" w:rsidP="00EE03F0">
      <w:pPr>
        <w:spacing w:line="360" w:lineRule="auto"/>
        <w:ind w:firstLine="720"/>
        <w:rPr>
          <w:rFonts w:cs="Times New Roman"/>
        </w:rPr>
      </w:pPr>
    </w:p>
    <w:p w14:paraId="193DA2A5" w14:textId="77777777" w:rsidR="00636B5B" w:rsidRDefault="00636B5B" w:rsidP="00EE03F0">
      <w:pPr>
        <w:spacing w:line="360" w:lineRule="auto"/>
        <w:ind w:firstLine="720"/>
        <w:rPr>
          <w:rFonts w:cs="Times New Roman"/>
        </w:rPr>
      </w:pPr>
      <w:r>
        <w:rPr>
          <w:rFonts w:cs="Times New Roman"/>
        </w:rPr>
        <w:t xml:space="preserve">Expression evidence for protein-coding NUPTs and NUMTs was first assessed with the Joint Genome Institute (JGI) Plant Gene Atlas database which included 13 and 9 tissues in </w:t>
      </w:r>
      <w:r w:rsidRPr="00333E28">
        <w:rPr>
          <w:rFonts w:cs="Times New Roman"/>
          <w:i/>
          <w:iCs/>
        </w:rPr>
        <w:t xml:space="preserve">P. </w:t>
      </w:r>
      <w:proofErr w:type="spellStart"/>
      <w:r w:rsidRPr="00333E28">
        <w:rPr>
          <w:rFonts w:cs="Times New Roman"/>
          <w:i/>
          <w:iCs/>
        </w:rPr>
        <w:t>trichocarpa</w:t>
      </w:r>
      <w:proofErr w:type="spellEnd"/>
      <w:r>
        <w:rPr>
          <w:rFonts w:cs="Times New Roman"/>
          <w:i/>
          <w:iCs/>
        </w:rPr>
        <w:t xml:space="preserve"> </w:t>
      </w:r>
      <w:r>
        <w:rPr>
          <w:rFonts w:cs="Times New Roman"/>
        </w:rPr>
        <w:t xml:space="preserve">and </w:t>
      </w:r>
      <w:r w:rsidRPr="00333E28">
        <w:rPr>
          <w:rFonts w:cs="Times New Roman"/>
          <w:i/>
          <w:iCs/>
        </w:rPr>
        <w:t xml:space="preserve">P. </w:t>
      </w:r>
      <w:proofErr w:type="spellStart"/>
      <w:r w:rsidRPr="00333E28">
        <w:rPr>
          <w:rFonts w:cs="Times New Roman"/>
          <w:i/>
          <w:iCs/>
        </w:rPr>
        <w:t>deltoides</w:t>
      </w:r>
      <w:proofErr w:type="spellEnd"/>
      <w:r>
        <w:rPr>
          <w:rFonts w:cs="Times New Roman"/>
        </w:rPr>
        <w:t>,</w:t>
      </w:r>
      <w:r>
        <w:rPr>
          <w:rFonts w:cs="Times New Roman"/>
          <w:i/>
          <w:iCs/>
        </w:rPr>
        <w:t xml:space="preserve"> </w:t>
      </w:r>
      <w:r>
        <w:rPr>
          <w:rFonts w:cs="Times New Roman"/>
        </w:rPr>
        <w:t xml:space="preserve">respectively (Table III-S5). For </w:t>
      </w:r>
      <w:r w:rsidRPr="00333E28">
        <w:rPr>
          <w:rFonts w:cs="Times New Roman"/>
          <w:i/>
          <w:iCs/>
        </w:rPr>
        <w:t xml:space="preserve">P. </w:t>
      </w:r>
      <w:proofErr w:type="spellStart"/>
      <w:r w:rsidRPr="00333E28">
        <w:rPr>
          <w:rFonts w:cs="Times New Roman"/>
          <w:i/>
          <w:iCs/>
        </w:rPr>
        <w:t>trichocarpa</w:t>
      </w:r>
      <w:proofErr w:type="spellEnd"/>
      <w:r>
        <w:rPr>
          <w:rFonts w:cs="Times New Roman"/>
        </w:rPr>
        <w:t xml:space="preserve">, 4/10 (40%) putative </w:t>
      </w:r>
      <w:proofErr w:type="gramStart"/>
      <w:r>
        <w:rPr>
          <w:rFonts w:cs="Times New Roman"/>
        </w:rPr>
        <w:t>protein-coding</w:t>
      </w:r>
      <w:proofErr w:type="gramEnd"/>
      <w:r>
        <w:rPr>
          <w:rFonts w:cs="Times New Roman"/>
        </w:rPr>
        <w:t xml:space="preserve"> NUMTs and 40/200 (20%) NUPTs had expression evidence based on uniquely mapping transcripts. In </w:t>
      </w:r>
      <w:r w:rsidRPr="00333E28">
        <w:rPr>
          <w:rFonts w:cs="Times New Roman"/>
          <w:i/>
          <w:iCs/>
        </w:rPr>
        <w:t xml:space="preserve">P. </w:t>
      </w:r>
      <w:proofErr w:type="spellStart"/>
      <w:r w:rsidRPr="00333E28">
        <w:rPr>
          <w:rFonts w:cs="Times New Roman"/>
          <w:i/>
          <w:iCs/>
        </w:rPr>
        <w:t>deltoides</w:t>
      </w:r>
      <w:proofErr w:type="spellEnd"/>
      <w:r>
        <w:rPr>
          <w:rFonts w:cs="Times New Roman"/>
        </w:rPr>
        <w:t>, 5/18 (20%)</w:t>
      </w:r>
      <w:r w:rsidRPr="00BD19E5">
        <w:rPr>
          <w:rFonts w:cs="Times New Roman"/>
        </w:rPr>
        <w:t xml:space="preserve"> </w:t>
      </w:r>
      <w:r>
        <w:rPr>
          <w:rFonts w:cs="Times New Roman"/>
        </w:rPr>
        <w:t xml:space="preserve">putative </w:t>
      </w:r>
      <w:proofErr w:type="gramStart"/>
      <w:r>
        <w:rPr>
          <w:rFonts w:cs="Times New Roman"/>
        </w:rPr>
        <w:t>protein-coding</w:t>
      </w:r>
      <w:proofErr w:type="gramEnd"/>
      <w:r>
        <w:rPr>
          <w:rFonts w:cs="Times New Roman"/>
        </w:rPr>
        <w:t xml:space="preserve"> NUMTs and 30/353 (8.4%) had evidence of expression based on uniquely mapping transcripts. Although </w:t>
      </w:r>
      <w:r w:rsidRPr="00333E28">
        <w:rPr>
          <w:rFonts w:cs="Times New Roman"/>
          <w:i/>
          <w:iCs/>
        </w:rPr>
        <w:t xml:space="preserve">P. </w:t>
      </w:r>
      <w:proofErr w:type="spellStart"/>
      <w:r w:rsidRPr="00333E28">
        <w:rPr>
          <w:rFonts w:cs="Times New Roman"/>
          <w:i/>
          <w:iCs/>
        </w:rPr>
        <w:t>deltoides</w:t>
      </w:r>
      <w:proofErr w:type="spellEnd"/>
      <w:r>
        <w:rPr>
          <w:rFonts w:cs="Times New Roman"/>
          <w:i/>
          <w:iCs/>
        </w:rPr>
        <w:t xml:space="preserve"> </w:t>
      </w:r>
      <w:r>
        <w:rPr>
          <w:rFonts w:cs="Times New Roman"/>
        </w:rPr>
        <w:t xml:space="preserve">had lower percentages of </w:t>
      </w:r>
      <w:proofErr w:type="gramStart"/>
      <w:r>
        <w:rPr>
          <w:rFonts w:cs="Times New Roman"/>
        </w:rPr>
        <w:t>protein-coding</w:t>
      </w:r>
      <w:proofErr w:type="gramEnd"/>
      <w:r>
        <w:rPr>
          <w:rFonts w:cs="Times New Roman"/>
        </w:rPr>
        <w:t xml:space="preserve"> NUPTs and NUMTs compared to </w:t>
      </w:r>
      <w:r w:rsidRPr="00333E28">
        <w:rPr>
          <w:rFonts w:cs="Times New Roman"/>
          <w:i/>
          <w:iCs/>
        </w:rPr>
        <w:t xml:space="preserve">P. </w:t>
      </w:r>
      <w:proofErr w:type="spellStart"/>
      <w:r w:rsidRPr="00333E28">
        <w:rPr>
          <w:rFonts w:cs="Times New Roman"/>
          <w:i/>
          <w:iCs/>
        </w:rPr>
        <w:t>trichocarpa</w:t>
      </w:r>
      <w:proofErr w:type="spellEnd"/>
      <w:r>
        <w:rPr>
          <w:rFonts w:cs="Times New Roman"/>
          <w:i/>
          <w:iCs/>
        </w:rPr>
        <w:t xml:space="preserve">, </w:t>
      </w:r>
      <w:r>
        <w:rPr>
          <w:rFonts w:cs="Times New Roman"/>
        </w:rPr>
        <w:t>this could be due to the larger numbers of total features which may be duplicated and therefore lack expression evidence due to multimapping reads.</w:t>
      </w:r>
    </w:p>
    <w:p w14:paraId="6C954ADD" w14:textId="77777777" w:rsidR="00636B5B" w:rsidRPr="001D5523" w:rsidRDefault="00636B5B" w:rsidP="00EE03F0">
      <w:pPr>
        <w:spacing w:line="360" w:lineRule="auto"/>
        <w:ind w:firstLine="720"/>
        <w:rPr>
          <w:rFonts w:cs="Times New Roman"/>
        </w:rPr>
      </w:pPr>
      <w:r>
        <w:rPr>
          <w:rFonts w:cs="Times New Roman"/>
        </w:rPr>
        <w:t xml:space="preserve">To further assess expression evidence of putative protein-coding NUPTs and NUMTs in </w:t>
      </w:r>
      <w:r w:rsidRPr="00333E28">
        <w:rPr>
          <w:rFonts w:cs="Times New Roman"/>
          <w:i/>
          <w:iCs/>
        </w:rPr>
        <w:t xml:space="preserve">P. </w:t>
      </w:r>
      <w:proofErr w:type="spellStart"/>
      <w:r w:rsidRPr="00333E28">
        <w:rPr>
          <w:rFonts w:cs="Times New Roman"/>
          <w:i/>
          <w:iCs/>
        </w:rPr>
        <w:t>trichocarpa</w:t>
      </w:r>
      <w:proofErr w:type="spellEnd"/>
      <w:r>
        <w:rPr>
          <w:rFonts w:cs="Times New Roman"/>
          <w:i/>
          <w:iCs/>
        </w:rPr>
        <w:t xml:space="preserve"> </w:t>
      </w:r>
      <w:r>
        <w:rPr>
          <w:rFonts w:cs="Times New Roman"/>
        </w:rPr>
        <w:t>at the population level</w:t>
      </w:r>
      <w:r>
        <w:rPr>
          <w:rFonts w:cs="Times New Roman"/>
          <w:i/>
          <w:iCs/>
        </w:rPr>
        <w:t xml:space="preserve"> </w:t>
      </w:r>
      <w:r>
        <w:rPr>
          <w:rFonts w:cs="Times New Roman"/>
        </w:rPr>
        <w:t xml:space="preserve">we utilized expanded expression datasets (Table III-S5). These transcriptome datasets included leaf, root, and developing xylem tissue which was sampled from hundreds of individual </w:t>
      </w:r>
      <w:r w:rsidRPr="00333E28">
        <w:rPr>
          <w:rFonts w:cs="Times New Roman"/>
          <w:i/>
          <w:iCs/>
        </w:rPr>
        <w:t xml:space="preserve">P. </w:t>
      </w:r>
      <w:proofErr w:type="spellStart"/>
      <w:r w:rsidRPr="00333E28">
        <w:rPr>
          <w:rFonts w:cs="Times New Roman"/>
          <w:i/>
          <w:iCs/>
        </w:rPr>
        <w:t>trichocarpa</w:t>
      </w:r>
      <w:proofErr w:type="spellEnd"/>
      <w:r>
        <w:rPr>
          <w:rFonts w:cs="Times New Roman"/>
          <w:i/>
          <w:iCs/>
        </w:rPr>
        <w:t xml:space="preserve"> </w:t>
      </w:r>
      <w:r>
        <w:rPr>
          <w:rFonts w:cs="Times New Roman"/>
        </w:rPr>
        <w:t xml:space="preserve">genotypes well as a QTL pedigree which included 438 individuals. When the expanded datasets were included, 127/200 putative protein-coding NUPTs (63%) had expression and of the 10 putative protein-coding NUMTs in </w:t>
      </w:r>
      <w:r w:rsidRPr="00333E28">
        <w:rPr>
          <w:rFonts w:cs="Times New Roman"/>
          <w:i/>
          <w:iCs/>
        </w:rPr>
        <w:t xml:space="preserve">P. </w:t>
      </w:r>
      <w:proofErr w:type="spellStart"/>
      <w:r w:rsidRPr="00333E28">
        <w:rPr>
          <w:rFonts w:cs="Times New Roman"/>
          <w:i/>
          <w:iCs/>
        </w:rPr>
        <w:t>trichocarpa</w:t>
      </w:r>
      <w:proofErr w:type="spellEnd"/>
      <w:r>
        <w:rPr>
          <w:rFonts w:cs="Times New Roman"/>
        </w:rPr>
        <w:t xml:space="preserve">, all but two (80%) had expression evidence. In leaf, root, and xylem tissues in </w:t>
      </w:r>
      <w:r w:rsidRPr="00333E28">
        <w:rPr>
          <w:rFonts w:cs="Times New Roman"/>
          <w:i/>
          <w:iCs/>
        </w:rPr>
        <w:t xml:space="preserve">P. </w:t>
      </w:r>
      <w:proofErr w:type="spellStart"/>
      <w:r w:rsidRPr="00333E28">
        <w:rPr>
          <w:rFonts w:cs="Times New Roman"/>
          <w:i/>
          <w:iCs/>
        </w:rPr>
        <w:t>trichocarpa</w:t>
      </w:r>
      <w:proofErr w:type="spellEnd"/>
      <w:r>
        <w:rPr>
          <w:rFonts w:cs="Times New Roman"/>
          <w:i/>
          <w:iCs/>
        </w:rPr>
        <w:t xml:space="preserve"> </w:t>
      </w:r>
      <w:r>
        <w:rPr>
          <w:rFonts w:cs="Times New Roman"/>
        </w:rPr>
        <w:t xml:space="preserve">where RNA-Seq data was gathered across large numbers of individual genotypes, protein-coding NUPTs had the highest mean expression levels in leaf tissue compared to root and xylem tissues (Figure III-2C). Additionally, gene expression variance in </w:t>
      </w:r>
      <w:proofErr w:type="gramStart"/>
      <w:r>
        <w:rPr>
          <w:rFonts w:cs="Times New Roman"/>
        </w:rPr>
        <w:t>protein-coding</w:t>
      </w:r>
      <w:proofErr w:type="gramEnd"/>
      <w:r>
        <w:rPr>
          <w:rFonts w:cs="Times New Roman"/>
        </w:rPr>
        <w:t xml:space="preserve"> NUPTs and NUMTs was highest across individuals in leaf and xylem tissue, respectively. Putative </w:t>
      </w:r>
      <w:proofErr w:type="gramStart"/>
      <w:r>
        <w:rPr>
          <w:rFonts w:cs="Times New Roman"/>
        </w:rPr>
        <w:t>protein-coding</w:t>
      </w:r>
      <w:proofErr w:type="gramEnd"/>
      <w:r>
        <w:rPr>
          <w:rFonts w:cs="Times New Roman"/>
        </w:rPr>
        <w:t xml:space="preserve"> NUPTs also had proteomic evidence based on the analysis of unique </w:t>
      </w:r>
      <w:r>
        <w:rPr>
          <w:rFonts w:cs="Times New Roman"/>
        </w:rPr>
        <w:lastRenderedPageBreak/>
        <w:t xml:space="preserve">peptides from mass spectrometry data generated from leaf tissue of six </w:t>
      </w:r>
      <w:r w:rsidRPr="00333E28">
        <w:rPr>
          <w:rFonts w:cs="Times New Roman"/>
          <w:i/>
          <w:iCs/>
        </w:rPr>
        <w:t xml:space="preserve">P. </w:t>
      </w:r>
      <w:proofErr w:type="spellStart"/>
      <w:r w:rsidRPr="00333E28">
        <w:rPr>
          <w:rFonts w:cs="Times New Roman"/>
          <w:i/>
          <w:iCs/>
        </w:rPr>
        <w:t>trichocarpa</w:t>
      </w:r>
      <w:proofErr w:type="spellEnd"/>
      <w:r>
        <w:rPr>
          <w:rFonts w:cs="Times New Roman"/>
          <w:i/>
          <w:iCs/>
        </w:rPr>
        <w:t xml:space="preserve"> </w:t>
      </w:r>
      <w:r>
        <w:rPr>
          <w:rFonts w:cs="Times New Roman"/>
        </w:rPr>
        <w:t>genotypes. Specifically, 57/200 (28%) protein-coding NUPTs had proteomic evidence and none of the protein-coding NUMTs had proteomic evidence.</w:t>
      </w:r>
    </w:p>
    <w:p w14:paraId="3665DF98" w14:textId="77777777" w:rsidR="00636B5B" w:rsidRPr="00FD35FD" w:rsidRDefault="00636B5B" w:rsidP="00EE03F0">
      <w:pPr>
        <w:spacing w:line="360" w:lineRule="auto"/>
        <w:ind w:firstLine="720"/>
        <w:rPr>
          <w:rFonts w:cs="Times New Roman"/>
        </w:rPr>
      </w:pPr>
      <w:r>
        <w:rPr>
          <w:rFonts w:cs="Times New Roman"/>
        </w:rPr>
        <w:t xml:space="preserve">Additionally, the putative </w:t>
      </w:r>
      <w:proofErr w:type="gramStart"/>
      <w:r>
        <w:rPr>
          <w:rFonts w:cs="Times New Roman"/>
        </w:rPr>
        <w:t>protein-coding</w:t>
      </w:r>
      <w:proofErr w:type="gramEnd"/>
      <w:r>
        <w:rPr>
          <w:rFonts w:cs="Times New Roman"/>
        </w:rPr>
        <w:t xml:space="preserve"> NUPTs and NUMTs were not distributed evenly across chromosomes. In </w:t>
      </w:r>
      <w:r w:rsidRPr="00333E28">
        <w:rPr>
          <w:rFonts w:cs="Times New Roman"/>
          <w:i/>
          <w:iCs/>
        </w:rPr>
        <w:t xml:space="preserve">P. </w:t>
      </w:r>
      <w:proofErr w:type="spellStart"/>
      <w:r w:rsidRPr="00333E28">
        <w:rPr>
          <w:rFonts w:cs="Times New Roman"/>
          <w:i/>
          <w:iCs/>
        </w:rPr>
        <w:t>trichocarpa</w:t>
      </w:r>
      <w:proofErr w:type="spellEnd"/>
      <w:r>
        <w:rPr>
          <w:rFonts w:cs="Times New Roman"/>
        </w:rPr>
        <w:t>,</w:t>
      </w:r>
      <w:r>
        <w:rPr>
          <w:rFonts w:cs="Times New Roman"/>
          <w:i/>
          <w:iCs/>
        </w:rPr>
        <w:t xml:space="preserve"> </w:t>
      </w:r>
      <w:r>
        <w:rPr>
          <w:rFonts w:cs="Times New Roman"/>
        </w:rPr>
        <w:t xml:space="preserve">putative </w:t>
      </w:r>
      <w:proofErr w:type="gramStart"/>
      <w:r>
        <w:rPr>
          <w:rFonts w:cs="Times New Roman"/>
        </w:rPr>
        <w:t>protein-coding</w:t>
      </w:r>
      <w:proofErr w:type="gramEnd"/>
      <w:r>
        <w:rPr>
          <w:rFonts w:cs="Times New Roman"/>
        </w:rPr>
        <w:t xml:space="preserve"> NUPTs were overrepresented (Fisher’s exact test, </w:t>
      </w:r>
      <w:r>
        <w:rPr>
          <w:rFonts w:cs="Times New Roman"/>
          <w:i/>
          <w:iCs/>
        </w:rPr>
        <w:t xml:space="preserve">p </w:t>
      </w:r>
      <w:r>
        <w:rPr>
          <w:rFonts w:cs="Times New Roman"/>
        </w:rPr>
        <w:t xml:space="preserve">&lt; 0.05) on Chr13 and Chr19 while in </w:t>
      </w:r>
      <w:r w:rsidRPr="00333E28">
        <w:rPr>
          <w:rFonts w:cs="Times New Roman"/>
          <w:i/>
          <w:iCs/>
        </w:rPr>
        <w:t xml:space="preserve">P. </w:t>
      </w:r>
      <w:proofErr w:type="spellStart"/>
      <w:r w:rsidRPr="00333E28">
        <w:rPr>
          <w:rFonts w:cs="Times New Roman"/>
          <w:i/>
          <w:iCs/>
        </w:rPr>
        <w:t>deltoides</w:t>
      </w:r>
      <w:proofErr w:type="spellEnd"/>
      <w:r>
        <w:rPr>
          <w:rFonts w:cs="Times New Roman"/>
          <w:i/>
          <w:iCs/>
        </w:rPr>
        <w:t xml:space="preserve"> </w:t>
      </w:r>
      <w:r>
        <w:rPr>
          <w:rFonts w:cs="Times New Roman"/>
        </w:rPr>
        <w:t xml:space="preserve">they are overrepresented on Chr11, Chr13, and Chr16. For putative </w:t>
      </w:r>
      <w:proofErr w:type="gramStart"/>
      <w:r>
        <w:rPr>
          <w:rFonts w:cs="Times New Roman"/>
        </w:rPr>
        <w:t>protein-coding</w:t>
      </w:r>
      <w:proofErr w:type="gramEnd"/>
      <w:r>
        <w:rPr>
          <w:rFonts w:cs="Times New Roman"/>
        </w:rPr>
        <w:t xml:space="preserve"> NUMTs, no chromosomes were overrepresented in either </w:t>
      </w:r>
      <w:r w:rsidRPr="00333E28">
        <w:rPr>
          <w:rFonts w:cs="Times New Roman"/>
          <w:i/>
          <w:iCs/>
        </w:rPr>
        <w:t xml:space="preserve">P. </w:t>
      </w:r>
      <w:proofErr w:type="spellStart"/>
      <w:r w:rsidRPr="00333E28">
        <w:rPr>
          <w:rFonts w:cs="Times New Roman"/>
          <w:i/>
          <w:iCs/>
        </w:rPr>
        <w:t>trichocarpa</w:t>
      </w:r>
      <w:proofErr w:type="spellEnd"/>
      <w:r>
        <w:rPr>
          <w:rFonts w:cs="Times New Roman"/>
          <w:i/>
          <w:iCs/>
        </w:rPr>
        <w:t xml:space="preserve"> </w:t>
      </w:r>
      <w:r>
        <w:rPr>
          <w:rFonts w:cs="Times New Roman"/>
        </w:rPr>
        <w:t xml:space="preserve">or </w:t>
      </w:r>
      <w:r w:rsidRPr="00333E28">
        <w:rPr>
          <w:rFonts w:cs="Times New Roman"/>
          <w:i/>
          <w:iCs/>
        </w:rPr>
        <w:t xml:space="preserve">P. </w:t>
      </w:r>
      <w:proofErr w:type="spellStart"/>
      <w:r w:rsidRPr="00333E28">
        <w:rPr>
          <w:rFonts w:cs="Times New Roman"/>
          <w:i/>
          <w:iCs/>
        </w:rPr>
        <w:t>deltoides</w:t>
      </w:r>
      <w:proofErr w:type="spellEnd"/>
      <w:r>
        <w:rPr>
          <w:rFonts w:cs="Times New Roman"/>
          <w:i/>
          <w:iCs/>
        </w:rPr>
        <w:t>.</w:t>
      </w:r>
    </w:p>
    <w:p w14:paraId="7D3FA5DA" w14:textId="77777777" w:rsidR="00636B5B" w:rsidRPr="00876F8A" w:rsidRDefault="00636B5B" w:rsidP="00EE03F0">
      <w:pPr>
        <w:spacing w:line="360" w:lineRule="auto"/>
        <w:ind w:firstLine="720"/>
        <w:rPr>
          <w:rFonts w:cs="Times New Roman"/>
        </w:rPr>
      </w:pPr>
      <w:r>
        <w:rPr>
          <w:rFonts w:cs="Times New Roman"/>
        </w:rPr>
        <w:t>Although putative protein-coding NUPTs and NUMTs are generally thought to be non-functional we identified 47 putative protein-coding NUPTs that have expression evidence and proteomic evidence based on uniquely mapping transcripts and peptides, respectively (Table III-S4). Future molecular validation studies will be necessary to assess their function.</w:t>
      </w:r>
    </w:p>
    <w:p w14:paraId="0DCAA205" w14:textId="77777777" w:rsidR="00636B5B" w:rsidRDefault="00636B5B" w:rsidP="00EE03F0">
      <w:pPr>
        <w:widowControl w:val="0"/>
        <w:autoSpaceDE w:val="0"/>
        <w:autoSpaceDN w:val="0"/>
        <w:adjustRightInd w:val="0"/>
        <w:rPr>
          <w:rFonts w:cs="Times New Roman"/>
          <w:b/>
          <w:bCs/>
        </w:rPr>
      </w:pPr>
    </w:p>
    <w:p w14:paraId="31B65D2E" w14:textId="77777777" w:rsidR="00636B5B" w:rsidRDefault="00636B5B" w:rsidP="00EE03F0">
      <w:pPr>
        <w:widowControl w:val="0"/>
        <w:autoSpaceDE w:val="0"/>
        <w:autoSpaceDN w:val="0"/>
        <w:adjustRightInd w:val="0"/>
        <w:rPr>
          <w:rFonts w:cs="Times New Roman"/>
          <w:b/>
          <w:bCs/>
        </w:rPr>
      </w:pPr>
      <w:r>
        <w:rPr>
          <w:rFonts w:cs="Times New Roman"/>
          <w:b/>
          <w:bCs/>
        </w:rPr>
        <w:t xml:space="preserve">The </w:t>
      </w:r>
      <w:r w:rsidRPr="00333E28">
        <w:rPr>
          <w:rFonts w:cs="Times New Roman"/>
          <w:b/>
          <w:bCs/>
          <w:i/>
          <w:iCs/>
        </w:rPr>
        <w:t xml:space="preserve">P. </w:t>
      </w:r>
      <w:proofErr w:type="spellStart"/>
      <w:r w:rsidRPr="00333E28">
        <w:rPr>
          <w:rFonts w:cs="Times New Roman"/>
          <w:b/>
          <w:bCs/>
          <w:i/>
          <w:iCs/>
        </w:rPr>
        <w:t>trichocarpa</w:t>
      </w:r>
      <w:proofErr w:type="spellEnd"/>
      <w:r>
        <w:rPr>
          <w:rFonts w:cs="Times New Roman"/>
          <w:b/>
          <w:bCs/>
          <w:i/>
          <w:iCs/>
        </w:rPr>
        <w:t xml:space="preserve"> </w:t>
      </w:r>
      <w:r>
        <w:rPr>
          <w:rFonts w:cs="Times New Roman"/>
          <w:b/>
          <w:bCs/>
        </w:rPr>
        <w:t xml:space="preserve">and </w:t>
      </w:r>
      <w:r w:rsidRPr="00333E28">
        <w:rPr>
          <w:rFonts w:cs="Times New Roman"/>
          <w:b/>
          <w:bCs/>
          <w:i/>
          <w:iCs/>
        </w:rPr>
        <w:t xml:space="preserve">P. </w:t>
      </w:r>
      <w:proofErr w:type="spellStart"/>
      <w:r w:rsidRPr="00333E28">
        <w:rPr>
          <w:rFonts w:cs="Times New Roman"/>
          <w:b/>
          <w:bCs/>
          <w:i/>
          <w:iCs/>
        </w:rPr>
        <w:t>deltoides</w:t>
      </w:r>
      <w:proofErr w:type="spellEnd"/>
      <w:r>
        <w:rPr>
          <w:rFonts w:cs="Times New Roman"/>
          <w:b/>
          <w:bCs/>
        </w:rPr>
        <w:t xml:space="preserve"> whole chloroplast integration events</w:t>
      </w:r>
    </w:p>
    <w:p w14:paraId="3C216C80" w14:textId="77777777" w:rsidR="00636B5B" w:rsidRDefault="00636B5B" w:rsidP="00EE03F0">
      <w:pPr>
        <w:spacing w:line="360" w:lineRule="auto"/>
        <w:ind w:firstLine="720"/>
        <w:rPr>
          <w:rFonts w:cs="Times New Roman"/>
        </w:rPr>
      </w:pPr>
    </w:p>
    <w:p w14:paraId="694C4C94" w14:textId="77777777" w:rsidR="00636B5B" w:rsidRDefault="00636B5B" w:rsidP="00EE03F0">
      <w:pPr>
        <w:spacing w:line="360" w:lineRule="auto"/>
        <w:ind w:firstLine="720"/>
        <w:rPr>
          <w:rFonts w:cs="Times New Roman"/>
        </w:rPr>
      </w:pPr>
      <w:r>
        <w:rPr>
          <w:rFonts w:cs="Times New Roman"/>
        </w:rPr>
        <w:t xml:space="preserve">Previously, Huang et al., (2017), identified a whole chloroplast integration event with an alignment length of 165kb near the end of Chr13 in </w:t>
      </w:r>
      <w:r w:rsidRPr="00333E28">
        <w:rPr>
          <w:rFonts w:cs="Times New Roman"/>
          <w:i/>
          <w:iCs/>
        </w:rPr>
        <w:t xml:space="preserve">P. </w:t>
      </w:r>
      <w:proofErr w:type="spellStart"/>
      <w:r w:rsidRPr="00333E28">
        <w:rPr>
          <w:rFonts w:cs="Times New Roman"/>
          <w:i/>
          <w:iCs/>
        </w:rPr>
        <w:t>trichocarpa</w:t>
      </w:r>
      <w:proofErr w:type="spellEnd"/>
      <w:r>
        <w:rPr>
          <w:rFonts w:cs="Times New Roman"/>
          <w:i/>
          <w:iCs/>
        </w:rPr>
        <w:t xml:space="preserve"> </w:t>
      </w:r>
      <w:r>
        <w:rPr>
          <w:rFonts w:cs="Times New Roman"/>
        </w:rPr>
        <w:t>(</w:t>
      </w:r>
      <w:r w:rsidRPr="00581475">
        <w:rPr>
          <w:rFonts w:cs="Times New Roman"/>
        </w:rPr>
        <w:t>Chr13:14</w:t>
      </w:r>
      <w:r>
        <w:rPr>
          <w:rFonts w:cs="Times New Roman"/>
        </w:rPr>
        <w:t>,</w:t>
      </w:r>
      <w:r w:rsidRPr="00581475">
        <w:rPr>
          <w:rFonts w:cs="Times New Roman"/>
        </w:rPr>
        <w:t>730</w:t>
      </w:r>
      <w:r>
        <w:rPr>
          <w:rFonts w:cs="Times New Roman"/>
        </w:rPr>
        <w:t>,</w:t>
      </w:r>
      <w:r w:rsidRPr="00581475">
        <w:rPr>
          <w:rFonts w:cs="Times New Roman"/>
        </w:rPr>
        <w:t>412-14</w:t>
      </w:r>
      <w:r>
        <w:rPr>
          <w:rFonts w:cs="Times New Roman"/>
        </w:rPr>
        <w:t>,</w:t>
      </w:r>
      <w:r w:rsidRPr="00581475">
        <w:rPr>
          <w:rFonts w:cs="Times New Roman"/>
        </w:rPr>
        <w:t>896</w:t>
      </w:r>
      <w:r>
        <w:rPr>
          <w:rFonts w:cs="Times New Roman"/>
        </w:rPr>
        <w:t>,</w:t>
      </w:r>
      <w:r w:rsidRPr="00581475">
        <w:rPr>
          <w:rFonts w:cs="Times New Roman"/>
        </w:rPr>
        <w:t>306</w:t>
      </w:r>
      <w:r>
        <w:rPr>
          <w:rFonts w:cs="Times New Roman"/>
        </w:rPr>
        <w:t>)</w:t>
      </w:r>
      <w:r>
        <w:rPr>
          <w:rFonts w:cs="Times New Roman"/>
          <w:i/>
          <w:iCs/>
        </w:rPr>
        <w:t xml:space="preserve"> </w:t>
      </w:r>
      <w:r>
        <w:rPr>
          <w:rFonts w:cs="Times New Roman"/>
        </w:rPr>
        <w:t xml:space="preserve">(Figure III-4A). This event is also shared in </w:t>
      </w:r>
      <w:r w:rsidRPr="00333E28">
        <w:rPr>
          <w:rFonts w:cs="Times New Roman"/>
          <w:i/>
          <w:iCs/>
        </w:rPr>
        <w:t xml:space="preserve">P. </w:t>
      </w:r>
      <w:proofErr w:type="spellStart"/>
      <w:r w:rsidRPr="00333E28">
        <w:rPr>
          <w:rFonts w:cs="Times New Roman"/>
          <w:i/>
          <w:iCs/>
        </w:rPr>
        <w:t>deltoides</w:t>
      </w:r>
      <w:proofErr w:type="spellEnd"/>
      <w:r>
        <w:rPr>
          <w:rFonts w:cs="Times New Roman"/>
        </w:rPr>
        <w:t xml:space="preserve"> (</w:t>
      </w:r>
      <w:r w:rsidRPr="00581475">
        <w:rPr>
          <w:rFonts w:cs="Times New Roman"/>
        </w:rPr>
        <w:t>Chr13</w:t>
      </w:r>
      <w:r>
        <w:rPr>
          <w:rFonts w:cs="Times New Roman"/>
        </w:rPr>
        <w:t>:</w:t>
      </w:r>
      <w:r w:rsidRPr="00581475">
        <w:rPr>
          <w:rFonts w:cs="Times New Roman"/>
        </w:rPr>
        <w:t>15</w:t>
      </w:r>
      <w:r>
        <w:rPr>
          <w:rFonts w:cs="Times New Roman"/>
        </w:rPr>
        <w:t>,</w:t>
      </w:r>
      <w:r w:rsidRPr="00581475">
        <w:rPr>
          <w:rFonts w:cs="Times New Roman"/>
        </w:rPr>
        <w:t>455</w:t>
      </w:r>
      <w:r>
        <w:rPr>
          <w:rFonts w:cs="Times New Roman"/>
        </w:rPr>
        <w:t>,</w:t>
      </w:r>
      <w:r w:rsidRPr="00581475">
        <w:rPr>
          <w:rFonts w:cs="Times New Roman"/>
        </w:rPr>
        <w:t>935</w:t>
      </w:r>
      <w:r>
        <w:rPr>
          <w:rFonts w:cs="Times New Roman"/>
        </w:rPr>
        <w:t>-1</w:t>
      </w:r>
      <w:r w:rsidRPr="00581475">
        <w:rPr>
          <w:rFonts w:cs="Times New Roman"/>
        </w:rPr>
        <w:t>5</w:t>
      </w:r>
      <w:r>
        <w:rPr>
          <w:rFonts w:cs="Times New Roman"/>
        </w:rPr>
        <w:t>,</w:t>
      </w:r>
      <w:r w:rsidRPr="00581475">
        <w:rPr>
          <w:rFonts w:cs="Times New Roman"/>
        </w:rPr>
        <w:t>826</w:t>
      </w:r>
      <w:r>
        <w:rPr>
          <w:rFonts w:cs="Times New Roman"/>
        </w:rPr>
        <w:t>,</w:t>
      </w:r>
      <w:r w:rsidRPr="00581475">
        <w:rPr>
          <w:rFonts w:cs="Times New Roman"/>
        </w:rPr>
        <w:t>865</w:t>
      </w:r>
      <w:r>
        <w:rPr>
          <w:rFonts w:cs="Times New Roman"/>
        </w:rPr>
        <w:t xml:space="preserve">) as the </w:t>
      </w:r>
      <w:r w:rsidRPr="00333E28">
        <w:rPr>
          <w:rFonts w:cs="Times New Roman"/>
          <w:i/>
          <w:iCs/>
        </w:rPr>
        <w:t xml:space="preserve">P. </w:t>
      </w:r>
      <w:proofErr w:type="spellStart"/>
      <w:r w:rsidRPr="00333E28">
        <w:rPr>
          <w:rFonts w:cs="Times New Roman"/>
          <w:i/>
          <w:iCs/>
        </w:rPr>
        <w:t>deltoides</w:t>
      </w:r>
      <w:proofErr w:type="spellEnd"/>
      <w:r>
        <w:rPr>
          <w:rFonts w:cs="Times New Roman"/>
          <w:i/>
          <w:iCs/>
        </w:rPr>
        <w:t xml:space="preserve"> </w:t>
      </w:r>
      <w:r>
        <w:rPr>
          <w:rFonts w:cs="Times New Roman"/>
        </w:rPr>
        <w:t xml:space="preserve">chloroplast genome aligned fully to the nuclear genome, albeit with a larger total alignment length of 370 kb. Syntenic alignments in this region totaled 157 kb or 95% of the query length and 160 kb or 43% of the target length in </w:t>
      </w:r>
      <w:r w:rsidRPr="00333E28">
        <w:rPr>
          <w:rFonts w:cs="Times New Roman"/>
          <w:i/>
          <w:iCs/>
        </w:rPr>
        <w:t xml:space="preserve">P. </w:t>
      </w:r>
      <w:proofErr w:type="spellStart"/>
      <w:r w:rsidRPr="00333E28">
        <w:rPr>
          <w:rFonts w:cs="Times New Roman"/>
          <w:i/>
          <w:iCs/>
        </w:rPr>
        <w:t>trichocarpa</w:t>
      </w:r>
      <w:proofErr w:type="spellEnd"/>
      <w:r>
        <w:rPr>
          <w:rFonts w:cs="Times New Roman"/>
          <w:i/>
          <w:iCs/>
        </w:rPr>
        <w:t xml:space="preserve"> </w:t>
      </w:r>
      <w:r>
        <w:rPr>
          <w:rFonts w:cs="Times New Roman"/>
        </w:rPr>
        <w:t xml:space="preserve">and </w:t>
      </w:r>
      <w:r w:rsidRPr="00333E28">
        <w:rPr>
          <w:rFonts w:cs="Times New Roman"/>
          <w:i/>
          <w:iCs/>
        </w:rPr>
        <w:t xml:space="preserve">P. </w:t>
      </w:r>
      <w:proofErr w:type="spellStart"/>
      <w:r w:rsidRPr="00333E28">
        <w:rPr>
          <w:rFonts w:cs="Times New Roman"/>
          <w:i/>
          <w:iCs/>
        </w:rPr>
        <w:t>deltoides</w:t>
      </w:r>
      <w:proofErr w:type="spellEnd"/>
      <w:r>
        <w:rPr>
          <w:rFonts w:cs="Times New Roman"/>
          <w:i/>
          <w:iCs/>
        </w:rPr>
        <w:t xml:space="preserve">, </w:t>
      </w:r>
      <w:r>
        <w:rPr>
          <w:rFonts w:cs="Times New Roman"/>
        </w:rPr>
        <w:t xml:space="preserve">respectively. Regions which could not be aligned between </w:t>
      </w:r>
      <w:r w:rsidRPr="00333E28">
        <w:rPr>
          <w:rFonts w:cs="Times New Roman"/>
          <w:i/>
          <w:iCs/>
        </w:rPr>
        <w:t xml:space="preserve">P. </w:t>
      </w:r>
      <w:proofErr w:type="spellStart"/>
      <w:r w:rsidRPr="00333E28">
        <w:rPr>
          <w:rFonts w:cs="Times New Roman"/>
          <w:i/>
          <w:iCs/>
        </w:rPr>
        <w:t>trichocarpa</w:t>
      </w:r>
      <w:proofErr w:type="spellEnd"/>
      <w:r>
        <w:rPr>
          <w:rFonts w:cs="Times New Roman"/>
          <w:i/>
          <w:iCs/>
        </w:rPr>
        <w:t xml:space="preserve"> </w:t>
      </w:r>
      <w:r>
        <w:rPr>
          <w:rFonts w:cs="Times New Roman"/>
        </w:rPr>
        <w:t xml:space="preserve">and </w:t>
      </w:r>
      <w:r w:rsidRPr="00333E28">
        <w:rPr>
          <w:rFonts w:cs="Times New Roman"/>
          <w:i/>
          <w:iCs/>
        </w:rPr>
        <w:t xml:space="preserve">P. </w:t>
      </w:r>
      <w:proofErr w:type="spellStart"/>
      <w:r w:rsidRPr="00333E28">
        <w:rPr>
          <w:rFonts w:cs="Times New Roman"/>
          <w:i/>
          <w:iCs/>
        </w:rPr>
        <w:t>deltoides</w:t>
      </w:r>
      <w:proofErr w:type="spellEnd"/>
      <w:r>
        <w:rPr>
          <w:rFonts w:cs="Times New Roman"/>
          <w:i/>
          <w:iCs/>
        </w:rPr>
        <w:t xml:space="preserve"> </w:t>
      </w:r>
      <w:r>
        <w:rPr>
          <w:rFonts w:cs="Times New Roman"/>
        </w:rPr>
        <w:t xml:space="preserve">were significantly larger in </w:t>
      </w:r>
      <w:r w:rsidRPr="00333E28">
        <w:rPr>
          <w:rFonts w:cs="Times New Roman"/>
          <w:i/>
          <w:iCs/>
        </w:rPr>
        <w:t xml:space="preserve">P. </w:t>
      </w:r>
      <w:proofErr w:type="spellStart"/>
      <w:r w:rsidRPr="00333E28">
        <w:rPr>
          <w:rFonts w:cs="Times New Roman"/>
          <w:i/>
          <w:iCs/>
        </w:rPr>
        <w:t>deltoides</w:t>
      </w:r>
      <w:proofErr w:type="spellEnd"/>
      <w:r>
        <w:rPr>
          <w:rFonts w:cs="Times New Roman"/>
          <w:i/>
          <w:iCs/>
        </w:rPr>
        <w:t xml:space="preserve"> </w:t>
      </w:r>
      <w:r>
        <w:rPr>
          <w:rFonts w:cs="Times New Roman"/>
        </w:rPr>
        <w:t xml:space="preserve">with a total size of 73 kb compared to 149 bp in </w:t>
      </w:r>
      <w:r w:rsidRPr="00333E28">
        <w:rPr>
          <w:rFonts w:cs="Times New Roman"/>
          <w:i/>
          <w:iCs/>
        </w:rPr>
        <w:t xml:space="preserve">P. </w:t>
      </w:r>
      <w:proofErr w:type="spellStart"/>
      <w:r w:rsidRPr="00333E28">
        <w:rPr>
          <w:rFonts w:cs="Times New Roman"/>
          <w:i/>
          <w:iCs/>
        </w:rPr>
        <w:t>trichocarpa</w:t>
      </w:r>
      <w:proofErr w:type="spellEnd"/>
      <w:r>
        <w:rPr>
          <w:rFonts w:cs="Times New Roman"/>
          <w:i/>
          <w:iCs/>
        </w:rPr>
        <w:t>.</w:t>
      </w:r>
    </w:p>
    <w:p w14:paraId="2F22C10E" w14:textId="77777777" w:rsidR="00636B5B" w:rsidRDefault="00636B5B" w:rsidP="00EE03F0">
      <w:pPr>
        <w:widowControl w:val="0"/>
        <w:autoSpaceDE w:val="0"/>
        <w:autoSpaceDN w:val="0"/>
        <w:adjustRightInd w:val="0"/>
        <w:spacing w:line="360" w:lineRule="auto"/>
        <w:rPr>
          <w:rFonts w:cs="Times New Roman"/>
        </w:rPr>
      </w:pPr>
      <w:r>
        <w:rPr>
          <w:rFonts w:cs="Times New Roman"/>
        </w:rPr>
        <w:tab/>
        <w:t xml:space="preserve">In </w:t>
      </w:r>
      <w:r w:rsidRPr="00333E28">
        <w:rPr>
          <w:rFonts w:cs="Times New Roman"/>
          <w:i/>
          <w:iCs/>
        </w:rPr>
        <w:t xml:space="preserve">P. </w:t>
      </w:r>
      <w:proofErr w:type="spellStart"/>
      <w:r w:rsidRPr="00333E28">
        <w:rPr>
          <w:rFonts w:cs="Times New Roman"/>
          <w:i/>
          <w:iCs/>
        </w:rPr>
        <w:t>deltoides</w:t>
      </w:r>
      <w:proofErr w:type="spellEnd"/>
      <w:r>
        <w:rPr>
          <w:rFonts w:cs="Times New Roman"/>
          <w:i/>
          <w:iCs/>
        </w:rPr>
        <w:t>,</w:t>
      </w:r>
      <w:r>
        <w:rPr>
          <w:rFonts w:cs="Times New Roman"/>
        </w:rPr>
        <w:t xml:space="preserve"> this region accounted for </w:t>
      </w:r>
      <w:r w:rsidRPr="00F304DE">
        <w:rPr>
          <w:rFonts w:cs="Times New Roman"/>
        </w:rPr>
        <w:t>481</w:t>
      </w:r>
      <w:r>
        <w:rPr>
          <w:rFonts w:cs="Times New Roman"/>
        </w:rPr>
        <w:t xml:space="preserve">/497kb (96%) of the NUPT content on chromosome 13 and 48% of all NUPT content </w:t>
      </w:r>
      <w:proofErr w:type="spellStart"/>
      <w:r>
        <w:rPr>
          <w:rFonts w:cs="Times New Roman"/>
        </w:rPr>
        <w:t>genomewide</w:t>
      </w:r>
      <w:proofErr w:type="spellEnd"/>
      <w:r>
        <w:rPr>
          <w:rFonts w:cs="Times New Roman"/>
        </w:rPr>
        <w:t xml:space="preserve">. Similarly, this region in </w:t>
      </w:r>
      <w:r w:rsidRPr="00333E28">
        <w:rPr>
          <w:rFonts w:cs="Times New Roman"/>
          <w:i/>
          <w:iCs/>
        </w:rPr>
        <w:t xml:space="preserve">P. </w:t>
      </w:r>
      <w:proofErr w:type="spellStart"/>
      <w:r w:rsidRPr="00333E28">
        <w:rPr>
          <w:rFonts w:cs="Times New Roman"/>
          <w:i/>
          <w:iCs/>
        </w:rPr>
        <w:t>trichocarpa</w:t>
      </w:r>
      <w:proofErr w:type="spellEnd"/>
      <w:r>
        <w:rPr>
          <w:rFonts w:cs="Times New Roman"/>
          <w:i/>
          <w:iCs/>
        </w:rPr>
        <w:t xml:space="preserve"> </w:t>
      </w:r>
      <w:r>
        <w:rPr>
          <w:rFonts w:cs="Times New Roman"/>
        </w:rPr>
        <w:t xml:space="preserve">contained 137/156kb (87%) of the NUPT content on Chr13, but overall represented a lower proportion of total NUPT content at 21% </w:t>
      </w:r>
      <w:proofErr w:type="spellStart"/>
      <w:r>
        <w:rPr>
          <w:rFonts w:cs="Times New Roman"/>
        </w:rPr>
        <w:t>genomewide</w:t>
      </w:r>
      <w:proofErr w:type="spellEnd"/>
      <w:r>
        <w:rPr>
          <w:rFonts w:cs="Times New Roman"/>
        </w:rPr>
        <w:t xml:space="preserve">. </w:t>
      </w:r>
      <w:r w:rsidRPr="00E852B1">
        <w:rPr>
          <w:rFonts w:cs="Times New Roman"/>
        </w:rPr>
        <w:t>Based</w:t>
      </w:r>
      <w:r>
        <w:rPr>
          <w:rFonts w:cs="Times New Roman"/>
        </w:rPr>
        <w:t xml:space="preserve"> on the presence and absence analysis described above, NUPTs that were specific to </w:t>
      </w:r>
      <w:r w:rsidRPr="00333E28">
        <w:rPr>
          <w:rFonts w:cs="Times New Roman"/>
          <w:i/>
          <w:iCs/>
        </w:rPr>
        <w:t xml:space="preserve">P. </w:t>
      </w:r>
      <w:proofErr w:type="spellStart"/>
      <w:r w:rsidRPr="00333E28">
        <w:rPr>
          <w:rFonts w:cs="Times New Roman"/>
          <w:i/>
          <w:iCs/>
        </w:rPr>
        <w:t>deltoides</w:t>
      </w:r>
      <w:proofErr w:type="spellEnd"/>
      <w:r>
        <w:rPr>
          <w:rFonts w:cs="Times New Roman"/>
          <w:i/>
          <w:iCs/>
        </w:rPr>
        <w:t xml:space="preserve"> </w:t>
      </w:r>
      <w:r>
        <w:rPr>
          <w:rFonts w:cs="Times New Roman"/>
        </w:rPr>
        <w:t xml:space="preserve">and </w:t>
      </w:r>
      <w:r w:rsidRPr="00333E28">
        <w:rPr>
          <w:rFonts w:cs="Times New Roman"/>
          <w:i/>
          <w:iCs/>
        </w:rPr>
        <w:t xml:space="preserve">P. </w:t>
      </w:r>
      <w:proofErr w:type="spellStart"/>
      <w:r w:rsidRPr="00333E28">
        <w:rPr>
          <w:rFonts w:cs="Times New Roman"/>
          <w:i/>
          <w:iCs/>
        </w:rPr>
        <w:t>trichocarpa</w:t>
      </w:r>
      <w:proofErr w:type="spellEnd"/>
      <w:r>
        <w:rPr>
          <w:rFonts w:cs="Times New Roman"/>
          <w:i/>
          <w:iCs/>
        </w:rPr>
        <w:t xml:space="preserve"> </w:t>
      </w:r>
      <w:r>
        <w:rPr>
          <w:rFonts w:cs="Times New Roman"/>
        </w:rPr>
        <w:t xml:space="preserve">were relatively similar in size and number, but it was evident </w:t>
      </w:r>
      <w:r w:rsidRPr="00333E28">
        <w:rPr>
          <w:rFonts w:cs="Times New Roman"/>
          <w:i/>
          <w:iCs/>
        </w:rPr>
        <w:t xml:space="preserve">P. </w:t>
      </w:r>
      <w:proofErr w:type="spellStart"/>
      <w:r w:rsidRPr="00333E28">
        <w:rPr>
          <w:rFonts w:cs="Times New Roman"/>
          <w:i/>
          <w:iCs/>
        </w:rPr>
        <w:t>deltoides</w:t>
      </w:r>
      <w:proofErr w:type="spellEnd"/>
      <w:r>
        <w:rPr>
          <w:rFonts w:cs="Times New Roman"/>
          <w:i/>
          <w:iCs/>
        </w:rPr>
        <w:t xml:space="preserve"> </w:t>
      </w:r>
      <w:r>
        <w:rPr>
          <w:rFonts w:cs="Times New Roman"/>
        </w:rPr>
        <w:t xml:space="preserve">has a significantly larger total size of shared NUPTs. </w:t>
      </w:r>
      <w:r w:rsidRPr="00143FA0">
        <w:rPr>
          <w:rFonts w:cs="Times New Roman"/>
        </w:rPr>
        <w:t>Two</w:t>
      </w:r>
      <w:r>
        <w:rPr>
          <w:rFonts w:cs="Times New Roman"/>
        </w:rPr>
        <w:t xml:space="preserve"> hypotheses arise from this finding, either a one-to-many or many-to-many relationship exists from </w:t>
      </w:r>
      <w:r w:rsidRPr="00333E28">
        <w:rPr>
          <w:rFonts w:cs="Times New Roman"/>
          <w:i/>
          <w:iCs/>
        </w:rPr>
        <w:t xml:space="preserve">P. </w:t>
      </w:r>
      <w:proofErr w:type="spellStart"/>
      <w:r w:rsidRPr="00333E28">
        <w:rPr>
          <w:rFonts w:cs="Times New Roman"/>
          <w:i/>
          <w:iCs/>
        </w:rPr>
        <w:t>trichocarpa</w:t>
      </w:r>
      <w:proofErr w:type="spellEnd"/>
      <w:r>
        <w:rPr>
          <w:rFonts w:cs="Times New Roman"/>
          <w:i/>
          <w:iCs/>
        </w:rPr>
        <w:t xml:space="preserve"> </w:t>
      </w:r>
      <w:r>
        <w:rPr>
          <w:rFonts w:cs="Times New Roman"/>
        </w:rPr>
        <w:t xml:space="preserve">to </w:t>
      </w:r>
      <w:r w:rsidRPr="00333E28">
        <w:rPr>
          <w:rFonts w:cs="Times New Roman"/>
          <w:i/>
          <w:iCs/>
        </w:rPr>
        <w:t xml:space="preserve">P. </w:t>
      </w:r>
      <w:proofErr w:type="spellStart"/>
      <w:r w:rsidRPr="00333E28">
        <w:rPr>
          <w:rFonts w:cs="Times New Roman"/>
          <w:i/>
          <w:iCs/>
        </w:rPr>
        <w:t>deltoides</w:t>
      </w:r>
      <w:proofErr w:type="spellEnd"/>
      <w:r>
        <w:rPr>
          <w:rFonts w:cs="Times New Roman"/>
        </w:rPr>
        <w:t xml:space="preserve"> where a large amount of </w:t>
      </w:r>
      <w:r>
        <w:rPr>
          <w:rFonts w:cs="Times New Roman"/>
        </w:rPr>
        <w:lastRenderedPageBreak/>
        <w:t xml:space="preserve">duplication has occurred on Chr13 in </w:t>
      </w:r>
      <w:r w:rsidRPr="00333E28">
        <w:rPr>
          <w:rFonts w:cs="Times New Roman"/>
          <w:i/>
          <w:iCs/>
        </w:rPr>
        <w:t xml:space="preserve">P. </w:t>
      </w:r>
      <w:proofErr w:type="spellStart"/>
      <w:r w:rsidRPr="00333E28">
        <w:rPr>
          <w:rFonts w:cs="Times New Roman"/>
          <w:i/>
          <w:iCs/>
        </w:rPr>
        <w:t>deltoides</w:t>
      </w:r>
      <w:proofErr w:type="spellEnd"/>
      <w:r>
        <w:rPr>
          <w:rFonts w:cs="Times New Roman"/>
          <w:i/>
          <w:iCs/>
        </w:rPr>
        <w:t xml:space="preserve"> </w:t>
      </w:r>
      <w:r>
        <w:rPr>
          <w:rFonts w:cs="Times New Roman"/>
        </w:rPr>
        <w:t xml:space="preserve">or there is a </w:t>
      </w:r>
      <w:proofErr w:type="spellStart"/>
      <w:r>
        <w:rPr>
          <w:rFonts w:cs="Times New Roman"/>
        </w:rPr>
        <w:t>misassembly</w:t>
      </w:r>
      <w:proofErr w:type="spellEnd"/>
      <w:r>
        <w:rPr>
          <w:rFonts w:cs="Times New Roman"/>
        </w:rPr>
        <w:t xml:space="preserve"> in the genome of </w:t>
      </w:r>
      <w:r w:rsidRPr="00333E28">
        <w:rPr>
          <w:rFonts w:cs="Times New Roman"/>
          <w:i/>
          <w:iCs/>
        </w:rPr>
        <w:t xml:space="preserve">P. </w:t>
      </w:r>
      <w:proofErr w:type="spellStart"/>
      <w:r w:rsidRPr="00333E28">
        <w:rPr>
          <w:rFonts w:cs="Times New Roman"/>
          <w:i/>
          <w:iCs/>
        </w:rPr>
        <w:t>deltoides</w:t>
      </w:r>
      <w:proofErr w:type="spellEnd"/>
      <w:r>
        <w:rPr>
          <w:rFonts w:cs="Times New Roman"/>
        </w:rPr>
        <w:t xml:space="preserve">. To address this, we further examined the Chr13 whole chloroplast integration event region with a focus on the syntenic relationships of putative protein-coding genes within an expanded region that includes the whole chloroplast integration events in </w:t>
      </w:r>
      <w:r w:rsidRPr="00333E28">
        <w:rPr>
          <w:rFonts w:cs="Times New Roman"/>
          <w:i/>
          <w:iCs/>
        </w:rPr>
        <w:t xml:space="preserve">P. </w:t>
      </w:r>
      <w:proofErr w:type="spellStart"/>
      <w:r w:rsidRPr="00333E28">
        <w:rPr>
          <w:rFonts w:cs="Times New Roman"/>
          <w:i/>
          <w:iCs/>
        </w:rPr>
        <w:t>trichocarpa</w:t>
      </w:r>
      <w:proofErr w:type="spellEnd"/>
      <w:r>
        <w:rPr>
          <w:rFonts w:cs="Times New Roman"/>
          <w:i/>
          <w:iCs/>
        </w:rPr>
        <w:t xml:space="preserve"> </w:t>
      </w:r>
      <w:r>
        <w:rPr>
          <w:rFonts w:cs="Times New Roman"/>
        </w:rPr>
        <w:t xml:space="preserve">and </w:t>
      </w:r>
      <w:r w:rsidRPr="00333E28">
        <w:rPr>
          <w:rFonts w:cs="Times New Roman"/>
          <w:i/>
          <w:iCs/>
        </w:rPr>
        <w:t xml:space="preserve">P. </w:t>
      </w:r>
      <w:proofErr w:type="spellStart"/>
      <w:r w:rsidRPr="00333E28">
        <w:rPr>
          <w:rFonts w:cs="Times New Roman"/>
          <w:i/>
          <w:iCs/>
        </w:rPr>
        <w:t>deltoides</w:t>
      </w:r>
      <w:proofErr w:type="spellEnd"/>
      <w:r>
        <w:rPr>
          <w:rFonts w:cs="Times New Roman"/>
          <w:i/>
          <w:iCs/>
        </w:rPr>
        <w:t xml:space="preserve"> </w:t>
      </w:r>
      <w:r>
        <w:rPr>
          <w:rFonts w:cs="Times New Roman"/>
        </w:rPr>
        <w:t xml:space="preserve">(Figure III-4B). The expanded region in </w:t>
      </w:r>
      <w:r w:rsidRPr="00333E28">
        <w:rPr>
          <w:rFonts w:cs="Times New Roman"/>
          <w:i/>
          <w:iCs/>
        </w:rPr>
        <w:t xml:space="preserve">P. </w:t>
      </w:r>
      <w:proofErr w:type="spellStart"/>
      <w:r w:rsidRPr="00333E28">
        <w:rPr>
          <w:rFonts w:cs="Times New Roman"/>
          <w:i/>
          <w:iCs/>
        </w:rPr>
        <w:t>deltoides</w:t>
      </w:r>
      <w:proofErr w:type="spellEnd"/>
      <w:r>
        <w:rPr>
          <w:rFonts w:cs="Times New Roman"/>
        </w:rPr>
        <w:t xml:space="preserve"> is 564kb </w:t>
      </w:r>
      <w:r>
        <w:t>(</w:t>
      </w:r>
      <w:r w:rsidRPr="002B6516">
        <w:rPr>
          <w:rFonts w:cs="Times New Roman"/>
        </w:rPr>
        <w:t>Chr13</w:t>
      </w:r>
      <w:r>
        <w:rPr>
          <w:rFonts w:cs="Times New Roman"/>
        </w:rPr>
        <w:t>:</w:t>
      </w:r>
      <w:r w:rsidRPr="002B6516">
        <w:rPr>
          <w:rFonts w:cs="Times New Roman"/>
        </w:rPr>
        <w:t>15</w:t>
      </w:r>
      <w:r>
        <w:rPr>
          <w:rFonts w:cs="Times New Roman"/>
        </w:rPr>
        <w:t>,</w:t>
      </w:r>
      <w:r w:rsidRPr="002B6516">
        <w:rPr>
          <w:rFonts w:cs="Times New Roman"/>
        </w:rPr>
        <w:t>308</w:t>
      </w:r>
      <w:r>
        <w:rPr>
          <w:rFonts w:cs="Times New Roman"/>
        </w:rPr>
        <w:t>,</w:t>
      </w:r>
      <w:r w:rsidRPr="002B6516">
        <w:rPr>
          <w:rFonts w:cs="Times New Roman"/>
        </w:rPr>
        <w:t>379</w:t>
      </w:r>
      <w:r>
        <w:rPr>
          <w:rFonts w:cs="Times New Roman"/>
        </w:rPr>
        <w:t>-</w:t>
      </w:r>
      <w:r w:rsidRPr="002B6516">
        <w:rPr>
          <w:rFonts w:cs="Times New Roman"/>
        </w:rPr>
        <w:t>15</w:t>
      </w:r>
      <w:r>
        <w:rPr>
          <w:rFonts w:cs="Times New Roman"/>
        </w:rPr>
        <w:t>,</w:t>
      </w:r>
      <w:r w:rsidRPr="002B6516">
        <w:rPr>
          <w:rFonts w:cs="Times New Roman"/>
        </w:rPr>
        <w:t>872</w:t>
      </w:r>
      <w:r>
        <w:rPr>
          <w:rFonts w:cs="Times New Roman"/>
        </w:rPr>
        <w:t>,</w:t>
      </w:r>
      <w:r w:rsidRPr="002B6516">
        <w:rPr>
          <w:rFonts w:cs="Times New Roman"/>
        </w:rPr>
        <w:t>913</w:t>
      </w:r>
      <w:r>
        <w:rPr>
          <w:rFonts w:cs="Times New Roman"/>
        </w:rPr>
        <w:t>) and the corresponding region (</w:t>
      </w:r>
      <w:r w:rsidRPr="00082863">
        <w:rPr>
          <w:rFonts w:cs="Times New Roman"/>
        </w:rPr>
        <w:t>Chr13</w:t>
      </w:r>
      <w:r>
        <w:rPr>
          <w:rFonts w:cs="Times New Roman"/>
        </w:rPr>
        <w:t>:</w:t>
      </w:r>
      <w:r w:rsidRPr="00082863">
        <w:rPr>
          <w:rFonts w:cs="Times New Roman"/>
        </w:rPr>
        <w:t>14</w:t>
      </w:r>
      <w:r>
        <w:rPr>
          <w:rFonts w:cs="Times New Roman"/>
        </w:rPr>
        <w:t>,</w:t>
      </w:r>
      <w:r w:rsidRPr="00082863">
        <w:rPr>
          <w:rFonts w:cs="Times New Roman"/>
        </w:rPr>
        <w:t>660</w:t>
      </w:r>
      <w:r>
        <w:rPr>
          <w:rFonts w:cs="Times New Roman"/>
        </w:rPr>
        <w:t>,</w:t>
      </w:r>
      <w:r w:rsidRPr="00082863">
        <w:rPr>
          <w:rFonts w:cs="Times New Roman"/>
        </w:rPr>
        <w:t>555</w:t>
      </w:r>
      <w:r>
        <w:rPr>
          <w:rFonts w:cs="Times New Roman"/>
        </w:rPr>
        <w:t>-</w:t>
      </w:r>
      <w:r w:rsidRPr="00082863">
        <w:rPr>
          <w:rFonts w:cs="Times New Roman"/>
        </w:rPr>
        <w:t>14</w:t>
      </w:r>
      <w:r>
        <w:rPr>
          <w:rFonts w:cs="Times New Roman"/>
        </w:rPr>
        <w:t>,</w:t>
      </w:r>
      <w:r w:rsidRPr="00082863">
        <w:rPr>
          <w:rFonts w:cs="Times New Roman"/>
        </w:rPr>
        <w:t>907</w:t>
      </w:r>
      <w:r>
        <w:rPr>
          <w:rFonts w:cs="Times New Roman"/>
        </w:rPr>
        <w:t xml:space="preserve">,618) in </w:t>
      </w:r>
      <w:r w:rsidRPr="00333E28">
        <w:rPr>
          <w:rFonts w:cs="Times New Roman"/>
          <w:i/>
          <w:iCs/>
        </w:rPr>
        <w:t xml:space="preserve">P. </w:t>
      </w:r>
      <w:proofErr w:type="spellStart"/>
      <w:r w:rsidRPr="00333E28">
        <w:rPr>
          <w:rFonts w:cs="Times New Roman"/>
          <w:i/>
          <w:iCs/>
        </w:rPr>
        <w:t>trichocarpa</w:t>
      </w:r>
      <w:proofErr w:type="spellEnd"/>
      <w:r>
        <w:rPr>
          <w:rFonts w:cs="Times New Roman"/>
        </w:rPr>
        <w:t xml:space="preserve"> is 247kb is less than half the size. Putative </w:t>
      </w:r>
      <w:proofErr w:type="gramStart"/>
      <w:r>
        <w:rPr>
          <w:rFonts w:cs="Times New Roman"/>
        </w:rPr>
        <w:t>protein-coding</w:t>
      </w:r>
      <w:proofErr w:type="gramEnd"/>
      <w:r>
        <w:rPr>
          <w:rFonts w:cs="Times New Roman"/>
        </w:rPr>
        <w:t xml:space="preserve"> NUPTs which were collinear in </w:t>
      </w:r>
      <w:r w:rsidRPr="00333E28">
        <w:rPr>
          <w:rFonts w:cs="Times New Roman"/>
          <w:i/>
          <w:iCs/>
        </w:rPr>
        <w:t xml:space="preserve">P. </w:t>
      </w:r>
      <w:proofErr w:type="spellStart"/>
      <w:r w:rsidRPr="00333E28">
        <w:rPr>
          <w:rFonts w:cs="Times New Roman"/>
          <w:i/>
          <w:iCs/>
        </w:rPr>
        <w:t>trichocarpa</w:t>
      </w:r>
      <w:proofErr w:type="spellEnd"/>
      <w:r>
        <w:rPr>
          <w:rFonts w:cs="Times New Roman"/>
          <w:i/>
          <w:iCs/>
        </w:rPr>
        <w:t xml:space="preserve"> </w:t>
      </w:r>
      <w:r>
        <w:rPr>
          <w:rFonts w:cs="Times New Roman"/>
        </w:rPr>
        <w:t xml:space="preserve">and </w:t>
      </w:r>
      <w:r w:rsidRPr="00333E28">
        <w:rPr>
          <w:rFonts w:cs="Times New Roman"/>
          <w:i/>
          <w:iCs/>
        </w:rPr>
        <w:t xml:space="preserve">P. </w:t>
      </w:r>
      <w:proofErr w:type="spellStart"/>
      <w:r w:rsidRPr="00333E28">
        <w:rPr>
          <w:rFonts w:cs="Times New Roman"/>
          <w:i/>
          <w:iCs/>
        </w:rPr>
        <w:t>deltoides</w:t>
      </w:r>
      <w:proofErr w:type="spellEnd"/>
      <w:r>
        <w:rPr>
          <w:rFonts w:cs="Times New Roman"/>
          <w:i/>
          <w:iCs/>
        </w:rPr>
        <w:t xml:space="preserve"> </w:t>
      </w:r>
      <w:r>
        <w:rPr>
          <w:rFonts w:cs="Times New Roman"/>
        </w:rPr>
        <w:t xml:space="preserve">were used as borders to define the expanded in this region.  Of the 200 putative </w:t>
      </w:r>
      <w:proofErr w:type="gramStart"/>
      <w:r>
        <w:rPr>
          <w:rFonts w:cs="Times New Roman"/>
        </w:rPr>
        <w:t>protein-coding</w:t>
      </w:r>
      <w:proofErr w:type="gramEnd"/>
      <w:r>
        <w:rPr>
          <w:rFonts w:cs="Times New Roman"/>
        </w:rPr>
        <w:t xml:space="preserve"> NUPTs in </w:t>
      </w:r>
      <w:r w:rsidRPr="00333E28">
        <w:rPr>
          <w:rFonts w:cs="Times New Roman"/>
          <w:i/>
          <w:iCs/>
        </w:rPr>
        <w:t xml:space="preserve">P. </w:t>
      </w:r>
      <w:proofErr w:type="spellStart"/>
      <w:r w:rsidRPr="00333E28">
        <w:rPr>
          <w:rFonts w:cs="Times New Roman"/>
          <w:i/>
          <w:iCs/>
        </w:rPr>
        <w:t>trichocarpa</w:t>
      </w:r>
      <w:proofErr w:type="spellEnd"/>
      <w:r>
        <w:rPr>
          <w:rFonts w:cs="Times New Roman"/>
          <w:i/>
          <w:iCs/>
        </w:rPr>
        <w:t xml:space="preserve">, </w:t>
      </w:r>
      <w:r>
        <w:rPr>
          <w:rFonts w:cs="Times New Roman"/>
        </w:rPr>
        <w:t xml:space="preserve">43 or 20% were located in this region in syntenic blocks. Similarly, of the 353 putative </w:t>
      </w:r>
      <w:proofErr w:type="gramStart"/>
      <w:r>
        <w:rPr>
          <w:rFonts w:cs="Times New Roman"/>
        </w:rPr>
        <w:t>protein-coding</w:t>
      </w:r>
      <w:proofErr w:type="gramEnd"/>
      <w:r>
        <w:rPr>
          <w:rFonts w:cs="Times New Roman"/>
        </w:rPr>
        <w:t xml:space="preserve"> NUPTs in </w:t>
      </w:r>
      <w:r w:rsidRPr="00333E28">
        <w:rPr>
          <w:rFonts w:cs="Times New Roman"/>
          <w:i/>
          <w:iCs/>
        </w:rPr>
        <w:t xml:space="preserve">P. </w:t>
      </w:r>
      <w:proofErr w:type="spellStart"/>
      <w:r w:rsidRPr="00333E28">
        <w:rPr>
          <w:rFonts w:cs="Times New Roman"/>
          <w:i/>
          <w:iCs/>
        </w:rPr>
        <w:t>deltoides</w:t>
      </w:r>
      <w:proofErr w:type="spellEnd"/>
      <w:r>
        <w:rPr>
          <w:rFonts w:cs="Times New Roman"/>
        </w:rPr>
        <w:t xml:space="preserve">, 121 or 34% are found in this interval.  We identified several large expansions of protein-coding NUPT gene content from </w:t>
      </w:r>
      <w:r w:rsidRPr="00333E28">
        <w:rPr>
          <w:rFonts w:cs="Times New Roman"/>
          <w:i/>
          <w:iCs/>
        </w:rPr>
        <w:t xml:space="preserve">P. </w:t>
      </w:r>
      <w:proofErr w:type="spellStart"/>
      <w:r w:rsidRPr="00333E28">
        <w:rPr>
          <w:rFonts w:cs="Times New Roman"/>
          <w:i/>
          <w:iCs/>
        </w:rPr>
        <w:t>trichocarpa</w:t>
      </w:r>
      <w:proofErr w:type="spellEnd"/>
      <w:r>
        <w:rPr>
          <w:rFonts w:cs="Times New Roman"/>
          <w:i/>
          <w:iCs/>
        </w:rPr>
        <w:t xml:space="preserve"> </w:t>
      </w:r>
      <w:r>
        <w:rPr>
          <w:rFonts w:cs="Times New Roman"/>
        </w:rPr>
        <w:t xml:space="preserve">to </w:t>
      </w:r>
      <w:r w:rsidRPr="00333E28">
        <w:rPr>
          <w:rFonts w:cs="Times New Roman"/>
          <w:i/>
          <w:iCs/>
        </w:rPr>
        <w:t xml:space="preserve">P. </w:t>
      </w:r>
      <w:proofErr w:type="spellStart"/>
      <w:r w:rsidRPr="00333E28">
        <w:rPr>
          <w:rFonts w:cs="Times New Roman"/>
          <w:i/>
          <w:iCs/>
        </w:rPr>
        <w:t>deltoides</w:t>
      </w:r>
      <w:proofErr w:type="spellEnd"/>
      <w:r>
        <w:rPr>
          <w:rFonts w:cs="Times New Roman"/>
        </w:rPr>
        <w:t xml:space="preserve"> (Table III-S6)</w:t>
      </w:r>
      <w:r>
        <w:rPr>
          <w:rFonts w:cs="Times New Roman"/>
          <w:i/>
          <w:iCs/>
        </w:rPr>
        <w:t>.</w:t>
      </w:r>
      <w:r>
        <w:rPr>
          <w:rFonts w:cs="Times New Roman"/>
        </w:rPr>
        <w:t xml:space="preserve"> For example, the largest one-to-many collinear relationships from </w:t>
      </w:r>
      <w:r w:rsidRPr="00333E28">
        <w:rPr>
          <w:rFonts w:cs="Times New Roman"/>
          <w:i/>
          <w:iCs/>
        </w:rPr>
        <w:t xml:space="preserve">P. </w:t>
      </w:r>
      <w:proofErr w:type="spellStart"/>
      <w:r w:rsidRPr="00333E28">
        <w:rPr>
          <w:rFonts w:cs="Times New Roman"/>
          <w:i/>
          <w:iCs/>
        </w:rPr>
        <w:t>trichocarpa</w:t>
      </w:r>
      <w:proofErr w:type="spellEnd"/>
      <w:r>
        <w:rPr>
          <w:rFonts w:cs="Times New Roman"/>
          <w:i/>
          <w:iCs/>
        </w:rPr>
        <w:t xml:space="preserve"> </w:t>
      </w:r>
      <w:r>
        <w:rPr>
          <w:rFonts w:cs="Times New Roman"/>
        </w:rPr>
        <w:t xml:space="preserve">to </w:t>
      </w:r>
      <w:r w:rsidRPr="00333E28">
        <w:rPr>
          <w:rFonts w:cs="Times New Roman"/>
          <w:i/>
          <w:iCs/>
        </w:rPr>
        <w:t xml:space="preserve">P. </w:t>
      </w:r>
      <w:proofErr w:type="spellStart"/>
      <w:r w:rsidRPr="00333E28">
        <w:rPr>
          <w:rFonts w:cs="Times New Roman"/>
          <w:i/>
          <w:iCs/>
        </w:rPr>
        <w:t>deltoides</w:t>
      </w:r>
      <w:proofErr w:type="spellEnd"/>
      <w:r>
        <w:rPr>
          <w:rFonts w:cs="Times New Roman"/>
          <w:i/>
          <w:iCs/>
        </w:rPr>
        <w:t xml:space="preserve"> </w:t>
      </w:r>
      <w:r>
        <w:rPr>
          <w:rFonts w:cs="Times New Roman"/>
        </w:rPr>
        <w:t>in this interval were present for three genes (</w:t>
      </w:r>
      <w:r w:rsidRPr="00B7785F">
        <w:rPr>
          <w:rFonts w:cs="Times New Roman"/>
        </w:rPr>
        <w:t>Potri.013G138612</w:t>
      </w:r>
      <w:r>
        <w:rPr>
          <w:rFonts w:cs="Times New Roman"/>
        </w:rPr>
        <w:t xml:space="preserve">, </w:t>
      </w:r>
      <w:r w:rsidRPr="00B7785F">
        <w:rPr>
          <w:rFonts w:cs="Times New Roman"/>
        </w:rPr>
        <w:t>Potri.013G138300</w:t>
      </w:r>
      <w:r>
        <w:rPr>
          <w:rFonts w:cs="Times New Roman"/>
        </w:rPr>
        <w:t xml:space="preserve">, </w:t>
      </w:r>
      <w:r w:rsidRPr="00B7785F">
        <w:rPr>
          <w:rFonts w:cs="Times New Roman"/>
        </w:rPr>
        <w:t>Potri.013G136730</w:t>
      </w:r>
      <w:r>
        <w:rPr>
          <w:rFonts w:cs="Times New Roman"/>
        </w:rPr>
        <w:t xml:space="preserve">) which have six homologous copies in </w:t>
      </w:r>
      <w:r w:rsidRPr="00333E28">
        <w:rPr>
          <w:rFonts w:cs="Times New Roman"/>
          <w:i/>
          <w:iCs/>
        </w:rPr>
        <w:t xml:space="preserve">P. </w:t>
      </w:r>
      <w:proofErr w:type="spellStart"/>
      <w:r w:rsidRPr="00333E28">
        <w:rPr>
          <w:rFonts w:cs="Times New Roman"/>
          <w:i/>
          <w:iCs/>
        </w:rPr>
        <w:t>deltoides</w:t>
      </w:r>
      <w:proofErr w:type="spellEnd"/>
      <w:r>
        <w:rPr>
          <w:rFonts w:cs="Times New Roman"/>
        </w:rPr>
        <w:t xml:space="preserve">. Although methylation was present in this region, it was lower compared to flanking regions which may suggest </w:t>
      </w:r>
      <w:proofErr w:type="spellStart"/>
      <w:r>
        <w:rPr>
          <w:rFonts w:cs="Times New Roman"/>
        </w:rPr>
        <w:t>misassembly</w:t>
      </w:r>
      <w:proofErr w:type="spellEnd"/>
      <w:r>
        <w:rPr>
          <w:rFonts w:cs="Times New Roman"/>
        </w:rPr>
        <w:t xml:space="preserve"> (Figure III-S7). To further characterize this </w:t>
      </w:r>
      <w:proofErr w:type="gramStart"/>
      <w:r>
        <w:rPr>
          <w:rFonts w:cs="Times New Roman"/>
        </w:rPr>
        <w:t>region</w:t>
      </w:r>
      <w:proofErr w:type="gramEnd"/>
      <w:r>
        <w:rPr>
          <w:rFonts w:cs="Times New Roman"/>
        </w:rPr>
        <w:t xml:space="preserve"> we aligned the </w:t>
      </w:r>
      <w:r w:rsidRPr="00333E28">
        <w:rPr>
          <w:rFonts w:cs="Times New Roman"/>
          <w:i/>
          <w:iCs/>
        </w:rPr>
        <w:t xml:space="preserve">P. </w:t>
      </w:r>
      <w:proofErr w:type="spellStart"/>
      <w:r w:rsidRPr="00333E28">
        <w:rPr>
          <w:rFonts w:cs="Times New Roman"/>
          <w:i/>
          <w:iCs/>
        </w:rPr>
        <w:t>trichocarpa</w:t>
      </w:r>
      <w:proofErr w:type="spellEnd"/>
      <w:r>
        <w:rPr>
          <w:rFonts w:cs="Times New Roman"/>
          <w:i/>
          <w:iCs/>
        </w:rPr>
        <w:t xml:space="preserve"> </w:t>
      </w:r>
      <w:r>
        <w:rPr>
          <w:rFonts w:cs="Times New Roman"/>
        </w:rPr>
        <w:t xml:space="preserve">chloroplast genome to two additional </w:t>
      </w:r>
      <w:r w:rsidRPr="00333E28">
        <w:rPr>
          <w:rFonts w:cs="Times New Roman"/>
          <w:i/>
          <w:iCs/>
        </w:rPr>
        <w:t xml:space="preserve">P. </w:t>
      </w:r>
      <w:proofErr w:type="spellStart"/>
      <w:r w:rsidRPr="00333E28">
        <w:rPr>
          <w:rFonts w:cs="Times New Roman"/>
          <w:i/>
          <w:iCs/>
        </w:rPr>
        <w:t>trichocarpa</w:t>
      </w:r>
      <w:proofErr w:type="spellEnd"/>
      <w:r>
        <w:rPr>
          <w:rFonts w:cs="Times New Roman"/>
          <w:i/>
          <w:iCs/>
        </w:rPr>
        <w:t xml:space="preserve"> </w:t>
      </w:r>
      <w:r>
        <w:rPr>
          <w:rFonts w:cs="Times New Roman"/>
        </w:rPr>
        <w:t xml:space="preserve">assemblies, </w:t>
      </w:r>
      <w:r w:rsidRPr="00333E28">
        <w:rPr>
          <w:rFonts w:cs="Times New Roman"/>
          <w:i/>
          <w:iCs/>
        </w:rPr>
        <w:t xml:space="preserve">P. </w:t>
      </w:r>
      <w:proofErr w:type="spellStart"/>
      <w:r w:rsidRPr="00333E28">
        <w:rPr>
          <w:rFonts w:cs="Times New Roman"/>
          <w:i/>
          <w:iCs/>
        </w:rPr>
        <w:t>trichocarpa</w:t>
      </w:r>
      <w:proofErr w:type="spellEnd"/>
      <w:r>
        <w:rPr>
          <w:rFonts w:cs="Times New Roman"/>
          <w:i/>
          <w:iCs/>
        </w:rPr>
        <w:t xml:space="preserve"> </w:t>
      </w:r>
      <w:r>
        <w:rPr>
          <w:rFonts w:cs="Times New Roman"/>
        </w:rPr>
        <w:t xml:space="preserve">v4.0 and </w:t>
      </w:r>
      <w:r w:rsidRPr="00333E28">
        <w:rPr>
          <w:rFonts w:cs="Times New Roman"/>
          <w:i/>
          <w:iCs/>
        </w:rPr>
        <w:t xml:space="preserve">P. </w:t>
      </w:r>
      <w:proofErr w:type="spellStart"/>
      <w:r w:rsidRPr="00333E28">
        <w:rPr>
          <w:rFonts w:cs="Times New Roman"/>
          <w:i/>
          <w:iCs/>
        </w:rPr>
        <w:t>trichocarpa</w:t>
      </w:r>
      <w:proofErr w:type="spellEnd"/>
      <w:r>
        <w:rPr>
          <w:rFonts w:cs="Times New Roman"/>
          <w:i/>
          <w:iCs/>
        </w:rPr>
        <w:t xml:space="preserve"> </w:t>
      </w:r>
      <w:r>
        <w:rPr>
          <w:rFonts w:cs="Times New Roman"/>
        </w:rPr>
        <w:t xml:space="preserve">Stettler v1.0. The chloroplast genome aligned to similar regions in Chr13 in </w:t>
      </w:r>
      <w:r w:rsidRPr="00333E28">
        <w:rPr>
          <w:rFonts w:cs="Times New Roman"/>
          <w:i/>
          <w:iCs/>
        </w:rPr>
        <w:t xml:space="preserve">P. </w:t>
      </w:r>
      <w:proofErr w:type="spellStart"/>
      <w:r w:rsidRPr="00333E28">
        <w:rPr>
          <w:rFonts w:cs="Times New Roman"/>
          <w:i/>
          <w:iCs/>
        </w:rPr>
        <w:t>trichocarpa</w:t>
      </w:r>
      <w:proofErr w:type="spellEnd"/>
      <w:r>
        <w:rPr>
          <w:rFonts w:cs="Times New Roman"/>
          <w:i/>
          <w:iCs/>
        </w:rPr>
        <w:t xml:space="preserve"> </w:t>
      </w:r>
      <w:r>
        <w:rPr>
          <w:rFonts w:cs="Times New Roman"/>
        </w:rPr>
        <w:t xml:space="preserve">v4.0 and </w:t>
      </w:r>
      <w:r w:rsidRPr="00333E28">
        <w:rPr>
          <w:rFonts w:cs="Times New Roman"/>
          <w:i/>
          <w:iCs/>
        </w:rPr>
        <w:t xml:space="preserve">P. </w:t>
      </w:r>
      <w:proofErr w:type="spellStart"/>
      <w:r w:rsidRPr="00333E28">
        <w:rPr>
          <w:rFonts w:cs="Times New Roman"/>
          <w:i/>
          <w:iCs/>
        </w:rPr>
        <w:t>trichocarpa</w:t>
      </w:r>
      <w:proofErr w:type="spellEnd"/>
      <w:r>
        <w:rPr>
          <w:rFonts w:cs="Times New Roman"/>
          <w:i/>
          <w:iCs/>
        </w:rPr>
        <w:t xml:space="preserve"> </w:t>
      </w:r>
      <w:r>
        <w:rPr>
          <w:rFonts w:cs="Times New Roman"/>
        </w:rPr>
        <w:t xml:space="preserve">Stettler v1.0 as it did in </w:t>
      </w:r>
      <w:r w:rsidRPr="00333E28">
        <w:rPr>
          <w:rFonts w:cs="Times New Roman"/>
          <w:i/>
          <w:iCs/>
        </w:rPr>
        <w:t xml:space="preserve">P. </w:t>
      </w:r>
      <w:proofErr w:type="spellStart"/>
      <w:r w:rsidRPr="00333E28">
        <w:rPr>
          <w:rFonts w:cs="Times New Roman"/>
          <w:i/>
          <w:iCs/>
        </w:rPr>
        <w:t>trichocarpa</w:t>
      </w:r>
      <w:proofErr w:type="spellEnd"/>
      <w:r>
        <w:rPr>
          <w:rFonts w:cs="Times New Roman"/>
          <w:i/>
          <w:iCs/>
        </w:rPr>
        <w:t xml:space="preserve"> </w:t>
      </w:r>
      <w:r>
        <w:rPr>
          <w:rFonts w:cs="Times New Roman"/>
        </w:rPr>
        <w:t xml:space="preserve">v3.0, however, both alignments were shorter with lengths of 61 kb and 76 kb, respectively. Although conserved synteny in this region between </w:t>
      </w:r>
      <w:r w:rsidRPr="00333E28">
        <w:rPr>
          <w:rFonts w:cs="Times New Roman"/>
          <w:i/>
          <w:iCs/>
        </w:rPr>
        <w:t xml:space="preserve">P. </w:t>
      </w:r>
      <w:proofErr w:type="spellStart"/>
      <w:r w:rsidRPr="00333E28">
        <w:rPr>
          <w:rFonts w:cs="Times New Roman"/>
          <w:i/>
          <w:iCs/>
        </w:rPr>
        <w:t>trichocarpa</w:t>
      </w:r>
      <w:proofErr w:type="spellEnd"/>
      <w:r>
        <w:rPr>
          <w:rFonts w:cs="Times New Roman"/>
          <w:i/>
          <w:iCs/>
        </w:rPr>
        <w:t xml:space="preserve"> </w:t>
      </w:r>
      <w:r>
        <w:rPr>
          <w:rFonts w:cs="Times New Roman"/>
        </w:rPr>
        <w:t xml:space="preserve">and </w:t>
      </w:r>
      <w:r w:rsidRPr="00333E28">
        <w:rPr>
          <w:rFonts w:cs="Times New Roman"/>
          <w:i/>
          <w:iCs/>
        </w:rPr>
        <w:t xml:space="preserve">P. </w:t>
      </w:r>
      <w:proofErr w:type="spellStart"/>
      <w:r w:rsidRPr="00333E28">
        <w:rPr>
          <w:rFonts w:cs="Times New Roman"/>
          <w:i/>
          <w:iCs/>
        </w:rPr>
        <w:t>deltoides</w:t>
      </w:r>
      <w:proofErr w:type="spellEnd"/>
      <w:r>
        <w:rPr>
          <w:rFonts w:cs="Times New Roman"/>
          <w:i/>
          <w:iCs/>
        </w:rPr>
        <w:t xml:space="preserve"> </w:t>
      </w:r>
      <w:r>
        <w:rPr>
          <w:rFonts w:cs="Times New Roman"/>
        </w:rPr>
        <w:t xml:space="preserve">may indicate a legitimate whole chloroplast integration event that was shared in the ancestor of </w:t>
      </w:r>
      <w:r w:rsidRPr="00333E28">
        <w:rPr>
          <w:rFonts w:cs="Times New Roman"/>
          <w:i/>
          <w:iCs/>
        </w:rPr>
        <w:t xml:space="preserve">P. </w:t>
      </w:r>
      <w:proofErr w:type="spellStart"/>
      <w:r w:rsidRPr="00333E28">
        <w:rPr>
          <w:rFonts w:cs="Times New Roman"/>
          <w:i/>
          <w:iCs/>
        </w:rPr>
        <w:t>trichocarpa</w:t>
      </w:r>
      <w:proofErr w:type="spellEnd"/>
      <w:r>
        <w:rPr>
          <w:rFonts w:cs="Times New Roman"/>
          <w:i/>
          <w:iCs/>
        </w:rPr>
        <w:t xml:space="preserve"> </w:t>
      </w:r>
      <w:r>
        <w:rPr>
          <w:rFonts w:cs="Times New Roman"/>
        </w:rPr>
        <w:t xml:space="preserve">and </w:t>
      </w:r>
      <w:r w:rsidRPr="00333E28">
        <w:rPr>
          <w:rFonts w:cs="Times New Roman"/>
          <w:i/>
          <w:iCs/>
        </w:rPr>
        <w:t xml:space="preserve">P. </w:t>
      </w:r>
      <w:proofErr w:type="spellStart"/>
      <w:r w:rsidRPr="00333E28">
        <w:rPr>
          <w:rFonts w:cs="Times New Roman"/>
          <w:i/>
          <w:iCs/>
        </w:rPr>
        <w:t>deltoides</w:t>
      </w:r>
      <w:proofErr w:type="spellEnd"/>
      <w:r>
        <w:rPr>
          <w:rFonts w:cs="Times New Roman"/>
        </w:rPr>
        <w:t xml:space="preserve"> this is not supported by methylation data and only partially supported by more contiguous </w:t>
      </w:r>
      <w:r w:rsidRPr="00333E28">
        <w:rPr>
          <w:rFonts w:cs="Times New Roman"/>
          <w:i/>
          <w:iCs/>
        </w:rPr>
        <w:t xml:space="preserve">P. </w:t>
      </w:r>
      <w:proofErr w:type="spellStart"/>
      <w:r w:rsidRPr="00333E28">
        <w:rPr>
          <w:rFonts w:cs="Times New Roman"/>
          <w:i/>
          <w:iCs/>
        </w:rPr>
        <w:t>trichocarpa</w:t>
      </w:r>
      <w:proofErr w:type="spellEnd"/>
      <w:r>
        <w:rPr>
          <w:rFonts w:cs="Times New Roman"/>
          <w:i/>
          <w:iCs/>
        </w:rPr>
        <w:t xml:space="preserve"> </w:t>
      </w:r>
      <w:r>
        <w:rPr>
          <w:rFonts w:cs="Times New Roman"/>
        </w:rPr>
        <w:t xml:space="preserve">v4.0 and </w:t>
      </w:r>
      <w:r w:rsidRPr="00333E28">
        <w:rPr>
          <w:rFonts w:cs="Times New Roman"/>
          <w:i/>
          <w:iCs/>
        </w:rPr>
        <w:t xml:space="preserve">P. </w:t>
      </w:r>
      <w:proofErr w:type="spellStart"/>
      <w:r w:rsidRPr="00333E28">
        <w:rPr>
          <w:rFonts w:cs="Times New Roman"/>
          <w:i/>
          <w:iCs/>
        </w:rPr>
        <w:t>trichocarpa</w:t>
      </w:r>
      <w:proofErr w:type="spellEnd"/>
      <w:r>
        <w:rPr>
          <w:rFonts w:cs="Times New Roman"/>
          <w:i/>
          <w:iCs/>
        </w:rPr>
        <w:t xml:space="preserve"> </w:t>
      </w:r>
      <w:r>
        <w:rPr>
          <w:rFonts w:cs="Times New Roman"/>
        </w:rPr>
        <w:t xml:space="preserve">Stettler v1.0 assemblies. Future genome assemblies of </w:t>
      </w:r>
      <w:r w:rsidRPr="00333E28">
        <w:rPr>
          <w:rFonts w:cs="Times New Roman"/>
          <w:i/>
          <w:iCs/>
        </w:rPr>
        <w:t xml:space="preserve">P. </w:t>
      </w:r>
      <w:proofErr w:type="spellStart"/>
      <w:r w:rsidRPr="00333E28">
        <w:rPr>
          <w:rFonts w:cs="Times New Roman"/>
          <w:i/>
          <w:iCs/>
        </w:rPr>
        <w:t>trichocarpa</w:t>
      </w:r>
      <w:proofErr w:type="spellEnd"/>
      <w:r>
        <w:rPr>
          <w:rFonts w:cs="Times New Roman"/>
          <w:i/>
          <w:iCs/>
        </w:rPr>
        <w:t xml:space="preserve"> </w:t>
      </w:r>
      <w:r>
        <w:rPr>
          <w:rFonts w:cs="Times New Roman"/>
        </w:rPr>
        <w:t xml:space="preserve">and </w:t>
      </w:r>
      <w:r w:rsidRPr="00333E28">
        <w:rPr>
          <w:rFonts w:cs="Times New Roman"/>
          <w:i/>
          <w:iCs/>
        </w:rPr>
        <w:t xml:space="preserve">P. </w:t>
      </w:r>
      <w:proofErr w:type="spellStart"/>
      <w:r w:rsidRPr="00333E28">
        <w:rPr>
          <w:rFonts w:cs="Times New Roman"/>
          <w:i/>
          <w:iCs/>
        </w:rPr>
        <w:t>deltoides</w:t>
      </w:r>
      <w:proofErr w:type="spellEnd"/>
      <w:r>
        <w:rPr>
          <w:rFonts w:cs="Times New Roman"/>
          <w:i/>
          <w:iCs/>
        </w:rPr>
        <w:t xml:space="preserve"> </w:t>
      </w:r>
      <w:r>
        <w:rPr>
          <w:rFonts w:cs="Times New Roman"/>
        </w:rPr>
        <w:t>should evaluate this region for whole or partial chloroplast integration events.</w:t>
      </w:r>
    </w:p>
    <w:p w14:paraId="6354F027" w14:textId="77777777" w:rsidR="00636B5B" w:rsidRDefault="00636B5B" w:rsidP="00EE03F0">
      <w:pPr>
        <w:widowControl w:val="0"/>
        <w:autoSpaceDE w:val="0"/>
        <w:autoSpaceDN w:val="0"/>
        <w:adjustRightInd w:val="0"/>
        <w:spacing w:line="360" w:lineRule="auto"/>
        <w:rPr>
          <w:rFonts w:cs="Times New Roman"/>
        </w:rPr>
      </w:pPr>
    </w:p>
    <w:p w14:paraId="4C8DFF9A" w14:textId="77777777" w:rsidR="00636B5B" w:rsidRDefault="00636B5B" w:rsidP="00EE03F0">
      <w:pPr>
        <w:widowControl w:val="0"/>
        <w:autoSpaceDE w:val="0"/>
        <w:autoSpaceDN w:val="0"/>
        <w:adjustRightInd w:val="0"/>
        <w:jc w:val="center"/>
        <w:rPr>
          <w:b/>
          <w:bCs/>
          <w:sz w:val="28"/>
          <w:szCs w:val="26"/>
        </w:rPr>
      </w:pPr>
      <w:r>
        <w:rPr>
          <w:b/>
          <w:bCs/>
          <w:sz w:val="28"/>
          <w:szCs w:val="26"/>
        </w:rPr>
        <w:t>Discussion and Conclusion</w:t>
      </w:r>
    </w:p>
    <w:p w14:paraId="7E93A550" w14:textId="77777777" w:rsidR="00636B5B" w:rsidRDefault="00636B5B" w:rsidP="00EE03F0">
      <w:pPr>
        <w:widowControl w:val="0"/>
        <w:autoSpaceDE w:val="0"/>
        <w:autoSpaceDN w:val="0"/>
        <w:adjustRightInd w:val="0"/>
        <w:jc w:val="center"/>
        <w:rPr>
          <w:b/>
          <w:bCs/>
          <w:sz w:val="28"/>
          <w:szCs w:val="26"/>
        </w:rPr>
      </w:pPr>
    </w:p>
    <w:p w14:paraId="0139DD43" w14:textId="77777777" w:rsidR="00636B5B" w:rsidRDefault="00636B5B" w:rsidP="00EE03F0">
      <w:pPr>
        <w:spacing w:line="360" w:lineRule="auto"/>
        <w:ind w:firstLine="720"/>
        <w:rPr>
          <w:rFonts w:cs="Times New Roman"/>
        </w:rPr>
      </w:pPr>
      <w:r>
        <w:rPr>
          <w:rFonts w:cs="Times New Roman"/>
        </w:rPr>
        <w:t xml:space="preserve">In this study we provided new organelle genome resources, identified, compared, and characterized organelle-derived putative coding and non-coding NUPTs and NUMTs in the </w:t>
      </w:r>
      <w:r w:rsidRPr="00333E28">
        <w:rPr>
          <w:rFonts w:cs="Times New Roman"/>
          <w:i/>
          <w:iCs/>
        </w:rPr>
        <w:t xml:space="preserve">P. </w:t>
      </w:r>
      <w:proofErr w:type="spellStart"/>
      <w:r w:rsidRPr="00333E28">
        <w:rPr>
          <w:rFonts w:cs="Times New Roman"/>
          <w:i/>
          <w:iCs/>
        </w:rPr>
        <w:t>trichocarpa</w:t>
      </w:r>
      <w:proofErr w:type="spellEnd"/>
      <w:r>
        <w:rPr>
          <w:rFonts w:cs="Times New Roman"/>
          <w:i/>
          <w:iCs/>
        </w:rPr>
        <w:t xml:space="preserve"> </w:t>
      </w:r>
      <w:r>
        <w:rPr>
          <w:rFonts w:cs="Times New Roman"/>
        </w:rPr>
        <w:t xml:space="preserve">and </w:t>
      </w:r>
      <w:r w:rsidRPr="00333E28">
        <w:rPr>
          <w:rFonts w:cs="Times New Roman"/>
          <w:i/>
          <w:iCs/>
        </w:rPr>
        <w:t xml:space="preserve">P. </w:t>
      </w:r>
      <w:proofErr w:type="spellStart"/>
      <w:r w:rsidRPr="00333E28">
        <w:rPr>
          <w:rFonts w:cs="Times New Roman"/>
          <w:i/>
          <w:iCs/>
        </w:rPr>
        <w:t>deltoides</w:t>
      </w:r>
      <w:proofErr w:type="spellEnd"/>
      <w:r>
        <w:rPr>
          <w:rFonts w:cs="Times New Roman"/>
          <w:i/>
          <w:iCs/>
        </w:rPr>
        <w:t xml:space="preserve"> </w:t>
      </w:r>
      <w:r>
        <w:rPr>
          <w:rFonts w:cs="Times New Roman"/>
        </w:rPr>
        <w:t xml:space="preserve">nuclear genomes. Phylogenomic analyses agreed with previous </w:t>
      </w:r>
      <w:r>
        <w:rPr>
          <w:rFonts w:cs="Times New Roman"/>
        </w:rPr>
        <w:lastRenderedPageBreak/>
        <w:t xml:space="preserve">work and correctly assigned new and old world </w:t>
      </w:r>
      <w:r>
        <w:rPr>
          <w:rFonts w:cs="Times New Roman"/>
          <w:i/>
          <w:iCs/>
        </w:rPr>
        <w:t xml:space="preserve">Populus </w:t>
      </w:r>
      <w:r>
        <w:rPr>
          <w:rFonts w:cs="Times New Roman"/>
        </w:rPr>
        <w:t xml:space="preserve">species to correct clades </w:t>
      </w:r>
      <w:r>
        <w:rPr>
          <w:rFonts w:cs="Times New Roman"/>
        </w:rPr>
        <w:fldChar w:fldCharType="begin" w:fldLock="1"/>
      </w:r>
      <w:r>
        <w:rPr>
          <w:rFonts w:cs="Times New Roman"/>
        </w:rPr>
        <w:instrText>ADDIN CSL_CITATION {"citationItems":[{"id":"ITEM-1","itemData":{"DOI":"10.3389/fpls.2017.01050","ISSN":"1664462X","abstract":"Chloroplast genomes of plants are highly conserved in both gene order and gene content. Analysis of the whole chloroplast genome is known to provide much more informative DNA sites and thus generates high resolution for plant phylogenies. Here, we report the complete chloroplast genomes of three Salix species in family Salicaceae. Phylogeny of Salicaceae inferred from complete chloroplast genomes is generally consistent with previous studies but resolved with higher statistical support. Incongruences of phylogeny, however, are observed in genus Populus, which most likely results from homoplasy. By comparing three Salix chloroplast genomes with the published chloroplast genomes of other Salicaceae species, we demonstrate that the synteny and length of chloroplast genomes in Salicaceae are highly conserved but experienced dynamic evolution among species. We identify seven positively selected chloroplast genes in Salicaceae, which might be related to the adaptive evolution of Salicaceae species. Comparative chloroplast genome analysis within the family also indicates that some chloroplast genes are lost or became pseudogenes, infer that the chloroplast genes horizontally transferred to the nucleus genome. Based on the complete nucleus genome sequences from two Salicaceae species, we remarkably identify that the entire chloroplast genome is indeed transferred and integrated to the nucleus genome in the individual of the reference genome of P. trichocarpa at least once. This observation, along with presence of the large nuclear plastid DNA (NUPTs) and NUPTs-containing multiple chloroplast genes in their original order in the chloroplast genome, favors the DNA-mediated hypothesis of organelle to nucleus DNA transfer. Overall, the phylogenomic analysis using chloroplast complete genomes clearly elucidates the phylogeny of Salicaceae. The identification of positively selected chloroplast genes and dynamic chloroplast-to-nucleus gene transfers in Salicaceae provide resources to better understand the successful adaptation of Salicaceae species.","author":[{"dropping-particle":"","family":"Huang","given":"Yuan","non-dropping-particle":"","parse-names":false,"suffix":""},{"dropping-particle":"","family":"Wang","given":"Jun","non-dropping-particle":"","parse-names":false,"suffix":""},{"dropping-particle":"","family":"Yang","given":"Yongping","non-dropping-particle":"","parse-names":false,"suffix":""},{"dropping-particle":"","family":"Fan","given":"Chuanzhu","non-dropping-particle":"","parse-names":false,"suffix":""},{"dropping-particle":"","family":"Chen","given":"Jiahui","non-dropping-particle":"","parse-names":false,"suffix":""}],"container-title":"Frontiers in Plant Science","id":"ITEM-1","issue":"June","issued":{"date-parts":[["2017"]]},"page":"1-13","title":"Phylogenomic analysis and dynamic evolution of chloroplast genomes in salicaceae","type":"article-journal","volume":"8"},"uris":["http://www.mendeley.com/documents/?uuid=9ac21e2f-6e3f-4ac6-accc-519fbac0dffb"]},{"id":"ITEM-2","itemData":{"DOI":"10.1016/j.bse.2015.09.020","ISSN":"03051978","abstract":"Section Leuce Duby (Populus, Salicaceae) is an important taxon among the 6 sections in the genus Populus. Although biological and taxonomic studies has greatly improved our understanding of this section, the phylogenetic relationships among the species of section Leuce remain uncertain due in part to the limited number of loci for analysis. In the present study, 34 chloroplast DNA fragments, which included 22 new chloroplast DNA fragments as well as 12 chloroplast DNA fragments used previously, were applied to explore interspecific relationships in this section. The inclusion of additional chloroplast DNA fragments recovered a well-resolved phylogeny of section Leuce. According to our phylogenetic tree, (1) we can confirm the monophyly of section Leuce and two sister clade subdivisions; (2) P. tremula L. shows closer affinity to P. davidiana Dode than other species, which has previously been a source of debate; (3) P. tremuloides Michx. and P. grandidentata Michx. form sister subclades; and (4) we propose that the previously unresolved phylogeny of section Leuce is most likely due to insufficient data. Our phylogenetic analysis successfully resolved the phylogeny of section Leuce using a sufficient dataset. This study provides an important foundation for evolutionary studies and for the effective utilization of the wild germplasm resources of section Leuce.","author":[{"dropping-particle":"","family":"Wang","given":"Dongsheng","non-dropping-particle":"","parse-names":false,"suffix":""},{"dropping-particle":"","family":"Wang","given":"Zhaoshan","non-dropping-particle":"","parse-names":false,"suffix":""},{"dropping-particle":"","family":"Du","given":"Shuhui","non-dropping-particle":"","parse-names":false,"suffix":""},{"dropping-particle":"","family":"Zhang","given":"Jianguo","non-dropping-particle":"","parse-names":false,"suffix":""}],"container-title":"Biochemical Systematics and Ecology","id":"ITEM-2","issued":{"date-parts":[["2015"]]},"page":"212-217","publisher":"Elsevier Ltd","title":"Phylogeny of section Leuce (Populus, Salicaceae) inferred from 34 chloroplast DNA fragments","type":"article-journal","volume":"63"},"uris":["http://www.mendeley.com/documents/?uuid=9835b5e8-ca0b-467d-bd3c-7dda24aee7fd"]}],"mendeley":{"formattedCitation":"(Y. Huang et al., 2017; Dongsheng Wang et al., 2015)","manualFormatting":"(Y. Huang et al., 2017; Wang et al., 2015)","plainTextFormattedCitation":"(Y. Huang et al., 2017; Dongsheng Wang et al., 2015)","previouslyFormattedCitation":"(Huang et al. 2017; Wang et al. 2015)"},"properties":{"noteIndex":0},"schema":"https://github.com/citation-style-language/schema/raw/master/csl-citation.json"}</w:instrText>
      </w:r>
      <w:r>
        <w:rPr>
          <w:rFonts w:cs="Times New Roman"/>
        </w:rPr>
        <w:fldChar w:fldCharType="separate"/>
      </w:r>
      <w:r w:rsidRPr="00F411AD">
        <w:rPr>
          <w:rFonts w:cs="Times New Roman"/>
          <w:noProof/>
        </w:rPr>
        <w:t>(Y. Huang et al., 2017; Wang</w:t>
      </w:r>
      <w:r>
        <w:rPr>
          <w:rFonts w:cs="Times New Roman"/>
          <w:noProof/>
        </w:rPr>
        <w:t xml:space="preserve"> et al.,</w:t>
      </w:r>
      <w:r w:rsidRPr="00F411AD">
        <w:rPr>
          <w:rFonts w:cs="Times New Roman"/>
          <w:noProof/>
        </w:rPr>
        <w:t xml:space="preserve"> 2015)</w:t>
      </w:r>
      <w:r>
        <w:rPr>
          <w:rFonts w:cs="Times New Roman"/>
        </w:rPr>
        <w:fldChar w:fldCharType="end"/>
      </w:r>
      <w:r>
        <w:rPr>
          <w:rFonts w:cs="Times New Roman"/>
        </w:rPr>
        <w:t xml:space="preserve">. However, based on the low bootstrap values observed in the mitogenome derived phylogeny, a more comprehensive sampling of species from </w:t>
      </w:r>
      <w:r>
        <w:rPr>
          <w:rFonts w:cs="Times New Roman"/>
          <w:i/>
          <w:iCs/>
        </w:rPr>
        <w:t xml:space="preserve">Populus </w:t>
      </w:r>
      <w:r>
        <w:rPr>
          <w:rFonts w:cs="Times New Roman"/>
        </w:rPr>
        <w:t xml:space="preserve">and </w:t>
      </w:r>
      <w:r>
        <w:rPr>
          <w:rFonts w:cs="Times New Roman"/>
          <w:i/>
          <w:iCs/>
        </w:rPr>
        <w:t xml:space="preserve">Salix </w:t>
      </w:r>
      <w:r>
        <w:rPr>
          <w:rFonts w:cs="Times New Roman"/>
        </w:rPr>
        <w:t xml:space="preserve">genera would be beneficial. The widespread use of long-read sequencing should enable future studies exploring the </w:t>
      </w:r>
      <w:proofErr w:type="spellStart"/>
      <w:r>
        <w:rPr>
          <w:rFonts w:cs="Times New Roman"/>
        </w:rPr>
        <w:t>phylogenomics</w:t>
      </w:r>
      <w:proofErr w:type="spellEnd"/>
      <w:r>
        <w:rPr>
          <w:rFonts w:cs="Times New Roman"/>
        </w:rPr>
        <w:t xml:space="preserve"> of the Salicaceae. Genome assembly of plant mitogenomes is challenging compared to the assembly of chloroplast genomes. Specifically, the high repeat content, rearrangement, and heterogeneity between closely related mitogenomes makes assembly difficult </w:t>
      </w:r>
      <w:r>
        <w:rPr>
          <w:rFonts w:cs="Times New Roman"/>
        </w:rPr>
        <w:fldChar w:fldCharType="begin" w:fldLock="1"/>
      </w:r>
      <w:r>
        <w:rPr>
          <w:rFonts w:cs="Times New Roman"/>
        </w:rPr>
        <w:instrText>ADDIN CSL_CITATION {"citationItems":[{"id":"ITEM-1","itemData":{"DOI":"10.1111/nph.12395","ISSN":"0028646X","PMID":"24712049","abstract":"The in vivo molecular structure of plant mitochondrial DNA (mtDNA) has been a long-standing source of intrigue and controversy. Recent deep sequencing analyses of mitochondrial genomes from numerous plant species have provided the opportunity to revisit this decades-old question from a novel perspective. Whole-genome sequencing approaches have yielded new lines of evidence that the 'master circle' is not the predominant form of plant mtDNA and have revealed striking structural variation both within and among species. Here, I review these recent studies, including the discovery that at least two independent angiosperm lineages have evolved multichromosomal mitochondrial genome structures. These findings raise fascinating questions regarding the mechanisms of plant mtDNA replication and inheritance. © 2013 New Phytologist Trust.","author":[{"dropping-particle":"","family":"Sloan","given":"Daniel B.","non-dropping-particle":"","parse-names":false,"suffix":""}],"container-title":"New Phytologist","id":"ITEM-1","issue":"4","issued":{"date-parts":[["2013"]]},"page":"978-985","title":"One ring to rule them all? Genome sequencing provides new insights into the 'master circle' model of plant mitochondrial DNA structure","type":"article-journal","volume":"200"},"uris":["http://www.mendeley.com/documents/?uuid=4fc66721-e397-4194-b27d-48584a986d51"]}],"mendeley":{"formattedCitation":"(Sloan, 2013)","plainTextFormattedCitation":"(Sloan, 2013)","previouslyFormattedCitation":"(Sloan 2013)"},"properties":{"noteIndex":0},"schema":"https://github.com/citation-style-language/schema/raw/master/csl-citation.json"}</w:instrText>
      </w:r>
      <w:r>
        <w:rPr>
          <w:rFonts w:cs="Times New Roman"/>
        </w:rPr>
        <w:fldChar w:fldCharType="separate"/>
      </w:r>
      <w:r w:rsidRPr="00EE03F0">
        <w:rPr>
          <w:rFonts w:cs="Times New Roman"/>
          <w:noProof/>
        </w:rPr>
        <w:t>(Sloan, 2013)</w:t>
      </w:r>
      <w:r>
        <w:rPr>
          <w:rFonts w:cs="Times New Roman"/>
        </w:rPr>
        <w:fldChar w:fldCharType="end"/>
      </w:r>
      <w:r>
        <w:rPr>
          <w:rFonts w:cs="Times New Roman"/>
        </w:rPr>
        <w:t xml:space="preserve">. Although we did not recover a ‘master circle’ which is the format of other publicly available </w:t>
      </w:r>
      <w:r>
        <w:rPr>
          <w:rFonts w:cs="Times New Roman"/>
          <w:i/>
          <w:iCs/>
        </w:rPr>
        <w:t>Populus</w:t>
      </w:r>
      <w:r>
        <w:rPr>
          <w:rFonts w:cs="Times New Roman"/>
        </w:rPr>
        <w:t xml:space="preserve"> mitogenomes, we did capture the expected gene content for plant mitogenomes, and gene content was highly similar between the mitogenome assemblies generated here </w:t>
      </w:r>
      <w:r>
        <w:rPr>
          <w:rFonts w:cs="Times New Roman"/>
        </w:rPr>
        <w:fldChar w:fldCharType="begin" w:fldLock="1"/>
      </w:r>
      <w:r>
        <w:rPr>
          <w:rFonts w:cs="Times New Roman"/>
        </w:rPr>
        <w:instrText>ADDIN CSL_CITATION {"citationItems":[{"id":"ITEM-1","itemData":{"DOI":"10.1080/23802359.2017.1289346","ISSN":"23802359","abstract":"This study sequenced the entire mitochondrial genome of Populus davidiana Dode. It was 779,361 bp in length, containing 33 protein-coding genes, 3 rRNA genes and 22 tRNA genes and 1 pseudogene, and its GC content was 44.8%. Phylogenetic analysis was conducted using 6 mitochondrial genomes from the Salicaceae and Euphorbiaceae families, resulting that P. davidiana Dode was closely related to Populus tremula and Populus tremula × Populus alba. These results will provide fundamental data for the evolutionary studies in Populus genus.","author":[{"dropping-particle":"","family":"Choi","given":"Mi Na","non-dropping-particle":"","parse-names":false,"suffix":""},{"dropping-particle":"","family":"Han","given":"Muho","non-dropping-particle":"","parse-names":false,"suffix":""},{"dropping-particle":"","family":"Lee","given":"Hyoshin","non-dropping-particle":"","parse-names":false,"suffix":""},{"dropping-particle":"","family":"Park","given":"Hong Seog","non-dropping-particle":"","parse-names":false,"suffix":""},{"dropping-particle":"","family":"Kim","given":"Min Young","non-dropping-particle":"","parse-names":false,"suffix":""},{"dropping-particle":"","family":"Kim","given":"Ji Seon","non-dropping-particle":"","parse-names":false,"suffix":""},{"dropping-particle":"","family":"Na","given":"Yoon Jeong","non-dropping-particle":"","parse-names":false,"suffix":""},{"dropping-particle":"","family":"Sim","given":"Seung Woo","non-dropping-particle":"","parse-names":false,"suffix":""},{"dropping-particle":"","family":"Park","given":"Eung Jun","non-dropping-particle":"","parse-names":false,"suffix":""}],"container-title":"Mitochondrial DNA Part B: Resources","id":"ITEM-1","issue":"1","issued":{"date-parts":[["2017"]]},"page":"113-114","title":"The complete mitochondrial genome sequence of Populus davidiana Dode","type":"article-journal","volume":"2"},"uris":["http://www.mendeley.com/documents/?uuid=f93fadc1-74c5-464c-99f5-1851547ae5ce"]},{"id":"ITEM-2","itemData":{"DOI":"10.1371/journal.pone.0147209","ISSN":"19326203","PMID":"26800039","abstract":"Complete Populus genome sequences are available for the nucleus (P. trichocarpa; section Tacamahaca) and for chloroplasts (seven species), but not for mitochondria. Here, we provide the complete genome sequences of the chloroplast and the mitochondrion for the clones P. tremula W52 and P. tremula x P. alba 717-1B4 (section Populus). The organization of the chloroplast genomes of both Populus clones is described. A phylogenetic tree constructed from all available complete chloroplast DNA sequences of Populus was not congruent with the assignment of the related species to different Populus sections. In total, 3,024 variable nucleotide positions were identified among all compared Populus chloroplast DNA sequences. The 5-prime part of the LSC from trnH to atpA showed the highest frequency of variations. The variable positions included 163 positions with SNPs allowing for differentiating the two clones with P. tremula chloroplast genomes (W52, 717-1B4) from the other seven Populus individuals. These potential P. tremula-specific SNPs were displayed as a whole-plastome barcode on the P. tremula W52 chloroplast DNA sequence. Three of these SNPs and one InDel in the trnH-psbA linker were successfully validated by Sanger sequencing in an extended set of Populus individuals. The complete mitochondrial genome sequence of P. tremula is the first in the family of Salicaceae. The mitochondrial genomes of the two clones are 783,442 bp (W52) and 783,513 bp (717-1B4) in size, structurally very similar and organized as single circles. DNA sequence regions with high similarity to the W52 chloroplast sequence account for about 2% of the W52 mitochondrial genome. The mean SNP frequency was found to be nearly six fold higher in the chloroplast than in the mitochondrial genome when comparing 717-1B4 with W52. The availability of the genomic information of all three DNA-containing cell organelles will allow a holistic approach in poplar molecular breeding in the future.","author":[{"dropping-particle":"","family":"Kersten","given":"Birgit","non-dropping-particle":"","parse-names":false,"suffix":""},{"dropping-particle":"","family":"Rampant","given":"Patricia Faivre","non-dropping-particle":"","parse-names":false,"suffix":""},{"dropping-particle":"","family":"Mader","given":"Malte","non-dropping-particle":"","parse-names":false,"suffix":""},{"dropping-particle":"","family":"Paslier","given":"Marie Christine","non-dropping-particle":"Le","parse-names":false,"suffix":""},{"dropping-particle":"","family":"Bounon","given":"Rémi","non-dropping-particle":"","parse-names":false,"suffix":""},{"dropping-particle":"","family":"Berard","given":"Aurélie","non-dropping-particle":"","parse-names":false,"suffix":""},{"dropping-particle":"","family":"Vettori","given":"Cristina","non-dropping-particle":"","parse-names":false,"suffix":""},{"dropping-particle":"","family":"Schroeder","given":"Hilke","non-dropping-particle":"","parse-names":false,"suffix":""},{"dropping-particle":"","family":"Leplé","given":"Jean Charles","non-dropping-particle":"","parse-names":false,"suffix":""},{"dropping-particle":"","family":"Fladung","given":"Matthias","non-dropping-particle":"","parse-names":false,"suffix":""}],"container-title":"PLoS ONE","id":"ITEM-2","issue":"1","issued":{"date-parts":[["2016"]]},"page":"1-21","title":"Genome sequences of Populus tremula chloroplast and mitochondrion: Implications for holistic poplar breeding","type":"article-journal","volume":"11"},"uris":["http://www.mendeley.com/documents/?uuid=b7918678-ffd0-4829-9e7d-30acdc44c56d"]}],"mendeley":{"formattedCitation":"(Choi et al., 2017; Kersten et al., 2016)","plainTextFormattedCitation":"(Choi et al., 2017; Kersten et al., 2016)","previouslyFormattedCitation":"(Choi et al. 2017; Kersten et al. 2016)"},"properties":{"noteIndex":0},"schema":"https://github.com/citation-style-language/schema/raw/master/csl-citation.json"}</w:instrText>
      </w:r>
      <w:r>
        <w:rPr>
          <w:rFonts w:cs="Times New Roman"/>
        </w:rPr>
        <w:fldChar w:fldCharType="separate"/>
      </w:r>
      <w:r w:rsidRPr="00EE03F0">
        <w:rPr>
          <w:rFonts w:cs="Times New Roman"/>
          <w:noProof/>
        </w:rPr>
        <w:t>(Choi et al., 2017; Kersten et al., 2016)</w:t>
      </w:r>
      <w:r>
        <w:rPr>
          <w:rFonts w:cs="Times New Roman"/>
        </w:rPr>
        <w:fldChar w:fldCharType="end"/>
      </w:r>
      <w:r>
        <w:rPr>
          <w:rFonts w:cs="Times New Roman"/>
        </w:rPr>
        <w:t xml:space="preserve">. </w:t>
      </w:r>
    </w:p>
    <w:p w14:paraId="23E9F5BC" w14:textId="77777777" w:rsidR="00636B5B" w:rsidRDefault="00636B5B" w:rsidP="00EE03F0">
      <w:pPr>
        <w:spacing w:line="360" w:lineRule="auto"/>
        <w:rPr>
          <w:rFonts w:cs="Times New Roman"/>
        </w:rPr>
      </w:pPr>
      <w:r>
        <w:rPr>
          <w:rFonts w:cs="Times New Roman"/>
        </w:rPr>
        <w:tab/>
        <w:t xml:space="preserve">We identified NUPTs and NUMTs in </w:t>
      </w:r>
      <w:r w:rsidRPr="00333E28">
        <w:rPr>
          <w:rFonts w:cs="Times New Roman"/>
          <w:i/>
          <w:iCs/>
        </w:rPr>
        <w:t xml:space="preserve">P. </w:t>
      </w:r>
      <w:proofErr w:type="spellStart"/>
      <w:r w:rsidRPr="00333E28">
        <w:rPr>
          <w:rFonts w:cs="Times New Roman"/>
          <w:i/>
          <w:iCs/>
        </w:rPr>
        <w:t>trichocarpa</w:t>
      </w:r>
      <w:proofErr w:type="spellEnd"/>
      <w:r>
        <w:rPr>
          <w:rFonts w:cs="Times New Roman"/>
          <w:i/>
          <w:iCs/>
        </w:rPr>
        <w:t xml:space="preserve"> </w:t>
      </w:r>
      <w:r>
        <w:rPr>
          <w:rFonts w:cs="Times New Roman"/>
        </w:rPr>
        <w:t xml:space="preserve">and </w:t>
      </w:r>
      <w:r w:rsidRPr="00333E28">
        <w:rPr>
          <w:rFonts w:cs="Times New Roman"/>
          <w:i/>
          <w:iCs/>
        </w:rPr>
        <w:t xml:space="preserve">P. </w:t>
      </w:r>
      <w:proofErr w:type="spellStart"/>
      <w:r w:rsidRPr="00333E28">
        <w:rPr>
          <w:rFonts w:cs="Times New Roman"/>
          <w:i/>
          <w:iCs/>
        </w:rPr>
        <w:t>deltoides</w:t>
      </w:r>
      <w:proofErr w:type="spellEnd"/>
      <w:r>
        <w:rPr>
          <w:rFonts w:cs="Times New Roman"/>
          <w:i/>
          <w:iCs/>
        </w:rPr>
        <w:t xml:space="preserve"> </w:t>
      </w:r>
      <w:r>
        <w:rPr>
          <w:rFonts w:cs="Times New Roman"/>
        </w:rPr>
        <w:t xml:space="preserve">with BLAST which has been commonly used in previous studies. To generate a more conservative group of BLAST hits, additional methodological improvements were performed. These included the use of doubled organelle genomes, only retaining features which are identical or fully contained by a larger feature, and merging features which were in close proximity to each other </w:t>
      </w:r>
      <w:r>
        <w:rPr>
          <w:rFonts w:cs="Times New Roman"/>
        </w:rPr>
        <w:fldChar w:fldCharType="begin" w:fldLock="1"/>
      </w:r>
      <w:r>
        <w:rPr>
          <w:rFonts w:cs="Times New Roman"/>
        </w:rPr>
        <w:instrText>ADDIN CSL_CITATION {"citationItems":[{"id":"ITEM-1","itemData":{"DOI":"10.1093/gbe/evx078","ISSN":"17596653","PMID":"28444372","abstract":"Fragments of organelle genomes are often found as insertions in nuclear DNA. These fragments ofmitochondrial DNA (numts) and plastid DNA (nupts) are ubiquitous components of eukaryotic genomes. They are, however, often edited out during the genome assembly process, leading to systematic underestimation of their frequency. Numts and nupts, once inserted, can become further fragmented through subsequent insertion of mobile elements or other recombinational events that disrupt the continuity of the inserted sequence relative to the genuine organelle DNA copy. Because numts and nupts are typically identified through sequence comparison tools such as BLAST, disruption of insertions into smaller fragments can lead to systematic overestimation of numt and nupt frequencies. Accurate identification of numts and nupts is important, however, both for better understanding of their role during evolution, and for monitoring their increasingly evident role in human disease. Human populations are polymorphic for 141 numt loci, five numts are causal to genetic disease, and cancer genomic studies are revealing an abundanceofnumts associatedwith tumor progression. Here, we report investigation of salient parameters involved in obtaining accurate estimates of numt and nupt numbers in genome sequence data.Numts and nupts from 44 sequenced eukaryotic genomes reveal lineage-specific differences in the number, relative age and frequency of insertional events as well as lineage-specific dynamics of their postinsertional fragmentation. Our findings outline themain technical parameters influencing accurate identification and frequency estimation of numts in genomic studies pertinent to both evolution and human health.","author":[{"dropping-particle":"","family":"Hazkani-Covo","given":"Einat","non-dropping-particle":"","parse-names":false,"suffix":""},{"dropping-particle":"","family":"Martin","given":"William F.","non-dropping-particle":"","parse-names":false,"suffix":""}],"container-title":"Genome Biology and Evolution","id":"ITEM-1","issue":"5","issued":{"date-parts":[["2017"]]},"page":"1190-1203","title":"Quantifying the number of independent organelle DNA insertions in genome evolution and human health","type":"article-journal","volume":"9"},"uris":["http://www.mendeley.com/documents/?uuid=6f915319-8a3c-4fea-a50b-9bab20fb024d"]}],"mendeley":{"formattedCitation":"(Hazkani-Covo &amp; Martin, 2017)","plainTextFormattedCitation":"(Hazkani-Covo &amp; Martin, 2017)","previouslyFormattedCitation":"(Hazkani-Covo &amp; Martin 2017)"},"properties":{"noteIndex":0},"schema":"https://github.com/citation-style-language/schema/raw/master/csl-citation.json"}</w:instrText>
      </w:r>
      <w:r>
        <w:rPr>
          <w:rFonts w:cs="Times New Roman"/>
        </w:rPr>
        <w:fldChar w:fldCharType="separate"/>
      </w:r>
      <w:r w:rsidRPr="00EE03F0">
        <w:rPr>
          <w:rFonts w:cs="Times New Roman"/>
          <w:noProof/>
        </w:rPr>
        <w:t>(Hazkani-Covo &amp; Martin, 2017)</w:t>
      </w:r>
      <w:r>
        <w:rPr>
          <w:rFonts w:cs="Times New Roman"/>
        </w:rPr>
        <w:fldChar w:fldCharType="end"/>
      </w:r>
      <w:r>
        <w:rPr>
          <w:rFonts w:cs="Times New Roman"/>
        </w:rPr>
        <w:t xml:space="preserve">. </w:t>
      </w:r>
      <w:r w:rsidRPr="00333E28">
        <w:rPr>
          <w:rFonts w:cs="Times New Roman"/>
          <w:i/>
          <w:iCs/>
        </w:rPr>
        <w:t xml:space="preserve">P. </w:t>
      </w:r>
      <w:proofErr w:type="spellStart"/>
      <w:r w:rsidRPr="00333E28">
        <w:rPr>
          <w:rFonts w:cs="Times New Roman"/>
          <w:i/>
          <w:iCs/>
        </w:rPr>
        <w:t>trichocarpa</w:t>
      </w:r>
      <w:proofErr w:type="spellEnd"/>
      <w:r>
        <w:rPr>
          <w:rFonts w:cs="Times New Roman"/>
          <w:i/>
          <w:iCs/>
        </w:rPr>
        <w:t xml:space="preserve"> </w:t>
      </w:r>
      <w:r>
        <w:rPr>
          <w:rFonts w:cs="Times New Roman"/>
        </w:rPr>
        <w:t xml:space="preserve">NUPTs have been identified using BLAST and with LASTZ in previous studies and the cumulative size is comparable to what were reported in this study </w:t>
      </w:r>
      <w:r>
        <w:rPr>
          <w:rFonts w:cs="Times New Roman"/>
        </w:rPr>
        <w:fldChar w:fldCharType="begin" w:fldLock="1"/>
      </w:r>
      <w:r>
        <w:rPr>
          <w:rFonts w:cs="Times New Roman"/>
        </w:rPr>
        <w:instrText>ADDIN CSL_CITATION {"citationItems":[{"id":"ITEM-1","itemData":{"DOI":"10.3390/ijms21030707","ISSN":"14220067","abstract":"The transfer of genetic material from the mitochondria and plastid to the nucleus gives rise to nuclear integrants of mitochondrial DNA (NUMTs) and nuclear integrants of plastid DNA (NUPTs). This frequently occurring DNA transfer is ongoing and has important evolutionary implications. In this review, based on previous studies and the analysis of NUMT/NUPT insertions of more than 200 sequenced plant genomes, we analyzed and summarized the general features of NUMTs/NUPTs and highlighted the genetic consequence of organellar DNA insertions. The statistics of organellar DNA integrants among various plant genomes revealed that organellar DNA-derived sequence content is positively correlated with the nuclear genome size. After integration, the nuclear organellar DNA could undergo different fates, including elimination, mutation, rearrangement, fragmentation, and proliferation. The integrated organellar DNAs play important roles in increasing genetic diversity, promoting gene and genome evolution, and are involved in sex chromosome evolution in dioecious plants. The integrating mechanisms, involving non-homologous end joining at double-strand breaks were also discussed.","author":[{"dropping-particle":"","family":"Zhang","given":"Guo Jun","non-dropping-particle":"","parse-names":false,"suffix":""},{"dropping-particle":"","family":"Dong","given":"Ran","non-dropping-particle":"","parse-names":false,"suffix":""},{"dropping-particle":"","family":"Lan","given":"Li Na","non-dropping-particle":"","parse-names":false,"suffix":""},{"dropping-particle":"","family":"Li","given":"Shu Fen","non-dropping-particle":"","parse-names":false,"suffix":""},{"dropping-particle":"","family":"Gao","given":"Wu Jun","non-dropping-particle":"","parse-names":false,"suffix":""},{"dropping-particle":"","family":"Niu","given":"Hong Xing","non-dropping-particle":"","parse-names":false,"suffix":""}],"container-title":"International Journal of Molecular Sciences","id":"ITEM-1","issue":"3","issued":{"date-parts":[["2020"]]},"title":"Nuclear integrants of organellar DNA contribute to genome structure and evolution in plants","type":"article-journal","volume":"21"},"uris":["http://www.mendeley.com/documents/?uuid=5c99f14f-9436-4637-957a-6bdee3da621c"]},{"id":"ITEM-2","itemData":{"DOI":"10.3389/fpls.2017.01050","ISSN":"1664462X","abstract":"Chloroplast genomes of plants are highly conserved in both gene order and gene content. Analysis of the whole chloroplast genome is known to provide much more informative DNA sites and thus generates high resolution for plant phylogenies. Here, we report the complete chloroplast genomes of three Salix species in family Salicaceae. Phylogeny of Salicaceae inferred from complete chloroplast genomes is generally consistent with previous studies but resolved with higher statistical support. Incongruences of phylogeny, however, are observed in genus Populus, which most likely results from homoplasy. By comparing three Salix chloroplast genomes with the published chloroplast genomes of other Salicaceae species, we demonstrate that the synteny and length of chloroplast genomes in Salicaceae are highly conserved but experienced dynamic evolution among species. We identify seven positively selected chloroplast genes in Salicaceae, which might be related to the adaptive evolution of Salicaceae species. Comparative chloroplast genome analysis within the family also indicates that some chloroplast genes are lost or became pseudogenes, infer that the chloroplast genes horizontally transferred to the nucleus genome. Based on the complete nucleus genome sequences from two Salicaceae species, we remarkably identify that the entire chloroplast genome is indeed transferred and integrated to the nucleus genome in the individual of the reference genome of P. trichocarpa at least once. This observation, along with presence of the large nuclear plastid DNA (NUPTs) and NUPTs-containing multiple chloroplast genes in their original order in the chloroplast genome, favors the DNA-mediated hypothesis of organelle to nucleus DNA transfer. Overall, the phylogenomic analysis using chloroplast complete genomes clearly elucidates the phylogeny of Salicaceae. The identification of positively selected chloroplast genes and dynamic chloroplast-to-nucleus gene transfers in Salicaceae provide resources to better understand the successful adaptation of Salicaceae species.","author":[{"dropping-particle":"","family":"Huang","given":"Yuan","non-dropping-particle":"","parse-names":false,"suffix":""},{"dropping-particle":"","family":"Wang","given":"Jun","non-dropping-particle":"","parse-names":false,"suffix":""},{"dropping-particle":"","family":"Yang","given":"Yongping","non-dropping-particle":"","parse-names":false,"suffix":""},{"dropping-particle":"","family":"Fan","given":"Chuanzhu","non-dropping-particle":"","parse-names":false,"suffix":""},{"dropping-particle":"","family":"Chen","given":"Jiahui","non-dropping-particle":"","parse-names":false,"suffix":""}],"container-title":"Frontiers in Plant Science","id":"ITEM-2","issue":"June","issued":{"date-parts":[["2017"]]},"page":"1-13","title":"Phylogenomic analysis and dynamic evolution of chloroplast genomes in salicaceae","type":"article-journal","volume":"8"},"uris":["http://www.mendeley.com/documents/?uuid=9ac21e2f-6e3f-4ac6-accc-519fbac0dffb"]}],"mendeley":{"formattedCitation":"(Y. Huang et al., 2017; Zhang et al., 2020)","plainTextFormattedCitation":"(Y. Huang et al., 2017; Zhang et al., 2020)","previouslyFormattedCitation":"(Zhang et al. 2020; Huang et al. 2017)"},"properties":{"noteIndex":0},"schema":"https://github.com/citation-style-language/schema/raw/master/csl-citation.json"}</w:instrText>
      </w:r>
      <w:r>
        <w:rPr>
          <w:rFonts w:cs="Times New Roman"/>
        </w:rPr>
        <w:fldChar w:fldCharType="separate"/>
      </w:r>
      <w:r w:rsidRPr="00EE03F0">
        <w:rPr>
          <w:rFonts w:cs="Times New Roman"/>
          <w:noProof/>
        </w:rPr>
        <w:t>(Y. Huang et al., 2017; Zhang et al., 2020)</w:t>
      </w:r>
      <w:r>
        <w:rPr>
          <w:rFonts w:cs="Times New Roman"/>
        </w:rPr>
        <w:fldChar w:fldCharType="end"/>
      </w:r>
      <w:r>
        <w:rPr>
          <w:rFonts w:cs="Times New Roman"/>
        </w:rPr>
        <w:t xml:space="preserve">. We also investigated putative protein-coding gene transfer to the nuclear genome and characterized these features with transcriptomic and proteomic data. Based on unique peptides and uniquely mapping transcripts, we provided evidence of features that may be functional in the nuclear genome. </w:t>
      </w:r>
      <w:proofErr w:type="gramStart"/>
      <w:r>
        <w:rPr>
          <w:rFonts w:cs="Times New Roman"/>
        </w:rPr>
        <w:t>Through the use of</w:t>
      </w:r>
      <w:proofErr w:type="gramEnd"/>
      <w:r>
        <w:rPr>
          <w:rFonts w:cs="Times New Roman"/>
        </w:rPr>
        <w:t xml:space="preserve"> population-scale expression datasets from the </w:t>
      </w:r>
      <w:r w:rsidRPr="00333E28">
        <w:rPr>
          <w:rFonts w:cs="Times New Roman"/>
          <w:i/>
          <w:iCs/>
        </w:rPr>
        <w:t xml:space="preserve">P. </w:t>
      </w:r>
      <w:proofErr w:type="spellStart"/>
      <w:r w:rsidRPr="00333E28">
        <w:rPr>
          <w:rFonts w:cs="Times New Roman"/>
          <w:i/>
          <w:iCs/>
        </w:rPr>
        <w:t>trichocarpa</w:t>
      </w:r>
      <w:proofErr w:type="spellEnd"/>
      <w:r>
        <w:rPr>
          <w:rFonts w:cs="Times New Roman"/>
          <w:i/>
          <w:iCs/>
        </w:rPr>
        <w:t xml:space="preserve"> </w:t>
      </w:r>
      <w:r>
        <w:rPr>
          <w:rFonts w:cs="Times New Roman"/>
        </w:rPr>
        <w:t xml:space="preserve">GWAS mapping panel, we provided expression evidence for 63% and 80% of putative protein-coding NUPTs and NUMTs, respectively. Unsurprisingly, </w:t>
      </w:r>
      <w:proofErr w:type="gramStart"/>
      <w:r>
        <w:rPr>
          <w:rFonts w:cs="Times New Roman"/>
        </w:rPr>
        <w:t>as a result of</w:t>
      </w:r>
      <w:proofErr w:type="gramEnd"/>
      <w:r>
        <w:rPr>
          <w:rFonts w:cs="Times New Roman"/>
        </w:rPr>
        <w:t xml:space="preserve"> their recent origin, these features do have lower expression overall and expression variation compared to genes which do not originate from organelle transfer events. Although the functionality of these features may be </w:t>
      </w:r>
      <w:proofErr w:type="gramStart"/>
      <w:r>
        <w:rPr>
          <w:rFonts w:cs="Times New Roman"/>
        </w:rPr>
        <w:t>dubious</w:t>
      </w:r>
      <w:proofErr w:type="gramEnd"/>
      <w:r>
        <w:rPr>
          <w:rFonts w:cs="Times New Roman"/>
        </w:rPr>
        <w:t xml:space="preserve"> we identified putative protein-coding NUPTs in </w:t>
      </w:r>
      <w:r w:rsidRPr="00333E28">
        <w:rPr>
          <w:rFonts w:cs="Times New Roman"/>
          <w:i/>
          <w:iCs/>
        </w:rPr>
        <w:t xml:space="preserve">P. </w:t>
      </w:r>
      <w:proofErr w:type="spellStart"/>
      <w:r w:rsidRPr="00333E28">
        <w:rPr>
          <w:rFonts w:cs="Times New Roman"/>
          <w:i/>
          <w:iCs/>
        </w:rPr>
        <w:t>trichocarpa</w:t>
      </w:r>
      <w:proofErr w:type="spellEnd"/>
      <w:r>
        <w:rPr>
          <w:rFonts w:cs="Times New Roman"/>
          <w:i/>
          <w:iCs/>
        </w:rPr>
        <w:t xml:space="preserve"> </w:t>
      </w:r>
      <w:r>
        <w:rPr>
          <w:rFonts w:cs="Times New Roman"/>
        </w:rPr>
        <w:t>which have expression and proteomic evidence and may be good candidates for functional validation.</w:t>
      </w:r>
    </w:p>
    <w:p w14:paraId="6184EF15" w14:textId="77777777" w:rsidR="00636B5B" w:rsidRDefault="00636B5B" w:rsidP="00EE03F0">
      <w:pPr>
        <w:spacing w:line="360" w:lineRule="auto"/>
        <w:rPr>
          <w:rFonts w:cs="Times New Roman"/>
        </w:rPr>
      </w:pPr>
      <w:r>
        <w:rPr>
          <w:rFonts w:cs="Times New Roman"/>
        </w:rPr>
        <w:tab/>
      </w:r>
      <w:r w:rsidRPr="00333E28">
        <w:rPr>
          <w:rFonts w:cs="Times New Roman"/>
          <w:i/>
          <w:iCs/>
        </w:rPr>
        <w:t xml:space="preserve">P. </w:t>
      </w:r>
      <w:proofErr w:type="spellStart"/>
      <w:r w:rsidRPr="00333E28">
        <w:rPr>
          <w:rFonts w:cs="Times New Roman"/>
          <w:i/>
          <w:iCs/>
        </w:rPr>
        <w:t>deltoides</w:t>
      </w:r>
      <w:proofErr w:type="spellEnd"/>
      <w:r>
        <w:rPr>
          <w:rFonts w:cs="Times New Roman"/>
          <w:i/>
          <w:iCs/>
        </w:rPr>
        <w:t xml:space="preserve"> </w:t>
      </w:r>
      <w:r>
        <w:rPr>
          <w:rFonts w:cs="Times New Roman"/>
        </w:rPr>
        <w:t xml:space="preserve">had significantly higher numbers and total cumulative size of NUPTs and NUMTs compared to </w:t>
      </w:r>
      <w:r w:rsidRPr="00333E28">
        <w:rPr>
          <w:rFonts w:cs="Times New Roman"/>
          <w:i/>
          <w:iCs/>
        </w:rPr>
        <w:t xml:space="preserve">P. </w:t>
      </w:r>
      <w:proofErr w:type="spellStart"/>
      <w:r w:rsidRPr="00333E28">
        <w:rPr>
          <w:rFonts w:cs="Times New Roman"/>
          <w:i/>
          <w:iCs/>
        </w:rPr>
        <w:t>trichocarpa</w:t>
      </w:r>
      <w:proofErr w:type="spellEnd"/>
      <w:r>
        <w:rPr>
          <w:rFonts w:cs="Times New Roman"/>
        </w:rPr>
        <w:t xml:space="preserve">. To characterize this variation further, we used BLAST and </w:t>
      </w:r>
      <w:r>
        <w:rPr>
          <w:rFonts w:cs="Times New Roman"/>
        </w:rPr>
        <w:lastRenderedPageBreak/>
        <w:t xml:space="preserve">conserved synteny between </w:t>
      </w:r>
      <w:r w:rsidRPr="00333E28">
        <w:rPr>
          <w:rFonts w:cs="Times New Roman"/>
          <w:i/>
          <w:iCs/>
        </w:rPr>
        <w:t xml:space="preserve">P. </w:t>
      </w:r>
      <w:proofErr w:type="spellStart"/>
      <w:r w:rsidRPr="00333E28">
        <w:rPr>
          <w:rFonts w:cs="Times New Roman"/>
          <w:i/>
          <w:iCs/>
        </w:rPr>
        <w:t>trichocarpa</w:t>
      </w:r>
      <w:proofErr w:type="spellEnd"/>
      <w:r>
        <w:rPr>
          <w:rFonts w:cs="Times New Roman"/>
          <w:i/>
          <w:iCs/>
        </w:rPr>
        <w:t xml:space="preserve"> </w:t>
      </w:r>
      <w:r>
        <w:rPr>
          <w:rFonts w:cs="Times New Roman"/>
        </w:rPr>
        <w:t xml:space="preserve">and </w:t>
      </w:r>
      <w:r w:rsidRPr="00333E28">
        <w:rPr>
          <w:rFonts w:cs="Times New Roman"/>
          <w:i/>
          <w:iCs/>
        </w:rPr>
        <w:t xml:space="preserve">P. </w:t>
      </w:r>
      <w:proofErr w:type="spellStart"/>
      <w:r w:rsidRPr="00333E28">
        <w:rPr>
          <w:rFonts w:cs="Times New Roman"/>
          <w:i/>
          <w:iCs/>
        </w:rPr>
        <w:t>deltoides</w:t>
      </w:r>
      <w:proofErr w:type="spellEnd"/>
      <w:r>
        <w:rPr>
          <w:rFonts w:cs="Times New Roman"/>
          <w:i/>
          <w:iCs/>
        </w:rPr>
        <w:t xml:space="preserve"> </w:t>
      </w:r>
      <w:r>
        <w:rPr>
          <w:rFonts w:cs="Times New Roman"/>
        </w:rPr>
        <w:t xml:space="preserve">to classify NUPTs and NUMTs as either present or absent across genomes of the two species. We identified differences such as Chr18, which had a large amount of NUMT content specific to </w:t>
      </w:r>
      <w:r w:rsidRPr="00333E28">
        <w:rPr>
          <w:rFonts w:cs="Times New Roman"/>
          <w:i/>
          <w:iCs/>
        </w:rPr>
        <w:t xml:space="preserve">P. </w:t>
      </w:r>
      <w:proofErr w:type="spellStart"/>
      <w:r w:rsidRPr="00333E28">
        <w:rPr>
          <w:rFonts w:cs="Times New Roman"/>
          <w:i/>
          <w:iCs/>
        </w:rPr>
        <w:t>deltoides</w:t>
      </w:r>
      <w:proofErr w:type="spellEnd"/>
      <w:r>
        <w:rPr>
          <w:rFonts w:cs="Times New Roman"/>
          <w:i/>
          <w:iCs/>
        </w:rPr>
        <w:t xml:space="preserve"> </w:t>
      </w:r>
      <w:r>
        <w:rPr>
          <w:rFonts w:cs="Times New Roman"/>
        </w:rPr>
        <w:t xml:space="preserve">and shared regions like the end of Chr13 which harbors the whole chloroplast integration event. This analysis highlights the high variation of organellar transfer rates to the nuclear genome even between very closely related species. Additionally, future sequencing projects where large numbers of related individuals or species are assembled may find the ‘absent’ class of NUPTs and NUMTs useful to assess </w:t>
      </w:r>
      <w:r w:rsidRPr="00D5408A">
        <w:rPr>
          <w:rFonts w:cs="Times New Roman"/>
        </w:rPr>
        <w:t xml:space="preserve">possible </w:t>
      </w:r>
      <w:proofErr w:type="spellStart"/>
      <w:r w:rsidRPr="00D5408A">
        <w:rPr>
          <w:rFonts w:cs="Times New Roman"/>
        </w:rPr>
        <w:t>misassembly</w:t>
      </w:r>
      <w:proofErr w:type="spellEnd"/>
      <w:r w:rsidRPr="00D5408A">
        <w:rPr>
          <w:rFonts w:cs="Times New Roman"/>
        </w:rPr>
        <w:t xml:space="preserve"> in the nuclear genome</w:t>
      </w:r>
      <w:r>
        <w:rPr>
          <w:rFonts w:cs="Times New Roman"/>
        </w:rPr>
        <w:t xml:space="preserve">. To further support our presence and absence variation pipeline we leveraged AT transversion-based genetic distance and methylation frequencies of present and absent NUPTs and NUMTs and were able to confirm that present and absent features fall into the appropriate age classes, which aligns with previous work which describes methylation decay over evolutionary time </w:t>
      </w:r>
      <w:r>
        <w:rPr>
          <w:rFonts w:cs="Times New Roman"/>
        </w:rPr>
        <w:fldChar w:fldCharType="begin" w:fldLock="1"/>
      </w:r>
      <w:r>
        <w:rPr>
          <w:rFonts w:cs="Times New Roman"/>
        </w:rPr>
        <w:instrText>ADDIN CSL_CITATION {"citationItems":[{"id":"ITEM-1","itemData":{"DOI":"10.1038/s41598-019-38607-6","ISSN":"20452322","PMID":"30765781","abstract":"Nuclear genomes are always faced with the modification of themselves by insertions and integrations of foreign DNAs and intrinsic parasites such as transposable elements. There is also substantial number of integrations from symbiotic organellar genomes to their host nuclear genomes. Such integration might have acted as a beneficial mutation during the evolution of symbiosis, while most of them have more or less deleterious effects on the stability of current genomes. Here we report the pattern of DNA substitution and methylation on organellar DNA fragments integrated from plastid into plant nuclear genomes. The genome analyses of 17 plants show homology–dependent DNA substitution bias. A certain number of these sequences are DNA methylated in the nuclear genome. The intensity of DNA methylation also decays according to the increase of relative evolutionary times after being integrated into nuclear genomes. The methylome data of epigenetic mutants shows that the DNA methylation of organellar DNA fragments in nuclear genomes are mainly dependent on the methylation maintenance machinery, while other mechanisms may also affect on the DNA methylation level. The DNA methylation on organellar DNA fragments may contribute to maintaining the genome stability and evolutionary dynamics of symbiotic organellar and their host’s genomes.","author":[{"dropping-particle":"","family":"Yoshida","given":"Takanori","non-dropping-particle":"","parse-names":false,"suffix":""},{"dropping-particle":"","family":"Furihata","given":"Hazuka Y.","non-dropping-particle":"","parse-names":false,"suffix":""},{"dropping-particle":"","family":"To","given":"Taiko Kim","non-dropping-particle":"","parse-names":false,"suffix":""},{"dropping-particle":"","family":"Kakutani","given":"Tetsuji","non-dropping-particle":"","parse-names":false,"suffix":""},{"dropping-particle":"","family":"Kawabe","given":"Akira","non-dropping-particle":"","parse-names":false,"suffix":""}],"container-title":"Scientific Reports","id":"ITEM-1","issue":"1","issued":{"date-parts":[["2019"]]},"page":"1-11","publisher":"Springer US","title":"Genome defense against integrated organellar DNA fragments from plastids into plant nuclear genomes through DNA methylation","type":"article-journal","volume":"9"},"uris":["http://www.mendeley.com/documents/?uuid=7267e038-4d08-4e37-9873-85a0c4a48ade"]}],"mendeley":{"formattedCitation":"(Yoshida, Furihata, To, Kakutani, &amp; Kawabe, 2019)","manualFormatting":"(Yoshida, et al., 2019)","plainTextFormattedCitation":"(Yoshida, Furihata, To, Kakutani, &amp; Kawabe, 2019)","previouslyFormattedCitation":"(Yoshida et al. 2019)"},"properties":{"noteIndex":0},"schema":"https://github.com/citation-style-language/schema/raw/master/csl-citation.json"}</w:instrText>
      </w:r>
      <w:r>
        <w:rPr>
          <w:rFonts w:cs="Times New Roman"/>
        </w:rPr>
        <w:fldChar w:fldCharType="separate"/>
      </w:r>
      <w:r w:rsidRPr="00A94F1F">
        <w:rPr>
          <w:rFonts w:cs="Times New Roman"/>
          <w:noProof/>
        </w:rPr>
        <w:t xml:space="preserve">(Yoshida, </w:t>
      </w:r>
      <w:r>
        <w:rPr>
          <w:rFonts w:cs="Times New Roman"/>
          <w:noProof/>
        </w:rPr>
        <w:t>et al.</w:t>
      </w:r>
      <w:r w:rsidRPr="00A94F1F">
        <w:rPr>
          <w:rFonts w:cs="Times New Roman"/>
          <w:noProof/>
        </w:rPr>
        <w:t>, 2019)</w:t>
      </w:r>
      <w:r>
        <w:rPr>
          <w:rFonts w:cs="Times New Roman"/>
        </w:rPr>
        <w:fldChar w:fldCharType="end"/>
      </w:r>
      <w:r>
        <w:rPr>
          <w:rFonts w:cs="Times New Roman"/>
        </w:rPr>
        <w:t xml:space="preserve">. AT-transversion based genetic distance and methylation levels complement each other as metrics for assigning age to NUPTs and NUMTs. Based on AT-transversion based genetic distance we observed NUPTs in </w:t>
      </w:r>
      <w:r w:rsidRPr="00333E28">
        <w:rPr>
          <w:rFonts w:cs="Times New Roman"/>
          <w:i/>
          <w:iCs/>
        </w:rPr>
        <w:t xml:space="preserve">P. </w:t>
      </w:r>
      <w:proofErr w:type="spellStart"/>
      <w:r w:rsidRPr="00333E28">
        <w:rPr>
          <w:rFonts w:cs="Times New Roman"/>
          <w:i/>
          <w:iCs/>
        </w:rPr>
        <w:t>trichocarpa</w:t>
      </w:r>
      <w:proofErr w:type="spellEnd"/>
      <w:r>
        <w:rPr>
          <w:rFonts w:cs="Times New Roman"/>
          <w:i/>
          <w:iCs/>
        </w:rPr>
        <w:t xml:space="preserve"> </w:t>
      </w:r>
      <w:r>
        <w:rPr>
          <w:rFonts w:cs="Times New Roman"/>
        </w:rPr>
        <w:t xml:space="preserve">and </w:t>
      </w:r>
      <w:r w:rsidRPr="00333E28">
        <w:rPr>
          <w:rFonts w:cs="Times New Roman"/>
          <w:i/>
          <w:iCs/>
        </w:rPr>
        <w:t xml:space="preserve">P. </w:t>
      </w:r>
      <w:proofErr w:type="spellStart"/>
      <w:r w:rsidRPr="00333E28">
        <w:rPr>
          <w:rFonts w:cs="Times New Roman"/>
          <w:i/>
          <w:iCs/>
        </w:rPr>
        <w:t>deltoides</w:t>
      </w:r>
      <w:proofErr w:type="spellEnd"/>
      <w:r>
        <w:rPr>
          <w:rFonts w:cs="Times New Roman"/>
        </w:rPr>
        <w:t xml:space="preserve"> are more divergent from their progenitor organelle sequence compared to NUMTS. This suggests that NUPTs may experience lower rates of mutation compared to NUMTs in the nuclear genome.</w:t>
      </w:r>
    </w:p>
    <w:p w14:paraId="43D4F067" w14:textId="77777777" w:rsidR="00636B5B" w:rsidRPr="00430C2C" w:rsidRDefault="00636B5B" w:rsidP="00EE03F0">
      <w:pPr>
        <w:spacing w:line="360" w:lineRule="auto"/>
        <w:rPr>
          <w:rFonts w:cs="Times New Roman"/>
        </w:rPr>
      </w:pPr>
      <w:r>
        <w:rPr>
          <w:rFonts w:cs="Times New Roman"/>
        </w:rPr>
        <w:tab/>
        <w:t xml:space="preserve">NUPTs and NUMTs primarily consist of short insertion events with a smaller number of longer more recent integration events. The whole chloroplast integration event was shared between </w:t>
      </w:r>
      <w:r w:rsidRPr="00333E28">
        <w:rPr>
          <w:rFonts w:cs="Times New Roman"/>
          <w:i/>
          <w:iCs/>
        </w:rPr>
        <w:t xml:space="preserve">P. </w:t>
      </w:r>
      <w:proofErr w:type="spellStart"/>
      <w:r w:rsidRPr="00333E28">
        <w:rPr>
          <w:rFonts w:cs="Times New Roman"/>
          <w:i/>
          <w:iCs/>
        </w:rPr>
        <w:t>trichocarpa</w:t>
      </w:r>
      <w:proofErr w:type="spellEnd"/>
      <w:r>
        <w:rPr>
          <w:rFonts w:cs="Times New Roman"/>
          <w:i/>
          <w:iCs/>
        </w:rPr>
        <w:t xml:space="preserve"> </w:t>
      </w:r>
      <w:r>
        <w:rPr>
          <w:rFonts w:cs="Times New Roman"/>
        </w:rPr>
        <w:t xml:space="preserve">and </w:t>
      </w:r>
      <w:r w:rsidRPr="00333E28">
        <w:rPr>
          <w:rFonts w:cs="Times New Roman"/>
          <w:i/>
          <w:iCs/>
        </w:rPr>
        <w:t xml:space="preserve">P. </w:t>
      </w:r>
      <w:proofErr w:type="spellStart"/>
      <w:r w:rsidRPr="00333E28">
        <w:rPr>
          <w:rFonts w:cs="Times New Roman"/>
          <w:i/>
          <w:iCs/>
        </w:rPr>
        <w:t>deltoides</w:t>
      </w:r>
      <w:proofErr w:type="spellEnd"/>
      <w:r>
        <w:rPr>
          <w:rFonts w:cs="Times New Roman"/>
        </w:rPr>
        <w:t xml:space="preserve">, indicating that this occurred prior to speciation. Notably, the fates of the two insertion events have differed considerably after integration. This region in </w:t>
      </w:r>
      <w:r w:rsidRPr="00333E28">
        <w:rPr>
          <w:rFonts w:cs="Times New Roman"/>
          <w:i/>
          <w:iCs/>
        </w:rPr>
        <w:t xml:space="preserve">P. </w:t>
      </w:r>
      <w:proofErr w:type="spellStart"/>
      <w:r w:rsidRPr="00333E28">
        <w:rPr>
          <w:rFonts w:cs="Times New Roman"/>
          <w:i/>
          <w:iCs/>
        </w:rPr>
        <w:t>deltoides</w:t>
      </w:r>
      <w:proofErr w:type="spellEnd"/>
      <w:r>
        <w:rPr>
          <w:rFonts w:cs="Times New Roman"/>
          <w:i/>
          <w:iCs/>
        </w:rPr>
        <w:t xml:space="preserve"> </w:t>
      </w:r>
      <w:r>
        <w:rPr>
          <w:rFonts w:cs="Times New Roman"/>
        </w:rPr>
        <w:t xml:space="preserve">has undergone considerable duplication and fragmentation compared to </w:t>
      </w:r>
      <w:r w:rsidRPr="00333E28">
        <w:rPr>
          <w:rFonts w:cs="Times New Roman"/>
          <w:i/>
          <w:iCs/>
        </w:rPr>
        <w:t xml:space="preserve">P. </w:t>
      </w:r>
      <w:proofErr w:type="spellStart"/>
      <w:r w:rsidRPr="00333E28">
        <w:rPr>
          <w:rFonts w:cs="Times New Roman"/>
          <w:i/>
          <w:iCs/>
        </w:rPr>
        <w:t>trichocarpa</w:t>
      </w:r>
      <w:proofErr w:type="spellEnd"/>
      <w:r>
        <w:rPr>
          <w:rFonts w:cs="Times New Roman"/>
          <w:i/>
          <w:iCs/>
        </w:rPr>
        <w:t xml:space="preserve">. </w:t>
      </w:r>
      <w:r>
        <w:rPr>
          <w:rFonts w:cs="Times New Roman"/>
        </w:rPr>
        <w:t xml:space="preserve">Methylation frequency in this region also appears to be lower compared to flanking regions in both </w:t>
      </w:r>
      <w:r w:rsidRPr="00333E28">
        <w:rPr>
          <w:rFonts w:cs="Times New Roman"/>
          <w:i/>
          <w:iCs/>
        </w:rPr>
        <w:t xml:space="preserve">P. </w:t>
      </w:r>
      <w:proofErr w:type="spellStart"/>
      <w:r w:rsidRPr="00333E28">
        <w:rPr>
          <w:rFonts w:cs="Times New Roman"/>
          <w:i/>
          <w:iCs/>
        </w:rPr>
        <w:t>trichocarpa</w:t>
      </w:r>
      <w:proofErr w:type="spellEnd"/>
      <w:r>
        <w:rPr>
          <w:rFonts w:cs="Times New Roman"/>
          <w:i/>
          <w:iCs/>
        </w:rPr>
        <w:t xml:space="preserve"> </w:t>
      </w:r>
      <w:r>
        <w:rPr>
          <w:rFonts w:cs="Times New Roman"/>
        </w:rPr>
        <w:t xml:space="preserve">and </w:t>
      </w:r>
      <w:r w:rsidRPr="00333E28">
        <w:rPr>
          <w:rFonts w:cs="Times New Roman"/>
          <w:i/>
          <w:iCs/>
        </w:rPr>
        <w:t xml:space="preserve">P. </w:t>
      </w:r>
      <w:proofErr w:type="spellStart"/>
      <w:r w:rsidRPr="00333E28">
        <w:rPr>
          <w:rFonts w:cs="Times New Roman"/>
          <w:i/>
          <w:iCs/>
        </w:rPr>
        <w:t>deltoides</w:t>
      </w:r>
      <w:proofErr w:type="spellEnd"/>
      <w:r>
        <w:rPr>
          <w:rFonts w:cs="Times New Roman"/>
        </w:rPr>
        <w:t xml:space="preserve">. Furthermore, more contiguous </w:t>
      </w:r>
      <w:r w:rsidRPr="00333E28">
        <w:rPr>
          <w:rFonts w:cs="Times New Roman"/>
          <w:i/>
          <w:iCs/>
        </w:rPr>
        <w:t xml:space="preserve">P. </w:t>
      </w:r>
      <w:proofErr w:type="spellStart"/>
      <w:r w:rsidRPr="00333E28">
        <w:rPr>
          <w:rFonts w:cs="Times New Roman"/>
          <w:i/>
          <w:iCs/>
        </w:rPr>
        <w:t>trichocarpa</w:t>
      </w:r>
      <w:proofErr w:type="spellEnd"/>
      <w:r>
        <w:rPr>
          <w:rFonts w:cs="Times New Roman"/>
        </w:rPr>
        <w:t xml:space="preserve"> assemblies only contain portions of the whole chloroplast genome at this locus, suggesting it could be an assembly artifact. </w:t>
      </w:r>
    </w:p>
    <w:p w14:paraId="5B1773A3" w14:textId="77777777" w:rsidR="00636B5B" w:rsidRPr="002979E2" w:rsidRDefault="00636B5B" w:rsidP="00EE03F0">
      <w:pPr>
        <w:spacing w:line="360" w:lineRule="auto"/>
        <w:rPr>
          <w:rFonts w:cs="Times New Roman"/>
        </w:rPr>
      </w:pPr>
      <w:r>
        <w:rPr>
          <w:rFonts w:cs="Times New Roman"/>
        </w:rPr>
        <w:tab/>
      </w:r>
      <w:r>
        <w:rPr>
          <w:rFonts w:cs="Times New Roman"/>
          <w:i/>
          <w:iCs/>
        </w:rPr>
        <w:t xml:space="preserve">Populus </w:t>
      </w:r>
      <w:r>
        <w:rPr>
          <w:rFonts w:cs="Times New Roman"/>
        </w:rPr>
        <w:t xml:space="preserve">as a model tree species is an important biological resource and spans large environmental variation. Previously, comparative genomics has shown that NUPTs and NUMTs vary considerably in populations and contribute significantly to differences in genome evolution even among closely related species  </w:t>
      </w:r>
      <w:r>
        <w:rPr>
          <w:rFonts w:cs="Times New Roman"/>
        </w:rPr>
        <w:fldChar w:fldCharType="begin" w:fldLock="1"/>
      </w:r>
      <w:r>
        <w:rPr>
          <w:rFonts w:cs="Times New Roman"/>
        </w:rPr>
        <w:instrText>ADDIN CSL_CITATION {"citationItems":[{"id":"ITEM-1","itemData":{"DOI":"10.1111/tpj.14946","ISSN":"1365313X","PMID":"32748498","abstract":"Asian cultivated rice (Oryza sativa) and African cultivated rice (Oryza glaberrima) originated from the wild rice species Oryza rufipogon and Oryza barthii, respectively. The genomes of both cultivated species have undergone profound changes during domestication. Whole-genome de novo assemblies of O. barthii, O. glaberrima, O. rufipogon and Oryza nivara, produced using PacBio single-molecule real-time (SMRT) and next-generation sequencing (NGS) technologies, showed that Gypsy-like retrotransposons are the major contributors to genome size variation in African and Asian rice. Through the detection of genome-wide structural variations (SVs), we observed that besides 28 shared SV hot spots, another 67 hot spots existed in either the Asian or African rice genomes. Based on gene annotation information of the SVs, we established that organelle-to-nucleus DNA transfers resulted in numerous SVs that participated in the nuclear genome divergence of rice species and subspecies. We detected 52 giant nuclear integrants of organelle DNA (NORGs, defined as &gt;10 kb) in six Oryza AA genomes. In addition, we developed an effective method to genotype giant NORGs, based on genome assembly, and first showed the dynamic change in the distribution of giant NORGs in rice natural population. Interestingly, 16 highly differentiated giant NORGs tended to accumulate in natural populations of Asian rice from higher latitude regions, grown at lower temperatures and light intensities. Our study provides new insight into the genome divergence of African and Asian rice, and establishes that organelle-to-nucleus DNA transfers, as potentially powerful contributors to environmental adaptation during rice evolution, play a major role in producing SVs in rice genomes.","author":[{"dropping-particle":"","family":"Ma","given":"Xin","non-dropping-particle":"","parse-names":false,"suffix":""},{"dropping-particle":"","family":"Fan","given":"Jinjian","non-dropping-particle":"","parse-names":false,"suffix":""},{"dropping-particle":"","family":"Wu","given":"Yongzhen","non-dropping-particle":"","parse-names":false,"suffix":""},{"dropping-particle":"","family":"Zhao","given":"Shuangshuang","non-dropping-particle":"","parse-names":false,"suffix":""},{"dropping-particle":"","family":"Zheng","given":"Xu","non-dropping-particle":"","parse-names":false,"suffix":""},{"dropping-particle":"","family":"Sun","given":"Chuanqing","non-dropping-particle":"","parse-names":false,"suffix":""},{"dropping-particle":"","family":"Tan","given":"Lubin","non-dropping-particle":"","parse-names":false,"suffix":""}],"container-title":"Plant Journal","id":"ITEM-1","issue":"3","issued":{"date-parts":[["2020"]]},"page":"596-612","title":"Whole-genome de novo assemblies reveal extensive structural variations and dynamic organelle-to-nucleus DNA transfers in African and Asian rice","type":"article-journal","volume":"104"},"uris":["http://www.mendeley.com/documents/?uuid=2c866635-5244-4920-b828-685ab7be1c0b"]},{"id":"ITEM-2","itemData":{"DOI":"10.1093/nar/gku1038","ISSN":"13624962","PMID":"25348406","abstract":"The transfer of mitochondrial genetic material into the nuclear genomes of eukaryotes is a well-established phenomenon that has been previously limited to the study of static reference genomes. The recent advancement of high throughput sequencing has enabled an expanded exploration into the diversity of polymorphic nuclear mitochondrial insertions (NumtS) within human populations. We have developed an approach to discover and genotype novel Numt insertions using whole genome, paired-end sequencing data. We have applied this method to a thousand individuals in 20 populations from the 1000 Genomes Project and other datasets and identified 141 new sites of Numt insertions, extending our current knowledge of existing NumtS by almost 20%. We find that recent Numt insertions are derived from throughout the mitochondrial genome, including the D-loop, and have integration biases that differ in some respects from previous studies on older, fixed NumtS in the reference genome. We determined the complete inserted sequence for a subset of these events and have identified a number of nearly full-length mitochondrial genome insertions into nuclear chromosomes. We further define their age and origin of insertion and present an analysis of their potential impact to ongoing studies of mitochondrial heteroplasmy and disease.","author":[{"dropping-particle":"","family":"Dayama","given":"Gargi","non-dropping-particle":"","parse-names":false,"suffix":""},{"dropping-particle":"","family":"Emery","given":"Sarah B.","non-dropping-particle":"","parse-names":false,"suffix":""},{"dropping-particle":"","family":"Kidd","given":"Jeffrey M.","non-dropping-particle":"","parse-names":false,"suffix":""},{"dropping-particle":"","family":"Mills","given":"Ryan E.","non-dropping-particle":"","parse-names":false,"suffix":""}],"container-title":"Nucleic acids research","id":"ITEM-2","issue":"20","issued":{"date-parts":[["2014"]]},"page":"12640-12649","title":"The genomic landscape of polymorphic human nuclear mitochondrial insertions","type":"article-journal","volume":"42"},"uris":["http://www.mendeley.com/documents/?uuid=5ce31508-4353-4d05-bd8d-532ee2e620c2"]}],"mendeley":{"formattedCitation":"(Dayama et al., 2014; Ma et al., 2020)","plainTextFormattedCitation":"(Dayama et al., 2014; Ma et al., 2020)","previouslyFormattedCitation":"(Ma et al. 2020; Dayama et al. 2014)"},"properties":{"noteIndex":0},"schema":"https://github.com/citation-style-language/schema/raw/master/csl-citation.json"}</w:instrText>
      </w:r>
      <w:r>
        <w:rPr>
          <w:rFonts w:cs="Times New Roman"/>
        </w:rPr>
        <w:fldChar w:fldCharType="separate"/>
      </w:r>
      <w:r w:rsidRPr="00EE03F0">
        <w:rPr>
          <w:rFonts w:cs="Times New Roman"/>
          <w:noProof/>
        </w:rPr>
        <w:t>(Dayama et al., 2014; Ma et al., 2020)</w:t>
      </w:r>
      <w:r>
        <w:rPr>
          <w:rFonts w:cs="Times New Roman"/>
        </w:rPr>
        <w:fldChar w:fldCharType="end"/>
      </w:r>
      <w:r>
        <w:rPr>
          <w:rFonts w:cs="Times New Roman"/>
        </w:rPr>
        <w:t xml:space="preserve">. Here, we observe similar trends, where NUPT and NUMT were variable across two closely related species. </w:t>
      </w:r>
      <w:r>
        <w:rPr>
          <w:rFonts w:cs="Times New Roman"/>
        </w:rPr>
        <w:lastRenderedPageBreak/>
        <w:t xml:space="preserve">However, additional high quality </w:t>
      </w:r>
      <w:r>
        <w:rPr>
          <w:rFonts w:cs="Times New Roman"/>
          <w:i/>
          <w:iCs/>
        </w:rPr>
        <w:t xml:space="preserve">Populus </w:t>
      </w:r>
      <w:r>
        <w:rPr>
          <w:rFonts w:cs="Times New Roman"/>
        </w:rPr>
        <w:t xml:space="preserve">genomes or long read sequencing will be necessary to assess segregation of these features accurately along the natural species ranges of </w:t>
      </w:r>
      <w:r w:rsidRPr="00333E28">
        <w:rPr>
          <w:rFonts w:cs="Times New Roman"/>
          <w:i/>
          <w:iCs/>
        </w:rPr>
        <w:t xml:space="preserve">P. </w:t>
      </w:r>
      <w:proofErr w:type="spellStart"/>
      <w:r w:rsidRPr="00333E28">
        <w:rPr>
          <w:rFonts w:cs="Times New Roman"/>
          <w:i/>
          <w:iCs/>
        </w:rPr>
        <w:t>trichocarpa</w:t>
      </w:r>
      <w:proofErr w:type="spellEnd"/>
      <w:r>
        <w:rPr>
          <w:rFonts w:cs="Times New Roman"/>
          <w:i/>
          <w:iCs/>
        </w:rPr>
        <w:t xml:space="preserve"> </w:t>
      </w:r>
      <w:r>
        <w:rPr>
          <w:rFonts w:cs="Times New Roman"/>
        </w:rPr>
        <w:t xml:space="preserve">and </w:t>
      </w:r>
      <w:r w:rsidRPr="00333E28">
        <w:rPr>
          <w:rFonts w:cs="Times New Roman"/>
          <w:i/>
          <w:iCs/>
        </w:rPr>
        <w:t xml:space="preserve">P. </w:t>
      </w:r>
      <w:proofErr w:type="spellStart"/>
      <w:r w:rsidRPr="00333E28">
        <w:rPr>
          <w:rFonts w:cs="Times New Roman"/>
          <w:i/>
          <w:iCs/>
        </w:rPr>
        <w:t>deltoides</w:t>
      </w:r>
      <w:proofErr w:type="spellEnd"/>
      <w:r>
        <w:rPr>
          <w:rFonts w:cs="Times New Roman"/>
          <w:i/>
          <w:iCs/>
        </w:rPr>
        <w:t>.</w:t>
      </w:r>
      <w:r>
        <w:rPr>
          <w:rFonts w:cs="Times New Roman"/>
        </w:rPr>
        <w:t xml:space="preserve"> Additionally, the methodology described here for comparing NUPT and NUMT content from comparative genomics or genome quality perspective may benefit future studies which seek to compare closely related genomes. As a result of the population-scale multi-omics data available to </w:t>
      </w:r>
      <w:r w:rsidRPr="00333E28">
        <w:rPr>
          <w:rFonts w:cs="Times New Roman"/>
          <w:i/>
          <w:iCs/>
        </w:rPr>
        <w:t xml:space="preserve">P. </w:t>
      </w:r>
      <w:proofErr w:type="spellStart"/>
      <w:r w:rsidRPr="00333E28">
        <w:rPr>
          <w:rFonts w:cs="Times New Roman"/>
          <w:i/>
          <w:iCs/>
        </w:rPr>
        <w:t>trichocarpa</w:t>
      </w:r>
      <w:proofErr w:type="spellEnd"/>
      <w:r>
        <w:rPr>
          <w:rFonts w:cs="Times New Roman"/>
        </w:rPr>
        <w:t xml:space="preserve"> we were able to identify a cohort of putative protein-coding </w:t>
      </w:r>
      <w:r>
        <w:rPr>
          <w:rFonts w:cs="Times New Roman"/>
          <w:i/>
          <w:iCs/>
        </w:rPr>
        <w:t xml:space="preserve">P. </w:t>
      </w:r>
      <w:proofErr w:type="spellStart"/>
      <w:r>
        <w:rPr>
          <w:rFonts w:cs="Times New Roman"/>
          <w:i/>
          <w:iCs/>
        </w:rPr>
        <w:t>trichcocarpa</w:t>
      </w:r>
      <w:proofErr w:type="spellEnd"/>
      <w:r>
        <w:rPr>
          <w:rFonts w:cs="Times New Roman"/>
          <w:i/>
          <w:iCs/>
        </w:rPr>
        <w:t xml:space="preserve"> </w:t>
      </w:r>
      <w:r>
        <w:rPr>
          <w:rFonts w:cs="Times New Roman"/>
        </w:rPr>
        <w:t>NUPTs and NUMTs which had expression and proteomic evidence and exhibited expression variation in the GWAS mapping panel. Future work will focus on empirically validating their function.</w:t>
      </w:r>
    </w:p>
    <w:p w14:paraId="2DBC1459" w14:textId="77777777" w:rsidR="00636B5B" w:rsidRDefault="00636B5B" w:rsidP="00EE03F0">
      <w:pPr>
        <w:widowControl w:val="0"/>
        <w:autoSpaceDE w:val="0"/>
        <w:autoSpaceDN w:val="0"/>
        <w:adjustRightInd w:val="0"/>
        <w:spacing w:line="360" w:lineRule="auto"/>
      </w:pPr>
    </w:p>
    <w:p w14:paraId="236575E5" w14:textId="77777777" w:rsidR="00636B5B" w:rsidRDefault="00636B5B" w:rsidP="00EE03F0">
      <w:pPr>
        <w:widowControl w:val="0"/>
        <w:autoSpaceDE w:val="0"/>
        <w:autoSpaceDN w:val="0"/>
        <w:adjustRightInd w:val="0"/>
        <w:jc w:val="center"/>
        <w:rPr>
          <w:b/>
          <w:bCs/>
          <w:sz w:val="28"/>
          <w:szCs w:val="26"/>
        </w:rPr>
      </w:pPr>
      <w:r>
        <w:rPr>
          <w:b/>
          <w:bCs/>
          <w:sz w:val="28"/>
          <w:szCs w:val="26"/>
        </w:rPr>
        <w:t>Materials and Methods</w:t>
      </w:r>
    </w:p>
    <w:p w14:paraId="0668AAB0" w14:textId="77777777" w:rsidR="00636B5B" w:rsidRDefault="00636B5B" w:rsidP="00EE03F0">
      <w:pPr>
        <w:widowControl w:val="0"/>
        <w:autoSpaceDE w:val="0"/>
        <w:autoSpaceDN w:val="0"/>
        <w:adjustRightInd w:val="0"/>
        <w:spacing w:line="360" w:lineRule="auto"/>
        <w:jc w:val="center"/>
      </w:pPr>
    </w:p>
    <w:p w14:paraId="7868C2E7" w14:textId="77777777" w:rsidR="00636B5B" w:rsidRDefault="00636B5B" w:rsidP="00EE03F0">
      <w:pPr>
        <w:spacing w:line="360" w:lineRule="auto"/>
        <w:jc w:val="both"/>
        <w:rPr>
          <w:rFonts w:cs="Times New Roman"/>
        </w:rPr>
      </w:pPr>
      <w:r>
        <w:rPr>
          <w:rFonts w:cs="Times New Roman"/>
          <w:b/>
          <w:bCs/>
        </w:rPr>
        <w:t xml:space="preserve">Organelle genome assembly and annotation: </w:t>
      </w:r>
      <w:r>
        <w:rPr>
          <w:rFonts w:cs="Times New Roman"/>
        </w:rPr>
        <w:t xml:space="preserve">PacBio continuous long read (CLR) and </w:t>
      </w:r>
      <w:proofErr w:type="spellStart"/>
      <w:r>
        <w:rPr>
          <w:rFonts w:cs="Times New Roman"/>
        </w:rPr>
        <w:t>illumina</w:t>
      </w:r>
      <w:proofErr w:type="spellEnd"/>
      <w:r>
        <w:rPr>
          <w:rFonts w:cs="Times New Roman"/>
        </w:rPr>
        <w:t xml:space="preserve"> whole genome sequencing (WGS) data was generated for both </w:t>
      </w:r>
      <w:r w:rsidRPr="00333E28">
        <w:rPr>
          <w:rFonts w:cs="Times New Roman"/>
          <w:i/>
          <w:iCs/>
        </w:rPr>
        <w:t xml:space="preserve">P. </w:t>
      </w:r>
      <w:proofErr w:type="spellStart"/>
      <w:r w:rsidRPr="00333E28">
        <w:rPr>
          <w:rFonts w:cs="Times New Roman"/>
          <w:i/>
          <w:iCs/>
        </w:rPr>
        <w:t>trichocarpa</w:t>
      </w:r>
      <w:proofErr w:type="spellEnd"/>
      <w:r>
        <w:rPr>
          <w:rFonts w:cs="Times New Roman"/>
          <w:i/>
          <w:iCs/>
        </w:rPr>
        <w:t xml:space="preserve"> </w:t>
      </w:r>
      <w:r>
        <w:rPr>
          <w:rFonts w:cs="Times New Roman"/>
        </w:rPr>
        <w:t xml:space="preserve">Nisqually-1 and </w:t>
      </w:r>
      <w:r w:rsidRPr="00333E28">
        <w:rPr>
          <w:rFonts w:cs="Times New Roman"/>
          <w:i/>
          <w:iCs/>
        </w:rPr>
        <w:t xml:space="preserve">P. </w:t>
      </w:r>
      <w:proofErr w:type="spellStart"/>
      <w:r w:rsidRPr="00333E28">
        <w:rPr>
          <w:rFonts w:cs="Times New Roman"/>
          <w:i/>
          <w:iCs/>
        </w:rPr>
        <w:t>deltoides</w:t>
      </w:r>
      <w:proofErr w:type="spellEnd"/>
      <w:r>
        <w:rPr>
          <w:rFonts w:cs="Times New Roman"/>
          <w:i/>
          <w:iCs/>
        </w:rPr>
        <w:t xml:space="preserve"> </w:t>
      </w:r>
      <w:r>
        <w:rPr>
          <w:rFonts w:cs="Times New Roman"/>
        </w:rPr>
        <w:t xml:space="preserve">WV94. These data are available at </w:t>
      </w:r>
      <w:r w:rsidRPr="00664321">
        <w:rPr>
          <w:rFonts w:cs="Times New Roman"/>
        </w:rPr>
        <w:t>PRJNA333102</w:t>
      </w:r>
      <w:r>
        <w:rPr>
          <w:rFonts w:cs="Times New Roman"/>
        </w:rPr>
        <w:t xml:space="preserve"> and </w:t>
      </w:r>
      <w:r w:rsidRPr="00664321">
        <w:rPr>
          <w:rFonts w:cs="Times New Roman"/>
        </w:rPr>
        <w:t>PRJNA791651</w:t>
      </w:r>
      <w:r>
        <w:rPr>
          <w:rFonts w:cs="Times New Roman"/>
        </w:rPr>
        <w:t xml:space="preserve">. To enrich for organelle derived reads from PacBio data, long reads were mapped with </w:t>
      </w:r>
      <w:proofErr w:type="spellStart"/>
      <w:r>
        <w:rPr>
          <w:rFonts w:cs="Times New Roman"/>
        </w:rPr>
        <w:t>nucmer</w:t>
      </w:r>
      <w:proofErr w:type="spellEnd"/>
      <w:r>
        <w:rPr>
          <w:rFonts w:cs="Times New Roman"/>
        </w:rPr>
        <w:t xml:space="preserve"> v</w:t>
      </w:r>
      <w:r w:rsidRPr="005F0463">
        <w:rPr>
          <w:rFonts w:cs="Times New Roman"/>
        </w:rPr>
        <w:t>4.0.0rc1</w:t>
      </w:r>
      <w:r>
        <w:rPr>
          <w:rFonts w:cs="Times New Roman"/>
        </w:rPr>
        <w:t xml:space="preserve"> with an alignment length threshold of 1kb and the ‘</w:t>
      </w:r>
      <w:proofErr w:type="spellStart"/>
      <w:r>
        <w:rPr>
          <w:rFonts w:cs="Times New Roman"/>
        </w:rPr>
        <w:t>maxmatch</w:t>
      </w:r>
      <w:proofErr w:type="spellEnd"/>
      <w:r>
        <w:rPr>
          <w:rFonts w:cs="Times New Roman"/>
        </w:rPr>
        <w:t xml:space="preserve">’ flag against doubled organelle genomes (Table III-S1) </w:t>
      </w:r>
      <w:r>
        <w:rPr>
          <w:rFonts w:cs="Times New Roman"/>
        </w:rPr>
        <w:fldChar w:fldCharType="begin" w:fldLock="1"/>
      </w:r>
      <w:r>
        <w:rPr>
          <w:rFonts w:cs="Times New Roman"/>
        </w:rPr>
        <w:instrText>ADDIN CSL_CITATION {"citationItems":[{"id":"ITEM-1","itemData":{"DOI":"10.1371/journal.pcbi.1005944","ISBN":"1111111111","ISSN":"15537358","abstract":"The MUMmer system and the genome sequence aligner nucmer included within it are among the most widely used alignment packages in genomics. Since the last major release of MUMmer version 3 in 2004, it has been applied to many types of problems including aligning whole genome sequences, aligning reads to a reference genome, and comparing different assemblies of the same genome. Despite its broad utility, MUMmer3 has limitations that can make it difficult to use for large genomes and for the very large sequence data sets that are common today. In this paper we describe MUMmer4, a substantially improved version of MUMmer that addresses genome size constraints by changing the 32-bit suffix tree data structure at the core of MUMmer to a 48-bit suffix array, and that offers improved speed through parallel processing of input query sequences. With a theoretical limit on the input size of 141Tbp, MUMmer4 can now work with input sequences of any biologically realistic length. We show that as a result of these enhancements, the nucmer program in MUMmer4 is easily able to handle alignments of large genomes; we illustrate this with an alignment of the human and chimpanzee genomes, which allows us to compute that the two species are 98% identical across 96% of their length. With the enhancements described here, MUMmer4 can also be used to efficiently align reads to reference genomes, although it is less sensitive and accurate than the dedicated read aligners. The nucmer aligner in MUMmer4 can now be called from scripting languages such as Perl, Python and Ruby. These improvements make MUMer4 one the most versatile genome alignment packages available.","author":[{"dropping-particle":"","family":"Marçais","given":"Guillaume","non-dropping-particle":"","parse-names":false,"suffix":""},{"dropping-particle":"","family":"Delcher","given":"Arthur L.","non-dropping-particle":"","parse-names":false,"suffix":""},{"dropping-particle":"","family":"Phillippy","given":"Adam M.","non-dropping-particle":"","parse-names":false,"suffix":""},{"dropping-particle":"","family":"Coston","given":"Rachel","non-dropping-particle":"","parse-names":false,"suffix":""},{"dropping-particle":"","family":"Salzberg","given":"Steven L.","non-dropping-particle":"","parse-names":false,"suffix":""},{"dropping-particle":"","family":"Zimin","given":"Aleksey","non-dropping-particle":"","parse-names":false,"suffix":""}],"container-title":"PLoS Computational Biology","id":"ITEM-1","issue":"1","issued":{"date-parts":[["2018"]]},"page":"1-14","title":"MUMmer4: A fast and versatile genome alignment system","type":"article-journal","volume":"14"},"uris":["http://www.mendeley.com/documents/?uuid=eeb7413f-eb4c-4ca5-b556-749098381fdf"]}],"mendeley":{"formattedCitation":"(Marçais et al., 2018)","plainTextFormattedCitation":"(Marçais et al., 2018)","previouslyFormattedCitation":"(Marçais et al. 2018)"},"properties":{"noteIndex":0},"schema":"https://github.com/citation-style-language/schema/raw/master/csl-citation.json"}</w:instrText>
      </w:r>
      <w:r>
        <w:rPr>
          <w:rFonts w:cs="Times New Roman"/>
        </w:rPr>
        <w:fldChar w:fldCharType="separate"/>
      </w:r>
      <w:r w:rsidRPr="00EE03F0">
        <w:rPr>
          <w:rFonts w:cs="Times New Roman"/>
          <w:noProof/>
        </w:rPr>
        <w:t>(Marçais et al., 2018)</w:t>
      </w:r>
      <w:r>
        <w:rPr>
          <w:rFonts w:cs="Times New Roman"/>
        </w:rPr>
        <w:fldChar w:fldCharType="end"/>
      </w:r>
      <w:r>
        <w:rPr>
          <w:rFonts w:cs="Times New Roman"/>
        </w:rPr>
        <w:t xml:space="preserve">. Doubled genomes were used to ensure reads mapped to the entire circular molecule. To enrich for organelle derived reads in </w:t>
      </w:r>
      <w:proofErr w:type="spellStart"/>
      <w:r>
        <w:rPr>
          <w:rFonts w:cs="Times New Roman"/>
        </w:rPr>
        <w:t>illumina</w:t>
      </w:r>
      <w:proofErr w:type="spellEnd"/>
      <w:r>
        <w:rPr>
          <w:rFonts w:cs="Times New Roman"/>
        </w:rPr>
        <w:t xml:space="preserve"> data, short reads were mapped with bowtie2 v2.4.2 against the same doubled organelle genomes </w:t>
      </w:r>
      <w:r>
        <w:rPr>
          <w:rFonts w:cs="Times New Roman"/>
        </w:rPr>
        <w:fldChar w:fldCharType="begin" w:fldLock="1"/>
      </w:r>
      <w:r>
        <w:rPr>
          <w:rFonts w:cs="Times New Roman"/>
        </w:rPr>
        <w:instrText>ADDIN CSL_CITATION {"citationItems":[{"id":"ITEM-1","itemData":{"DOI":"10.1038/nmeth.1923","ISSN":"15487091","PMID":"22388286","abstract":"As the rate of sequencing increases, greater throughput is demanded from read aligners. The full-text minute index is often used to make alignment very fast and memory-efficient, but the approach is ill-suited to finding longer, gapped alignments. Bowtie 2 combines the strengths of the full-text minute index with the flexibility and speed of hardware-accelerated dynamic programming algorithms to achieve a combination of high speed, sensitivity and accuracy. © 2012 Nature America, Inc. All rights reserved.","author":[{"dropping-particle":"","family":"Langmead","given":"Ben","non-dropping-particle":"","parse-names":false,"suffix":""},{"dropping-particle":"","family":"Salzberg","given":"Steven L.","non-dropping-particle":"","parse-names":false,"suffix":""}],"container-title":"Nature Methods","id":"ITEM-1","issue":"4","issued":{"date-parts":[["2012"]]},"page":"357-359","title":"Fast gapped-read alignment with Bowtie 2","type":"article-journal","volume":"9"},"uris":["http://www.mendeley.com/documents/?uuid=6d687424-8597-4e66-994b-f3bfb66ec2da"]}],"mendeley":{"formattedCitation":"(Langmead &amp; Salzberg, 2012)","plainTextFormattedCitation":"(Langmead &amp; Salzberg, 2012)","previouslyFormattedCitation":"(Langmead &amp; Salzberg 2012)"},"properties":{"noteIndex":0},"schema":"https://github.com/citation-style-language/schema/raw/master/csl-citation.json"}</w:instrText>
      </w:r>
      <w:r>
        <w:rPr>
          <w:rFonts w:cs="Times New Roman"/>
        </w:rPr>
        <w:fldChar w:fldCharType="separate"/>
      </w:r>
      <w:r w:rsidRPr="00EE03F0">
        <w:rPr>
          <w:rFonts w:cs="Times New Roman"/>
          <w:noProof/>
        </w:rPr>
        <w:t>(Langmead &amp; Salzberg, 2012)</w:t>
      </w:r>
      <w:r>
        <w:rPr>
          <w:rFonts w:cs="Times New Roman"/>
        </w:rPr>
        <w:fldChar w:fldCharType="end"/>
      </w:r>
      <w:r>
        <w:rPr>
          <w:rFonts w:cs="Times New Roman"/>
        </w:rPr>
        <w:t xml:space="preserve">. Prior to assembly, both the long and short organelle enriched reads were randomly down sampled to 500X coverage. The organelle genomes were then assembled with </w:t>
      </w:r>
      <w:proofErr w:type="spellStart"/>
      <w:r>
        <w:rPr>
          <w:rFonts w:cs="Times New Roman"/>
        </w:rPr>
        <w:t>Unicycler</w:t>
      </w:r>
      <w:proofErr w:type="spellEnd"/>
      <w:r>
        <w:rPr>
          <w:rFonts w:cs="Times New Roman"/>
        </w:rPr>
        <w:t xml:space="preserve"> v0.4.8 with default parameters </w:t>
      </w:r>
      <w:r>
        <w:rPr>
          <w:rFonts w:cs="Times New Roman"/>
        </w:rPr>
        <w:fldChar w:fldCharType="begin" w:fldLock="1"/>
      </w:r>
      <w:r>
        <w:rPr>
          <w:rFonts w:cs="Times New Roman"/>
        </w:rPr>
        <w:instrText>ADDIN CSL_CITATION {"citationItems":[{"id":"ITEM-1","itemData":{"DOI":"10.1371/journal.pcbi.1005595","ISBN":"1111111111","ISSN":"15537358","PMID":"28594827","abstract":"The Illumina DNA sequencing platform generates accurate but short reads, which can be used to produce accurate but fragmented genome assemblies. Pacific Biosciences and Oxford Nanopore Technologies DNA sequencing platforms generate long reads that can produce complete genome assemblies, but the sequencing is more expensive and error-prone. There is significant interest in combining data from these complementary sequencing technologies to generate more accurate “hybrid” assemblies. However, few tools exist that truly leverage the benefits of both types of data, namely the accuracy of short reads and the structural resolving power of long reads. Here we present Unicycler, a new tool for assembling bacterial genomes from a combination of short and long reads, which produces assemblies that are accurate, complete and cost-effective. Unicycler builds an initial assembly graph from short reads using the de novo assembler SPAdes and then simplifies the graph using information from short and long reads. Unicycler uses a novel semi-global aligner to align long reads to the assembly graph. Tests on both synthetic and real reads show Unicycler can assemble larger contigs with fewer misassemblies than other hybrid assemblers, even when long-read depth and accuracy are low. Unicycler is open source (GPLv3) and available at github.com/rrwick/Unicycler.","author":[{"dropping-particle":"","family":"Wick","given":"Ryan R.","non-dropping-particle":"","parse-names":false,"suffix":""},{"dropping-particle":"","family":"Judd","given":"Louise M.","non-dropping-particle":"","parse-names":false,"suffix":""},{"dropping-particle":"","family":"Gorrie","given":"Claire L.","non-dropping-particle":"","parse-names":false,"suffix":""},{"dropping-particle":"","family":"Holt","given":"Kathryn E.","non-dropping-particle":"","parse-names":false,"suffix":""}],"container-title":"PLoS Computational Biology","id":"ITEM-1","issue":"6","issued":{"date-parts":[["2017"]]},"page":"1-22","title":"Unicycler: Resolving bacterial genome assemblies from short and long sequencing reads","type":"article-journal","volume":"13"},"uris":["http://www.mendeley.com/documents/?uuid=9b3244c1-ea55-4111-a237-4b2f5b2910e4"]}],"mendeley":{"formattedCitation":"(Wick, Judd, Gorrie, &amp; Holt, 2017)","manualFormatting":"(Wick et al., 2017)","plainTextFormattedCitation":"(Wick, Judd, Gorrie, &amp; Holt, 2017)","previouslyFormattedCitation":"(Wick et al. 2017)"},"properties":{"noteIndex":0},"schema":"https://github.com/citation-style-language/schema/raw/master/csl-citation.json"}</w:instrText>
      </w:r>
      <w:r>
        <w:rPr>
          <w:rFonts w:cs="Times New Roman"/>
        </w:rPr>
        <w:fldChar w:fldCharType="separate"/>
      </w:r>
      <w:r w:rsidRPr="00F411AD">
        <w:rPr>
          <w:rFonts w:cs="Times New Roman"/>
          <w:noProof/>
        </w:rPr>
        <w:t>(Wick</w:t>
      </w:r>
      <w:r>
        <w:rPr>
          <w:rFonts w:cs="Times New Roman"/>
          <w:noProof/>
        </w:rPr>
        <w:t xml:space="preserve"> et al.,</w:t>
      </w:r>
      <w:r w:rsidRPr="00F411AD">
        <w:rPr>
          <w:rFonts w:cs="Times New Roman"/>
          <w:noProof/>
        </w:rPr>
        <w:t xml:space="preserve"> 2017)</w:t>
      </w:r>
      <w:r>
        <w:rPr>
          <w:rFonts w:cs="Times New Roman"/>
        </w:rPr>
        <w:fldChar w:fldCharType="end"/>
      </w:r>
      <w:r>
        <w:rPr>
          <w:rFonts w:cs="Times New Roman"/>
        </w:rPr>
        <w:t xml:space="preserve">. The </w:t>
      </w:r>
      <w:r w:rsidRPr="00333E28">
        <w:rPr>
          <w:rFonts w:cs="Times New Roman"/>
          <w:i/>
          <w:iCs/>
        </w:rPr>
        <w:t xml:space="preserve">P. </w:t>
      </w:r>
      <w:proofErr w:type="spellStart"/>
      <w:r w:rsidRPr="00333E28">
        <w:rPr>
          <w:rFonts w:cs="Times New Roman"/>
          <w:i/>
          <w:iCs/>
        </w:rPr>
        <w:t>trichocarpa</w:t>
      </w:r>
      <w:proofErr w:type="spellEnd"/>
      <w:r>
        <w:rPr>
          <w:rFonts w:cs="Times New Roman"/>
          <w:i/>
          <w:iCs/>
        </w:rPr>
        <w:t xml:space="preserve"> </w:t>
      </w:r>
      <w:r>
        <w:rPr>
          <w:rFonts w:cs="Times New Roman"/>
        </w:rPr>
        <w:t>Nisqually-1</w:t>
      </w:r>
      <w:r>
        <w:rPr>
          <w:rFonts w:cs="Times New Roman"/>
          <w:i/>
          <w:iCs/>
        </w:rPr>
        <w:t xml:space="preserve"> </w:t>
      </w:r>
      <w:r>
        <w:rPr>
          <w:rFonts w:cs="Times New Roman"/>
        </w:rPr>
        <w:t xml:space="preserve">and </w:t>
      </w:r>
      <w:r w:rsidRPr="00333E28">
        <w:rPr>
          <w:rFonts w:cs="Times New Roman"/>
          <w:i/>
          <w:iCs/>
        </w:rPr>
        <w:t xml:space="preserve">P. </w:t>
      </w:r>
      <w:proofErr w:type="spellStart"/>
      <w:r w:rsidRPr="00333E28">
        <w:rPr>
          <w:rFonts w:cs="Times New Roman"/>
          <w:i/>
          <w:iCs/>
        </w:rPr>
        <w:t>deltoides</w:t>
      </w:r>
      <w:proofErr w:type="spellEnd"/>
      <w:r>
        <w:rPr>
          <w:rFonts w:cs="Times New Roman"/>
          <w:i/>
          <w:iCs/>
        </w:rPr>
        <w:t xml:space="preserve"> </w:t>
      </w:r>
      <w:r>
        <w:rPr>
          <w:rFonts w:cs="Times New Roman"/>
        </w:rPr>
        <w:t xml:space="preserve">WV94 mitochondria genomes were annotated with </w:t>
      </w:r>
      <w:proofErr w:type="spellStart"/>
      <w:r>
        <w:rPr>
          <w:rFonts w:cs="Times New Roman"/>
        </w:rPr>
        <w:t>Geneious</w:t>
      </w:r>
      <w:proofErr w:type="spellEnd"/>
      <w:r>
        <w:rPr>
          <w:rFonts w:cs="Times New Roman"/>
        </w:rPr>
        <w:t xml:space="preserve"> Prime </w:t>
      </w:r>
      <w:r w:rsidRPr="002F510C">
        <w:rPr>
          <w:rFonts w:cs="Times New Roman"/>
        </w:rPr>
        <w:t>2021.1.1</w:t>
      </w:r>
      <w:r>
        <w:rPr>
          <w:rFonts w:cs="Times New Roman"/>
        </w:rPr>
        <w:t xml:space="preserve"> by transferring the mitochondria annotations from </w:t>
      </w:r>
      <w:r>
        <w:rPr>
          <w:rFonts w:cs="Times New Roman"/>
          <w:i/>
          <w:iCs/>
        </w:rPr>
        <w:t xml:space="preserve">P. alba </w:t>
      </w:r>
      <w:r>
        <w:rPr>
          <w:rFonts w:cs="Times New Roman"/>
        </w:rPr>
        <w:t>(NC_041085),</w:t>
      </w:r>
      <w:r>
        <w:rPr>
          <w:rFonts w:cs="Times New Roman"/>
          <w:i/>
          <w:iCs/>
        </w:rPr>
        <w:t xml:space="preserve"> P. </w:t>
      </w:r>
      <w:proofErr w:type="spellStart"/>
      <w:r>
        <w:rPr>
          <w:rFonts w:cs="Times New Roman"/>
          <w:i/>
          <w:iCs/>
        </w:rPr>
        <w:t>davidiana</w:t>
      </w:r>
      <w:proofErr w:type="spellEnd"/>
      <w:r>
        <w:rPr>
          <w:rFonts w:cs="Times New Roman"/>
          <w:i/>
          <w:iCs/>
        </w:rPr>
        <w:t xml:space="preserve"> </w:t>
      </w:r>
      <w:r>
        <w:rPr>
          <w:rFonts w:cs="Times New Roman"/>
        </w:rPr>
        <w:t xml:space="preserve">(KY216145), and </w:t>
      </w:r>
      <w:r>
        <w:rPr>
          <w:rFonts w:cs="Times New Roman"/>
          <w:i/>
          <w:iCs/>
        </w:rPr>
        <w:t xml:space="preserve">P. </w:t>
      </w:r>
      <w:proofErr w:type="spellStart"/>
      <w:r>
        <w:rPr>
          <w:rFonts w:cs="Times New Roman"/>
          <w:i/>
          <w:iCs/>
        </w:rPr>
        <w:t>tremula</w:t>
      </w:r>
      <w:proofErr w:type="spellEnd"/>
      <w:r>
        <w:rPr>
          <w:rFonts w:cs="Times New Roman"/>
          <w:i/>
          <w:iCs/>
        </w:rPr>
        <w:t xml:space="preserve"> </w:t>
      </w:r>
      <w:r>
        <w:rPr>
          <w:rFonts w:cs="Times New Roman"/>
        </w:rPr>
        <w:t xml:space="preserve">(KT337313) with a sequence similarity threshold of 85%. The </w:t>
      </w:r>
      <w:r w:rsidRPr="00333E28">
        <w:rPr>
          <w:rFonts w:cs="Times New Roman"/>
          <w:i/>
          <w:iCs/>
        </w:rPr>
        <w:t xml:space="preserve">P. </w:t>
      </w:r>
      <w:proofErr w:type="spellStart"/>
      <w:r w:rsidRPr="00333E28">
        <w:rPr>
          <w:rFonts w:cs="Times New Roman"/>
          <w:i/>
          <w:iCs/>
        </w:rPr>
        <w:t>deltoides</w:t>
      </w:r>
      <w:proofErr w:type="spellEnd"/>
      <w:r>
        <w:rPr>
          <w:rFonts w:cs="Times New Roman"/>
          <w:i/>
          <w:iCs/>
        </w:rPr>
        <w:t xml:space="preserve"> </w:t>
      </w:r>
      <w:r>
        <w:rPr>
          <w:rFonts w:cs="Times New Roman"/>
        </w:rPr>
        <w:t xml:space="preserve">WV94 chloroplast genome was annotated with </w:t>
      </w:r>
      <w:proofErr w:type="spellStart"/>
      <w:r>
        <w:rPr>
          <w:rFonts w:cs="Times New Roman"/>
        </w:rPr>
        <w:t>GeSeq</w:t>
      </w:r>
      <w:proofErr w:type="spellEnd"/>
      <w:r>
        <w:rPr>
          <w:rFonts w:cs="Times New Roman"/>
        </w:rPr>
        <w:t xml:space="preserve"> </w:t>
      </w:r>
      <w:r>
        <w:rPr>
          <w:rFonts w:cs="Times New Roman"/>
        </w:rPr>
        <w:fldChar w:fldCharType="begin" w:fldLock="1"/>
      </w:r>
      <w:r>
        <w:rPr>
          <w:rFonts w:cs="Times New Roman"/>
        </w:rPr>
        <w:instrText>ADDIN CSL_CITATION {"citationItems":[{"id":"ITEM-1","itemData":{"DOI":"10.1093/nar/gkx391","ISSN":"13624962","PMID":"28486635","abstract":"We have developed the web application GeSeq (https://chlorobox.mpimp-golm.mpg.de/geseq.html) for the rapid and accurate annotation of organellar genome sequences, in particular chloroplast genomes. In contrast to existing tools, GeSeq combines batch processing with a fully customizable reference sequence selection of organellar genome records from NCBI and/or references uploaded by the user. For the annotation of chloroplast genomes, the application additionally provides an integrated database of manually curated reference sequences. GeSeq identifies genes or other feature-encoding regions by BLAT-based homology searches and additionally, by profile HMM searches for protein and rRNA coding genes and two de novo predictors for tRNA genes. These unique features enable the user to conveniently compare the annotations of different state-of-the-art methods, thus supporting high-quality annotations. The main output of GeSeq is a GenBank file that usually requires only little curation and is instantly visualized by OGDRAW. GeSeq also offers a variety of optional additional outputs that facilitate downstream analyzes, for example comparative genomic or phylogenetic studies.","author":[{"dropping-particle":"","family":"Tillich","given":"Michael","non-dropping-particle":"","parse-names":false,"suffix":""},{"dropping-particle":"","family":"Lehwark","given":"Pascal","non-dropping-particle":"","parse-names":false,"suffix":""},{"dropping-particle":"","family":"Pellizzer","given":"Tommaso","non-dropping-particle":"","parse-names":false,"suffix":""},{"dropping-particle":"","family":"Ulbricht-Jones","given":"Elena S.","non-dropping-particle":"","parse-names":false,"suffix":""},{"dropping-particle":"","family":"Fischer","given":"Axel","non-dropping-particle":"","parse-names":false,"suffix":""},{"dropping-particle":"","family":"Bock","given":"Ralph","non-dropping-particle":"","parse-names":false,"suffix":""},{"dropping-particle":"","family":"Greiner","given":"Stephan","non-dropping-particle":"","parse-names":false,"suffix":""}],"container-title":"Nucleic Acids Research","id":"ITEM-1","issue":"W1","issued":{"date-parts":[["2017"]]},"page":"W6-W11","title":"GeSeq - Versatile and accurate annotation of organelle genomes","type":"article-journal","volume":"45"},"uris":["http://www.mendeley.com/documents/?uuid=f3ec87d4-862e-4f64-b7fb-99c9d2db7f60"]}],"mendeley":{"formattedCitation":"(Tillich et al., 2017)","plainTextFormattedCitation":"(Tillich et al., 2017)","previouslyFormattedCitation":"(Tillich et al. 2017)"},"properties":{"noteIndex":0},"schema":"https://github.com/citation-style-language/schema/raw/master/csl-citation.json"}</w:instrText>
      </w:r>
      <w:r>
        <w:rPr>
          <w:rFonts w:cs="Times New Roman"/>
        </w:rPr>
        <w:fldChar w:fldCharType="separate"/>
      </w:r>
      <w:r w:rsidRPr="00EE03F0">
        <w:rPr>
          <w:rFonts w:cs="Times New Roman"/>
          <w:noProof/>
        </w:rPr>
        <w:t>(Tillich et al., 2017)</w:t>
      </w:r>
      <w:r>
        <w:rPr>
          <w:rFonts w:cs="Times New Roman"/>
        </w:rPr>
        <w:fldChar w:fldCharType="end"/>
      </w:r>
      <w:r>
        <w:rPr>
          <w:rFonts w:cs="Times New Roman"/>
        </w:rPr>
        <w:t>. The</w:t>
      </w:r>
      <w:r w:rsidRPr="00D02F8D">
        <w:rPr>
          <w:rFonts w:cs="Times New Roman"/>
        </w:rPr>
        <w:t xml:space="preserve"> </w:t>
      </w:r>
      <w:r>
        <w:rPr>
          <w:rFonts w:cs="Times New Roman"/>
        </w:rPr>
        <w:t xml:space="preserve">previously annotated chloroplast genomes of </w:t>
      </w:r>
      <w:r w:rsidRPr="00333E28">
        <w:rPr>
          <w:rFonts w:cs="Times New Roman"/>
          <w:i/>
          <w:iCs/>
        </w:rPr>
        <w:t xml:space="preserve">P. </w:t>
      </w:r>
      <w:proofErr w:type="spellStart"/>
      <w:r w:rsidRPr="00333E28">
        <w:rPr>
          <w:rFonts w:cs="Times New Roman"/>
          <w:i/>
          <w:iCs/>
        </w:rPr>
        <w:t>trichocarpa</w:t>
      </w:r>
      <w:proofErr w:type="spellEnd"/>
      <w:r>
        <w:rPr>
          <w:rFonts w:cs="Times New Roman"/>
          <w:i/>
          <w:iCs/>
        </w:rPr>
        <w:t xml:space="preserve"> </w:t>
      </w:r>
      <w:r>
        <w:rPr>
          <w:rFonts w:cs="Times New Roman"/>
        </w:rPr>
        <w:t>Nisqually-1 (</w:t>
      </w:r>
      <w:r w:rsidRPr="00D02F8D">
        <w:rPr>
          <w:rFonts w:cs="Times New Roman"/>
        </w:rPr>
        <w:t>EF489041</w:t>
      </w:r>
      <w:r>
        <w:rPr>
          <w:rFonts w:cs="Times New Roman"/>
        </w:rPr>
        <w:t xml:space="preserve">) and </w:t>
      </w:r>
      <w:r w:rsidRPr="00333E28">
        <w:rPr>
          <w:rFonts w:cs="Times New Roman"/>
          <w:i/>
          <w:iCs/>
        </w:rPr>
        <w:t xml:space="preserve">P. </w:t>
      </w:r>
      <w:proofErr w:type="spellStart"/>
      <w:r w:rsidRPr="00333E28">
        <w:rPr>
          <w:rFonts w:cs="Times New Roman"/>
          <w:i/>
          <w:iCs/>
        </w:rPr>
        <w:t>deltoides</w:t>
      </w:r>
      <w:proofErr w:type="spellEnd"/>
      <w:r>
        <w:rPr>
          <w:rFonts w:cs="Times New Roman"/>
          <w:i/>
          <w:iCs/>
        </w:rPr>
        <w:t xml:space="preserve"> </w:t>
      </w:r>
      <w:r>
        <w:rPr>
          <w:rFonts w:cs="Times New Roman"/>
        </w:rPr>
        <w:t>(</w:t>
      </w:r>
      <w:r w:rsidRPr="00D02F8D">
        <w:rPr>
          <w:rFonts w:cs="Times New Roman"/>
        </w:rPr>
        <w:t>MT789695</w:t>
      </w:r>
      <w:r>
        <w:rPr>
          <w:rFonts w:cs="Times New Roman"/>
        </w:rPr>
        <w:t xml:space="preserve">) were used as references for the annotation, and the BLAT search identity thresholds were set at 85% for protein, </w:t>
      </w:r>
      <w:r w:rsidRPr="00F56BC9">
        <w:rPr>
          <w:rFonts w:cs="Times New Roman"/>
        </w:rPr>
        <w:t>rRNA, tRNA,</w:t>
      </w:r>
      <w:r>
        <w:rPr>
          <w:rFonts w:cs="Times New Roman"/>
        </w:rPr>
        <w:t xml:space="preserve"> and</w:t>
      </w:r>
      <w:r w:rsidRPr="00F56BC9">
        <w:rPr>
          <w:rFonts w:cs="Times New Roman"/>
        </w:rPr>
        <w:t xml:space="preserve"> DNA</w:t>
      </w:r>
      <w:r>
        <w:rPr>
          <w:rFonts w:cs="Times New Roman"/>
        </w:rPr>
        <w:t>. The mitochondria and chloroplast genomes generated in this study have been deposited at NCBI (</w:t>
      </w:r>
      <w:r w:rsidRPr="006D2182">
        <w:rPr>
          <w:rFonts w:cs="Times New Roman"/>
        </w:rPr>
        <w:t>OM461348</w:t>
      </w:r>
      <w:r>
        <w:rPr>
          <w:rFonts w:cs="Times New Roman"/>
        </w:rPr>
        <w:t>-</w:t>
      </w:r>
      <w:r w:rsidRPr="006D2182">
        <w:rPr>
          <w:rFonts w:cs="Times New Roman"/>
        </w:rPr>
        <w:t>OM461354</w:t>
      </w:r>
      <w:r>
        <w:rPr>
          <w:rFonts w:cs="Times New Roman"/>
        </w:rPr>
        <w:t>), refer to Table III-S1 for all accession numbers.</w:t>
      </w:r>
    </w:p>
    <w:p w14:paraId="660A151F" w14:textId="77777777" w:rsidR="00636B5B" w:rsidRDefault="00636B5B" w:rsidP="00EE03F0">
      <w:pPr>
        <w:spacing w:line="360" w:lineRule="auto"/>
        <w:jc w:val="both"/>
        <w:rPr>
          <w:rFonts w:cs="Times New Roman"/>
        </w:rPr>
      </w:pPr>
    </w:p>
    <w:p w14:paraId="2BD9342F" w14:textId="77777777" w:rsidR="00636B5B" w:rsidRPr="00E0564D" w:rsidRDefault="00636B5B" w:rsidP="00EE03F0">
      <w:pPr>
        <w:spacing w:line="360" w:lineRule="auto"/>
        <w:jc w:val="both"/>
        <w:rPr>
          <w:rFonts w:cs="Times New Roman"/>
        </w:rPr>
      </w:pPr>
      <w:r>
        <w:rPr>
          <w:rFonts w:cs="Times New Roman"/>
          <w:b/>
          <w:bCs/>
        </w:rPr>
        <w:t xml:space="preserve">Phylogenomic analysis of </w:t>
      </w:r>
      <w:r>
        <w:rPr>
          <w:rFonts w:cs="Times New Roman"/>
          <w:b/>
          <w:bCs/>
          <w:i/>
          <w:iCs/>
        </w:rPr>
        <w:t xml:space="preserve">Populus </w:t>
      </w:r>
      <w:r>
        <w:rPr>
          <w:rFonts w:cs="Times New Roman"/>
          <w:b/>
          <w:bCs/>
        </w:rPr>
        <w:t xml:space="preserve">chloroplast and mitochondrial genomes: </w:t>
      </w:r>
      <w:r>
        <w:rPr>
          <w:rFonts w:cs="Times New Roman"/>
        </w:rPr>
        <w:t xml:space="preserve">Publicly available organelle genomes were downloaded from NCBI (Table III-S1). Protein sequences from these genomes were used as input to </w:t>
      </w:r>
      <w:proofErr w:type="spellStart"/>
      <w:r>
        <w:rPr>
          <w:rFonts w:cs="Times New Roman"/>
        </w:rPr>
        <w:t>Orthofinder</w:t>
      </w:r>
      <w:proofErr w:type="spellEnd"/>
      <w:r>
        <w:rPr>
          <w:rFonts w:cs="Times New Roman"/>
        </w:rPr>
        <w:t xml:space="preserve"> v2.5.4 to identify single copy orthologs </w:t>
      </w:r>
      <w:r>
        <w:rPr>
          <w:rFonts w:cs="Times New Roman"/>
        </w:rPr>
        <w:fldChar w:fldCharType="begin" w:fldLock="1"/>
      </w:r>
      <w:r>
        <w:rPr>
          <w:rFonts w:cs="Times New Roman"/>
        </w:rPr>
        <w:instrText>ADDIN CSL_CITATION {"citationItems":[{"id":"ITEM-1","itemData":{"DOI":"10.1101/466201","ISSN":"1474-760X","abstract":"Here, we present a major advance of the OrthoFinder method. This extends OrthoFinder’s high accuracy orthogroup inference to provide phylogenetic inference of orthologs, rooted genes trees, gene duplication events, the rooted species tree, and comparative genomic statistics. Each output is benchmarked on appropriate real or simulated datasets and, where comparable methods exist, OrthoFinder is equivalent to or outperforms these methods. Furthermore, OrthoFinder is the most accurate ortholog inference method on the Quest for Orthologs benchmark test. Finally, OrthoFinder’s comprehensive phylogenetic analysis is achieved with equivalent speed and scalability to the fastest, score-based heuristic methods. OrthoFinder is available at https://github.com/davidemms/OrthoFinder.","author":[{"dropping-particle":"","family":"Emms","given":"David M.","non-dropping-particle":"","parse-names":false,"suffix":""},{"dropping-particle":"","family":"Kelly","given":"Steven","non-dropping-particle":"","parse-names":false,"suffix":""}],"container-title":"Genome Biology","id":"ITEM-1","issued":{"date-parts":[["2019"]]},"page":"1-14","publisher":"Genome Biology","title":"OrthoFinder: Phylogenetic orthology inference for comparative genomics","type":"article-journal"},"uris":["http://www.mendeley.com/documents/?uuid=b499e3b2-c407-49fc-ae11-8d9f75e1f829"]}],"mendeley":{"formattedCitation":"(Emms &amp; Kelly, 2019)","plainTextFormattedCitation":"(Emms &amp; Kelly, 2019)","previouslyFormattedCitation":"(Emms &amp; Kelly 2019)"},"properties":{"noteIndex":0},"schema":"https://github.com/citation-style-language/schema/raw/master/csl-citation.json"}</w:instrText>
      </w:r>
      <w:r>
        <w:rPr>
          <w:rFonts w:cs="Times New Roman"/>
        </w:rPr>
        <w:fldChar w:fldCharType="separate"/>
      </w:r>
      <w:r w:rsidRPr="00EE03F0">
        <w:rPr>
          <w:rFonts w:cs="Times New Roman"/>
          <w:noProof/>
        </w:rPr>
        <w:t>(Emms &amp; Kelly, 2019)</w:t>
      </w:r>
      <w:r>
        <w:rPr>
          <w:rFonts w:cs="Times New Roman"/>
        </w:rPr>
        <w:fldChar w:fldCharType="end"/>
      </w:r>
      <w:r>
        <w:rPr>
          <w:rFonts w:cs="Times New Roman"/>
        </w:rPr>
        <w:t xml:space="preserve">. The concatenated alignment generated by </w:t>
      </w:r>
      <w:proofErr w:type="spellStart"/>
      <w:r>
        <w:rPr>
          <w:rFonts w:cs="Times New Roman"/>
        </w:rPr>
        <w:t>Orthofinder</w:t>
      </w:r>
      <w:proofErr w:type="spellEnd"/>
      <w:r>
        <w:rPr>
          <w:rFonts w:cs="Times New Roman"/>
        </w:rPr>
        <w:t xml:space="preserve"> v2.5.4 with MAFFT v7.487 was used for tree construction </w:t>
      </w:r>
      <w:r>
        <w:rPr>
          <w:rFonts w:cs="Times New Roman"/>
        </w:rPr>
        <w:fldChar w:fldCharType="begin" w:fldLock="1"/>
      </w:r>
      <w:r>
        <w:rPr>
          <w:rFonts w:cs="Times New Roman"/>
        </w:rPr>
        <w:instrText>ADDIN CSL_CITATION {"citationItems":[{"id":"ITEM-1","itemData":{"DOI":"10.1093/molbev/mst010","ISSN":"07374038","PMID":"23329690","abstract":"We report a major update of the MAFFT multiple sequence alignment program. This version has several new features, including options for adding unaligned sequences into an existing alignment, adjustment of direction in nucleotide alignment, constrained alignment and parallel processing, which were implemented after the previous major update. This report shows actual examples to explain how these features work, alone and in combination. Some examples incorrectly aligned by MAFFT are also shown to clarify its limitations. We discuss how to avoid misalignments, and our ongoing efforts to overcome such limitations. © 2013 The Author 2013. Published by Oxford University Press on behalf of the Society for Molecular Biology and Evolution.","author":[{"dropping-particle":"","family":"Katoh","given":"Kazutaka","non-dropping-particle":"","parse-names":false,"suffix":""},{"dropping-particle":"","family":"Standley","given":"Daron M.","non-dropping-particle":"","parse-names":false,"suffix":""}],"container-title":"Molecular Biology and Evolution","id":"ITEM-1","issue":"4","issued":{"date-parts":[["2013"]]},"page":"772-780","title":"MAFFT multiple sequence alignment software version 7: Improvements in performance and usability","type":"article-journal","volume":"30"},"uris":["http://www.mendeley.com/documents/?uuid=237ce605-ad22-403b-80aa-7d6a56c046ae"]}],"mendeley":{"formattedCitation":"(Katoh &amp; Standley, 2013)","plainTextFormattedCitation":"(Katoh &amp; Standley, 2013)","previouslyFormattedCitation":"(Katoh &amp; Standley 2013)"},"properties":{"noteIndex":0},"schema":"https://github.com/citation-style-language/schema/raw/master/csl-citation.json"}</w:instrText>
      </w:r>
      <w:r>
        <w:rPr>
          <w:rFonts w:cs="Times New Roman"/>
        </w:rPr>
        <w:fldChar w:fldCharType="separate"/>
      </w:r>
      <w:r w:rsidRPr="00EE03F0">
        <w:rPr>
          <w:rFonts w:cs="Times New Roman"/>
          <w:noProof/>
        </w:rPr>
        <w:t>(Katoh &amp; Standley, 2013)</w:t>
      </w:r>
      <w:r>
        <w:rPr>
          <w:rFonts w:cs="Times New Roman"/>
        </w:rPr>
        <w:fldChar w:fldCharType="end"/>
      </w:r>
      <w:r>
        <w:rPr>
          <w:rFonts w:cs="Times New Roman"/>
        </w:rPr>
        <w:t>. The Maximum Likelihood tree was constructed with IQ-Tree v</w:t>
      </w:r>
      <w:r w:rsidRPr="004F7161">
        <w:rPr>
          <w:rFonts w:cs="Times New Roman"/>
        </w:rPr>
        <w:t>2.1.2</w:t>
      </w:r>
      <w:r>
        <w:rPr>
          <w:rFonts w:cs="Times New Roman"/>
        </w:rPr>
        <w:t xml:space="preserve"> with 1000 bootstraps and visualized with </w:t>
      </w:r>
      <w:proofErr w:type="spellStart"/>
      <w:r>
        <w:rPr>
          <w:rFonts w:cs="Times New Roman"/>
        </w:rPr>
        <w:t>Geneious</w:t>
      </w:r>
      <w:proofErr w:type="spellEnd"/>
      <w:r>
        <w:rPr>
          <w:rFonts w:cs="Times New Roman"/>
        </w:rPr>
        <w:t xml:space="preserve"> Prime </w:t>
      </w:r>
      <w:r w:rsidRPr="002F510C">
        <w:rPr>
          <w:rFonts w:cs="Times New Roman"/>
        </w:rPr>
        <w:t>2021.1.1</w:t>
      </w:r>
      <w:r>
        <w:rPr>
          <w:rFonts w:cs="Times New Roman"/>
        </w:rPr>
        <w:t xml:space="preserve"> </w:t>
      </w:r>
      <w:r>
        <w:rPr>
          <w:rFonts w:cs="Times New Roman"/>
        </w:rPr>
        <w:fldChar w:fldCharType="begin" w:fldLock="1"/>
      </w:r>
      <w:r>
        <w:rPr>
          <w:rFonts w:cs="Times New Roman"/>
        </w:rPr>
        <w:instrText>ADDIN CSL_CITATION {"citationItems":[{"id":"ITEM-1","itemData":{"DOI":"10.1093/molbev/msaa015","ISSN":"15371719","PMID":"32011700","abstract":"IQ-TREE (http://www.iqtree.org, last accessed February 6, 2020) is a user-friendly and widely used software package for phylogenetic inference using maximum likelihood. Since the release of version 1 in 2014, we have continuously expanded IQ-TREE to integrate a plethora of new models of sequence evolution and efficient computational approaches of phylogenetic inference to deal with genomic data. Here, we describe notable features of IQ-TREE version 2 and highlight the key advantages over other software.","author":[{"dropping-particle":"","family":"Minh","given":"Bui Quang","non-dropping-particle":"","parse-names":false,"suffix":""},{"dropping-particle":"","family":"Schmidt","given":"Heiko A.","non-dropping-particle":"","parse-names":false,"suffix":""},{"dropping-particle":"","family":"Chernomor","given":"Olga","non-dropping-particle":"","parse-names":false,"suffix":""},{"dropping-particle":"","family":"Schrempf","given":"Dominik","non-dropping-particle":"","parse-names":false,"suffix":""},{"dropping-particle":"","family":"Woodhams","given":"Michael D.","non-dropping-particle":"","parse-names":false,"suffix":""},{"dropping-particle":"","family":"Haeseler","given":"Arndt","non-dropping-particle":"Von","parse-names":false,"suffix":""},{"dropping-particle":"","family":"Lanfear","given":"Robert","non-dropping-particle":"","parse-names":false,"suffix":""},{"dropping-particle":"","family":"Teeling","given":"Emma","non-dropping-particle":"","parse-names":false,"suffix":""}],"container-title":"Molecular Biology and Evolution","id":"ITEM-1","issue":"5","issued":{"date-parts":[["2020"]]},"page":"1530-1534","title":"IQ-TREE 2: New Models and Efficient Methods for Phylogenetic Inference in the Genomic Era","type":"article-journal","volume":"37"},"uris":["http://www.mendeley.com/documents/?uuid=7f16884b-3f6f-4d3b-a94f-1191a5128d9f"]},{"id":"ITEM-2","itemData":{"DOI":"10.1093/bioinformatics/bts199","ISSN":"13674803","PMID":"22543367","abstract":"The two main functions of bioinformatics are the organization and analysis of biological data using computational resources. Geneious Basic has been designed to be an easy-to-use and flexible desktop software application framework for the organization and analysis of biological data, with a focus on molecular sequences and related data types. It integrates numerous industry-standard discovery analysis tools, with interactive visualizations to generate publication-ready images. One key contribution to researchers in the life sciences is the Geneious public application programming interface (API) that affords the ability to leverage the existing framework of the Geneious Basic software platform for virtually unlimited extension and customization. The result is an increase in the speed and quality of development of computation tools for the life sciences, due to the functionality and graphical user interface available to the developer through the public API. Geneious Basic represents an ideal platform for the bioinformatics community to leverage existing components and to integrate their own specific requirements for the discovery, analysis and visualization of biological data. © The Author(s) 2012. Published by Oxford University Press.","author":[{"dropping-particle":"","family":"Kearse","given":"Matthew","non-dropping-particle":"","parse-names":false,"suffix":""},{"dropping-particle":"","family":"Moir","given":"Richard","non-dropping-particle":"","parse-names":false,"suffix":""},{"dropping-particle":"","family":"Wilson","given":"Amy","non-dropping-particle":"","parse-names":false,"suffix":""},{"dropping-particle":"","family":"Stones-Havas","given":"Steven","non-dropping-particle":"","parse-names":false,"suffix":""},{"dropping-particle":"","family":"Cheung","given":"Matthew","non-dropping-particle":"","parse-names":false,"suffix":""},{"dropping-particle":"","family":"Sturrock","given":"Shane","non-dropping-particle":"","parse-names":false,"suffix":""},{"dropping-particle":"","family":"Buxton","given":"Simon","non-dropping-particle":"","parse-names":false,"suffix":""},{"dropping-particle":"","family":"Cooper","given":"Alex","non-dropping-particle":"","parse-names":false,"suffix":""},{"dropping-particle":"","family":"Markowitz","given":"Sidney","non-dropping-particle":"","parse-names":false,"suffix":""},{"dropping-particle":"","family":"Duran","given":"Chris","non-dropping-particle":"","parse-names":false,"suffix":""},{"dropping-particle":"","family":"Thierer","given":"Tobias","non-dropping-particle":"","parse-names":false,"suffix":""},{"dropping-particle":"","family":"Ashton","given":"Bruce","non-dropping-particle":"","parse-names":false,"suffix":""},{"dropping-particle":"","family":"Meintjes","given":"Peter","non-dropping-particle":"","parse-names":false,"suffix":""},{"dropping-particle":"","family":"Drummond","given":"Alexei","non-dropping-particle":"","parse-names":false,"suffix":""}],"container-title":"Bioinformatics","id":"ITEM-2","issue":"12","issued":{"date-parts":[["2012"]]},"page":"1647-1649","title":"Geneious Basic: An integrated and extendable desktop software platform for the organization and analysis of sequence data","type":"article-journal","volume":"28"},"uris":["http://www.mendeley.com/documents/?uuid=86a518d9-0c7b-49b5-a061-ffbd52209356"]}],"mendeley":{"formattedCitation":"(Kearse et al., 2012; Minh et al., 2020)","plainTextFormattedCitation":"(Kearse et al., 2012; Minh et al., 2020)","previouslyFormattedCitation":"(Minh et al. 2020; Kearse et al. 2012)"},"properties":{"noteIndex":0},"schema":"https://github.com/citation-style-language/schema/raw/master/csl-citation.json"}</w:instrText>
      </w:r>
      <w:r>
        <w:rPr>
          <w:rFonts w:cs="Times New Roman"/>
        </w:rPr>
        <w:fldChar w:fldCharType="separate"/>
      </w:r>
      <w:r w:rsidRPr="00EE03F0">
        <w:rPr>
          <w:rFonts w:cs="Times New Roman"/>
          <w:noProof/>
        </w:rPr>
        <w:t>(Kearse et al., 2012; Minh et al., 2020)</w:t>
      </w:r>
      <w:r>
        <w:rPr>
          <w:rFonts w:cs="Times New Roman"/>
        </w:rPr>
        <w:fldChar w:fldCharType="end"/>
      </w:r>
      <w:r>
        <w:rPr>
          <w:rFonts w:cs="Times New Roman"/>
        </w:rPr>
        <w:t>.</w:t>
      </w:r>
    </w:p>
    <w:p w14:paraId="46B3B475" w14:textId="77777777" w:rsidR="00636B5B" w:rsidRDefault="00636B5B" w:rsidP="00EE03F0">
      <w:pPr>
        <w:rPr>
          <w:rFonts w:cs="Times New Roman"/>
          <w:b/>
          <w:bCs/>
        </w:rPr>
      </w:pPr>
    </w:p>
    <w:p w14:paraId="771ECDFC" w14:textId="77777777" w:rsidR="00636B5B" w:rsidRDefault="00636B5B" w:rsidP="00EE03F0">
      <w:pPr>
        <w:spacing w:line="360" w:lineRule="auto"/>
        <w:rPr>
          <w:rFonts w:cs="Times New Roman"/>
        </w:rPr>
      </w:pPr>
      <w:r>
        <w:rPr>
          <w:rFonts w:cs="Times New Roman"/>
          <w:b/>
          <w:bCs/>
        </w:rPr>
        <w:t xml:space="preserve">Identification of organelle derived transfers to the nuclear genome: </w:t>
      </w:r>
      <w:r>
        <w:rPr>
          <w:rFonts w:cs="Times New Roman"/>
        </w:rPr>
        <w:t xml:space="preserve">Regions of organelle DNA that were integrated into the nuclear genome were identified with BLASTN </w:t>
      </w:r>
      <w:r w:rsidRPr="002F510C">
        <w:rPr>
          <w:rFonts w:cs="Times New Roman"/>
        </w:rPr>
        <w:t>2.11.0</w:t>
      </w:r>
      <w:r>
        <w:rPr>
          <w:rFonts w:cs="Times New Roman"/>
        </w:rPr>
        <w:t xml:space="preserve">+. Parameters used are a word size of 11, e-value less than 1E-5, percent identity greater than or equal to 75%, and minimum alignment length of 100 bp. The organelle genome was doubled to account for transfer from a circular molecule. NUPTs and NUMTs were then merged with </w:t>
      </w:r>
      <w:proofErr w:type="spellStart"/>
      <w:r>
        <w:rPr>
          <w:rFonts w:cs="Times New Roman"/>
        </w:rPr>
        <w:t>bedtools</w:t>
      </w:r>
      <w:proofErr w:type="spellEnd"/>
      <w:r>
        <w:rPr>
          <w:rFonts w:cs="Times New Roman"/>
        </w:rPr>
        <w:t xml:space="preserve"> merge </w:t>
      </w:r>
      <w:r w:rsidRPr="005D1D88">
        <w:rPr>
          <w:rFonts w:cs="Times New Roman"/>
        </w:rPr>
        <w:t>v2.29.2</w:t>
      </w:r>
      <w:r>
        <w:rPr>
          <w:rFonts w:cs="Times New Roman"/>
        </w:rPr>
        <w:t xml:space="preserve"> with </w:t>
      </w:r>
      <w:proofErr w:type="gramStart"/>
      <w:r>
        <w:rPr>
          <w:rFonts w:cs="Times New Roman"/>
        </w:rPr>
        <w:t>a distance of 400</w:t>
      </w:r>
      <w:proofErr w:type="gramEnd"/>
      <w:r>
        <w:rPr>
          <w:rFonts w:cs="Times New Roman"/>
        </w:rPr>
        <w:t xml:space="preserve"> bp to account for overlapping and closely adjacent features. Some NUPT and NUMT features were identified at identical locations in the nuclear genome, these features were classified as ambiguous and were not included in any downstream analysis (Table III-S3). Similarly, some NUPTs and NUMTs were fully contained in a larger feature, the larger feature was retained while the smaller features were excluded from downstream analysis (Table III-S3). Protein-coding transfer from the organelle to the nuclear genomes was determined with the nucleotide CDS sequences with BLASTN </w:t>
      </w:r>
      <w:r w:rsidRPr="002F510C">
        <w:rPr>
          <w:rFonts w:cs="Times New Roman"/>
        </w:rPr>
        <w:t>2.11.0</w:t>
      </w:r>
      <w:r>
        <w:rPr>
          <w:rFonts w:cs="Times New Roman"/>
        </w:rPr>
        <w:t xml:space="preserve">+, a coverage requirement of 75% in either the subject or the query was required </w:t>
      </w:r>
      <w:proofErr w:type="gramStart"/>
      <w:r>
        <w:rPr>
          <w:rFonts w:cs="Times New Roman"/>
        </w:rPr>
        <w:t>as well alignment identity</w:t>
      </w:r>
      <w:proofErr w:type="gramEnd"/>
      <w:r>
        <w:rPr>
          <w:rFonts w:cs="Times New Roman"/>
        </w:rPr>
        <w:t xml:space="preserve"> greater than or equal to 80%. Duplicate protein-coding transfer </w:t>
      </w:r>
      <w:proofErr w:type="gramStart"/>
      <w:r>
        <w:rPr>
          <w:rFonts w:cs="Times New Roman"/>
        </w:rPr>
        <w:t>as a result of</w:t>
      </w:r>
      <w:proofErr w:type="gramEnd"/>
      <w:r>
        <w:rPr>
          <w:rFonts w:cs="Times New Roman"/>
        </w:rPr>
        <w:t xml:space="preserve"> similarity between mitochondrial and chloroplast genes was removed by retaining the nuclear copy with the highest coverage to the organelle gene. Expression data processed as described in </w:t>
      </w:r>
      <w:r>
        <w:rPr>
          <w:rFonts w:cs="Times New Roman"/>
        </w:rPr>
        <w:fldChar w:fldCharType="begin" w:fldLock="1"/>
      </w:r>
      <w:r>
        <w:rPr>
          <w:rFonts w:cs="Times New Roman"/>
        </w:rPr>
        <w:instrText>ADDIN CSL_CITATION {"citationItems":[{"id":"ITEM-1","itemData":{"DOI":"10.1093/gbe/evab198","ISSN":"17596653","PMID":"34469536","abstract":"Orphan genes are characteristic genomic features that have no detectable homology to genes in any other species and represent an important attribute of genome evolution as sources of novel genetic functions. Here, we identified 445 genes specific to Populus trichocarpa. Of these, we performed deeper reconstruction of 13 orphan genes to provide evidence of de novo gene evolution. Populus and its sister genera Salix are particularly well suited for the study of orphan gene evolution because of the Salicoid whole-genome duplication event which resulted in highly syntenic sister chromosomal segments across the Salicaceae. We leveraged this genomic feature to reconstruct de novo gene evolution from intergenera, interspecies, and intragenomic perspectives by comparing the syntenic regions within the P. trichocarpa reference, then P. deltoides, and finally Salix purpurea. Furthermore, we demonstrated that 86.5% of the putative orphan genes had evidence of transcription. Additionally, we also utilized the Populus genome-wide association mapping panel, a collection of 1,084 undomesticated P. trichocarpa genotypes to further determine putative regulatory networks of orphan genes using expression quantitative trait loci (eQTL) mapping. Functional enrichment of these eQTL subnetworks identified common biological themes associated with orphan genes such as response to stress and defense response. We also identify a putative cis-element for a de novo gene and leverage conserved synteny to describe evolution of a putative transcription factor binding site. Overall, 45% of orphan genes were captured in trans-eQTL networks.","author":[{"dropping-particle":"","family":"Yates","given":"Timothy B","non-dropping-particle":"","parse-names":false,"suffix":""},{"dropping-particle":"","family":"Feng","given":"Kai","non-dropping-particle":"","parse-names":false,"suffix":""},{"dropping-particle":"","family":"Zhang","given":"Jin","non-dropping-particle":"","parse-names":false,"suffix":""},{"dropping-particle":"","family":"Singan","given":"Vasanth","non-dropping-particle":"","parse-names":false,"suffix":""},{"dropping-particle":"","family":"Jawdy","given":"Sara S","non-dropping-particle":"","parse-names":false,"suffix":""},{"dropping-particle":"","family":"Ranjan","given":"Priya","non-dropping-particle":"","parse-names":false,"suffix":""},{"dropping-particle":"","family":"Abraham","given":"Paul E","non-dropping-particle":"","parse-names":false,"suffix":""},{"dropping-particle":"","family":"Barry","given":"Kerrie","non-dropping-particle":"","parse-names":false,"suffix":""},{"dropping-particle":"","family":"Lipzen","given":"Anna","non-dropping-particle":"","parse-names":false,"suffix":""},{"dropping-particle":"","family":"Pan","given":"Chongle","non-dropping-particle":"","parse-names":false,"suffix":""},{"dropping-particle":"","family":"Schmutz","given":"Jeremy","non-dropping-particle":"","parse-names":false,"suffix":""},{"dropping-particle":"","family":"Chen","given":"Jin-Gui","non-dropping-particle":"","parse-names":false,"suffix":""},{"dropping-particle":"","family":"Tuskan","given":"Gerald A","non-dropping-particle":"","parse-names":false,"suffix":""},{"dropping-particle":"","family":"Muchero","given":"Wellington","non-dropping-particle":"","parse-names":false,"suffix":""}],"container-title":"Genome Biology and Evolution","id":"ITEM-1","issue":"9","issued":{"date-parts":[["2021"]]},"page":"1-14","title":" The Ancient Salicoid Genome Duplication Event: A Platform for Reconstruction of De Novo Gene Evolution in Populus trichocarpa ","type":"article-journal","volume":"13"},"uris":["http://www.mendeley.com/documents/?uuid=8ee750d2-17c3-46bc-aaf7-422e9e86c618"]}],"mendeley":{"formattedCitation":"(Yates et al., 2021)","plainTextFormattedCitation":"(Yates et al., 2021)","previouslyFormattedCitation":"(Yates et al. 2021)"},"properties":{"noteIndex":0},"schema":"https://github.com/citation-style-language/schema/raw/master/csl-citation.json"}</w:instrText>
      </w:r>
      <w:r>
        <w:rPr>
          <w:rFonts w:cs="Times New Roman"/>
        </w:rPr>
        <w:fldChar w:fldCharType="separate"/>
      </w:r>
      <w:r w:rsidRPr="00EE03F0">
        <w:rPr>
          <w:rFonts w:cs="Times New Roman"/>
          <w:noProof/>
        </w:rPr>
        <w:t>(Yates et al., 2021)</w:t>
      </w:r>
      <w:r>
        <w:rPr>
          <w:rFonts w:cs="Times New Roman"/>
        </w:rPr>
        <w:fldChar w:fldCharType="end"/>
      </w:r>
      <w:r>
        <w:rPr>
          <w:rFonts w:cs="Times New Roman"/>
        </w:rPr>
        <w:t xml:space="preserve"> with the exception that the organelle genomes and annotations for </w:t>
      </w:r>
      <w:r w:rsidRPr="00333E28">
        <w:rPr>
          <w:rFonts w:cs="Times New Roman"/>
          <w:i/>
          <w:iCs/>
        </w:rPr>
        <w:t xml:space="preserve">P. </w:t>
      </w:r>
      <w:proofErr w:type="spellStart"/>
      <w:r w:rsidRPr="00333E28">
        <w:rPr>
          <w:rFonts w:cs="Times New Roman"/>
          <w:i/>
          <w:iCs/>
        </w:rPr>
        <w:t>trichocarpa</w:t>
      </w:r>
      <w:proofErr w:type="spellEnd"/>
      <w:r>
        <w:rPr>
          <w:rFonts w:cs="Times New Roman"/>
          <w:i/>
          <w:iCs/>
        </w:rPr>
        <w:t xml:space="preserve"> </w:t>
      </w:r>
      <w:r>
        <w:rPr>
          <w:rFonts w:cs="Times New Roman"/>
        </w:rPr>
        <w:t xml:space="preserve">and </w:t>
      </w:r>
      <w:r w:rsidRPr="00333E28">
        <w:rPr>
          <w:rFonts w:cs="Times New Roman"/>
          <w:i/>
          <w:iCs/>
        </w:rPr>
        <w:t xml:space="preserve">P. </w:t>
      </w:r>
      <w:proofErr w:type="spellStart"/>
      <w:r w:rsidRPr="00333E28">
        <w:rPr>
          <w:rFonts w:cs="Times New Roman"/>
          <w:i/>
          <w:iCs/>
        </w:rPr>
        <w:t>deltoides</w:t>
      </w:r>
      <w:proofErr w:type="spellEnd"/>
      <w:r>
        <w:rPr>
          <w:rFonts w:cs="Times New Roman"/>
        </w:rPr>
        <w:t xml:space="preserve"> were added at the mapping step. Similarly, proteomic data from six </w:t>
      </w:r>
      <w:r w:rsidRPr="00333E28">
        <w:rPr>
          <w:rFonts w:cs="Times New Roman"/>
          <w:i/>
          <w:iCs/>
        </w:rPr>
        <w:t xml:space="preserve">P. </w:t>
      </w:r>
      <w:proofErr w:type="spellStart"/>
      <w:r w:rsidRPr="00333E28">
        <w:rPr>
          <w:rFonts w:cs="Times New Roman"/>
          <w:i/>
          <w:iCs/>
        </w:rPr>
        <w:t>trichocarpa</w:t>
      </w:r>
      <w:proofErr w:type="spellEnd"/>
      <w:r>
        <w:rPr>
          <w:rFonts w:cs="Times New Roman"/>
          <w:i/>
          <w:iCs/>
        </w:rPr>
        <w:t xml:space="preserve"> </w:t>
      </w:r>
      <w:r>
        <w:rPr>
          <w:rFonts w:cs="Times New Roman"/>
        </w:rPr>
        <w:t xml:space="preserve">genotypes was processed as described previously, with the exception that organelle proteins were added to the </w:t>
      </w:r>
      <w:r w:rsidRPr="00333E28">
        <w:rPr>
          <w:rFonts w:cs="Times New Roman"/>
          <w:i/>
          <w:iCs/>
        </w:rPr>
        <w:t xml:space="preserve">P. </w:t>
      </w:r>
      <w:proofErr w:type="spellStart"/>
      <w:r w:rsidRPr="00333E28">
        <w:rPr>
          <w:rFonts w:cs="Times New Roman"/>
          <w:i/>
          <w:iCs/>
        </w:rPr>
        <w:t>trichocarpa</w:t>
      </w:r>
      <w:proofErr w:type="spellEnd"/>
      <w:r>
        <w:rPr>
          <w:rFonts w:cs="Times New Roman"/>
          <w:i/>
          <w:iCs/>
        </w:rPr>
        <w:t xml:space="preserve"> </w:t>
      </w:r>
      <w:r>
        <w:rPr>
          <w:rFonts w:cs="Times New Roman"/>
        </w:rPr>
        <w:t>v3.0 reference database. The thresholds used to determine proteomic evidence included at least one unique peptide in two datasets or two or more unique peptides in a single dataset.</w:t>
      </w:r>
    </w:p>
    <w:p w14:paraId="73D12272" w14:textId="77777777" w:rsidR="00636B5B" w:rsidRDefault="00636B5B" w:rsidP="00EE03F0">
      <w:pPr>
        <w:spacing w:line="360" w:lineRule="auto"/>
        <w:rPr>
          <w:rFonts w:cs="Times New Roman"/>
        </w:rPr>
      </w:pPr>
    </w:p>
    <w:p w14:paraId="392370D1" w14:textId="77777777" w:rsidR="00636B5B" w:rsidRPr="007E65C8" w:rsidRDefault="00636B5B" w:rsidP="00EE03F0">
      <w:pPr>
        <w:spacing w:line="360" w:lineRule="auto"/>
        <w:rPr>
          <w:rFonts w:cs="Times New Roman"/>
        </w:rPr>
      </w:pPr>
      <w:r>
        <w:rPr>
          <w:rFonts w:cs="Times New Roman"/>
          <w:b/>
          <w:bCs/>
        </w:rPr>
        <w:t xml:space="preserve">AT transversion-based genetic distance: </w:t>
      </w:r>
      <w:r>
        <w:rPr>
          <w:rFonts w:cs="Times New Roman"/>
        </w:rPr>
        <w:t xml:space="preserve">First, organelle sequences and the corresponding NUPT or NUMT were aligned with MAFFT v7.487 </w:t>
      </w:r>
      <w:proofErr w:type="spellStart"/>
      <w:r>
        <w:rPr>
          <w:rFonts w:cs="Times New Roman"/>
          <w:i/>
          <w:iCs/>
        </w:rPr>
        <w:t>linsi</w:t>
      </w:r>
      <w:proofErr w:type="spellEnd"/>
      <w:r>
        <w:rPr>
          <w:rFonts w:cs="Times New Roman"/>
        </w:rPr>
        <w:t xml:space="preserve">. For the calculation of </w:t>
      </w:r>
      <w:r w:rsidRPr="003B6297">
        <w:rPr>
          <w:rFonts w:cs="Times New Roman"/>
        </w:rPr>
        <w:t>AT transversion-based genetic distance</w:t>
      </w:r>
      <w:r>
        <w:rPr>
          <w:rFonts w:cs="Times New Roman"/>
        </w:rPr>
        <w:t xml:space="preserve">, refer to </w:t>
      </w:r>
      <w:r>
        <w:rPr>
          <w:rFonts w:cs="Times New Roman"/>
        </w:rPr>
        <w:fldChar w:fldCharType="begin" w:fldLock="1"/>
      </w:r>
      <w:r>
        <w:rPr>
          <w:rFonts w:cs="Times New Roman"/>
        </w:rPr>
        <w:instrText>ADDIN CSL_CITATION {"citationItems":[{"id":"ITEM-1","itemData":{"DOI":"10.1038/s41598-019-38607-6","ISSN":"20452322","PMID":"30765781","abstract":"Nuclear genomes are always faced with the modification of themselves by insertions and integrations of foreign DNAs and intrinsic parasites such as transposable elements. There is also substantial number of integrations from symbiotic organellar genomes to their host nuclear genomes. Such integration might have acted as a beneficial mutation during the evolution of symbiosis, while most of them have more or less deleterious effects on the stability of current genomes. Here we report the pattern of DNA substitution and methylation on organellar DNA fragments integrated from plastid into plant nuclear genomes. The genome analyses of 17 plants show homology–dependent DNA substitution bias. A certain number of these sequences are DNA methylated in the nuclear genome. The intensity of DNA methylation also decays according to the increase of relative evolutionary times after being integrated into nuclear genomes. The methylome data of epigenetic mutants shows that the DNA methylation of organellar DNA fragments in nuclear genomes are mainly dependent on the methylation maintenance machinery, while other mechanisms may also affect on the DNA methylation level. The DNA methylation on organellar DNA fragments may contribute to maintaining the genome stability and evolutionary dynamics of symbiotic organellar and their host’s genomes.","author":[{"dropping-particle":"","family":"Yoshida","given":"Takanori","non-dropping-particle":"","parse-names":false,"suffix":""},{"dropping-particle":"","family":"Furihata","given":"Hazuka Y.","non-dropping-particle":"","parse-names":false,"suffix":""},{"dropping-particle":"","family":"To","given":"Taiko Kim","non-dropping-particle":"","parse-names":false,"suffix":""},{"dropping-particle":"","family":"Kakutani","given":"Tetsuji","non-dropping-particle":"","parse-names":false,"suffix":""},{"dropping-particle":"","family":"Kawabe","given":"Akira","non-dropping-particle":"","parse-names":false,"suffix":""}],"container-title":"Scientific Reports","id":"ITEM-1","issue":"1","issued":{"date-parts":[["2019"]]},"page":"1-11","publisher":"Springer US","title":"Genome defense against integrated organellar DNA fragments from plastids into plant nuclear genomes through DNA methylation","type":"article-journal","volume":"9"},"uris":["http://www.mendeley.com/documents/?uuid=7267e038-4d08-4e37-9873-85a0c4a48ade"]}],"mendeley":{"formattedCitation":"(Yoshida et al., 2019)","plainTextFormattedCitation":"(Yoshida et al., 2019)","previouslyFormattedCitation":"(Yoshida et al. 2019)"},"properties":{"noteIndex":0},"schema":"https://github.com/citation-style-language/schema/raw/master/csl-citation.json"}</w:instrText>
      </w:r>
      <w:r>
        <w:rPr>
          <w:rFonts w:cs="Times New Roman"/>
        </w:rPr>
        <w:fldChar w:fldCharType="separate"/>
      </w:r>
      <w:r w:rsidRPr="00EE03F0">
        <w:rPr>
          <w:rFonts w:cs="Times New Roman"/>
          <w:noProof/>
        </w:rPr>
        <w:t>(Yoshida et al., 2019)</w:t>
      </w:r>
      <w:r>
        <w:rPr>
          <w:rFonts w:cs="Times New Roman"/>
        </w:rPr>
        <w:fldChar w:fldCharType="end"/>
      </w:r>
      <w:r>
        <w:rPr>
          <w:rFonts w:cs="Times New Roman"/>
        </w:rPr>
        <w:t>.</w:t>
      </w:r>
    </w:p>
    <w:p w14:paraId="1FABD014" w14:textId="77777777" w:rsidR="00636B5B" w:rsidRDefault="00636B5B" w:rsidP="00EE03F0">
      <w:pPr>
        <w:spacing w:line="360" w:lineRule="auto"/>
        <w:rPr>
          <w:rFonts w:cs="Times New Roman"/>
          <w:b/>
          <w:bCs/>
        </w:rPr>
      </w:pPr>
    </w:p>
    <w:p w14:paraId="1D5A540D" w14:textId="77777777" w:rsidR="00636B5B" w:rsidRDefault="00636B5B" w:rsidP="00EE03F0">
      <w:pPr>
        <w:spacing w:line="360" w:lineRule="auto"/>
        <w:rPr>
          <w:rFonts w:cs="Times New Roman"/>
        </w:rPr>
      </w:pPr>
      <w:r>
        <w:rPr>
          <w:rFonts w:cs="Times New Roman"/>
          <w:b/>
          <w:bCs/>
        </w:rPr>
        <w:t xml:space="preserve">Presence and absence of NUPTs and NUMTs in </w:t>
      </w:r>
      <w:r w:rsidRPr="00333E28">
        <w:rPr>
          <w:rFonts w:cs="Times New Roman"/>
          <w:b/>
          <w:bCs/>
          <w:i/>
          <w:iCs/>
        </w:rPr>
        <w:t xml:space="preserve">P. </w:t>
      </w:r>
      <w:proofErr w:type="spellStart"/>
      <w:r w:rsidRPr="00333E28">
        <w:rPr>
          <w:rFonts w:cs="Times New Roman"/>
          <w:b/>
          <w:bCs/>
          <w:i/>
          <w:iCs/>
        </w:rPr>
        <w:t>trichocarpa</w:t>
      </w:r>
      <w:proofErr w:type="spellEnd"/>
      <w:r>
        <w:rPr>
          <w:rFonts w:cs="Times New Roman"/>
          <w:b/>
          <w:bCs/>
          <w:i/>
          <w:iCs/>
        </w:rPr>
        <w:t xml:space="preserve"> </w:t>
      </w:r>
      <w:r>
        <w:rPr>
          <w:rFonts w:cs="Times New Roman"/>
          <w:b/>
          <w:bCs/>
        </w:rPr>
        <w:t xml:space="preserve">and </w:t>
      </w:r>
      <w:r w:rsidRPr="00333E28">
        <w:rPr>
          <w:rFonts w:cs="Times New Roman"/>
          <w:b/>
          <w:bCs/>
          <w:i/>
          <w:iCs/>
        </w:rPr>
        <w:t xml:space="preserve">P. </w:t>
      </w:r>
      <w:proofErr w:type="spellStart"/>
      <w:r w:rsidRPr="00333E28">
        <w:rPr>
          <w:rFonts w:cs="Times New Roman"/>
          <w:b/>
          <w:bCs/>
          <w:i/>
          <w:iCs/>
        </w:rPr>
        <w:t>deltoides</w:t>
      </w:r>
      <w:proofErr w:type="spellEnd"/>
      <w:r>
        <w:rPr>
          <w:rFonts w:cs="Times New Roman"/>
          <w:b/>
          <w:bCs/>
        </w:rPr>
        <w:t xml:space="preserve">: </w:t>
      </w:r>
      <w:r>
        <w:rPr>
          <w:rFonts w:cs="Times New Roman"/>
        </w:rPr>
        <w:t>Presence and absence of NUPTs and NUMTs was determined through a combination of BLAST and syntenic searches. First, reciprocal BLASTN v</w:t>
      </w:r>
      <w:r w:rsidRPr="002F510C">
        <w:rPr>
          <w:rFonts w:cs="Times New Roman"/>
        </w:rPr>
        <w:t>2.11.0</w:t>
      </w:r>
      <w:r>
        <w:rPr>
          <w:rFonts w:cs="Times New Roman"/>
        </w:rPr>
        <w:t xml:space="preserve">+ searches with a word size of 11, e-value less than 1E-5, and at least 75% coverage in the subject or query were required. Next, syntenic intervals were predicted for each NUPT and NUMT with </w:t>
      </w:r>
      <w:proofErr w:type="spellStart"/>
      <w:r>
        <w:rPr>
          <w:rFonts w:cs="Times New Roman"/>
        </w:rPr>
        <w:t>Synder</w:t>
      </w:r>
      <w:proofErr w:type="spellEnd"/>
      <w:r>
        <w:rPr>
          <w:rFonts w:cs="Times New Roman"/>
        </w:rPr>
        <w:t xml:space="preserve"> 0.28.0 from a syntenic map derived from pairwise whole genome alignments between </w:t>
      </w:r>
      <w:r w:rsidRPr="00333E28">
        <w:rPr>
          <w:rFonts w:cs="Times New Roman"/>
          <w:i/>
          <w:iCs/>
        </w:rPr>
        <w:t xml:space="preserve">P. </w:t>
      </w:r>
      <w:proofErr w:type="spellStart"/>
      <w:r w:rsidRPr="00333E28">
        <w:rPr>
          <w:rFonts w:cs="Times New Roman"/>
          <w:i/>
          <w:iCs/>
        </w:rPr>
        <w:t>trichocarpa</w:t>
      </w:r>
      <w:proofErr w:type="spellEnd"/>
      <w:r>
        <w:rPr>
          <w:rFonts w:cs="Times New Roman"/>
          <w:i/>
          <w:iCs/>
        </w:rPr>
        <w:t xml:space="preserve"> </w:t>
      </w:r>
      <w:r>
        <w:rPr>
          <w:rFonts w:cs="Times New Roman"/>
        </w:rPr>
        <w:t xml:space="preserve">and </w:t>
      </w:r>
      <w:r w:rsidRPr="00333E28">
        <w:rPr>
          <w:rFonts w:cs="Times New Roman"/>
          <w:i/>
          <w:iCs/>
        </w:rPr>
        <w:t xml:space="preserve">P. </w:t>
      </w:r>
      <w:proofErr w:type="spellStart"/>
      <w:r w:rsidRPr="00333E28">
        <w:rPr>
          <w:rFonts w:cs="Times New Roman"/>
          <w:i/>
          <w:iCs/>
        </w:rPr>
        <w:t>deltoides</w:t>
      </w:r>
      <w:proofErr w:type="spellEnd"/>
      <w:r>
        <w:rPr>
          <w:rFonts w:cs="Times New Roman"/>
        </w:rPr>
        <w:t xml:space="preserve"> with </w:t>
      </w:r>
      <w:proofErr w:type="spellStart"/>
      <w:r>
        <w:rPr>
          <w:rFonts w:cs="Times New Roman"/>
        </w:rPr>
        <w:t>nucmer</w:t>
      </w:r>
      <w:proofErr w:type="spellEnd"/>
      <w:r>
        <w:rPr>
          <w:rFonts w:cs="Times New Roman"/>
        </w:rPr>
        <w:t xml:space="preserve"> v</w:t>
      </w:r>
      <w:r w:rsidRPr="005F0463">
        <w:rPr>
          <w:rFonts w:cs="Times New Roman"/>
        </w:rPr>
        <w:t>4.0.0rc1</w:t>
      </w:r>
      <w:r>
        <w:rPr>
          <w:rFonts w:cs="Times New Roman"/>
        </w:rPr>
        <w:t xml:space="preserve"> with the ‘</w:t>
      </w:r>
      <w:proofErr w:type="spellStart"/>
      <w:r>
        <w:rPr>
          <w:rFonts w:cs="Times New Roman"/>
        </w:rPr>
        <w:t>maxmatch</w:t>
      </w:r>
      <w:proofErr w:type="spellEnd"/>
      <w:r>
        <w:rPr>
          <w:rFonts w:cs="Times New Roman"/>
        </w:rPr>
        <w:t>’ flag.</w:t>
      </w:r>
      <w:r>
        <w:rPr>
          <w:rFonts w:cs="Times New Roman"/>
          <w:i/>
          <w:iCs/>
        </w:rPr>
        <w:t xml:space="preserve"> </w:t>
      </w:r>
      <w:r>
        <w:rPr>
          <w:rFonts w:cs="Times New Roman"/>
        </w:rPr>
        <w:t xml:space="preserve">NUPTs or NUMTs which met the blast requirements and could be identified in predicted syntenic intervals were classified as present while those which failed either step </w:t>
      </w:r>
      <w:proofErr w:type="gramStart"/>
      <w:r>
        <w:rPr>
          <w:rFonts w:cs="Times New Roman"/>
        </w:rPr>
        <w:t>were</w:t>
      </w:r>
      <w:proofErr w:type="gramEnd"/>
      <w:r>
        <w:rPr>
          <w:rFonts w:cs="Times New Roman"/>
        </w:rPr>
        <w:t xml:space="preserve"> considered absent. Total content and presence and absence of NUPT and NUMT content was visualized with </w:t>
      </w:r>
      <w:proofErr w:type="spellStart"/>
      <w:r>
        <w:rPr>
          <w:rFonts w:cs="Times New Roman"/>
        </w:rPr>
        <w:t>Circos</w:t>
      </w:r>
      <w:proofErr w:type="spellEnd"/>
      <w:r>
        <w:rPr>
          <w:rFonts w:cs="Times New Roman"/>
        </w:rPr>
        <w:t xml:space="preserve"> v0.69 </w:t>
      </w:r>
      <w:r>
        <w:rPr>
          <w:rFonts w:cs="Times New Roman"/>
        </w:rPr>
        <w:fldChar w:fldCharType="begin" w:fldLock="1"/>
      </w:r>
      <w:r>
        <w:rPr>
          <w:rFonts w:cs="Times New Roman"/>
        </w:rPr>
        <w:instrText>ADDIN CSL_CITATION {"citationItems":[{"id":"ITEM-1","itemData":{"DOI":"10.1101/gr.092759.109","ISSN":"10889051","PMID":"19541911","abstract":"We created a visualization tool called Circos to facilitate the identification and analysis of similarities and differences arising from comparisons of genomes. Our tool is effective in displaying variation in genome structure and, generally, any other kind of positional relationships between genomic intervals. Such data are routinely produced by sequence alignments, hybridization arrays, genome mapping, and genotyping studies. Circos uses a circular ideogram layout to facilitate the display of relationships between pairs of positions by the use of ribbons, which encode the position, size, and orientation of related genomic elements. Circos is capable of displaying data as scatter, line, and histogram plots, heat maps, tiles, connectors, and text. Bitmap or vector images can be created from GFF-style data inputs and hierarchical configuration files, which can be easily generated by automated tools, making Circos suitable for rapid deployment in data analysis and reporting pipelines. © 2009 by Cold Spring Harbor Laboratory Press.","author":[{"dropping-particle":"","family":"Krzywinski","given":"Martin","non-dropping-particle":"","parse-names":false,"suffix":""},{"dropping-particle":"","family":"Schein","given":"Jacqueline","non-dropping-particle":"","parse-names":false,"suffix":""},{"dropping-particle":"","family":"Birol","given":"Inanç","non-dropping-particle":"","parse-names":false,"suffix":""},{"dropping-particle":"","family":"Connors","given":"Joseph","non-dropping-particle":"","parse-names":false,"suffix":""},{"dropping-particle":"","family":"Gascoyne","given":"Randy","non-dropping-particle":"","parse-names":false,"suffix":""},{"dropping-particle":"","family":"Horsman","given":"Doug","non-dropping-particle":"","parse-names":false,"suffix":""},{"dropping-particle":"","family":"Jones","given":"Steven J.","non-dropping-particle":"","parse-names":false,"suffix":""},{"dropping-particle":"","family":"Marra","given":"Marco A.","non-dropping-particle":"","parse-names":false,"suffix":""}],"container-title":"Genome Research","id":"ITEM-1","issue":"9","issued":{"date-parts":[["2009"]]},"page":"1639-1645","title":"Circos: An information aesthetic for comparative genomics","type":"article-journal","volume":"19"},"uris":["http://www.mendeley.com/documents/?uuid=1d78c6fa-065f-4853-90ce-3165c7665c7d"]}],"mendeley":{"formattedCitation":"(Krzywinski et al., 2009)","plainTextFormattedCitation":"(Krzywinski et al., 2009)","previouslyFormattedCitation":"(Krzywinski et al. 2009)"},"properties":{"noteIndex":0},"schema":"https://github.com/citation-style-language/schema/raw/master/csl-citation.json"}</w:instrText>
      </w:r>
      <w:r>
        <w:rPr>
          <w:rFonts w:cs="Times New Roman"/>
        </w:rPr>
        <w:fldChar w:fldCharType="separate"/>
      </w:r>
      <w:r w:rsidRPr="00EE03F0">
        <w:rPr>
          <w:rFonts w:cs="Times New Roman"/>
          <w:noProof/>
        </w:rPr>
        <w:t>(Krzywinski et al., 2009)</w:t>
      </w:r>
      <w:r>
        <w:rPr>
          <w:rFonts w:cs="Times New Roman"/>
        </w:rPr>
        <w:fldChar w:fldCharType="end"/>
      </w:r>
      <w:r>
        <w:rPr>
          <w:rFonts w:cs="Times New Roman"/>
        </w:rPr>
        <w:t>.</w:t>
      </w:r>
    </w:p>
    <w:p w14:paraId="2D5746D3" w14:textId="77777777" w:rsidR="00636B5B" w:rsidRDefault="00636B5B" w:rsidP="00EE03F0">
      <w:pPr>
        <w:spacing w:line="360" w:lineRule="auto"/>
        <w:rPr>
          <w:rFonts w:cs="Times New Roman"/>
        </w:rPr>
      </w:pPr>
    </w:p>
    <w:p w14:paraId="0844C6CD" w14:textId="77777777" w:rsidR="00636B5B" w:rsidRPr="001949DF" w:rsidRDefault="00636B5B" w:rsidP="00EE03F0">
      <w:pPr>
        <w:spacing w:line="360" w:lineRule="auto"/>
        <w:rPr>
          <w:rFonts w:cs="Times New Roman"/>
        </w:rPr>
      </w:pPr>
      <w:r>
        <w:rPr>
          <w:rFonts w:cs="Times New Roman"/>
          <w:b/>
          <w:bCs/>
        </w:rPr>
        <w:t xml:space="preserve">Synteny and structural variation analysis between </w:t>
      </w:r>
      <w:r w:rsidRPr="00333E28">
        <w:rPr>
          <w:rFonts w:cs="Times New Roman"/>
          <w:b/>
          <w:bCs/>
          <w:i/>
          <w:iCs/>
        </w:rPr>
        <w:t xml:space="preserve">P. </w:t>
      </w:r>
      <w:proofErr w:type="spellStart"/>
      <w:r w:rsidRPr="00333E28">
        <w:rPr>
          <w:rFonts w:cs="Times New Roman"/>
          <w:b/>
          <w:bCs/>
          <w:i/>
          <w:iCs/>
        </w:rPr>
        <w:t>trichocarpa</w:t>
      </w:r>
      <w:proofErr w:type="spellEnd"/>
      <w:r>
        <w:rPr>
          <w:rFonts w:cs="Times New Roman"/>
          <w:b/>
          <w:bCs/>
          <w:i/>
          <w:iCs/>
        </w:rPr>
        <w:t xml:space="preserve"> </w:t>
      </w:r>
      <w:r>
        <w:rPr>
          <w:rFonts w:cs="Times New Roman"/>
          <w:b/>
          <w:bCs/>
        </w:rPr>
        <w:t xml:space="preserve">and </w:t>
      </w:r>
      <w:r w:rsidRPr="00333E28">
        <w:rPr>
          <w:rFonts w:cs="Times New Roman"/>
          <w:b/>
          <w:bCs/>
          <w:i/>
          <w:iCs/>
        </w:rPr>
        <w:t xml:space="preserve">P. </w:t>
      </w:r>
      <w:proofErr w:type="spellStart"/>
      <w:r w:rsidRPr="00333E28">
        <w:rPr>
          <w:rFonts w:cs="Times New Roman"/>
          <w:b/>
          <w:bCs/>
          <w:i/>
          <w:iCs/>
        </w:rPr>
        <w:t>deltoides</w:t>
      </w:r>
      <w:proofErr w:type="spellEnd"/>
      <w:r>
        <w:rPr>
          <w:rFonts w:cs="Times New Roman"/>
          <w:b/>
          <w:bCs/>
        </w:rPr>
        <w:t xml:space="preserve">: </w:t>
      </w:r>
      <w:r>
        <w:rPr>
          <w:rFonts w:cs="Times New Roman"/>
        </w:rPr>
        <w:t xml:space="preserve">Gene level synteny analyses were performed with </w:t>
      </w:r>
      <w:proofErr w:type="spellStart"/>
      <w:r>
        <w:rPr>
          <w:rFonts w:cs="Times New Roman"/>
        </w:rPr>
        <w:t>MCScanX</w:t>
      </w:r>
      <w:proofErr w:type="spellEnd"/>
      <w:r>
        <w:rPr>
          <w:rFonts w:cs="Times New Roman"/>
        </w:rPr>
        <w:t xml:space="preserve"> </w:t>
      </w:r>
      <w:r>
        <w:rPr>
          <w:rFonts w:cs="Times New Roman"/>
        </w:rPr>
        <w:fldChar w:fldCharType="begin" w:fldLock="1"/>
      </w:r>
      <w:r>
        <w:rPr>
          <w:rFonts w:cs="Times New Roman"/>
        </w:rPr>
        <w:instrText>ADDIN CSL_CITATION {"citationItems":[{"id":"ITEM-1","itemData":{"DOI":"10.1093/nar/gkr1293","ISBN":"1362-4962 (Electronic)\\r0305-1048 (Linking)","ISSN":"03051048","PMID":"22217600","abstract":"MCScan is an algorithm able to scan multiple genomes or subgenomes in order to identify putative homologous chromosomal regions, and align these regions using genes as anchors. The MCScanX toolkit implements an adjusted MCScan algorithm for detection of synteny and collinearity that extends the original software by incorporating 14 utility programs for visualization of results and additional downstream analyses. Applications of MCScanX to several sequenced plant genomes and gene families are shown as examples. MCScanX can be used to effectively analyze chromosome structural changes, and reveal the history of gene family expansions that might contribute to the adaptation of lineages and taxa. An integrated view of various modes of gene duplication can supplement the traditional gene tree analysis in specific families. The source code and documentation of MCScanX are freely available at http://chibba.pgml.uga.edu/mcscan2/.","author":[{"dropping-particle":"","family":"Wang","given":"Yupeng","non-dropping-particle":"","parse-names":false,"suffix":""},{"dropping-particle":"","family":"Tang","given":"Haibao","non-dropping-particle":"","parse-names":false,"suffix":""},{"dropping-particle":"","family":"Debarry","given":"Jeremy D.","non-dropping-particle":"","parse-names":false,"suffix":""},{"dropping-particle":"","family":"Tan","given":"Xu","non-dropping-particle":"","parse-names":false,"suffix":""},{"dropping-particle":"","family":"Li","given":"Jingping","non-dropping-particle":"","parse-names":false,"suffix":""},{"dropping-particle":"","family":"Wang","given":"Xiyin","non-dropping-particle":"","parse-names":false,"suffix":""},{"dropping-particle":"","family":"Lee","given":"Tae Ho","non-dropping-particle":"","parse-names":false,"suffix":""},{"dropping-particle":"","family":"Jin","given":"Huizhe","non-dropping-particle":"","parse-names":false,"suffix":""},{"dropping-particle":"","family":"Marler","given":"Barry","non-dropping-particle":"","parse-names":false,"suffix":""},{"dropping-particle":"","family":"Guo","given":"Hui","non-dropping-particle":"","parse-names":false,"suffix":""},{"dropping-particle":"","family":"Kissinger","given":"Jessica C.","non-dropping-particle":"","parse-names":false,"suffix":""},{"dropping-particle":"","family":"Paterson","given":"Andrew H.","non-dropping-particle":"","parse-names":false,"suffix":""}],"container-title":"Nucleic Acids Research","id":"ITEM-1","issue":"7","issued":{"date-parts":[["2012"]]},"title":"MCScanX: A toolkit for detection and evolutionary analysis of gene synteny and collinearity","type":"article-journal","volume":"40"},"uris":["http://www.mendeley.com/documents/?uuid=95632da1-b98f-4ec1-91e5-413e8d370670"]}],"mendeley":{"formattedCitation":"(Y. Wang et al., 2012)","plainTextFormattedCitation":"(Y. Wang et al., 2012)","previouslyFormattedCitation":"(Wang et al. 2012)"},"properties":{"noteIndex":0},"schema":"https://github.com/citation-style-language/schema/raw/master/csl-citation.json"}</w:instrText>
      </w:r>
      <w:r>
        <w:rPr>
          <w:rFonts w:cs="Times New Roman"/>
        </w:rPr>
        <w:fldChar w:fldCharType="separate"/>
      </w:r>
      <w:r w:rsidRPr="00EE03F0">
        <w:rPr>
          <w:rFonts w:cs="Times New Roman"/>
          <w:noProof/>
        </w:rPr>
        <w:t>(Y. Wang et al., 2012)</w:t>
      </w:r>
      <w:r>
        <w:rPr>
          <w:rFonts w:cs="Times New Roman"/>
        </w:rPr>
        <w:fldChar w:fldCharType="end"/>
      </w:r>
      <w:r>
        <w:rPr>
          <w:rFonts w:cs="Times New Roman"/>
        </w:rPr>
        <w:t xml:space="preserve">, with default parameters, and the resulting collinearity file was analyzed to determine duplication from </w:t>
      </w:r>
      <w:r w:rsidRPr="00333E28">
        <w:rPr>
          <w:rFonts w:cs="Times New Roman"/>
          <w:i/>
          <w:iCs/>
        </w:rPr>
        <w:t xml:space="preserve">P. </w:t>
      </w:r>
      <w:proofErr w:type="spellStart"/>
      <w:r w:rsidRPr="00333E28">
        <w:rPr>
          <w:rFonts w:cs="Times New Roman"/>
          <w:i/>
          <w:iCs/>
        </w:rPr>
        <w:t>trichocarpa</w:t>
      </w:r>
      <w:proofErr w:type="spellEnd"/>
      <w:r>
        <w:rPr>
          <w:rFonts w:cs="Times New Roman"/>
          <w:i/>
          <w:iCs/>
        </w:rPr>
        <w:t xml:space="preserve"> </w:t>
      </w:r>
      <w:r>
        <w:rPr>
          <w:rFonts w:cs="Times New Roman"/>
        </w:rPr>
        <w:t xml:space="preserve">to </w:t>
      </w:r>
      <w:r w:rsidRPr="00333E28">
        <w:rPr>
          <w:rFonts w:cs="Times New Roman"/>
          <w:i/>
          <w:iCs/>
        </w:rPr>
        <w:t xml:space="preserve">P. </w:t>
      </w:r>
      <w:proofErr w:type="spellStart"/>
      <w:r w:rsidRPr="00333E28">
        <w:rPr>
          <w:rFonts w:cs="Times New Roman"/>
          <w:i/>
          <w:iCs/>
        </w:rPr>
        <w:t>deltoides</w:t>
      </w:r>
      <w:proofErr w:type="spellEnd"/>
      <w:r>
        <w:rPr>
          <w:rFonts w:cs="Times New Roman"/>
          <w:i/>
          <w:iCs/>
        </w:rPr>
        <w:t>.</w:t>
      </w:r>
      <w:r>
        <w:rPr>
          <w:rFonts w:cs="Times New Roman"/>
        </w:rPr>
        <w:t xml:space="preserve"> Whole genome level synteny and structural variation was determined through whole genome alignment between </w:t>
      </w:r>
      <w:r w:rsidRPr="00333E28">
        <w:rPr>
          <w:rFonts w:cs="Times New Roman"/>
          <w:i/>
          <w:iCs/>
        </w:rPr>
        <w:t xml:space="preserve">P. </w:t>
      </w:r>
      <w:proofErr w:type="spellStart"/>
      <w:r w:rsidRPr="00333E28">
        <w:rPr>
          <w:rFonts w:cs="Times New Roman"/>
          <w:i/>
          <w:iCs/>
        </w:rPr>
        <w:t>trichocarpa</w:t>
      </w:r>
      <w:proofErr w:type="spellEnd"/>
      <w:r>
        <w:rPr>
          <w:rFonts w:cs="Times New Roman"/>
          <w:i/>
          <w:iCs/>
        </w:rPr>
        <w:t xml:space="preserve"> </w:t>
      </w:r>
      <w:r>
        <w:rPr>
          <w:rFonts w:cs="Times New Roman"/>
        </w:rPr>
        <w:t xml:space="preserve">and </w:t>
      </w:r>
      <w:r w:rsidRPr="00333E28">
        <w:rPr>
          <w:rFonts w:cs="Times New Roman"/>
          <w:i/>
          <w:iCs/>
        </w:rPr>
        <w:t xml:space="preserve">P. </w:t>
      </w:r>
      <w:proofErr w:type="spellStart"/>
      <w:r w:rsidRPr="00333E28">
        <w:rPr>
          <w:rFonts w:cs="Times New Roman"/>
          <w:i/>
          <w:iCs/>
        </w:rPr>
        <w:t>deltoides</w:t>
      </w:r>
      <w:proofErr w:type="spellEnd"/>
      <w:r>
        <w:rPr>
          <w:rFonts w:cs="Times New Roman"/>
          <w:i/>
          <w:iCs/>
        </w:rPr>
        <w:t xml:space="preserve"> </w:t>
      </w:r>
      <w:r>
        <w:rPr>
          <w:rFonts w:cs="Times New Roman"/>
        </w:rPr>
        <w:t xml:space="preserve">with </w:t>
      </w:r>
      <w:proofErr w:type="spellStart"/>
      <w:r>
        <w:rPr>
          <w:rFonts w:cs="Times New Roman"/>
        </w:rPr>
        <w:t>nucmer</w:t>
      </w:r>
      <w:proofErr w:type="spellEnd"/>
      <w:r>
        <w:rPr>
          <w:rFonts w:cs="Times New Roman"/>
        </w:rPr>
        <w:t xml:space="preserve"> v</w:t>
      </w:r>
      <w:r w:rsidRPr="005F0463">
        <w:rPr>
          <w:rFonts w:cs="Times New Roman"/>
        </w:rPr>
        <w:t>4.0.0rc1</w:t>
      </w:r>
      <w:r>
        <w:rPr>
          <w:rFonts w:cs="Times New Roman"/>
        </w:rPr>
        <w:t xml:space="preserve"> with the ‘</w:t>
      </w:r>
      <w:proofErr w:type="spellStart"/>
      <w:r>
        <w:rPr>
          <w:rFonts w:cs="Times New Roman"/>
        </w:rPr>
        <w:t>maxmatch</w:t>
      </w:r>
      <w:proofErr w:type="spellEnd"/>
      <w:r>
        <w:rPr>
          <w:rFonts w:cs="Times New Roman"/>
        </w:rPr>
        <w:t xml:space="preserve">’ flag. From these alignments, structural rearrangement and synteny was identified with </w:t>
      </w:r>
      <w:proofErr w:type="spellStart"/>
      <w:r>
        <w:rPr>
          <w:rFonts w:cs="Times New Roman"/>
        </w:rPr>
        <w:t>SyRI</w:t>
      </w:r>
      <w:proofErr w:type="spellEnd"/>
      <w:r>
        <w:rPr>
          <w:rFonts w:cs="Times New Roman"/>
        </w:rPr>
        <w:t xml:space="preserve">, default parameters were used </w:t>
      </w:r>
      <w:r>
        <w:rPr>
          <w:rFonts w:cs="Times New Roman"/>
        </w:rPr>
        <w:fldChar w:fldCharType="begin" w:fldLock="1"/>
      </w:r>
      <w:r>
        <w:rPr>
          <w:rFonts w:cs="Times New Roman"/>
        </w:rPr>
        <w:instrText>ADDIN CSL_CITATION {"citationItems":[{"id":"ITEM-1","itemData":{"DOI":"10.1101/546622","ISSN":"2692-8205","abstract":"Genomic differences range from single nucleotide differences to complex structural variation. Current methods typically annotate only differences in sequence (ranging from SNPs to large indels) but do not consider the full complexity of structural rearrangements (including inversions, translocations and duplications), where highly similar sequence changes in location, orientation, or copy-number. Here we present SyRI, a pairwise whole-genome comparison tool for chromosome-level assemblies. SyRI starts by finding rearranged regions and then searches for differences in the sequences, which are distinguished for residing in syntenic or rearranged regions. This distinction is important, as rearranged regions are inherited differently compared to syntenic regions.","author":[{"dropping-particle":"","family":"Goel","given":"Manish","non-dropping-particle":"","parse-names":false,"suffix":""},{"dropping-particle":"","family":"Sun","given":"Hequan","non-dropping-particle":"","parse-names":false,"suffix":""},{"dropping-particle":"","family":"Jiao","given":"Wen Biao","non-dropping-particle":"","parse-names":false,"suffix":""},{"dropping-particle":"","family":"Schneeberger","given":"Korbinian","non-dropping-particle":"","parse-names":false,"suffix":""}],"container-title":"bioRxiv","id":"ITEM-1","issued":{"date-parts":[["2019"]]},"page":"1-13","publisher":"Genome Biology","title":"SyRI: Finding genomic rearrangements and local sequence differences from whole-genome assemblies","type":"article-journal"},"uris":["http://www.mendeley.com/documents/?uuid=39acaa26-0131-463b-bcf6-61f22f13219b"]}],"mendeley":{"formattedCitation":"(Goel, Sun, Jiao, &amp; Schneeberger, 2019)","manualFormatting":"(Goel et al., 2019)","plainTextFormattedCitation":"(Goel, Sun, Jiao, &amp; Schneeberger, 2019)","previouslyFormattedCitation":"(Goel et al. 2019)"},"properties":{"noteIndex":0},"schema":"https://github.com/citation-style-language/schema/raw/master/csl-citation.json"}</w:instrText>
      </w:r>
      <w:r>
        <w:rPr>
          <w:rFonts w:cs="Times New Roman"/>
        </w:rPr>
        <w:fldChar w:fldCharType="separate"/>
      </w:r>
      <w:r w:rsidRPr="001949DF">
        <w:rPr>
          <w:rFonts w:cs="Times New Roman"/>
          <w:noProof/>
        </w:rPr>
        <w:t>(Goel</w:t>
      </w:r>
      <w:r>
        <w:rPr>
          <w:rFonts w:cs="Times New Roman"/>
          <w:noProof/>
        </w:rPr>
        <w:t xml:space="preserve"> et al.</w:t>
      </w:r>
      <w:r w:rsidRPr="001949DF">
        <w:rPr>
          <w:rFonts w:cs="Times New Roman"/>
          <w:noProof/>
        </w:rPr>
        <w:t>, 2019)</w:t>
      </w:r>
      <w:r>
        <w:rPr>
          <w:rFonts w:cs="Times New Roman"/>
        </w:rPr>
        <w:fldChar w:fldCharType="end"/>
      </w:r>
      <w:r>
        <w:rPr>
          <w:rFonts w:cs="Times New Roman"/>
        </w:rPr>
        <w:t>.</w:t>
      </w:r>
    </w:p>
    <w:p w14:paraId="518B5826" w14:textId="77777777" w:rsidR="00636B5B" w:rsidRDefault="00636B5B" w:rsidP="00EE03F0">
      <w:pPr>
        <w:rPr>
          <w:rFonts w:cs="Times New Roman"/>
          <w:b/>
          <w:bCs/>
        </w:rPr>
      </w:pPr>
    </w:p>
    <w:p w14:paraId="69C1940D" w14:textId="77777777" w:rsidR="00636B5B" w:rsidRDefault="00636B5B" w:rsidP="00EE03F0">
      <w:pPr>
        <w:spacing w:line="360" w:lineRule="auto"/>
        <w:rPr>
          <w:rFonts w:cs="Times New Roman"/>
        </w:rPr>
      </w:pPr>
      <w:r>
        <w:rPr>
          <w:rFonts w:cs="Times New Roman"/>
          <w:b/>
          <w:bCs/>
        </w:rPr>
        <w:t xml:space="preserve">Comparative methylation analysis of NUPTs and NUMTs in </w:t>
      </w:r>
      <w:r w:rsidRPr="00333E28">
        <w:rPr>
          <w:rFonts w:cs="Times New Roman"/>
          <w:b/>
          <w:bCs/>
          <w:i/>
          <w:iCs/>
        </w:rPr>
        <w:t xml:space="preserve">P. </w:t>
      </w:r>
      <w:proofErr w:type="spellStart"/>
      <w:proofErr w:type="gramStart"/>
      <w:r w:rsidRPr="00333E28">
        <w:rPr>
          <w:rFonts w:cs="Times New Roman"/>
          <w:b/>
          <w:bCs/>
          <w:i/>
          <w:iCs/>
        </w:rPr>
        <w:t>trichocarpa</w:t>
      </w:r>
      <w:proofErr w:type="spellEnd"/>
      <w:r>
        <w:rPr>
          <w:rFonts w:cs="Times New Roman"/>
          <w:b/>
          <w:bCs/>
          <w:i/>
          <w:iCs/>
        </w:rPr>
        <w:t xml:space="preserve"> </w:t>
      </w:r>
      <w:r>
        <w:rPr>
          <w:rFonts w:cs="Times New Roman"/>
          <w:b/>
          <w:bCs/>
        </w:rPr>
        <w:t xml:space="preserve"> and</w:t>
      </w:r>
      <w:proofErr w:type="gramEnd"/>
      <w:r>
        <w:rPr>
          <w:rFonts w:cs="Times New Roman"/>
          <w:b/>
          <w:bCs/>
        </w:rPr>
        <w:t xml:space="preserve"> </w:t>
      </w:r>
      <w:r w:rsidRPr="00333E28">
        <w:rPr>
          <w:rFonts w:cs="Times New Roman"/>
          <w:b/>
          <w:bCs/>
          <w:i/>
          <w:iCs/>
        </w:rPr>
        <w:t xml:space="preserve">P. </w:t>
      </w:r>
      <w:proofErr w:type="spellStart"/>
      <w:r w:rsidRPr="00333E28">
        <w:rPr>
          <w:rFonts w:cs="Times New Roman"/>
          <w:b/>
          <w:bCs/>
          <w:i/>
          <w:iCs/>
        </w:rPr>
        <w:t>deltoides</w:t>
      </w:r>
      <w:proofErr w:type="spellEnd"/>
      <w:r>
        <w:rPr>
          <w:rFonts w:cs="Times New Roman"/>
          <w:b/>
          <w:bCs/>
          <w:i/>
          <w:iCs/>
        </w:rPr>
        <w:t>:</w:t>
      </w:r>
      <w:r w:rsidRPr="005D1D88">
        <w:rPr>
          <w:rFonts w:cs="Times New Roman"/>
          <w:b/>
          <w:bCs/>
          <w:i/>
          <w:iCs/>
        </w:rPr>
        <w:t xml:space="preserve"> </w:t>
      </w:r>
      <w:r w:rsidRPr="005D1D88">
        <w:rPr>
          <w:rFonts w:cs="Times New Roman"/>
        </w:rPr>
        <w:t xml:space="preserve">Fresh young leaf tissue (approximately 100 mg) was collected and ground in liquid nitrogen using the Qiagen </w:t>
      </w:r>
      <w:proofErr w:type="spellStart"/>
      <w:r w:rsidRPr="005D1D88">
        <w:rPr>
          <w:rFonts w:cs="Times New Roman"/>
        </w:rPr>
        <w:t>TissueLyser</w:t>
      </w:r>
      <w:proofErr w:type="spellEnd"/>
      <w:r w:rsidRPr="005D1D88">
        <w:rPr>
          <w:rFonts w:cs="Times New Roman"/>
        </w:rPr>
        <w:t xml:space="preserve"> II with one 5mm stainless steel bead. DNA extraction was performed using a modified CTAB based protocol</w:t>
      </w:r>
      <w:r>
        <w:rPr>
          <w:rFonts w:cs="Times New Roman"/>
        </w:rPr>
        <w:t xml:space="preserve"> </w:t>
      </w:r>
      <w:r>
        <w:rPr>
          <w:rFonts w:cs="Times New Roman"/>
        </w:rPr>
        <w:fldChar w:fldCharType="begin" w:fldLock="1"/>
      </w:r>
      <w:r>
        <w:rPr>
          <w:rFonts w:cs="Times New Roman"/>
        </w:rPr>
        <w:instrText>ADDIN CSL_CITATION {"citationItems":[{"id":"ITEM-1","itemData":{"abstract":"Of the several rapid and inexpensive DNA isolation procedures that have been described recently, one of the most popular is that of Saghai-Maroof et ale (1984), a procedure using hexadecyltrimethylammonium bromide (CTAB) and lyophilized tissue.We here describe a simple modification of this procedure that has been found to be efficient for nucleic acid isolations from fresh leaf tissue, and which we have also used for dried herbarium specimens.","author":[{"dropping-particle":"","family":"Doyle","given":"J J","non-dropping-particle":"","parse-names":false,"suffix":""},{"dropping-particle":"","family":"Doyle","given":"J L","non-dropping-particle":"","parse-names":false,"suffix":""}],"container-title":"PHYTOCHEMICAL BULLETIN","id":"ITEM-1","issue":"RESEARCH","issued":{"date-parts":[["1987"]]},"publisher-place":"1987","title":"A rapid DNA isolation procedure for small quantities of fresh leaf tissue","type":"article-journal"},"uris":["http://www.mendeley.com/documents/?uuid=7a4a7f4c-f7cb-4084-bd73-8ef8a440af85"]}],"mendeley":{"formattedCitation":"(Doyle &amp; Doyle, 1987)","plainTextFormattedCitation":"(Doyle &amp; Doyle, 1987)","previouslyFormattedCitation":"(Doyle &amp; Doyle 1987)"},"properties":{"noteIndex":0},"schema":"https://github.com/citation-style-language/schema/raw/master/csl-citation.json"}</w:instrText>
      </w:r>
      <w:r>
        <w:rPr>
          <w:rFonts w:cs="Times New Roman"/>
        </w:rPr>
        <w:fldChar w:fldCharType="separate"/>
      </w:r>
      <w:r w:rsidRPr="00EE03F0">
        <w:rPr>
          <w:rFonts w:cs="Times New Roman"/>
          <w:noProof/>
        </w:rPr>
        <w:t>(Doyle &amp; Doyle, 1987)</w:t>
      </w:r>
      <w:r>
        <w:rPr>
          <w:rFonts w:cs="Times New Roman"/>
        </w:rPr>
        <w:fldChar w:fldCharType="end"/>
      </w:r>
      <w:r w:rsidRPr="005D1D88">
        <w:rPr>
          <w:rFonts w:cs="Times New Roman"/>
        </w:rPr>
        <w:t xml:space="preserve">. Briefly, the organic and aqueous phase were extracted using </w:t>
      </w:r>
      <w:proofErr w:type="spellStart"/>
      <w:r w:rsidRPr="005D1D88">
        <w:rPr>
          <w:rFonts w:cs="Times New Roman"/>
        </w:rPr>
        <w:t>chloroform:isoamyl</w:t>
      </w:r>
      <w:proofErr w:type="spellEnd"/>
      <w:r w:rsidRPr="005D1D88">
        <w:rPr>
          <w:rFonts w:cs="Times New Roman"/>
        </w:rPr>
        <w:t xml:space="preserve"> alcohol 24:1. After separation, a SPRI bead solution was used to select for reads greater than 1kb</w:t>
      </w:r>
      <w:r>
        <w:rPr>
          <w:rFonts w:cs="Times New Roman"/>
        </w:rPr>
        <w:t xml:space="preserve"> </w:t>
      </w:r>
      <w:r>
        <w:rPr>
          <w:rFonts w:cs="Times New Roman"/>
        </w:rPr>
        <w:fldChar w:fldCharType="begin" w:fldLock="1"/>
      </w:r>
      <w:r>
        <w:rPr>
          <w:rFonts w:cs="Times New Roman"/>
        </w:rPr>
        <w:instrText>ADDIN CSL_CITATION {"citationItems":[{"id":"ITEM-1","itemData":{"DOI":"10.2144/000114460","ISSN":"19409818","PMID":"27712583","abstract":"De novo sequencing of complex genomes is one of the main challenges for researchers seeking high-quality reference sequences. Many de novo assemblies are based on short reads, producing fragmented genome sequences. Third-generation sequencing, with read lengths &gt;10 kb, will improve the assembly of complex genomes, but these techniques require high-molecular-weight genomic DNA (gDNA), and gDNA extraction protocols used for obtaining smaller fragments for short-read sequencing are not suitable for this purpose. Methods of preparing gDNA for bacterial artificial chromosome (BAC) libraries could be adapted, but these approaches are time-consuming, and commercial kits for these methods are expensive. Here, we present a protocol for rapid, inexpensive extraction of high-molecular-weight gDNA from bacteria, plants, and animals. Our technique was validated using sunflower leaf samples, producing a mean read length of 12.6 kb and a maximum read length of 80 kb.","author":[{"dropping-particle":"","family":"Mayjonade","given":"Baptiste","non-dropping-particle":"","parse-names":false,"suffix":""},{"dropping-particle":"","family":"Gouzy","given":"Jérôme","non-dropping-particle":"","parse-names":false,"suffix":""},{"dropping-particle":"","family":"Donnadieu","given":"Cécile","non-dropping-particle":"","parse-names":false,"suffix":""},{"dropping-particle":"","family":"Pouilly","given":"Nicolas","non-dropping-particle":"","parse-names":false,"suffix":""},{"dropping-particle":"","family":"Marande","given":"William","non-dropping-particle":"","parse-names":false,"suffix":""},{"dropping-particle":"","family":"Callot","given":"Caroline","non-dropping-particle":"","parse-names":false,"suffix":""},{"dropping-particle":"","family":"Langlade","given":"Nicolas","non-dropping-particle":"","parse-names":false,"suffix":""},{"dropping-particle":"","family":"Muños","given":"Stéphane","non-dropping-particle":"","parse-names":false,"suffix":""}],"container-title":"BioTechniques","id":"ITEM-1","issue":"4","issued":{"date-parts":[["2016"]]},"page":"203-205","title":"Extraction of high-molecular-weight genomic DNA for long-read sequencing of single molecules","type":"article-journal","volume":"61"},"uris":["http://www.mendeley.com/documents/?uuid=34ca6462-c3be-4cc0-b745-d7f270435413"]}],"mendeley":{"formattedCitation":"(Mayjonade et al., 2016)","plainTextFormattedCitation":"(Mayjonade et al., 2016)","previouslyFormattedCitation":"(Mayjonade et al. 2016)"},"properties":{"noteIndex":0},"schema":"https://github.com/citation-style-language/schema/raw/master/csl-citation.json"}</w:instrText>
      </w:r>
      <w:r>
        <w:rPr>
          <w:rFonts w:cs="Times New Roman"/>
        </w:rPr>
        <w:fldChar w:fldCharType="separate"/>
      </w:r>
      <w:r w:rsidRPr="00EE03F0">
        <w:rPr>
          <w:rFonts w:cs="Times New Roman"/>
          <w:noProof/>
        </w:rPr>
        <w:t xml:space="preserve">(Mayjonade et al., </w:t>
      </w:r>
      <w:r w:rsidRPr="00EE03F0">
        <w:rPr>
          <w:rFonts w:cs="Times New Roman"/>
          <w:noProof/>
        </w:rPr>
        <w:lastRenderedPageBreak/>
        <w:t>2016)</w:t>
      </w:r>
      <w:r>
        <w:rPr>
          <w:rFonts w:cs="Times New Roman"/>
        </w:rPr>
        <w:fldChar w:fldCharType="end"/>
      </w:r>
      <w:r w:rsidRPr="005D1D88">
        <w:rPr>
          <w:rFonts w:cs="Times New Roman"/>
        </w:rPr>
        <w:t>. Following extraction, 1 ug of DNA was used as input to Oxford Nanopore’s genomic DNA by ligation sequencing kit (SQK-LSK109)</w:t>
      </w:r>
      <w:r>
        <w:rPr>
          <w:rFonts w:cs="Times New Roman"/>
        </w:rPr>
        <w:t xml:space="preserve"> and the subsequent library was sequenced on a R.9.4.1 flow cell</w:t>
      </w:r>
      <w:r w:rsidRPr="005D1D88">
        <w:rPr>
          <w:rFonts w:cs="Times New Roman"/>
        </w:rPr>
        <w:t>.</w:t>
      </w:r>
      <w:r>
        <w:rPr>
          <w:rFonts w:cs="Times New Roman"/>
        </w:rPr>
        <w:t xml:space="preserve"> Coverage generated was 86X and 69X in </w:t>
      </w:r>
      <w:r w:rsidRPr="00333E28">
        <w:rPr>
          <w:rFonts w:cs="Times New Roman"/>
          <w:i/>
          <w:iCs/>
        </w:rPr>
        <w:t xml:space="preserve">P. </w:t>
      </w:r>
      <w:proofErr w:type="spellStart"/>
      <w:r w:rsidRPr="00333E28">
        <w:rPr>
          <w:rFonts w:cs="Times New Roman"/>
          <w:i/>
          <w:iCs/>
        </w:rPr>
        <w:t>trichocarpa</w:t>
      </w:r>
      <w:proofErr w:type="spellEnd"/>
      <w:r>
        <w:rPr>
          <w:rFonts w:cs="Times New Roman"/>
          <w:i/>
          <w:iCs/>
        </w:rPr>
        <w:t xml:space="preserve"> </w:t>
      </w:r>
      <w:r>
        <w:rPr>
          <w:rFonts w:cs="Times New Roman"/>
        </w:rPr>
        <w:t xml:space="preserve">and </w:t>
      </w:r>
      <w:r w:rsidRPr="00333E28">
        <w:rPr>
          <w:rFonts w:cs="Times New Roman"/>
          <w:i/>
          <w:iCs/>
        </w:rPr>
        <w:t xml:space="preserve">P. </w:t>
      </w:r>
      <w:proofErr w:type="spellStart"/>
      <w:r w:rsidRPr="00333E28">
        <w:rPr>
          <w:rFonts w:cs="Times New Roman"/>
          <w:i/>
          <w:iCs/>
        </w:rPr>
        <w:t>deltoides</w:t>
      </w:r>
      <w:proofErr w:type="spellEnd"/>
      <w:r>
        <w:rPr>
          <w:rFonts w:cs="Times New Roman"/>
          <w:i/>
          <w:iCs/>
        </w:rPr>
        <w:t xml:space="preserve">, </w:t>
      </w:r>
      <w:r>
        <w:rPr>
          <w:rFonts w:cs="Times New Roman"/>
        </w:rPr>
        <w:t>respectively. Guppy v</w:t>
      </w:r>
      <w:r w:rsidRPr="00EF4A68">
        <w:rPr>
          <w:rFonts w:cs="Times New Roman"/>
        </w:rPr>
        <w:t>5.0.11</w:t>
      </w:r>
      <w:r>
        <w:rPr>
          <w:rFonts w:cs="Times New Roman"/>
        </w:rPr>
        <w:t xml:space="preserve"> was used to </w:t>
      </w:r>
      <w:proofErr w:type="spellStart"/>
      <w:r>
        <w:rPr>
          <w:rFonts w:cs="Times New Roman"/>
        </w:rPr>
        <w:t>basecall</w:t>
      </w:r>
      <w:proofErr w:type="spellEnd"/>
      <w:r>
        <w:rPr>
          <w:rFonts w:cs="Times New Roman"/>
        </w:rPr>
        <w:t xml:space="preserve"> the raw fast5 files with the ‘d</w:t>
      </w:r>
      <w:r w:rsidRPr="00EF4A68">
        <w:rPr>
          <w:rFonts w:cs="Times New Roman"/>
        </w:rPr>
        <w:t>na_r9.4.1_450bps_hac_prom.cf</w:t>
      </w:r>
      <w:r>
        <w:rPr>
          <w:rFonts w:cs="Times New Roman"/>
        </w:rPr>
        <w:t xml:space="preserve">g’ config file. </w:t>
      </w:r>
      <w:proofErr w:type="spellStart"/>
      <w:r>
        <w:rPr>
          <w:rFonts w:cs="Times New Roman"/>
        </w:rPr>
        <w:t>Tombo</w:t>
      </w:r>
      <w:proofErr w:type="spellEnd"/>
      <w:r>
        <w:rPr>
          <w:rFonts w:cs="Times New Roman"/>
        </w:rPr>
        <w:t xml:space="preserve"> v1.5.1 was used to align the fast5 files to the </w:t>
      </w:r>
      <w:r w:rsidRPr="00333E28">
        <w:rPr>
          <w:rFonts w:cs="Times New Roman"/>
          <w:i/>
          <w:iCs/>
        </w:rPr>
        <w:t xml:space="preserve">P. </w:t>
      </w:r>
      <w:proofErr w:type="spellStart"/>
      <w:r w:rsidRPr="00333E28">
        <w:rPr>
          <w:rFonts w:cs="Times New Roman"/>
          <w:i/>
          <w:iCs/>
        </w:rPr>
        <w:t>trichocarpa</w:t>
      </w:r>
      <w:proofErr w:type="spellEnd"/>
      <w:r>
        <w:rPr>
          <w:rFonts w:cs="Times New Roman"/>
          <w:i/>
          <w:iCs/>
        </w:rPr>
        <w:t xml:space="preserve"> </w:t>
      </w:r>
      <w:r>
        <w:rPr>
          <w:rFonts w:cs="Times New Roman"/>
        </w:rPr>
        <w:t xml:space="preserve">v3.0 and </w:t>
      </w:r>
      <w:r w:rsidRPr="00333E28">
        <w:rPr>
          <w:rFonts w:cs="Times New Roman"/>
          <w:i/>
          <w:iCs/>
        </w:rPr>
        <w:t xml:space="preserve">P. </w:t>
      </w:r>
      <w:proofErr w:type="spellStart"/>
      <w:r w:rsidRPr="00333E28">
        <w:rPr>
          <w:rFonts w:cs="Times New Roman"/>
          <w:i/>
          <w:iCs/>
        </w:rPr>
        <w:t>deltoides</w:t>
      </w:r>
      <w:proofErr w:type="spellEnd"/>
      <w:r>
        <w:rPr>
          <w:rFonts w:cs="Times New Roman"/>
        </w:rPr>
        <w:t xml:space="preserve"> v2.0</w:t>
      </w:r>
      <w:r>
        <w:rPr>
          <w:rFonts w:cs="Times New Roman"/>
          <w:i/>
          <w:iCs/>
        </w:rPr>
        <w:t xml:space="preserve"> </w:t>
      </w:r>
      <w:r>
        <w:rPr>
          <w:rFonts w:cs="Times New Roman"/>
        </w:rPr>
        <w:t xml:space="preserve">reference genomes which included the complete organelle genomes. </w:t>
      </w:r>
      <w:proofErr w:type="spellStart"/>
      <w:r>
        <w:rPr>
          <w:rFonts w:cs="Times New Roman"/>
        </w:rPr>
        <w:t>DeepSignal</w:t>
      </w:r>
      <w:proofErr w:type="spellEnd"/>
      <w:r>
        <w:rPr>
          <w:rFonts w:cs="Times New Roman"/>
        </w:rPr>
        <w:t xml:space="preserve"> plant was then used to call modifications with the ‘</w:t>
      </w:r>
      <w:r w:rsidRPr="00EF4A68">
        <w:rPr>
          <w:rFonts w:cs="Times New Roman"/>
        </w:rPr>
        <w:t>model.dp2.CNN.arabnrice2-1_120m_R9.4plus_tem.bn13_sn16.both_bilstm.epoch6.ckpt</w:t>
      </w:r>
      <w:r>
        <w:rPr>
          <w:rFonts w:cs="Times New Roman"/>
        </w:rPr>
        <w:t xml:space="preserve">’ model and calculate modification frequencies across the genome </w:t>
      </w:r>
      <w:r>
        <w:rPr>
          <w:rFonts w:cs="Times New Roman"/>
        </w:rPr>
        <w:fldChar w:fldCharType="begin" w:fldLock="1"/>
      </w:r>
      <w:r>
        <w:rPr>
          <w:rFonts w:cs="Times New Roman"/>
        </w:rPr>
        <w:instrText>ADDIN CSL_CITATION {"citationItems":[{"id":"ITEM-1","itemData":{"DOI":"10.1038/s41467-021-26278-9","ISSN":"20411723","PMID":"34645826","abstract":"In plants, cytosine DNA methylations (5mCs) can happen in three sequence contexts as CpG, CHG, and CHH (where H = A, C, or T), which play different roles in the regulation of biological processes. Although long Nanopore reads are advantageous in the detection of 5mCs comparing to short-read bisulfite sequencing, existing methods can only detect 5mCs in the CpG context, which limits their application in plants. Here, we develop DeepSignal-plant, a deep learning tool to detect genome-wide 5mCs of all three contexts in plants from Nanopore reads. We sequence Arabidopsis thaliana and Oryza sativa using both Nanopore and bisulfite sequencing. We develop a denoising process for training models, which enables DeepSignal-plant to achieve high correlations with bisulfite sequencing for 5mC detection in all three contexts. Furthermore, DeepSignal-plant can profile more 5mC sites, which will help to provide a more complete understanding of epigenetic mechanisms of different biological processes.","author":[{"dropping-particle":"","family":"Ni","given":"Peng","non-dropping-particle":"","parse-names":false,"suffix":""},{"dropping-particle":"","family":"Huang","given":"Neng","non-dropping-particle":"","parse-names":false,"suffix":""},{"dropping-particle":"","family":"Nie","given":"Fan","non-dropping-particle":"","parse-names":false,"suffix":""},{"dropping-particle":"","family":"Zhang","given":"Jun","non-dropping-particle":"","parse-names":false,"suffix":""},{"dropping-particle":"","family":"Zhang","given":"Zhi","non-dropping-particle":"","parse-names":false,"suffix":""},{"dropping-particle":"","family":"Wu","given":"Bo","non-dropping-particle":"","parse-names":false,"suffix":""},{"dropping-particle":"","family":"Bai","given":"Lu","non-dropping-particle":"","parse-names":false,"suffix":""},{"dropping-particle":"","family":"Liu","given":"Wende","non-dropping-particle":"","parse-names":false,"suffix":""},{"dropping-particle":"Le","family":"Xiao","given":"Chuan","non-dropping-particle":"","parse-names":false,"suffix":""},{"dropping-particle":"","family":"Luo","given":"Feng","non-dropping-particle":"","parse-names":false,"suffix":""},{"dropping-particle":"","family":"Wang","given":"Jianxin","non-dropping-particle":"","parse-names":false,"suffix":""}],"container-title":"Nature Communications","id":"ITEM-1","issue":"1","issued":{"date-parts":[["2021"]]},"page":"1-11","title":"Genome-wide detection of cytosine methylations in plant from Nanopore data using deep learning","type":"article-journal","volume":"12"},"uris":["http://www.mendeley.com/documents/?uuid=e23e2d80-5786-4d4c-9e0a-dba76e533fc2"]}],"mendeley":{"formattedCitation":"(Ni et al., 2021)","plainTextFormattedCitation":"(Ni et al., 2021)","previouslyFormattedCitation":"(Ni et al. 2021)"},"properties":{"noteIndex":0},"schema":"https://github.com/citation-style-language/schema/raw/master/csl-citation.json"}</w:instrText>
      </w:r>
      <w:r>
        <w:rPr>
          <w:rFonts w:cs="Times New Roman"/>
        </w:rPr>
        <w:fldChar w:fldCharType="separate"/>
      </w:r>
      <w:r w:rsidRPr="00EE03F0">
        <w:rPr>
          <w:rFonts w:cs="Times New Roman"/>
          <w:noProof/>
        </w:rPr>
        <w:t>(Ni et al., 2021)</w:t>
      </w:r>
      <w:r>
        <w:rPr>
          <w:rFonts w:cs="Times New Roman"/>
        </w:rPr>
        <w:fldChar w:fldCharType="end"/>
      </w:r>
      <w:r>
        <w:rPr>
          <w:rFonts w:cs="Times New Roman"/>
        </w:rPr>
        <w:t>. Modification sites with greater than or equal to five mapped reads were retained for all subsequent analysis.</w:t>
      </w:r>
    </w:p>
    <w:p w14:paraId="4259A64B" w14:textId="77777777" w:rsidR="00636B5B" w:rsidRDefault="00636B5B" w:rsidP="00EE03F0">
      <w:pPr>
        <w:spacing w:line="360" w:lineRule="auto"/>
        <w:rPr>
          <w:rFonts w:cs="Times New Roman"/>
        </w:rPr>
      </w:pPr>
    </w:p>
    <w:p w14:paraId="044D507C" w14:textId="77777777" w:rsidR="00636B5B" w:rsidRDefault="00636B5B" w:rsidP="00EE03F0">
      <w:pPr>
        <w:widowControl w:val="0"/>
        <w:autoSpaceDE w:val="0"/>
        <w:autoSpaceDN w:val="0"/>
        <w:adjustRightInd w:val="0"/>
        <w:spacing w:line="360" w:lineRule="auto"/>
        <w:rPr>
          <w:rFonts w:cs="Times New Roman"/>
        </w:rPr>
      </w:pPr>
      <w:r>
        <w:rPr>
          <w:rFonts w:cs="Times New Roman"/>
          <w:b/>
          <w:bCs/>
        </w:rPr>
        <w:t xml:space="preserve">Alignment, synteny, and </w:t>
      </w:r>
      <w:proofErr w:type="spellStart"/>
      <w:r>
        <w:rPr>
          <w:rFonts w:cs="Times New Roman"/>
          <w:b/>
          <w:bCs/>
        </w:rPr>
        <w:t>orthogroup</w:t>
      </w:r>
      <w:proofErr w:type="spellEnd"/>
      <w:r>
        <w:rPr>
          <w:rFonts w:cs="Times New Roman"/>
          <w:b/>
          <w:bCs/>
        </w:rPr>
        <w:t xml:space="preserve"> analysis of the whole chloroplast genome insertion event in </w:t>
      </w:r>
      <w:r w:rsidRPr="00333E28">
        <w:rPr>
          <w:rFonts w:cs="Times New Roman"/>
          <w:b/>
          <w:bCs/>
          <w:i/>
          <w:iCs/>
        </w:rPr>
        <w:t xml:space="preserve">P. </w:t>
      </w:r>
      <w:proofErr w:type="spellStart"/>
      <w:r w:rsidRPr="00333E28">
        <w:rPr>
          <w:rFonts w:cs="Times New Roman"/>
          <w:b/>
          <w:bCs/>
          <w:i/>
          <w:iCs/>
        </w:rPr>
        <w:t>trichocarpa</w:t>
      </w:r>
      <w:proofErr w:type="spellEnd"/>
      <w:r>
        <w:rPr>
          <w:rFonts w:cs="Times New Roman"/>
          <w:b/>
          <w:bCs/>
          <w:i/>
          <w:iCs/>
        </w:rPr>
        <w:t xml:space="preserve"> </w:t>
      </w:r>
      <w:r>
        <w:rPr>
          <w:rFonts w:cs="Times New Roman"/>
          <w:b/>
          <w:bCs/>
        </w:rPr>
        <w:t xml:space="preserve">and </w:t>
      </w:r>
      <w:r w:rsidRPr="00333E28">
        <w:rPr>
          <w:rFonts w:cs="Times New Roman"/>
          <w:b/>
          <w:bCs/>
          <w:i/>
          <w:iCs/>
        </w:rPr>
        <w:t xml:space="preserve">P. </w:t>
      </w:r>
      <w:proofErr w:type="spellStart"/>
      <w:r w:rsidRPr="00333E28">
        <w:rPr>
          <w:rFonts w:cs="Times New Roman"/>
          <w:b/>
          <w:bCs/>
          <w:i/>
          <w:iCs/>
        </w:rPr>
        <w:t>deltoides</w:t>
      </w:r>
      <w:proofErr w:type="spellEnd"/>
      <w:r>
        <w:rPr>
          <w:rFonts w:cs="Times New Roman"/>
          <w:b/>
          <w:bCs/>
        </w:rPr>
        <w:t xml:space="preserve">: </w:t>
      </w:r>
      <w:r>
        <w:rPr>
          <w:rFonts w:cs="Times New Roman"/>
        </w:rPr>
        <w:t xml:space="preserve">Whole genome alignment was performed as described by </w:t>
      </w:r>
      <w:r>
        <w:rPr>
          <w:rFonts w:cs="Times New Roman"/>
        </w:rPr>
        <w:fldChar w:fldCharType="begin" w:fldLock="1"/>
      </w:r>
      <w:r>
        <w:rPr>
          <w:rFonts w:cs="Times New Roman"/>
        </w:rPr>
        <w:instrText>ADDIN CSL_CITATION {"citationItems":[{"id":"ITEM-1","itemData":{"DOI":"10.3389/fpls.2017.01050","ISSN":"1664462X","abstract":"Chloroplast genomes of plants are highly conserved in both gene order and gene content. Analysis of the whole chloroplast genome is known to provide much more informative DNA sites and thus generates high resolution for plant phylogenies. Here, we report the complete chloroplast genomes of three Salix species in family Salicaceae. Phylogeny of Salicaceae inferred from complete chloroplast genomes is generally consistent with previous studies but resolved with higher statistical support. Incongruences of phylogeny, however, are observed in genus Populus, which most likely results from homoplasy. By comparing three Salix chloroplast genomes with the published chloroplast genomes of other Salicaceae species, we demonstrate that the synteny and length of chloroplast genomes in Salicaceae are highly conserved but experienced dynamic evolution among species. We identify seven positively selected chloroplast genes in Salicaceae, which might be related to the adaptive evolution of Salicaceae species. Comparative chloroplast genome analysis within the family also indicates that some chloroplast genes are lost or became pseudogenes, infer that the chloroplast genes horizontally transferred to the nucleus genome. Based on the complete nucleus genome sequences from two Salicaceae species, we remarkably identify that the entire chloroplast genome is indeed transferred and integrated to the nucleus genome in the individual of the reference genome of P. trichocarpa at least once. This observation, along with presence of the large nuclear plastid DNA (NUPTs) and NUPTs-containing multiple chloroplast genes in their original order in the chloroplast genome, favors the DNA-mediated hypothesis of organelle to nucleus DNA transfer. Overall, the phylogenomic analysis using chloroplast complete genomes clearly elucidates the phylogeny of Salicaceae. The identification of positively selected chloroplast genes and dynamic chloroplast-to-nucleus gene transfers in Salicaceae provide resources to better understand the successful adaptation of Salicaceae species.","author":[{"dropping-particle":"","family":"Huang","given":"Yuan","non-dropping-particle":"","parse-names":false,"suffix":""},{"dropping-particle":"","family":"Wang","given":"Jun","non-dropping-particle":"","parse-names":false,"suffix":""},{"dropping-particle":"","family":"Yang","given":"Yongping","non-dropping-particle":"","parse-names":false,"suffix":""},{"dropping-particle":"","family":"Fan","given":"Chuanzhu","non-dropping-particle":"","parse-names":false,"suffix":""},{"dropping-particle":"","family":"Chen","given":"Jiahui","non-dropping-particle":"","parse-names":false,"suffix":""}],"container-title":"Frontiers in Plant Science","id":"ITEM-1","issue":"June","issued":{"date-parts":[["2017"]]},"page":"1-13","title":"Phylogenomic analysis and dynamic evolution of chloroplast genomes in salicaceae","type":"article-journal","volume":"8"},"uris":["http://www.mendeley.com/documents/?uuid=9ac21e2f-6e3f-4ac6-accc-519fbac0dffb"]}],"mendeley":{"formattedCitation":"(Y. Huang et al., 2017)","plainTextFormattedCitation":"(Y. Huang et al., 2017)","previouslyFormattedCitation":"(Huang et al. 2017)"},"properties":{"noteIndex":0},"schema":"https://github.com/citation-style-language/schema/raw/master/csl-citation.json"}</w:instrText>
      </w:r>
      <w:r>
        <w:rPr>
          <w:rFonts w:cs="Times New Roman"/>
        </w:rPr>
        <w:fldChar w:fldCharType="separate"/>
      </w:r>
      <w:r w:rsidRPr="00EE03F0">
        <w:rPr>
          <w:rFonts w:cs="Times New Roman"/>
          <w:noProof/>
        </w:rPr>
        <w:t>(Y. Huang et al., 2017)</w:t>
      </w:r>
      <w:r>
        <w:rPr>
          <w:rFonts w:cs="Times New Roman"/>
        </w:rPr>
        <w:fldChar w:fldCharType="end"/>
      </w:r>
      <w:r>
        <w:rPr>
          <w:rFonts w:cs="Times New Roman"/>
        </w:rPr>
        <w:t xml:space="preserve">. Briefly, the chloroplast sequence was aligned to the nuclear genome with </w:t>
      </w:r>
      <w:proofErr w:type="spellStart"/>
      <w:r>
        <w:rPr>
          <w:rFonts w:cs="Times New Roman"/>
        </w:rPr>
        <w:t>lastz</w:t>
      </w:r>
      <w:proofErr w:type="spellEnd"/>
      <w:r>
        <w:rPr>
          <w:rFonts w:cs="Times New Roman"/>
        </w:rPr>
        <w:t xml:space="preserve"> v1.0.2 with the ‘chain’ flag. Next, the ‘</w:t>
      </w:r>
      <w:proofErr w:type="spellStart"/>
      <w:r>
        <w:rPr>
          <w:rFonts w:cs="Times New Roman"/>
        </w:rPr>
        <w:t>lav</w:t>
      </w:r>
      <w:proofErr w:type="spellEnd"/>
      <w:r>
        <w:rPr>
          <w:rFonts w:cs="Times New Roman"/>
        </w:rPr>
        <w:t>’ output was converted to ‘</w:t>
      </w:r>
      <w:proofErr w:type="spellStart"/>
      <w:r>
        <w:rPr>
          <w:rFonts w:cs="Times New Roman"/>
        </w:rPr>
        <w:t>axt</w:t>
      </w:r>
      <w:proofErr w:type="spellEnd"/>
      <w:r>
        <w:rPr>
          <w:rFonts w:cs="Times New Roman"/>
        </w:rPr>
        <w:t xml:space="preserve">’ format with </w:t>
      </w:r>
      <w:proofErr w:type="spellStart"/>
      <w:r>
        <w:rPr>
          <w:rFonts w:cs="Times New Roman"/>
        </w:rPr>
        <w:t>lavToAxt</w:t>
      </w:r>
      <w:proofErr w:type="spellEnd"/>
      <w:r>
        <w:rPr>
          <w:rFonts w:cs="Times New Roman"/>
        </w:rPr>
        <w:t xml:space="preserve"> which was then converted to chain format with </w:t>
      </w:r>
      <w:proofErr w:type="spellStart"/>
      <w:r>
        <w:rPr>
          <w:rFonts w:cs="Times New Roman"/>
        </w:rPr>
        <w:t>axtChain</w:t>
      </w:r>
      <w:proofErr w:type="spellEnd"/>
      <w:r>
        <w:rPr>
          <w:rFonts w:cs="Times New Roman"/>
        </w:rPr>
        <w:t xml:space="preserve">. </w:t>
      </w:r>
      <w:proofErr w:type="spellStart"/>
      <w:r>
        <w:rPr>
          <w:rFonts w:cs="Times New Roman"/>
        </w:rPr>
        <w:t>Orthogroups</w:t>
      </w:r>
      <w:proofErr w:type="spellEnd"/>
      <w:r>
        <w:rPr>
          <w:rFonts w:cs="Times New Roman"/>
        </w:rPr>
        <w:t xml:space="preserve"> were identified from with </w:t>
      </w:r>
      <w:proofErr w:type="spellStart"/>
      <w:r>
        <w:rPr>
          <w:rFonts w:cs="Times New Roman"/>
        </w:rPr>
        <w:t>Orthofinder</w:t>
      </w:r>
      <w:proofErr w:type="spellEnd"/>
      <w:r>
        <w:rPr>
          <w:rFonts w:cs="Times New Roman"/>
        </w:rPr>
        <w:t xml:space="preserve"> v2.5.4 with default parameters, primary protein isoforms were used </w:t>
      </w:r>
      <w:r>
        <w:rPr>
          <w:rFonts w:cs="Times New Roman"/>
        </w:rPr>
        <w:fldChar w:fldCharType="begin" w:fldLock="1"/>
      </w:r>
      <w:r>
        <w:rPr>
          <w:rFonts w:cs="Times New Roman"/>
        </w:rPr>
        <w:instrText>ADDIN CSL_CITATION {"citationItems":[{"id":"ITEM-1","itemData":{"DOI":"10.1101/466201","ISSN":"1474-760X","abstract":"Here, we present a major advance of the OrthoFinder method. This extends OrthoFinder’s high accuracy orthogroup inference to provide phylogenetic inference of orthologs, rooted genes trees, gene duplication events, the rooted species tree, and comparative genomic statistics. Each output is benchmarked on appropriate real or simulated datasets and, where comparable methods exist, OrthoFinder is equivalent to or outperforms these methods. Furthermore, OrthoFinder is the most accurate ortholog inference method on the Quest for Orthologs benchmark test. Finally, OrthoFinder’s comprehensive phylogenetic analysis is achieved with equivalent speed and scalability to the fastest, score-based heuristic methods. OrthoFinder is available at https://github.com/davidemms/OrthoFinder.","author":[{"dropping-particle":"","family":"Emms","given":"David M.","non-dropping-particle":"","parse-names":false,"suffix":""},{"dropping-particle":"","family":"Kelly","given":"Steven","non-dropping-particle":"","parse-names":false,"suffix":""}],"container-title":"Genome Biology","id":"ITEM-1","issued":{"date-parts":[["2019"]]},"page":"1-14","publisher":"Genome Biology","title":"OrthoFinder: Phylogenetic orthology inference for comparative genomics","type":"article-journal"},"uris":["http://www.mendeley.com/documents/?uuid=b499e3b2-c407-49fc-ae11-8d9f75e1f829"]}],"mendeley":{"formattedCitation":"(Emms &amp; Kelly, 2019)","plainTextFormattedCitation":"(Emms &amp; Kelly, 2019)","previouslyFormattedCitation":"(Emms &amp; Kelly 2019)"},"properties":{"noteIndex":0},"schema":"https://github.com/citation-style-language/schema/raw/master/csl-citation.json"}</w:instrText>
      </w:r>
      <w:r>
        <w:rPr>
          <w:rFonts w:cs="Times New Roman"/>
        </w:rPr>
        <w:fldChar w:fldCharType="separate"/>
      </w:r>
      <w:r w:rsidRPr="00EE03F0">
        <w:rPr>
          <w:rFonts w:cs="Times New Roman"/>
          <w:noProof/>
        </w:rPr>
        <w:t>(Emms &amp; Kelly, 2019)</w:t>
      </w:r>
      <w:r>
        <w:rPr>
          <w:rFonts w:cs="Times New Roman"/>
        </w:rPr>
        <w:fldChar w:fldCharType="end"/>
      </w:r>
      <w:r>
        <w:rPr>
          <w:rFonts w:cs="Times New Roman"/>
        </w:rPr>
        <w:t xml:space="preserve">. The figure was generated with </w:t>
      </w:r>
      <w:proofErr w:type="spellStart"/>
      <w:r>
        <w:rPr>
          <w:rFonts w:cs="Times New Roman"/>
        </w:rPr>
        <w:t>gggenomes</w:t>
      </w:r>
      <w:proofErr w:type="spellEnd"/>
      <w:r>
        <w:rPr>
          <w:rFonts w:cs="Times New Roman"/>
        </w:rPr>
        <w:t xml:space="preserve"> </w:t>
      </w:r>
      <w:r>
        <w:rPr>
          <w:rFonts w:cs="Times New Roman"/>
        </w:rPr>
        <w:fldChar w:fldCharType="begin" w:fldLock="1"/>
      </w:r>
      <w:r>
        <w:rPr>
          <w:rFonts w:cs="Times New Roman"/>
        </w:rPr>
        <w:instrText>ADDIN CSL_CITATION {"citationItems":[{"id":"ITEM-1","itemData":{"DOI":"10.7554/eLife.72674","ISSN":"2050084X","abstract":"Virophages can parasitize giant DNA viruses and may provide adaptive anti-giant virus defense in unicellular eukaryotes. Under laboratory conditions, the virophage mavirus integrates into the nuclear genome of the marine flagellate Cafeteria burkhardae and reactivates upon super-infection with the giant virus CroV. In natural systems, however, the prevalence and diversity of host-virophage associations has not been systematically explored. Here, we report dozens of integrated virophages in four globally sampled C. burkhardae strains that constitute up to 2 % of their host genomes. These endogenous mavirus-like elements (EMALEs) separated into eight types based on GC-content, nucleotide similarity, and coding potential and carried diverse promoter motifs implicating interactions with different giant viruses. Between host strains, some EMALE insertion loci were conserved indicating ancient integration events, whereas the majority of insertion sites were unique to a given host strain suggesting that EMALEs are active and mobile. Furthermore, we uncovered a unique association between EMALEs and a group of tyrosine recombinase retrotransposons, revealing yet another layer of parasitism in this nested microbial system. Our findings show that virophages are widespread and dynamic in wild Cafeteria populations, supporting their potential role in antiviral defense in protists.","author":[{"dropping-particle":"","family":"Hackl","given":"Thomas","non-dropping-particle":"","parse-names":false,"suffix":""},{"dropping-particle":"","family":"Duponchel","given":"Sarah","non-dropping-particle":"","parse-names":false,"suffix":""},{"dropping-particle":"","family":"Barenhoff","given":"Karina","non-dropping-particle":"","parse-names":false,"suffix":""},{"dropping-particle":"","family":"Weinmann","given":"Alexa","non-dropping-particle":"","parse-names":false,"suffix":""},{"dropping-particle":"","family":"Fischer","given":"Matthias G.","non-dropping-particle":"","parse-names":false,"suffix":""}],"container-title":"eLife","id":"ITEM-1","issued":{"date-parts":[["2021"]]},"title":"Virophages and retrotransposons colonize the genomes of a heterotrophic flagellate","type":"article-journal","volume":"10"},"uris":["http://www.mendeley.com/documents/?uuid=e8c986bc-2cda-4b92-8826-94d0b4b5b58c"]}],"mendeley":{"formattedCitation":"(Hackl, Duponchel, Barenhoff, Weinmann, &amp; Fischer, 2021)","manualFormatting":"(Hackl et al., 2021)","plainTextFormattedCitation":"(Hackl, Duponchel, Barenhoff, Weinmann, &amp; Fischer, 2021)","previouslyFormattedCitation":"(Hackl et al. 2021)"},"properties":{"noteIndex":0},"schema":"https://github.com/citation-style-language/schema/raw/master/csl-citation.json"}</w:instrText>
      </w:r>
      <w:r>
        <w:rPr>
          <w:rFonts w:cs="Times New Roman"/>
        </w:rPr>
        <w:fldChar w:fldCharType="separate"/>
      </w:r>
      <w:r w:rsidRPr="003B6297">
        <w:rPr>
          <w:rFonts w:cs="Times New Roman"/>
          <w:noProof/>
        </w:rPr>
        <w:t>(Hackl</w:t>
      </w:r>
      <w:r>
        <w:rPr>
          <w:rFonts w:cs="Times New Roman"/>
          <w:noProof/>
        </w:rPr>
        <w:t xml:space="preserve"> et al., </w:t>
      </w:r>
      <w:r w:rsidRPr="003B6297">
        <w:rPr>
          <w:rFonts w:cs="Times New Roman"/>
          <w:noProof/>
        </w:rPr>
        <w:t>2021)</w:t>
      </w:r>
      <w:r>
        <w:rPr>
          <w:rFonts w:cs="Times New Roman"/>
        </w:rPr>
        <w:fldChar w:fldCharType="end"/>
      </w:r>
      <w:r>
        <w:rPr>
          <w:rFonts w:cs="Times New Roman"/>
        </w:rPr>
        <w:t>.</w:t>
      </w:r>
    </w:p>
    <w:p w14:paraId="2515523B" w14:textId="77777777" w:rsidR="00636B5B" w:rsidRDefault="00636B5B" w:rsidP="00EE03F0">
      <w:pPr>
        <w:widowControl w:val="0"/>
        <w:autoSpaceDE w:val="0"/>
        <w:autoSpaceDN w:val="0"/>
        <w:adjustRightInd w:val="0"/>
        <w:spacing w:line="360" w:lineRule="auto"/>
        <w:rPr>
          <w:rFonts w:cs="Times New Roman"/>
        </w:rPr>
      </w:pPr>
    </w:p>
    <w:p w14:paraId="3E006937" w14:textId="77777777" w:rsidR="00636B5B" w:rsidRDefault="00636B5B" w:rsidP="00EE03F0">
      <w:pPr>
        <w:widowControl w:val="0"/>
        <w:autoSpaceDE w:val="0"/>
        <w:autoSpaceDN w:val="0"/>
        <w:adjustRightInd w:val="0"/>
        <w:spacing w:line="360" w:lineRule="auto"/>
        <w:rPr>
          <w:rFonts w:cs="Times New Roman"/>
        </w:rPr>
      </w:pPr>
    </w:p>
    <w:p w14:paraId="30D13D45" w14:textId="77777777" w:rsidR="00636B5B" w:rsidRDefault="00636B5B" w:rsidP="00EE03F0">
      <w:pPr>
        <w:widowControl w:val="0"/>
        <w:autoSpaceDE w:val="0"/>
        <w:autoSpaceDN w:val="0"/>
        <w:adjustRightInd w:val="0"/>
        <w:spacing w:line="360" w:lineRule="auto"/>
        <w:rPr>
          <w:rFonts w:cs="Times New Roman"/>
        </w:rPr>
      </w:pPr>
    </w:p>
    <w:p w14:paraId="6628552F" w14:textId="77777777" w:rsidR="00636B5B" w:rsidRDefault="00636B5B" w:rsidP="00EE03F0">
      <w:pPr>
        <w:widowControl w:val="0"/>
        <w:autoSpaceDE w:val="0"/>
        <w:autoSpaceDN w:val="0"/>
        <w:adjustRightInd w:val="0"/>
        <w:spacing w:line="360" w:lineRule="auto"/>
        <w:rPr>
          <w:rFonts w:cs="Times New Roman"/>
        </w:rPr>
      </w:pPr>
    </w:p>
    <w:p w14:paraId="3458D31A" w14:textId="77777777" w:rsidR="00636B5B" w:rsidRDefault="00636B5B" w:rsidP="00EE03F0">
      <w:pPr>
        <w:widowControl w:val="0"/>
        <w:autoSpaceDE w:val="0"/>
        <w:autoSpaceDN w:val="0"/>
        <w:adjustRightInd w:val="0"/>
        <w:spacing w:line="360" w:lineRule="auto"/>
        <w:rPr>
          <w:rFonts w:cs="Times New Roman"/>
        </w:rPr>
      </w:pPr>
    </w:p>
    <w:p w14:paraId="4EA75CEB" w14:textId="77777777" w:rsidR="00636B5B" w:rsidRDefault="00636B5B" w:rsidP="00EE03F0">
      <w:pPr>
        <w:widowControl w:val="0"/>
        <w:autoSpaceDE w:val="0"/>
        <w:autoSpaceDN w:val="0"/>
        <w:adjustRightInd w:val="0"/>
        <w:spacing w:line="360" w:lineRule="auto"/>
        <w:rPr>
          <w:rFonts w:cs="Times New Roman"/>
        </w:rPr>
      </w:pPr>
    </w:p>
    <w:p w14:paraId="05A4805C" w14:textId="77777777" w:rsidR="00636B5B" w:rsidRDefault="00636B5B" w:rsidP="00EE03F0">
      <w:pPr>
        <w:widowControl w:val="0"/>
        <w:autoSpaceDE w:val="0"/>
        <w:autoSpaceDN w:val="0"/>
        <w:adjustRightInd w:val="0"/>
        <w:spacing w:line="360" w:lineRule="auto"/>
        <w:rPr>
          <w:rFonts w:cs="Times New Roman"/>
        </w:rPr>
      </w:pPr>
    </w:p>
    <w:p w14:paraId="12DD0CDC" w14:textId="77777777" w:rsidR="00636B5B" w:rsidRDefault="00636B5B" w:rsidP="00EE03F0">
      <w:pPr>
        <w:widowControl w:val="0"/>
        <w:autoSpaceDE w:val="0"/>
        <w:autoSpaceDN w:val="0"/>
        <w:adjustRightInd w:val="0"/>
        <w:spacing w:line="360" w:lineRule="auto"/>
        <w:rPr>
          <w:rFonts w:cs="Times New Roman"/>
        </w:rPr>
      </w:pPr>
    </w:p>
    <w:p w14:paraId="454319AE" w14:textId="77777777" w:rsidR="00636B5B" w:rsidRDefault="00636B5B" w:rsidP="00EE03F0">
      <w:pPr>
        <w:widowControl w:val="0"/>
        <w:autoSpaceDE w:val="0"/>
        <w:autoSpaceDN w:val="0"/>
        <w:adjustRightInd w:val="0"/>
        <w:spacing w:line="360" w:lineRule="auto"/>
        <w:rPr>
          <w:rFonts w:cs="Times New Roman"/>
        </w:rPr>
      </w:pPr>
    </w:p>
    <w:p w14:paraId="3A3D062C" w14:textId="77777777" w:rsidR="00636B5B" w:rsidRDefault="00636B5B" w:rsidP="00EE03F0">
      <w:pPr>
        <w:widowControl w:val="0"/>
        <w:autoSpaceDE w:val="0"/>
        <w:autoSpaceDN w:val="0"/>
        <w:adjustRightInd w:val="0"/>
        <w:spacing w:line="360" w:lineRule="auto"/>
        <w:rPr>
          <w:rFonts w:cs="Times New Roman"/>
        </w:rPr>
      </w:pPr>
    </w:p>
    <w:p w14:paraId="52229748" w14:textId="77777777" w:rsidR="00636B5B" w:rsidRDefault="00636B5B" w:rsidP="00EE03F0">
      <w:pPr>
        <w:widowControl w:val="0"/>
        <w:autoSpaceDE w:val="0"/>
        <w:autoSpaceDN w:val="0"/>
        <w:adjustRightInd w:val="0"/>
        <w:spacing w:line="360" w:lineRule="auto"/>
        <w:rPr>
          <w:rFonts w:cs="Times New Roman"/>
        </w:rPr>
      </w:pPr>
    </w:p>
    <w:p w14:paraId="14128212" w14:textId="77777777" w:rsidR="00636B5B" w:rsidRDefault="00636B5B" w:rsidP="00EE03F0">
      <w:pPr>
        <w:widowControl w:val="0"/>
        <w:autoSpaceDE w:val="0"/>
        <w:autoSpaceDN w:val="0"/>
        <w:adjustRightInd w:val="0"/>
        <w:rPr>
          <w:rFonts w:cs="Times New Roman"/>
        </w:rPr>
      </w:pPr>
    </w:p>
    <w:p w14:paraId="2514A902" w14:textId="77777777" w:rsidR="00636B5B" w:rsidRDefault="00636B5B" w:rsidP="00EE03F0">
      <w:pPr>
        <w:widowControl w:val="0"/>
        <w:autoSpaceDE w:val="0"/>
        <w:autoSpaceDN w:val="0"/>
        <w:adjustRightInd w:val="0"/>
        <w:jc w:val="center"/>
        <w:rPr>
          <w:b/>
          <w:bCs/>
          <w:sz w:val="28"/>
          <w:szCs w:val="26"/>
        </w:rPr>
      </w:pPr>
    </w:p>
    <w:p w14:paraId="5526C6E5" w14:textId="77777777" w:rsidR="00636B5B" w:rsidRDefault="00636B5B" w:rsidP="00CB6DEA">
      <w:pPr>
        <w:widowControl w:val="0"/>
        <w:autoSpaceDE w:val="0"/>
        <w:autoSpaceDN w:val="0"/>
        <w:adjustRightInd w:val="0"/>
        <w:rPr>
          <w:b/>
          <w:bCs/>
          <w:sz w:val="28"/>
          <w:szCs w:val="26"/>
        </w:rPr>
      </w:pPr>
    </w:p>
    <w:p w14:paraId="4BA91403" w14:textId="77777777" w:rsidR="00636B5B" w:rsidRPr="00EE03F0" w:rsidRDefault="00636B5B" w:rsidP="00EE03F0">
      <w:pPr>
        <w:widowControl w:val="0"/>
        <w:autoSpaceDE w:val="0"/>
        <w:autoSpaceDN w:val="0"/>
        <w:adjustRightInd w:val="0"/>
        <w:jc w:val="center"/>
        <w:rPr>
          <w:b/>
          <w:bCs/>
          <w:sz w:val="28"/>
          <w:szCs w:val="26"/>
        </w:rPr>
      </w:pPr>
      <w:r w:rsidRPr="00EE03F0">
        <w:rPr>
          <w:b/>
          <w:bCs/>
          <w:sz w:val="28"/>
          <w:szCs w:val="26"/>
        </w:rPr>
        <w:lastRenderedPageBreak/>
        <w:t>References</w:t>
      </w:r>
    </w:p>
    <w:p w14:paraId="3071823F" w14:textId="77777777" w:rsidR="00636B5B" w:rsidRPr="00EE03F0" w:rsidRDefault="00636B5B" w:rsidP="00EE03F0">
      <w:pPr>
        <w:widowControl w:val="0"/>
        <w:autoSpaceDE w:val="0"/>
        <w:autoSpaceDN w:val="0"/>
        <w:adjustRightInd w:val="0"/>
        <w:ind w:left="480" w:hanging="480"/>
        <w:rPr>
          <w:rFonts w:cs="Times New Roman"/>
          <w:noProof/>
          <w:szCs w:val="22"/>
        </w:rPr>
      </w:pPr>
      <w:r w:rsidRPr="00EE03F0">
        <w:rPr>
          <w:b/>
          <w:bCs/>
        </w:rPr>
        <w:fldChar w:fldCharType="begin" w:fldLock="1"/>
      </w:r>
      <w:r w:rsidRPr="00EE03F0">
        <w:rPr>
          <w:b/>
          <w:bCs/>
        </w:rPr>
        <w:instrText xml:space="preserve">ADDIN Mendeley Bibliography CSL_BIBLIOGRAPHY </w:instrText>
      </w:r>
      <w:r w:rsidRPr="00EE03F0">
        <w:rPr>
          <w:b/>
          <w:bCs/>
        </w:rPr>
        <w:fldChar w:fldCharType="separate"/>
      </w:r>
      <w:r w:rsidRPr="00EE03F0">
        <w:rPr>
          <w:rFonts w:cs="Times New Roman"/>
          <w:noProof/>
          <w:szCs w:val="22"/>
        </w:rPr>
        <w:t xml:space="preserve">Choi, M. N., Han, M., Lee, H., Park, H. S., Kim, M. Y., Kim, J. S., … Park, E. J. (2017). The complete mitochondrial genome sequence of Populus davidiana Dode. </w:t>
      </w:r>
      <w:r w:rsidRPr="00EE03F0">
        <w:rPr>
          <w:rFonts w:cs="Times New Roman"/>
          <w:i/>
          <w:iCs/>
          <w:noProof/>
          <w:szCs w:val="22"/>
        </w:rPr>
        <w:t>Mitochondrial DNA Part B: Resources</w:t>
      </w:r>
      <w:r w:rsidRPr="00EE03F0">
        <w:rPr>
          <w:rFonts w:cs="Times New Roman"/>
          <w:noProof/>
          <w:szCs w:val="22"/>
        </w:rPr>
        <w:t xml:space="preserve">, </w:t>
      </w:r>
      <w:r w:rsidRPr="00EE03F0">
        <w:rPr>
          <w:rFonts w:cs="Times New Roman"/>
          <w:i/>
          <w:iCs/>
          <w:noProof/>
          <w:szCs w:val="22"/>
        </w:rPr>
        <w:t>2</w:t>
      </w:r>
      <w:r w:rsidRPr="00EE03F0">
        <w:rPr>
          <w:rFonts w:cs="Times New Roman"/>
          <w:noProof/>
          <w:szCs w:val="22"/>
        </w:rPr>
        <w:t>(1), 113–114. https://doi.org/10.1080/23802359.2017.1289346</w:t>
      </w:r>
    </w:p>
    <w:p w14:paraId="0D9E657C" w14:textId="77777777" w:rsidR="00636B5B" w:rsidRPr="00EE03F0" w:rsidRDefault="00636B5B" w:rsidP="00EE03F0">
      <w:pPr>
        <w:widowControl w:val="0"/>
        <w:autoSpaceDE w:val="0"/>
        <w:autoSpaceDN w:val="0"/>
        <w:adjustRightInd w:val="0"/>
        <w:ind w:left="480" w:hanging="480"/>
        <w:rPr>
          <w:rFonts w:cs="Times New Roman"/>
          <w:noProof/>
          <w:szCs w:val="22"/>
        </w:rPr>
      </w:pPr>
      <w:r w:rsidRPr="00EE03F0">
        <w:rPr>
          <w:rFonts w:cs="Times New Roman"/>
          <w:noProof/>
          <w:szCs w:val="22"/>
        </w:rPr>
        <w:t xml:space="preserve">Dayama, G., Emery, S. B., Kidd, J. M., &amp; Mills, R. E. (2014). The genomic landscape of polymorphic human nuclear mitochondrial insertions. </w:t>
      </w:r>
      <w:r w:rsidRPr="00EE03F0">
        <w:rPr>
          <w:rFonts w:cs="Times New Roman"/>
          <w:i/>
          <w:iCs/>
          <w:noProof/>
          <w:szCs w:val="22"/>
        </w:rPr>
        <w:t>Nucleic Acids Research</w:t>
      </w:r>
      <w:r w:rsidRPr="00EE03F0">
        <w:rPr>
          <w:rFonts w:cs="Times New Roman"/>
          <w:noProof/>
          <w:szCs w:val="22"/>
        </w:rPr>
        <w:t xml:space="preserve">, </w:t>
      </w:r>
      <w:r w:rsidRPr="00EE03F0">
        <w:rPr>
          <w:rFonts w:cs="Times New Roman"/>
          <w:i/>
          <w:iCs/>
          <w:noProof/>
          <w:szCs w:val="22"/>
        </w:rPr>
        <w:t>42</w:t>
      </w:r>
      <w:r w:rsidRPr="00EE03F0">
        <w:rPr>
          <w:rFonts w:cs="Times New Roman"/>
          <w:noProof/>
          <w:szCs w:val="22"/>
        </w:rPr>
        <w:t>(20), 12640–12649. https://doi.org/10.1093/nar/gku1038</w:t>
      </w:r>
    </w:p>
    <w:p w14:paraId="10A7FB2D" w14:textId="77777777" w:rsidR="00636B5B" w:rsidRPr="00EE03F0" w:rsidRDefault="00636B5B" w:rsidP="00EE03F0">
      <w:pPr>
        <w:widowControl w:val="0"/>
        <w:autoSpaceDE w:val="0"/>
        <w:autoSpaceDN w:val="0"/>
        <w:adjustRightInd w:val="0"/>
        <w:ind w:left="480" w:hanging="480"/>
        <w:rPr>
          <w:rFonts w:cs="Times New Roman"/>
          <w:noProof/>
          <w:szCs w:val="22"/>
        </w:rPr>
      </w:pPr>
      <w:r w:rsidRPr="00EE03F0">
        <w:rPr>
          <w:rFonts w:cs="Times New Roman"/>
          <w:noProof/>
          <w:szCs w:val="22"/>
        </w:rPr>
        <w:t xml:space="preserve">Deusch, O., Landan, G., Roettger, M., Gruenheit, N., Kowallik, K. V., Allen, J. F., … Dagan, T. (2008). Genes of cyanobacterial origin in plant nuclear genomes point to a heterocyst-forming plastid ancestor. </w:t>
      </w:r>
      <w:r w:rsidRPr="00EE03F0">
        <w:rPr>
          <w:rFonts w:cs="Times New Roman"/>
          <w:i/>
          <w:iCs/>
          <w:noProof/>
          <w:szCs w:val="22"/>
        </w:rPr>
        <w:t>Molecular Biology and Evolution</w:t>
      </w:r>
      <w:r w:rsidRPr="00EE03F0">
        <w:rPr>
          <w:rFonts w:cs="Times New Roman"/>
          <w:noProof/>
          <w:szCs w:val="22"/>
        </w:rPr>
        <w:t xml:space="preserve">, </w:t>
      </w:r>
      <w:r w:rsidRPr="00EE03F0">
        <w:rPr>
          <w:rFonts w:cs="Times New Roman"/>
          <w:i/>
          <w:iCs/>
          <w:noProof/>
          <w:szCs w:val="22"/>
        </w:rPr>
        <w:t>25</w:t>
      </w:r>
      <w:r w:rsidRPr="00EE03F0">
        <w:rPr>
          <w:rFonts w:cs="Times New Roman"/>
          <w:noProof/>
          <w:szCs w:val="22"/>
        </w:rPr>
        <w:t>(4), 748–761. https://doi.org/10.1093/molbev/msn022</w:t>
      </w:r>
    </w:p>
    <w:p w14:paraId="175B9882" w14:textId="77777777" w:rsidR="00636B5B" w:rsidRPr="00EE03F0" w:rsidRDefault="00636B5B" w:rsidP="00EE03F0">
      <w:pPr>
        <w:widowControl w:val="0"/>
        <w:autoSpaceDE w:val="0"/>
        <w:autoSpaceDN w:val="0"/>
        <w:adjustRightInd w:val="0"/>
        <w:ind w:left="480" w:hanging="480"/>
        <w:rPr>
          <w:rFonts w:cs="Times New Roman"/>
          <w:noProof/>
          <w:szCs w:val="22"/>
        </w:rPr>
      </w:pPr>
      <w:r w:rsidRPr="00EE03F0">
        <w:rPr>
          <w:rFonts w:cs="Times New Roman"/>
          <w:noProof/>
          <w:szCs w:val="22"/>
        </w:rPr>
        <w:t xml:space="preserve">Doyle, J. J., &amp; Doyle, J. L. (1987). A rapid DNA isolation procedure for small quantities of fresh leaf tissue. </w:t>
      </w:r>
      <w:r w:rsidRPr="00EE03F0">
        <w:rPr>
          <w:rFonts w:cs="Times New Roman"/>
          <w:i/>
          <w:iCs/>
          <w:noProof/>
          <w:szCs w:val="22"/>
        </w:rPr>
        <w:t>PHYTOCHEMICAL BULLETIN</w:t>
      </w:r>
      <w:r w:rsidRPr="00EE03F0">
        <w:rPr>
          <w:rFonts w:cs="Times New Roman"/>
          <w:noProof/>
          <w:szCs w:val="22"/>
        </w:rPr>
        <w:t>, (RESEARCH). Retrieved from http://worldveg.tind.io/record/33886</w:t>
      </w:r>
    </w:p>
    <w:p w14:paraId="2FF67EAE" w14:textId="77777777" w:rsidR="00636B5B" w:rsidRPr="00EE03F0" w:rsidRDefault="00636B5B" w:rsidP="00EE03F0">
      <w:pPr>
        <w:widowControl w:val="0"/>
        <w:autoSpaceDE w:val="0"/>
        <w:autoSpaceDN w:val="0"/>
        <w:adjustRightInd w:val="0"/>
        <w:ind w:left="480" w:hanging="480"/>
        <w:rPr>
          <w:rFonts w:cs="Times New Roman"/>
          <w:noProof/>
          <w:szCs w:val="22"/>
        </w:rPr>
      </w:pPr>
      <w:r w:rsidRPr="00EE03F0">
        <w:rPr>
          <w:rFonts w:cs="Times New Roman"/>
          <w:noProof/>
          <w:szCs w:val="22"/>
        </w:rPr>
        <w:t xml:space="preserve">Emms, D. M., &amp; Kelly, S. (2019). OrthoFinder: Phylogenetic orthology inference for comparative genomics. </w:t>
      </w:r>
      <w:r w:rsidRPr="00EE03F0">
        <w:rPr>
          <w:rFonts w:cs="Times New Roman"/>
          <w:i/>
          <w:iCs/>
          <w:noProof/>
          <w:szCs w:val="22"/>
        </w:rPr>
        <w:t>Genome Biology</w:t>
      </w:r>
      <w:r w:rsidRPr="00EE03F0">
        <w:rPr>
          <w:rFonts w:cs="Times New Roman"/>
          <w:noProof/>
          <w:szCs w:val="22"/>
        </w:rPr>
        <w:t>, 1–14. https://doi.org/10.1101/466201</w:t>
      </w:r>
    </w:p>
    <w:p w14:paraId="1E66AFAE" w14:textId="77777777" w:rsidR="00636B5B" w:rsidRPr="00EE03F0" w:rsidRDefault="00636B5B" w:rsidP="00EE03F0">
      <w:pPr>
        <w:widowControl w:val="0"/>
        <w:autoSpaceDE w:val="0"/>
        <w:autoSpaceDN w:val="0"/>
        <w:adjustRightInd w:val="0"/>
        <w:ind w:left="480" w:hanging="480"/>
        <w:rPr>
          <w:rFonts w:cs="Times New Roman"/>
          <w:noProof/>
          <w:szCs w:val="22"/>
        </w:rPr>
      </w:pPr>
      <w:r w:rsidRPr="00EE03F0">
        <w:rPr>
          <w:rFonts w:cs="Times New Roman"/>
          <w:noProof/>
          <w:szCs w:val="22"/>
        </w:rPr>
        <w:t xml:space="preserve">Goel, M., Sun, H., Jiao, W. B., &amp; Schneeberger, K. (2019). SyRI: Finding genomic rearrangements and local sequence differences from whole-genome assemblies. </w:t>
      </w:r>
      <w:r w:rsidRPr="00EE03F0">
        <w:rPr>
          <w:rFonts w:cs="Times New Roman"/>
          <w:i/>
          <w:iCs/>
          <w:noProof/>
          <w:szCs w:val="22"/>
        </w:rPr>
        <w:t>BioRxiv</w:t>
      </w:r>
      <w:r w:rsidRPr="00EE03F0">
        <w:rPr>
          <w:rFonts w:cs="Times New Roman"/>
          <w:noProof/>
          <w:szCs w:val="22"/>
        </w:rPr>
        <w:t>, 1–13. https://doi.org/10.1101/546622</w:t>
      </w:r>
    </w:p>
    <w:p w14:paraId="646E7136" w14:textId="77777777" w:rsidR="00636B5B" w:rsidRPr="00EE03F0" w:rsidRDefault="00636B5B" w:rsidP="00EE03F0">
      <w:pPr>
        <w:widowControl w:val="0"/>
        <w:autoSpaceDE w:val="0"/>
        <w:autoSpaceDN w:val="0"/>
        <w:adjustRightInd w:val="0"/>
        <w:ind w:left="480" w:hanging="480"/>
        <w:rPr>
          <w:rFonts w:cs="Times New Roman"/>
          <w:noProof/>
          <w:szCs w:val="22"/>
        </w:rPr>
      </w:pPr>
      <w:r w:rsidRPr="00EE03F0">
        <w:rPr>
          <w:rFonts w:cs="Times New Roman"/>
          <w:noProof/>
          <w:szCs w:val="22"/>
        </w:rPr>
        <w:t xml:space="preserve">Hackl, T., Duponchel, S., Barenhoff, K., Weinmann, A., &amp; Fischer, M. G. (2021). Virophages and retrotransposons colonize the genomes of a heterotrophic flagellate. </w:t>
      </w:r>
      <w:r w:rsidRPr="00EE03F0">
        <w:rPr>
          <w:rFonts w:cs="Times New Roman"/>
          <w:i/>
          <w:iCs/>
          <w:noProof/>
          <w:szCs w:val="22"/>
        </w:rPr>
        <w:t>ELife</w:t>
      </w:r>
      <w:r w:rsidRPr="00EE03F0">
        <w:rPr>
          <w:rFonts w:cs="Times New Roman"/>
          <w:noProof/>
          <w:szCs w:val="22"/>
        </w:rPr>
        <w:t xml:space="preserve">, </w:t>
      </w:r>
      <w:r w:rsidRPr="00EE03F0">
        <w:rPr>
          <w:rFonts w:cs="Times New Roman"/>
          <w:i/>
          <w:iCs/>
          <w:noProof/>
          <w:szCs w:val="22"/>
        </w:rPr>
        <w:t>10</w:t>
      </w:r>
      <w:r w:rsidRPr="00EE03F0">
        <w:rPr>
          <w:rFonts w:cs="Times New Roman"/>
          <w:noProof/>
          <w:szCs w:val="22"/>
        </w:rPr>
        <w:t>. https://doi.org/10.7554/eLife.72674</w:t>
      </w:r>
    </w:p>
    <w:p w14:paraId="7BFA1DFF" w14:textId="77777777" w:rsidR="00636B5B" w:rsidRPr="00EE03F0" w:rsidRDefault="00636B5B" w:rsidP="00EE03F0">
      <w:pPr>
        <w:widowControl w:val="0"/>
        <w:autoSpaceDE w:val="0"/>
        <w:autoSpaceDN w:val="0"/>
        <w:adjustRightInd w:val="0"/>
        <w:ind w:left="480" w:hanging="480"/>
        <w:rPr>
          <w:rFonts w:cs="Times New Roman"/>
          <w:noProof/>
          <w:szCs w:val="22"/>
        </w:rPr>
      </w:pPr>
      <w:r w:rsidRPr="00EE03F0">
        <w:rPr>
          <w:rFonts w:cs="Times New Roman"/>
          <w:noProof/>
          <w:szCs w:val="22"/>
        </w:rPr>
        <w:t xml:space="preserve">Hazkani-Covo, E., &amp; Covo, S. (2008). Numt-mediated double-strand break repair mitigates deletions during primate genome evolution. </w:t>
      </w:r>
      <w:r w:rsidRPr="00EE03F0">
        <w:rPr>
          <w:rFonts w:cs="Times New Roman"/>
          <w:i/>
          <w:iCs/>
          <w:noProof/>
          <w:szCs w:val="22"/>
        </w:rPr>
        <w:t>PLoS Genetics</w:t>
      </w:r>
      <w:r w:rsidRPr="00EE03F0">
        <w:rPr>
          <w:rFonts w:cs="Times New Roman"/>
          <w:noProof/>
          <w:szCs w:val="22"/>
        </w:rPr>
        <w:t xml:space="preserve">, </w:t>
      </w:r>
      <w:r w:rsidRPr="00EE03F0">
        <w:rPr>
          <w:rFonts w:cs="Times New Roman"/>
          <w:i/>
          <w:iCs/>
          <w:noProof/>
          <w:szCs w:val="22"/>
        </w:rPr>
        <w:t>4</w:t>
      </w:r>
      <w:r w:rsidRPr="00EE03F0">
        <w:rPr>
          <w:rFonts w:cs="Times New Roman"/>
          <w:noProof/>
          <w:szCs w:val="22"/>
        </w:rPr>
        <w:t>(10). https://doi.org/10.1371/journal.pgen.1000237</w:t>
      </w:r>
    </w:p>
    <w:p w14:paraId="455DC9BB" w14:textId="77777777" w:rsidR="00636B5B" w:rsidRPr="00EE03F0" w:rsidRDefault="00636B5B" w:rsidP="00EE03F0">
      <w:pPr>
        <w:widowControl w:val="0"/>
        <w:autoSpaceDE w:val="0"/>
        <w:autoSpaceDN w:val="0"/>
        <w:adjustRightInd w:val="0"/>
        <w:ind w:left="480" w:hanging="480"/>
        <w:rPr>
          <w:rFonts w:cs="Times New Roman"/>
          <w:noProof/>
          <w:szCs w:val="22"/>
        </w:rPr>
      </w:pPr>
      <w:r w:rsidRPr="00EE03F0">
        <w:rPr>
          <w:rFonts w:cs="Times New Roman"/>
          <w:noProof/>
          <w:szCs w:val="22"/>
        </w:rPr>
        <w:t xml:space="preserve">Hazkani-Covo, E., &amp; Martin, W. F. (2017). Quantifying the number of independent organelle DNA insertions in genome evolution and human health. </w:t>
      </w:r>
      <w:r w:rsidRPr="00EE03F0">
        <w:rPr>
          <w:rFonts w:cs="Times New Roman"/>
          <w:i/>
          <w:iCs/>
          <w:noProof/>
          <w:szCs w:val="22"/>
        </w:rPr>
        <w:t>Genome Biology and Evolution</w:t>
      </w:r>
      <w:r w:rsidRPr="00EE03F0">
        <w:rPr>
          <w:rFonts w:cs="Times New Roman"/>
          <w:noProof/>
          <w:szCs w:val="22"/>
        </w:rPr>
        <w:t xml:space="preserve">, </w:t>
      </w:r>
      <w:r w:rsidRPr="00EE03F0">
        <w:rPr>
          <w:rFonts w:cs="Times New Roman"/>
          <w:i/>
          <w:iCs/>
          <w:noProof/>
          <w:szCs w:val="22"/>
        </w:rPr>
        <w:t>9</w:t>
      </w:r>
      <w:r w:rsidRPr="00EE03F0">
        <w:rPr>
          <w:rFonts w:cs="Times New Roman"/>
          <w:noProof/>
          <w:szCs w:val="22"/>
        </w:rPr>
        <w:t>(5), 1190–1203. https://doi.org/10.1093/gbe/evx078</w:t>
      </w:r>
    </w:p>
    <w:p w14:paraId="3A10DBC8" w14:textId="77777777" w:rsidR="00636B5B" w:rsidRPr="00EE03F0" w:rsidRDefault="00636B5B" w:rsidP="00EE03F0">
      <w:pPr>
        <w:widowControl w:val="0"/>
        <w:autoSpaceDE w:val="0"/>
        <w:autoSpaceDN w:val="0"/>
        <w:adjustRightInd w:val="0"/>
        <w:ind w:left="480" w:hanging="480"/>
        <w:rPr>
          <w:rFonts w:cs="Times New Roman"/>
          <w:noProof/>
          <w:szCs w:val="22"/>
        </w:rPr>
      </w:pPr>
      <w:r w:rsidRPr="00EE03F0">
        <w:rPr>
          <w:rFonts w:cs="Times New Roman"/>
          <w:noProof/>
          <w:szCs w:val="22"/>
        </w:rPr>
        <w:t xml:space="preserve">Huang, C. Y., Grünheit, N., Ahmadinejad, N., Timmis, J. N., &amp; Martin, W. (2005). Mutational decay and age of chloroplast and mitochondrial genomes transferred recently to angiosperm nuclear chromosomes. </w:t>
      </w:r>
      <w:r w:rsidRPr="00EE03F0">
        <w:rPr>
          <w:rFonts w:cs="Times New Roman"/>
          <w:i/>
          <w:iCs/>
          <w:noProof/>
          <w:szCs w:val="22"/>
        </w:rPr>
        <w:t>Plant Physiology</w:t>
      </w:r>
      <w:r w:rsidRPr="00EE03F0">
        <w:rPr>
          <w:rFonts w:cs="Times New Roman"/>
          <w:noProof/>
          <w:szCs w:val="22"/>
        </w:rPr>
        <w:t xml:space="preserve">, </w:t>
      </w:r>
      <w:r w:rsidRPr="00EE03F0">
        <w:rPr>
          <w:rFonts w:cs="Times New Roman"/>
          <w:i/>
          <w:iCs/>
          <w:noProof/>
          <w:szCs w:val="22"/>
        </w:rPr>
        <w:t>138</w:t>
      </w:r>
      <w:r w:rsidRPr="00EE03F0">
        <w:rPr>
          <w:rFonts w:cs="Times New Roman"/>
          <w:noProof/>
          <w:szCs w:val="22"/>
        </w:rPr>
        <w:t>(3), 1723–1733. https://doi.org/10.1104/pp.105.060327</w:t>
      </w:r>
    </w:p>
    <w:p w14:paraId="33CC611F" w14:textId="77777777" w:rsidR="00636B5B" w:rsidRPr="00EE03F0" w:rsidRDefault="00636B5B" w:rsidP="00EE03F0">
      <w:pPr>
        <w:widowControl w:val="0"/>
        <w:autoSpaceDE w:val="0"/>
        <w:autoSpaceDN w:val="0"/>
        <w:adjustRightInd w:val="0"/>
        <w:ind w:left="480" w:hanging="480"/>
        <w:rPr>
          <w:rFonts w:cs="Times New Roman"/>
          <w:noProof/>
          <w:szCs w:val="22"/>
        </w:rPr>
      </w:pPr>
      <w:r w:rsidRPr="00EE03F0">
        <w:rPr>
          <w:rFonts w:cs="Times New Roman"/>
          <w:noProof/>
          <w:szCs w:val="22"/>
        </w:rPr>
        <w:t xml:space="preserve">Huang, Y., Wang, J., Yang, Y., Fan, C., &amp; Chen, J. (2017). Phylogenomic analysis and dynamic evolution of chloroplast genomes in salicaceae. </w:t>
      </w:r>
      <w:r w:rsidRPr="00EE03F0">
        <w:rPr>
          <w:rFonts w:cs="Times New Roman"/>
          <w:i/>
          <w:iCs/>
          <w:noProof/>
          <w:szCs w:val="22"/>
        </w:rPr>
        <w:t>Frontiers in Plant Science</w:t>
      </w:r>
      <w:r w:rsidRPr="00EE03F0">
        <w:rPr>
          <w:rFonts w:cs="Times New Roman"/>
          <w:noProof/>
          <w:szCs w:val="22"/>
        </w:rPr>
        <w:t xml:space="preserve">, </w:t>
      </w:r>
      <w:r w:rsidRPr="00EE03F0">
        <w:rPr>
          <w:rFonts w:cs="Times New Roman"/>
          <w:i/>
          <w:iCs/>
          <w:noProof/>
          <w:szCs w:val="22"/>
        </w:rPr>
        <w:t>8</w:t>
      </w:r>
      <w:r w:rsidRPr="00EE03F0">
        <w:rPr>
          <w:rFonts w:cs="Times New Roman"/>
          <w:noProof/>
          <w:szCs w:val="22"/>
        </w:rPr>
        <w:t>(June), 1–13. https://doi.org/10.3389/fpls.2017.01050</w:t>
      </w:r>
    </w:p>
    <w:p w14:paraId="42B6B775" w14:textId="77777777" w:rsidR="00636B5B" w:rsidRPr="00EE03F0" w:rsidRDefault="00636B5B" w:rsidP="00EE03F0">
      <w:pPr>
        <w:widowControl w:val="0"/>
        <w:autoSpaceDE w:val="0"/>
        <w:autoSpaceDN w:val="0"/>
        <w:adjustRightInd w:val="0"/>
        <w:ind w:left="480" w:hanging="480"/>
        <w:rPr>
          <w:rFonts w:cs="Times New Roman"/>
          <w:noProof/>
          <w:szCs w:val="22"/>
        </w:rPr>
      </w:pPr>
      <w:r w:rsidRPr="00EE03F0">
        <w:rPr>
          <w:rFonts w:cs="Times New Roman"/>
          <w:noProof/>
          <w:szCs w:val="22"/>
        </w:rPr>
        <w:t xml:space="preserve">Katoh, K., &amp; Standley, D. M. (2013). MAFFT multiple sequence alignment software version 7: Improvements in performance and usability. </w:t>
      </w:r>
      <w:r w:rsidRPr="00EE03F0">
        <w:rPr>
          <w:rFonts w:cs="Times New Roman"/>
          <w:i/>
          <w:iCs/>
          <w:noProof/>
          <w:szCs w:val="22"/>
        </w:rPr>
        <w:t>Molecular Biology and Evolution</w:t>
      </w:r>
      <w:r w:rsidRPr="00EE03F0">
        <w:rPr>
          <w:rFonts w:cs="Times New Roman"/>
          <w:noProof/>
          <w:szCs w:val="22"/>
        </w:rPr>
        <w:t xml:space="preserve">, </w:t>
      </w:r>
      <w:r w:rsidRPr="00EE03F0">
        <w:rPr>
          <w:rFonts w:cs="Times New Roman"/>
          <w:i/>
          <w:iCs/>
          <w:noProof/>
          <w:szCs w:val="22"/>
        </w:rPr>
        <w:t>30</w:t>
      </w:r>
      <w:r w:rsidRPr="00EE03F0">
        <w:rPr>
          <w:rFonts w:cs="Times New Roman"/>
          <w:noProof/>
          <w:szCs w:val="22"/>
        </w:rPr>
        <w:t>(4), 772–780. https://doi.org/10.1093/molbev/mst010</w:t>
      </w:r>
    </w:p>
    <w:p w14:paraId="76A8CB22" w14:textId="77777777" w:rsidR="00636B5B" w:rsidRPr="00EE03F0" w:rsidRDefault="00636B5B" w:rsidP="00EE03F0">
      <w:pPr>
        <w:widowControl w:val="0"/>
        <w:autoSpaceDE w:val="0"/>
        <w:autoSpaceDN w:val="0"/>
        <w:adjustRightInd w:val="0"/>
        <w:ind w:left="480" w:hanging="480"/>
        <w:rPr>
          <w:rFonts w:cs="Times New Roman"/>
          <w:noProof/>
          <w:szCs w:val="22"/>
        </w:rPr>
      </w:pPr>
      <w:r w:rsidRPr="00EE03F0">
        <w:rPr>
          <w:rFonts w:cs="Times New Roman"/>
          <w:noProof/>
          <w:szCs w:val="22"/>
        </w:rPr>
        <w:t xml:space="preserve">Kearse, M., Moir, R., Wilson, A., Stones-Havas, S., Cheung, M., Sturrock, S., … Drummond, A. (2012). Geneious Basic: An integrated and extendable desktop software platform for the organization and analysis of sequence data. </w:t>
      </w:r>
      <w:r w:rsidRPr="00EE03F0">
        <w:rPr>
          <w:rFonts w:cs="Times New Roman"/>
          <w:i/>
          <w:iCs/>
          <w:noProof/>
          <w:szCs w:val="22"/>
        </w:rPr>
        <w:t>Bioinformatics</w:t>
      </w:r>
      <w:r w:rsidRPr="00EE03F0">
        <w:rPr>
          <w:rFonts w:cs="Times New Roman"/>
          <w:noProof/>
          <w:szCs w:val="22"/>
        </w:rPr>
        <w:t xml:space="preserve">, </w:t>
      </w:r>
      <w:r w:rsidRPr="00EE03F0">
        <w:rPr>
          <w:rFonts w:cs="Times New Roman"/>
          <w:i/>
          <w:iCs/>
          <w:noProof/>
          <w:szCs w:val="22"/>
        </w:rPr>
        <w:t>28</w:t>
      </w:r>
      <w:r w:rsidRPr="00EE03F0">
        <w:rPr>
          <w:rFonts w:cs="Times New Roman"/>
          <w:noProof/>
          <w:szCs w:val="22"/>
        </w:rPr>
        <w:t>(12), 1647–1649. https://doi.org/10.1093/bioinformatics/bts199</w:t>
      </w:r>
    </w:p>
    <w:p w14:paraId="4485CA11" w14:textId="77777777" w:rsidR="00636B5B" w:rsidRPr="00EE03F0" w:rsidRDefault="00636B5B" w:rsidP="00EE03F0">
      <w:pPr>
        <w:widowControl w:val="0"/>
        <w:autoSpaceDE w:val="0"/>
        <w:autoSpaceDN w:val="0"/>
        <w:adjustRightInd w:val="0"/>
        <w:ind w:left="480" w:hanging="480"/>
        <w:rPr>
          <w:rFonts w:cs="Times New Roman"/>
          <w:noProof/>
          <w:szCs w:val="22"/>
        </w:rPr>
      </w:pPr>
      <w:r w:rsidRPr="00EE03F0">
        <w:rPr>
          <w:rFonts w:cs="Times New Roman"/>
          <w:noProof/>
          <w:szCs w:val="22"/>
        </w:rPr>
        <w:t xml:space="preserve">Keeling, P. J., &amp; Palmer, J. D. (2008). Horizontal gene transfer in eukaryotic evolution. </w:t>
      </w:r>
      <w:r w:rsidRPr="00EE03F0">
        <w:rPr>
          <w:rFonts w:cs="Times New Roman"/>
          <w:i/>
          <w:iCs/>
          <w:noProof/>
          <w:szCs w:val="22"/>
        </w:rPr>
        <w:t>Nature Reviews Genetics</w:t>
      </w:r>
      <w:r w:rsidRPr="00EE03F0">
        <w:rPr>
          <w:rFonts w:cs="Times New Roman"/>
          <w:noProof/>
          <w:szCs w:val="22"/>
        </w:rPr>
        <w:t xml:space="preserve">, </w:t>
      </w:r>
      <w:r w:rsidRPr="00EE03F0">
        <w:rPr>
          <w:rFonts w:cs="Times New Roman"/>
          <w:i/>
          <w:iCs/>
          <w:noProof/>
          <w:szCs w:val="22"/>
        </w:rPr>
        <w:t>9</w:t>
      </w:r>
      <w:r w:rsidRPr="00EE03F0">
        <w:rPr>
          <w:rFonts w:cs="Times New Roman"/>
          <w:noProof/>
          <w:szCs w:val="22"/>
        </w:rPr>
        <w:t>(8), 605–618. https://doi.org/10.1038/nrg2386</w:t>
      </w:r>
    </w:p>
    <w:p w14:paraId="5BA5CB9C" w14:textId="77777777" w:rsidR="00636B5B" w:rsidRPr="00EE03F0" w:rsidRDefault="00636B5B" w:rsidP="00EE03F0">
      <w:pPr>
        <w:widowControl w:val="0"/>
        <w:autoSpaceDE w:val="0"/>
        <w:autoSpaceDN w:val="0"/>
        <w:adjustRightInd w:val="0"/>
        <w:ind w:left="480" w:hanging="480"/>
        <w:rPr>
          <w:rFonts w:cs="Times New Roman"/>
          <w:noProof/>
          <w:szCs w:val="22"/>
        </w:rPr>
      </w:pPr>
      <w:r w:rsidRPr="00EE03F0">
        <w:rPr>
          <w:rFonts w:cs="Times New Roman"/>
          <w:noProof/>
          <w:szCs w:val="22"/>
        </w:rPr>
        <w:t xml:space="preserve">Kersten, B., Rampant, P. F., Mader, M., Le Paslier, M. C., Bounon, R., Berard, A., … Fladung, M. (2016). Genome sequences of Populus tremula chloroplast and mitochondrion: </w:t>
      </w:r>
      <w:r w:rsidRPr="00EE03F0">
        <w:rPr>
          <w:rFonts w:cs="Times New Roman"/>
          <w:noProof/>
          <w:szCs w:val="22"/>
        </w:rPr>
        <w:lastRenderedPageBreak/>
        <w:t xml:space="preserve">Implications for holistic poplar breeding. </w:t>
      </w:r>
      <w:r w:rsidRPr="00EE03F0">
        <w:rPr>
          <w:rFonts w:cs="Times New Roman"/>
          <w:i/>
          <w:iCs/>
          <w:noProof/>
          <w:szCs w:val="22"/>
        </w:rPr>
        <w:t>PLoS ONE</w:t>
      </w:r>
      <w:r w:rsidRPr="00EE03F0">
        <w:rPr>
          <w:rFonts w:cs="Times New Roman"/>
          <w:noProof/>
          <w:szCs w:val="22"/>
        </w:rPr>
        <w:t xml:space="preserve">, </w:t>
      </w:r>
      <w:r w:rsidRPr="00EE03F0">
        <w:rPr>
          <w:rFonts w:cs="Times New Roman"/>
          <w:i/>
          <w:iCs/>
          <w:noProof/>
          <w:szCs w:val="22"/>
        </w:rPr>
        <w:t>11</w:t>
      </w:r>
      <w:r w:rsidRPr="00EE03F0">
        <w:rPr>
          <w:rFonts w:cs="Times New Roman"/>
          <w:noProof/>
          <w:szCs w:val="22"/>
        </w:rPr>
        <w:t>(1), 1–21. https://doi.org/10.1371/journal.pone.0147209</w:t>
      </w:r>
    </w:p>
    <w:p w14:paraId="02810CEC" w14:textId="77777777" w:rsidR="00636B5B" w:rsidRPr="00EE03F0" w:rsidRDefault="00636B5B" w:rsidP="00EE03F0">
      <w:pPr>
        <w:widowControl w:val="0"/>
        <w:autoSpaceDE w:val="0"/>
        <w:autoSpaceDN w:val="0"/>
        <w:adjustRightInd w:val="0"/>
        <w:ind w:left="480" w:hanging="480"/>
        <w:rPr>
          <w:rFonts w:cs="Times New Roman"/>
          <w:noProof/>
          <w:szCs w:val="22"/>
        </w:rPr>
      </w:pPr>
      <w:r w:rsidRPr="00EE03F0">
        <w:rPr>
          <w:rFonts w:cs="Times New Roman"/>
          <w:noProof/>
          <w:szCs w:val="22"/>
        </w:rPr>
        <w:t xml:space="preserve">Kleine, T., Maier, U. G., &amp; Leister, D. (2009). DNA Transfer from Organelles to the Nucleus: The Idiosyncratic Genetics of Endosymbiosis. </w:t>
      </w:r>
      <w:r w:rsidRPr="00EE03F0">
        <w:rPr>
          <w:rFonts w:cs="Times New Roman"/>
          <w:i/>
          <w:iCs/>
          <w:noProof/>
          <w:szCs w:val="22"/>
        </w:rPr>
        <w:t>Annual Review of Plant Biology</w:t>
      </w:r>
      <w:r w:rsidRPr="00EE03F0">
        <w:rPr>
          <w:rFonts w:cs="Times New Roman"/>
          <w:noProof/>
          <w:szCs w:val="22"/>
        </w:rPr>
        <w:t xml:space="preserve">, </w:t>
      </w:r>
      <w:r w:rsidRPr="00EE03F0">
        <w:rPr>
          <w:rFonts w:cs="Times New Roman"/>
          <w:i/>
          <w:iCs/>
          <w:noProof/>
          <w:szCs w:val="22"/>
        </w:rPr>
        <w:t>60</w:t>
      </w:r>
      <w:r w:rsidRPr="00EE03F0">
        <w:rPr>
          <w:rFonts w:cs="Times New Roman"/>
          <w:noProof/>
          <w:szCs w:val="22"/>
        </w:rPr>
        <w:t>(1), 115–138. https://doi.org/10.1146/annurev.arplant.043008.092119</w:t>
      </w:r>
    </w:p>
    <w:p w14:paraId="2BD966C5" w14:textId="77777777" w:rsidR="00636B5B" w:rsidRPr="00EE03F0" w:rsidRDefault="00636B5B" w:rsidP="00EE03F0">
      <w:pPr>
        <w:widowControl w:val="0"/>
        <w:autoSpaceDE w:val="0"/>
        <w:autoSpaceDN w:val="0"/>
        <w:adjustRightInd w:val="0"/>
        <w:ind w:left="480" w:hanging="480"/>
        <w:rPr>
          <w:rFonts w:cs="Times New Roman"/>
          <w:noProof/>
          <w:szCs w:val="22"/>
        </w:rPr>
      </w:pPr>
      <w:r w:rsidRPr="00EE03F0">
        <w:rPr>
          <w:rFonts w:cs="Times New Roman"/>
          <w:noProof/>
          <w:szCs w:val="22"/>
        </w:rPr>
        <w:t xml:space="preserve">Krzywinski, M., Schein, J., Birol, I., Connors, J., Gascoyne, R., Horsman, D., … Marra, M. A. (2009). Circos: An information aesthetic for comparative genomics. </w:t>
      </w:r>
      <w:r w:rsidRPr="00EE03F0">
        <w:rPr>
          <w:rFonts w:cs="Times New Roman"/>
          <w:i/>
          <w:iCs/>
          <w:noProof/>
          <w:szCs w:val="22"/>
        </w:rPr>
        <w:t>Genome Research</w:t>
      </w:r>
      <w:r w:rsidRPr="00EE03F0">
        <w:rPr>
          <w:rFonts w:cs="Times New Roman"/>
          <w:noProof/>
          <w:szCs w:val="22"/>
        </w:rPr>
        <w:t xml:space="preserve">, </w:t>
      </w:r>
      <w:r w:rsidRPr="00EE03F0">
        <w:rPr>
          <w:rFonts w:cs="Times New Roman"/>
          <w:i/>
          <w:iCs/>
          <w:noProof/>
          <w:szCs w:val="22"/>
        </w:rPr>
        <w:t>19</w:t>
      </w:r>
      <w:r w:rsidRPr="00EE03F0">
        <w:rPr>
          <w:rFonts w:cs="Times New Roman"/>
          <w:noProof/>
          <w:szCs w:val="22"/>
        </w:rPr>
        <w:t>(9), 1639–1645. https://doi.org/10.1101/gr.092759.109</w:t>
      </w:r>
    </w:p>
    <w:p w14:paraId="4E484D6A" w14:textId="77777777" w:rsidR="00636B5B" w:rsidRPr="00EE03F0" w:rsidRDefault="00636B5B" w:rsidP="00EE03F0">
      <w:pPr>
        <w:widowControl w:val="0"/>
        <w:autoSpaceDE w:val="0"/>
        <w:autoSpaceDN w:val="0"/>
        <w:adjustRightInd w:val="0"/>
        <w:ind w:left="480" w:hanging="480"/>
        <w:rPr>
          <w:rFonts w:cs="Times New Roman"/>
          <w:noProof/>
          <w:szCs w:val="22"/>
        </w:rPr>
      </w:pPr>
      <w:r w:rsidRPr="00EE03F0">
        <w:rPr>
          <w:rFonts w:cs="Times New Roman"/>
          <w:noProof/>
          <w:szCs w:val="22"/>
        </w:rPr>
        <w:t xml:space="preserve">Ku, C., Nelson-Sathi, S., Roettger, M., Garg, S., Hazkani-Covo, E., &amp; Martin, W. F. (2015). Endosymbiotic gene transfer from prokaryotic pangenomes: Inherited chimerism in eukaryotes. </w:t>
      </w:r>
      <w:r w:rsidRPr="00EE03F0">
        <w:rPr>
          <w:rFonts w:cs="Times New Roman"/>
          <w:i/>
          <w:iCs/>
          <w:noProof/>
          <w:szCs w:val="22"/>
        </w:rPr>
        <w:t>Proceedings of the National Academy of Sciences of the United States of America</w:t>
      </w:r>
      <w:r w:rsidRPr="00EE03F0">
        <w:rPr>
          <w:rFonts w:cs="Times New Roman"/>
          <w:noProof/>
          <w:szCs w:val="22"/>
        </w:rPr>
        <w:t xml:space="preserve">, </w:t>
      </w:r>
      <w:r w:rsidRPr="00EE03F0">
        <w:rPr>
          <w:rFonts w:cs="Times New Roman"/>
          <w:i/>
          <w:iCs/>
          <w:noProof/>
          <w:szCs w:val="22"/>
        </w:rPr>
        <w:t>112</w:t>
      </w:r>
      <w:r w:rsidRPr="00EE03F0">
        <w:rPr>
          <w:rFonts w:cs="Times New Roman"/>
          <w:noProof/>
          <w:szCs w:val="22"/>
        </w:rPr>
        <w:t>(33), 10139–10146. https://doi.org/10.1073/pnas.1421385112</w:t>
      </w:r>
    </w:p>
    <w:p w14:paraId="46CEAEAE" w14:textId="77777777" w:rsidR="00636B5B" w:rsidRPr="00EE03F0" w:rsidRDefault="00636B5B" w:rsidP="00EE03F0">
      <w:pPr>
        <w:widowControl w:val="0"/>
        <w:autoSpaceDE w:val="0"/>
        <w:autoSpaceDN w:val="0"/>
        <w:adjustRightInd w:val="0"/>
        <w:ind w:left="480" w:hanging="480"/>
        <w:rPr>
          <w:rFonts w:cs="Times New Roman"/>
          <w:noProof/>
          <w:szCs w:val="22"/>
        </w:rPr>
      </w:pPr>
      <w:r w:rsidRPr="00EE03F0">
        <w:rPr>
          <w:rFonts w:cs="Times New Roman"/>
          <w:noProof/>
          <w:szCs w:val="22"/>
        </w:rPr>
        <w:t xml:space="preserve">Lang, M., Sazzini, M., Calabrese, F. M., Simone, D., Boattini, A., Romeo, G., … Gasparre, G. (2012). Polymorphic NumtS trace human population relationships. </w:t>
      </w:r>
      <w:r w:rsidRPr="00EE03F0">
        <w:rPr>
          <w:rFonts w:cs="Times New Roman"/>
          <w:i/>
          <w:iCs/>
          <w:noProof/>
          <w:szCs w:val="22"/>
        </w:rPr>
        <w:t>Human Genetics</w:t>
      </w:r>
      <w:r w:rsidRPr="00EE03F0">
        <w:rPr>
          <w:rFonts w:cs="Times New Roman"/>
          <w:noProof/>
          <w:szCs w:val="22"/>
        </w:rPr>
        <w:t xml:space="preserve">, </w:t>
      </w:r>
      <w:r w:rsidRPr="00EE03F0">
        <w:rPr>
          <w:rFonts w:cs="Times New Roman"/>
          <w:i/>
          <w:iCs/>
          <w:noProof/>
          <w:szCs w:val="22"/>
        </w:rPr>
        <w:t>131</w:t>
      </w:r>
      <w:r w:rsidRPr="00EE03F0">
        <w:rPr>
          <w:rFonts w:cs="Times New Roman"/>
          <w:noProof/>
          <w:szCs w:val="22"/>
        </w:rPr>
        <w:t>(5), 757–771. https://doi.org/10.1007/s00439-011-1125-3</w:t>
      </w:r>
    </w:p>
    <w:p w14:paraId="02101485" w14:textId="77777777" w:rsidR="00636B5B" w:rsidRPr="00EE03F0" w:rsidRDefault="00636B5B" w:rsidP="00EE03F0">
      <w:pPr>
        <w:widowControl w:val="0"/>
        <w:autoSpaceDE w:val="0"/>
        <w:autoSpaceDN w:val="0"/>
        <w:adjustRightInd w:val="0"/>
        <w:ind w:left="480" w:hanging="480"/>
        <w:rPr>
          <w:rFonts w:cs="Times New Roman"/>
          <w:noProof/>
          <w:szCs w:val="22"/>
        </w:rPr>
      </w:pPr>
      <w:r w:rsidRPr="00EE03F0">
        <w:rPr>
          <w:rFonts w:cs="Times New Roman"/>
          <w:noProof/>
          <w:szCs w:val="22"/>
        </w:rPr>
        <w:t xml:space="preserve">Langmead, B., &amp; Salzberg, S. L. (2012). Fast gapped-read alignment with Bowtie 2. </w:t>
      </w:r>
      <w:r w:rsidRPr="00EE03F0">
        <w:rPr>
          <w:rFonts w:cs="Times New Roman"/>
          <w:i/>
          <w:iCs/>
          <w:noProof/>
          <w:szCs w:val="22"/>
        </w:rPr>
        <w:t>Nature Methods</w:t>
      </w:r>
      <w:r w:rsidRPr="00EE03F0">
        <w:rPr>
          <w:rFonts w:cs="Times New Roman"/>
          <w:noProof/>
          <w:szCs w:val="22"/>
        </w:rPr>
        <w:t xml:space="preserve">, </w:t>
      </w:r>
      <w:r w:rsidRPr="00EE03F0">
        <w:rPr>
          <w:rFonts w:cs="Times New Roman"/>
          <w:i/>
          <w:iCs/>
          <w:noProof/>
          <w:szCs w:val="22"/>
        </w:rPr>
        <w:t>9</w:t>
      </w:r>
      <w:r w:rsidRPr="00EE03F0">
        <w:rPr>
          <w:rFonts w:cs="Times New Roman"/>
          <w:noProof/>
          <w:szCs w:val="22"/>
        </w:rPr>
        <w:t>(4), 357–359. https://doi.org/10.1038/nmeth.1923</w:t>
      </w:r>
    </w:p>
    <w:p w14:paraId="3DEFD47C" w14:textId="77777777" w:rsidR="00636B5B" w:rsidRPr="00EE03F0" w:rsidRDefault="00636B5B" w:rsidP="00EE03F0">
      <w:pPr>
        <w:widowControl w:val="0"/>
        <w:autoSpaceDE w:val="0"/>
        <w:autoSpaceDN w:val="0"/>
        <w:adjustRightInd w:val="0"/>
        <w:ind w:left="480" w:hanging="480"/>
        <w:rPr>
          <w:rFonts w:cs="Times New Roman"/>
          <w:noProof/>
          <w:szCs w:val="22"/>
        </w:rPr>
      </w:pPr>
      <w:r w:rsidRPr="00EE03F0">
        <w:rPr>
          <w:rFonts w:cs="Times New Roman"/>
          <w:noProof/>
          <w:szCs w:val="22"/>
        </w:rPr>
        <w:t xml:space="preserve">Ma, X., Fan, J., Wu, Y., Zhao, S., Zheng, X., Sun, C., &amp; Tan, L. (2020). Whole-genome de novo assemblies reveal extensive structural variations and dynamic organelle-to-nucleus DNA transfers in African and Asian rice. </w:t>
      </w:r>
      <w:r w:rsidRPr="00EE03F0">
        <w:rPr>
          <w:rFonts w:cs="Times New Roman"/>
          <w:i/>
          <w:iCs/>
          <w:noProof/>
          <w:szCs w:val="22"/>
        </w:rPr>
        <w:t>Plant Journal</w:t>
      </w:r>
      <w:r w:rsidRPr="00EE03F0">
        <w:rPr>
          <w:rFonts w:cs="Times New Roman"/>
          <w:noProof/>
          <w:szCs w:val="22"/>
        </w:rPr>
        <w:t xml:space="preserve">, </w:t>
      </w:r>
      <w:r w:rsidRPr="00EE03F0">
        <w:rPr>
          <w:rFonts w:cs="Times New Roman"/>
          <w:i/>
          <w:iCs/>
          <w:noProof/>
          <w:szCs w:val="22"/>
        </w:rPr>
        <w:t>104</w:t>
      </w:r>
      <w:r w:rsidRPr="00EE03F0">
        <w:rPr>
          <w:rFonts w:cs="Times New Roman"/>
          <w:noProof/>
          <w:szCs w:val="22"/>
        </w:rPr>
        <w:t>(3), 596–612. https://doi.org/10.1111/tpj.14946</w:t>
      </w:r>
    </w:p>
    <w:p w14:paraId="34B76C4C" w14:textId="77777777" w:rsidR="00636B5B" w:rsidRPr="00EE03F0" w:rsidRDefault="00636B5B" w:rsidP="00EE03F0">
      <w:pPr>
        <w:widowControl w:val="0"/>
        <w:autoSpaceDE w:val="0"/>
        <w:autoSpaceDN w:val="0"/>
        <w:adjustRightInd w:val="0"/>
        <w:ind w:left="480" w:hanging="480"/>
        <w:rPr>
          <w:rFonts w:cs="Times New Roman"/>
          <w:noProof/>
          <w:szCs w:val="22"/>
        </w:rPr>
      </w:pPr>
      <w:r w:rsidRPr="00EE03F0">
        <w:rPr>
          <w:rFonts w:cs="Times New Roman"/>
          <w:noProof/>
          <w:szCs w:val="22"/>
        </w:rPr>
        <w:t xml:space="preserve">Marçais, G., Delcher, A. L., Phillippy, A. M., Coston, R., Salzberg, S. L., &amp; Zimin, A. (2018). MUMmer4: A fast and versatile genome alignment system. </w:t>
      </w:r>
      <w:r w:rsidRPr="00EE03F0">
        <w:rPr>
          <w:rFonts w:cs="Times New Roman"/>
          <w:i/>
          <w:iCs/>
          <w:noProof/>
          <w:szCs w:val="22"/>
        </w:rPr>
        <w:t>PLoS Computational Biology</w:t>
      </w:r>
      <w:r w:rsidRPr="00EE03F0">
        <w:rPr>
          <w:rFonts w:cs="Times New Roman"/>
          <w:noProof/>
          <w:szCs w:val="22"/>
        </w:rPr>
        <w:t xml:space="preserve">, </w:t>
      </w:r>
      <w:r w:rsidRPr="00EE03F0">
        <w:rPr>
          <w:rFonts w:cs="Times New Roman"/>
          <w:i/>
          <w:iCs/>
          <w:noProof/>
          <w:szCs w:val="22"/>
        </w:rPr>
        <w:t>14</w:t>
      </w:r>
      <w:r w:rsidRPr="00EE03F0">
        <w:rPr>
          <w:rFonts w:cs="Times New Roman"/>
          <w:noProof/>
          <w:szCs w:val="22"/>
        </w:rPr>
        <w:t>(1), 1–14. https://doi.org/10.1371/journal.pcbi.1005944</w:t>
      </w:r>
    </w:p>
    <w:p w14:paraId="7BC26284" w14:textId="77777777" w:rsidR="00636B5B" w:rsidRPr="00EE03F0" w:rsidRDefault="00636B5B" w:rsidP="00EE03F0">
      <w:pPr>
        <w:widowControl w:val="0"/>
        <w:autoSpaceDE w:val="0"/>
        <w:autoSpaceDN w:val="0"/>
        <w:adjustRightInd w:val="0"/>
        <w:ind w:left="480" w:hanging="480"/>
        <w:rPr>
          <w:rFonts w:cs="Times New Roman"/>
          <w:noProof/>
          <w:szCs w:val="22"/>
        </w:rPr>
      </w:pPr>
      <w:r w:rsidRPr="00EE03F0">
        <w:rPr>
          <w:rFonts w:cs="Times New Roman"/>
          <w:noProof/>
          <w:szCs w:val="22"/>
        </w:rPr>
        <w:t xml:space="preserve">Martin, W., Rujan, T., Richly, E., Hansen, A., Cornelsen, S., Lins, T., … Penny, D. (2002). Evolutionary analysis of Arabidopsis, cyanobacterial, and chloroplast genomes reveals plastid phylogeny and thousands of cyanobacterial genes in the nucleus. </w:t>
      </w:r>
      <w:r w:rsidRPr="00EE03F0">
        <w:rPr>
          <w:rFonts w:cs="Times New Roman"/>
          <w:i/>
          <w:iCs/>
          <w:noProof/>
          <w:szCs w:val="22"/>
        </w:rPr>
        <w:t>Proceedings of the National Academy of Sciences of the United States of America</w:t>
      </w:r>
      <w:r w:rsidRPr="00EE03F0">
        <w:rPr>
          <w:rFonts w:cs="Times New Roman"/>
          <w:noProof/>
          <w:szCs w:val="22"/>
        </w:rPr>
        <w:t xml:space="preserve">, </w:t>
      </w:r>
      <w:r w:rsidRPr="00EE03F0">
        <w:rPr>
          <w:rFonts w:cs="Times New Roman"/>
          <w:i/>
          <w:iCs/>
          <w:noProof/>
          <w:szCs w:val="22"/>
        </w:rPr>
        <w:t>99</w:t>
      </w:r>
      <w:r w:rsidRPr="00EE03F0">
        <w:rPr>
          <w:rFonts w:cs="Times New Roman"/>
          <w:noProof/>
          <w:szCs w:val="22"/>
        </w:rPr>
        <w:t>(19), 12246–12251. https://doi.org/10.1073/pnas.182432999</w:t>
      </w:r>
    </w:p>
    <w:p w14:paraId="6B4A6A05" w14:textId="77777777" w:rsidR="00636B5B" w:rsidRPr="00EE03F0" w:rsidRDefault="00636B5B" w:rsidP="00EE03F0">
      <w:pPr>
        <w:widowControl w:val="0"/>
        <w:autoSpaceDE w:val="0"/>
        <w:autoSpaceDN w:val="0"/>
        <w:adjustRightInd w:val="0"/>
        <w:ind w:left="480" w:hanging="480"/>
        <w:rPr>
          <w:rFonts w:cs="Times New Roman"/>
          <w:noProof/>
          <w:szCs w:val="22"/>
        </w:rPr>
      </w:pPr>
      <w:r w:rsidRPr="00EE03F0">
        <w:rPr>
          <w:rFonts w:cs="Times New Roman"/>
          <w:noProof/>
          <w:szCs w:val="22"/>
        </w:rPr>
        <w:t xml:space="preserve">Mayjonade, B., Gouzy, J., Donnadieu, C., Pouilly, N., Marande, W., Callot, C., … Muños, S. (2016). Extraction of high-molecular-weight genomic DNA for long-read sequencing of single molecules. </w:t>
      </w:r>
      <w:r w:rsidRPr="00EE03F0">
        <w:rPr>
          <w:rFonts w:cs="Times New Roman"/>
          <w:i/>
          <w:iCs/>
          <w:noProof/>
          <w:szCs w:val="22"/>
        </w:rPr>
        <w:t>BioTechniques</w:t>
      </w:r>
      <w:r w:rsidRPr="00EE03F0">
        <w:rPr>
          <w:rFonts w:cs="Times New Roman"/>
          <w:noProof/>
          <w:szCs w:val="22"/>
        </w:rPr>
        <w:t xml:space="preserve">, </w:t>
      </w:r>
      <w:r w:rsidRPr="00EE03F0">
        <w:rPr>
          <w:rFonts w:cs="Times New Roman"/>
          <w:i/>
          <w:iCs/>
          <w:noProof/>
          <w:szCs w:val="22"/>
        </w:rPr>
        <w:t>61</w:t>
      </w:r>
      <w:r w:rsidRPr="00EE03F0">
        <w:rPr>
          <w:rFonts w:cs="Times New Roman"/>
          <w:noProof/>
          <w:szCs w:val="22"/>
        </w:rPr>
        <w:t>(4), 203–205. https://doi.org/10.2144/000114460</w:t>
      </w:r>
    </w:p>
    <w:p w14:paraId="20D23CA0" w14:textId="77777777" w:rsidR="00636B5B" w:rsidRPr="00EE03F0" w:rsidRDefault="00636B5B" w:rsidP="00EE03F0">
      <w:pPr>
        <w:widowControl w:val="0"/>
        <w:autoSpaceDE w:val="0"/>
        <w:autoSpaceDN w:val="0"/>
        <w:adjustRightInd w:val="0"/>
        <w:ind w:left="480" w:hanging="480"/>
        <w:rPr>
          <w:rFonts w:cs="Times New Roman"/>
          <w:noProof/>
          <w:szCs w:val="22"/>
        </w:rPr>
      </w:pPr>
      <w:r w:rsidRPr="00EE03F0">
        <w:rPr>
          <w:rFonts w:cs="Times New Roman"/>
          <w:noProof/>
          <w:szCs w:val="22"/>
        </w:rPr>
        <w:t xml:space="preserve">Minh, B. Q., Schmidt, H. A., Chernomor, O., Schrempf, D., Woodhams, M. D., Von Haeseler, A., … Teeling, E. (2020). IQ-TREE 2: New Models and Efficient Methods for Phylogenetic Inference in the Genomic Era. </w:t>
      </w:r>
      <w:r w:rsidRPr="00EE03F0">
        <w:rPr>
          <w:rFonts w:cs="Times New Roman"/>
          <w:i/>
          <w:iCs/>
          <w:noProof/>
          <w:szCs w:val="22"/>
        </w:rPr>
        <w:t>Molecular Biology and Evolution</w:t>
      </w:r>
      <w:r w:rsidRPr="00EE03F0">
        <w:rPr>
          <w:rFonts w:cs="Times New Roman"/>
          <w:noProof/>
          <w:szCs w:val="22"/>
        </w:rPr>
        <w:t xml:space="preserve">, </w:t>
      </w:r>
      <w:r w:rsidRPr="00EE03F0">
        <w:rPr>
          <w:rFonts w:cs="Times New Roman"/>
          <w:i/>
          <w:iCs/>
          <w:noProof/>
          <w:szCs w:val="22"/>
        </w:rPr>
        <w:t>37</w:t>
      </w:r>
      <w:r w:rsidRPr="00EE03F0">
        <w:rPr>
          <w:rFonts w:cs="Times New Roman"/>
          <w:noProof/>
          <w:szCs w:val="22"/>
        </w:rPr>
        <w:t>(5), 1530–1534. https://doi.org/10.1093/molbev/msaa015</w:t>
      </w:r>
    </w:p>
    <w:p w14:paraId="3C6C94E0" w14:textId="77777777" w:rsidR="00636B5B" w:rsidRPr="00EE03F0" w:rsidRDefault="00636B5B" w:rsidP="00EE03F0">
      <w:pPr>
        <w:widowControl w:val="0"/>
        <w:autoSpaceDE w:val="0"/>
        <w:autoSpaceDN w:val="0"/>
        <w:adjustRightInd w:val="0"/>
        <w:ind w:left="480" w:hanging="480"/>
        <w:rPr>
          <w:rFonts w:cs="Times New Roman"/>
          <w:noProof/>
          <w:szCs w:val="22"/>
        </w:rPr>
      </w:pPr>
      <w:r w:rsidRPr="00EE03F0">
        <w:rPr>
          <w:rFonts w:cs="Times New Roman"/>
          <w:noProof/>
          <w:szCs w:val="22"/>
        </w:rPr>
        <w:t xml:space="preserve">Ni, P., Huang, N., Nie, F., Zhang, J., Zhang, Z., Wu, B., … Wang, J. (2021). Genome-wide detection of cytosine methylations in plant from Nanopore data using deep learning. </w:t>
      </w:r>
      <w:r w:rsidRPr="00EE03F0">
        <w:rPr>
          <w:rFonts w:cs="Times New Roman"/>
          <w:i/>
          <w:iCs/>
          <w:noProof/>
          <w:szCs w:val="22"/>
        </w:rPr>
        <w:t>Nature Communications</w:t>
      </w:r>
      <w:r w:rsidRPr="00EE03F0">
        <w:rPr>
          <w:rFonts w:cs="Times New Roman"/>
          <w:noProof/>
          <w:szCs w:val="22"/>
        </w:rPr>
        <w:t xml:space="preserve">, </w:t>
      </w:r>
      <w:r w:rsidRPr="00EE03F0">
        <w:rPr>
          <w:rFonts w:cs="Times New Roman"/>
          <w:i/>
          <w:iCs/>
          <w:noProof/>
          <w:szCs w:val="22"/>
        </w:rPr>
        <w:t>12</w:t>
      </w:r>
      <w:r w:rsidRPr="00EE03F0">
        <w:rPr>
          <w:rFonts w:cs="Times New Roman"/>
          <w:noProof/>
          <w:szCs w:val="22"/>
        </w:rPr>
        <w:t>(1), 1–11. https://doi.org/10.1038/s41467-021-26278-9</w:t>
      </w:r>
    </w:p>
    <w:p w14:paraId="2C982B8B" w14:textId="77777777" w:rsidR="00636B5B" w:rsidRPr="00EE03F0" w:rsidRDefault="00636B5B" w:rsidP="00EE03F0">
      <w:pPr>
        <w:widowControl w:val="0"/>
        <w:autoSpaceDE w:val="0"/>
        <w:autoSpaceDN w:val="0"/>
        <w:adjustRightInd w:val="0"/>
        <w:ind w:left="480" w:hanging="480"/>
        <w:rPr>
          <w:rFonts w:cs="Times New Roman"/>
          <w:noProof/>
          <w:szCs w:val="22"/>
        </w:rPr>
      </w:pPr>
      <w:r w:rsidRPr="00EE03F0">
        <w:rPr>
          <w:rFonts w:cs="Times New Roman"/>
          <w:noProof/>
          <w:szCs w:val="22"/>
        </w:rPr>
        <w:t xml:space="preserve">Noutsos, C., Kleine, T., Armbruster, U., DalCorso, G., &amp; Leister, D. (2007). Nuclear insertions of organellar DNA can create novel patches of functional exon sequences. </w:t>
      </w:r>
      <w:r w:rsidRPr="00EE03F0">
        <w:rPr>
          <w:rFonts w:cs="Times New Roman"/>
          <w:i/>
          <w:iCs/>
          <w:noProof/>
          <w:szCs w:val="22"/>
        </w:rPr>
        <w:t>Trends in Genetics</w:t>
      </w:r>
      <w:r w:rsidRPr="00EE03F0">
        <w:rPr>
          <w:rFonts w:cs="Times New Roman"/>
          <w:noProof/>
          <w:szCs w:val="22"/>
        </w:rPr>
        <w:t xml:space="preserve">, </w:t>
      </w:r>
      <w:r w:rsidRPr="00EE03F0">
        <w:rPr>
          <w:rFonts w:cs="Times New Roman"/>
          <w:i/>
          <w:iCs/>
          <w:noProof/>
          <w:szCs w:val="22"/>
        </w:rPr>
        <w:t>23</w:t>
      </w:r>
      <w:r w:rsidRPr="00EE03F0">
        <w:rPr>
          <w:rFonts w:cs="Times New Roman"/>
          <w:noProof/>
          <w:szCs w:val="22"/>
        </w:rPr>
        <w:t>(12), 597–601. https://doi.org/10.1016/j.tig.2007.08.016</w:t>
      </w:r>
    </w:p>
    <w:p w14:paraId="64CB48FD" w14:textId="77777777" w:rsidR="00636B5B" w:rsidRPr="00EE03F0" w:rsidRDefault="00636B5B" w:rsidP="00EE03F0">
      <w:pPr>
        <w:widowControl w:val="0"/>
        <w:autoSpaceDE w:val="0"/>
        <w:autoSpaceDN w:val="0"/>
        <w:adjustRightInd w:val="0"/>
        <w:ind w:left="480" w:hanging="480"/>
        <w:rPr>
          <w:rFonts w:cs="Times New Roman"/>
          <w:noProof/>
          <w:szCs w:val="22"/>
        </w:rPr>
      </w:pPr>
      <w:r w:rsidRPr="00EE03F0">
        <w:rPr>
          <w:rFonts w:cs="Times New Roman"/>
          <w:noProof/>
          <w:szCs w:val="22"/>
        </w:rPr>
        <w:t xml:space="preserve">Sheppard, A. E., &amp; Timmis, J. N. (2009). Instability of plastid DNA in the nuclear genome. </w:t>
      </w:r>
      <w:r w:rsidRPr="00EE03F0">
        <w:rPr>
          <w:rFonts w:cs="Times New Roman"/>
          <w:i/>
          <w:iCs/>
          <w:noProof/>
          <w:szCs w:val="22"/>
        </w:rPr>
        <w:t>PLoS Genetics</w:t>
      </w:r>
      <w:r w:rsidRPr="00EE03F0">
        <w:rPr>
          <w:rFonts w:cs="Times New Roman"/>
          <w:noProof/>
          <w:szCs w:val="22"/>
        </w:rPr>
        <w:t xml:space="preserve">, </w:t>
      </w:r>
      <w:r w:rsidRPr="00EE03F0">
        <w:rPr>
          <w:rFonts w:cs="Times New Roman"/>
          <w:i/>
          <w:iCs/>
          <w:noProof/>
          <w:szCs w:val="22"/>
        </w:rPr>
        <w:t>5</w:t>
      </w:r>
      <w:r w:rsidRPr="00EE03F0">
        <w:rPr>
          <w:rFonts w:cs="Times New Roman"/>
          <w:noProof/>
          <w:szCs w:val="22"/>
        </w:rPr>
        <w:t>(1), 1–8. https://doi.org/10.1371/journal.pgen.1000323</w:t>
      </w:r>
    </w:p>
    <w:p w14:paraId="65BBF56A" w14:textId="77777777" w:rsidR="00636B5B" w:rsidRPr="00EE03F0" w:rsidRDefault="00636B5B" w:rsidP="00EE03F0">
      <w:pPr>
        <w:widowControl w:val="0"/>
        <w:autoSpaceDE w:val="0"/>
        <w:autoSpaceDN w:val="0"/>
        <w:adjustRightInd w:val="0"/>
        <w:ind w:left="480" w:hanging="480"/>
        <w:rPr>
          <w:rFonts w:cs="Times New Roman"/>
          <w:noProof/>
          <w:szCs w:val="22"/>
        </w:rPr>
      </w:pPr>
      <w:r w:rsidRPr="00EE03F0">
        <w:rPr>
          <w:rFonts w:cs="Times New Roman"/>
          <w:noProof/>
          <w:szCs w:val="22"/>
        </w:rPr>
        <w:t xml:space="preserve">Sloan, D. B. (2013). One ring to rule them all? Genome sequencing provides new insights into the “master circle” model of plant mitochondrial DNA structure. </w:t>
      </w:r>
      <w:r w:rsidRPr="00EE03F0">
        <w:rPr>
          <w:rFonts w:cs="Times New Roman"/>
          <w:i/>
          <w:iCs/>
          <w:noProof/>
          <w:szCs w:val="22"/>
        </w:rPr>
        <w:t>New Phytologist</w:t>
      </w:r>
      <w:r w:rsidRPr="00EE03F0">
        <w:rPr>
          <w:rFonts w:cs="Times New Roman"/>
          <w:noProof/>
          <w:szCs w:val="22"/>
        </w:rPr>
        <w:t xml:space="preserve">, </w:t>
      </w:r>
      <w:r w:rsidRPr="00EE03F0">
        <w:rPr>
          <w:rFonts w:cs="Times New Roman"/>
          <w:i/>
          <w:iCs/>
          <w:noProof/>
          <w:szCs w:val="22"/>
        </w:rPr>
        <w:t>200</w:t>
      </w:r>
      <w:r w:rsidRPr="00EE03F0">
        <w:rPr>
          <w:rFonts w:cs="Times New Roman"/>
          <w:noProof/>
          <w:szCs w:val="22"/>
        </w:rPr>
        <w:t xml:space="preserve">(4), </w:t>
      </w:r>
      <w:r w:rsidRPr="00EE03F0">
        <w:rPr>
          <w:rFonts w:cs="Times New Roman"/>
          <w:noProof/>
          <w:szCs w:val="22"/>
        </w:rPr>
        <w:lastRenderedPageBreak/>
        <w:t>978–985. https://doi.org/10.1111/nph.12395</w:t>
      </w:r>
    </w:p>
    <w:p w14:paraId="76C2C5BC" w14:textId="77777777" w:rsidR="00636B5B" w:rsidRPr="00EE03F0" w:rsidRDefault="00636B5B" w:rsidP="00EE03F0">
      <w:pPr>
        <w:widowControl w:val="0"/>
        <w:autoSpaceDE w:val="0"/>
        <w:autoSpaceDN w:val="0"/>
        <w:adjustRightInd w:val="0"/>
        <w:ind w:left="480" w:hanging="480"/>
        <w:rPr>
          <w:rFonts w:cs="Times New Roman"/>
          <w:noProof/>
          <w:szCs w:val="22"/>
        </w:rPr>
      </w:pPr>
      <w:r w:rsidRPr="00EE03F0">
        <w:rPr>
          <w:rFonts w:cs="Times New Roman"/>
          <w:noProof/>
          <w:szCs w:val="22"/>
        </w:rPr>
        <w:t xml:space="preserve">Sloan, D. B., Alverson, A. J., Chuckalovcak, J. P., Wu, M., McCauley, D. E., Palmer, J. D., &amp; Taylor, D. R. (2012). Rapid evolution of enormous, multichromosomal genomes in flowering plant mitochondria with exceptionally high mutation rates. </w:t>
      </w:r>
      <w:r w:rsidRPr="00EE03F0">
        <w:rPr>
          <w:rFonts w:cs="Times New Roman"/>
          <w:i/>
          <w:iCs/>
          <w:noProof/>
          <w:szCs w:val="22"/>
        </w:rPr>
        <w:t>PLoS Biology</w:t>
      </w:r>
      <w:r w:rsidRPr="00EE03F0">
        <w:rPr>
          <w:rFonts w:cs="Times New Roman"/>
          <w:noProof/>
          <w:szCs w:val="22"/>
        </w:rPr>
        <w:t xml:space="preserve">, </w:t>
      </w:r>
      <w:r w:rsidRPr="00EE03F0">
        <w:rPr>
          <w:rFonts w:cs="Times New Roman"/>
          <w:i/>
          <w:iCs/>
          <w:noProof/>
          <w:szCs w:val="22"/>
        </w:rPr>
        <w:t>10</w:t>
      </w:r>
      <w:r w:rsidRPr="00EE03F0">
        <w:rPr>
          <w:rFonts w:cs="Times New Roman"/>
          <w:noProof/>
          <w:szCs w:val="22"/>
        </w:rPr>
        <w:t>(1). https://doi.org/10.1371/journal.pbio.1001241</w:t>
      </w:r>
    </w:p>
    <w:p w14:paraId="2928C285" w14:textId="77777777" w:rsidR="00636B5B" w:rsidRPr="00EE03F0" w:rsidRDefault="00636B5B" w:rsidP="00EE03F0">
      <w:pPr>
        <w:widowControl w:val="0"/>
        <w:autoSpaceDE w:val="0"/>
        <w:autoSpaceDN w:val="0"/>
        <w:adjustRightInd w:val="0"/>
        <w:ind w:left="480" w:hanging="480"/>
        <w:rPr>
          <w:rFonts w:cs="Times New Roman"/>
          <w:noProof/>
          <w:szCs w:val="22"/>
        </w:rPr>
      </w:pPr>
      <w:r w:rsidRPr="00EE03F0">
        <w:rPr>
          <w:rFonts w:cs="Times New Roman"/>
          <w:noProof/>
          <w:szCs w:val="22"/>
        </w:rPr>
        <w:t xml:space="preserve">Thorsness, P., &amp; Fox, T. (1990). Escape of DNA from mitochondria to the nucleus in Saccharomyces cerevisiae. </w:t>
      </w:r>
      <w:r w:rsidRPr="00EE03F0">
        <w:rPr>
          <w:rFonts w:cs="Times New Roman"/>
          <w:i/>
          <w:iCs/>
          <w:noProof/>
          <w:szCs w:val="22"/>
        </w:rPr>
        <w:t>Nature</w:t>
      </w:r>
      <w:r w:rsidRPr="00EE03F0">
        <w:rPr>
          <w:rFonts w:cs="Times New Roman"/>
          <w:noProof/>
          <w:szCs w:val="22"/>
        </w:rPr>
        <w:t xml:space="preserve">, </w:t>
      </w:r>
      <w:r w:rsidRPr="00EE03F0">
        <w:rPr>
          <w:rFonts w:cs="Times New Roman"/>
          <w:i/>
          <w:iCs/>
          <w:noProof/>
          <w:szCs w:val="22"/>
        </w:rPr>
        <w:t>346</w:t>
      </w:r>
      <w:r w:rsidRPr="00EE03F0">
        <w:rPr>
          <w:rFonts w:cs="Times New Roman"/>
          <w:noProof/>
          <w:szCs w:val="22"/>
        </w:rPr>
        <w:t>(4), 376–379. https://doi.org/10.1134/s032097251904002x</w:t>
      </w:r>
    </w:p>
    <w:p w14:paraId="1BBB40A9" w14:textId="77777777" w:rsidR="00636B5B" w:rsidRPr="00EE03F0" w:rsidRDefault="00636B5B" w:rsidP="00EE03F0">
      <w:pPr>
        <w:widowControl w:val="0"/>
        <w:autoSpaceDE w:val="0"/>
        <w:autoSpaceDN w:val="0"/>
        <w:adjustRightInd w:val="0"/>
        <w:ind w:left="480" w:hanging="480"/>
        <w:rPr>
          <w:rFonts w:cs="Times New Roman"/>
          <w:noProof/>
          <w:szCs w:val="22"/>
        </w:rPr>
      </w:pPr>
      <w:r w:rsidRPr="00EE03F0">
        <w:rPr>
          <w:rFonts w:cs="Times New Roman"/>
          <w:noProof/>
          <w:szCs w:val="22"/>
        </w:rPr>
        <w:t xml:space="preserve">Tillich, M., Lehwark, P., Pellizzer, T., Ulbricht-Jones, E. S., Fischer, A., Bock, R., &amp; Greiner, S. (2017). GeSeq - Versatile and accurate annotation of organelle genomes. </w:t>
      </w:r>
      <w:r w:rsidRPr="00EE03F0">
        <w:rPr>
          <w:rFonts w:cs="Times New Roman"/>
          <w:i/>
          <w:iCs/>
          <w:noProof/>
          <w:szCs w:val="22"/>
        </w:rPr>
        <w:t>Nucleic Acids Research</w:t>
      </w:r>
      <w:r w:rsidRPr="00EE03F0">
        <w:rPr>
          <w:rFonts w:cs="Times New Roman"/>
          <w:noProof/>
          <w:szCs w:val="22"/>
        </w:rPr>
        <w:t xml:space="preserve">, </w:t>
      </w:r>
      <w:r w:rsidRPr="00EE03F0">
        <w:rPr>
          <w:rFonts w:cs="Times New Roman"/>
          <w:i/>
          <w:iCs/>
          <w:noProof/>
          <w:szCs w:val="22"/>
        </w:rPr>
        <w:t>45</w:t>
      </w:r>
      <w:r w:rsidRPr="00EE03F0">
        <w:rPr>
          <w:rFonts w:cs="Times New Roman"/>
          <w:noProof/>
          <w:szCs w:val="22"/>
        </w:rPr>
        <w:t>(W1), W6–W11. https://doi.org/10.1093/nar/gkx391</w:t>
      </w:r>
    </w:p>
    <w:p w14:paraId="79AC4CC9" w14:textId="77777777" w:rsidR="00636B5B" w:rsidRPr="00EE03F0" w:rsidRDefault="00636B5B" w:rsidP="00EE03F0">
      <w:pPr>
        <w:widowControl w:val="0"/>
        <w:autoSpaceDE w:val="0"/>
        <w:autoSpaceDN w:val="0"/>
        <w:adjustRightInd w:val="0"/>
        <w:ind w:left="480" w:hanging="480"/>
        <w:rPr>
          <w:rFonts w:cs="Times New Roman"/>
          <w:noProof/>
          <w:szCs w:val="22"/>
        </w:rPr>
      </w:pPr>
      <w:r w:rsidRPr="00EE03F0">
        <w:rPr>
          <w:rFonts w:cs="Times New Roman"/>
          <w:noProof/>
          <w:szCs w:val="22"/>
        </w:rPr>
        <w:t xml:space="preserve">Timmis, J. N., Ayliff, M. A., Huang, C. Y., &amp; Martin, W. (2004). Endosymbiotic gene transfer: Organelle genomes forge eukaryotic chromosomes. </w:t>
      </w:r>
      <w:r w:rsidRPr="00EE03F0">
        <w:rPr>
          <w:rFonts w:cs="Times New Roman"/>
          <w:i/>
          <w:iCs/>
          <w:noProof/>
          <w:szCs w:val="22"/>
        </w:rPr>
        <w:t>Nature Reviews Genetics</w:t>
      </w:r>
      <w:r w:rsidRPr="00EE03F0">
        <w:rPr>
          <w:rFonts w:cs="Times New Roman"/>
          <w:noProof/>
          <w:szCs w:val="22"/>
        </w:rPr>
        <w:t xml:space="preserve">, </w:t>
      </w:r>
      <w:r w:rsidRPr="00EE03F0">
        <w:rPr>
          <w:rFonts w:cs="Times New Roman"/>
          <w:i/>
          <w:iCs/>
          <w:noProof/>
          <w:szCs w:val="22"/>
        </w:rPr>
        <w:t>5</w:t>
      </w:r>
      <w:r w:rsidRPr="00EE03F0">
        <w:rPr>
          <w:rFonts w:cs="Times New Roman"/>
          <w:noProof/>
          <w:szCs w:val="22"/>
        </w:rPr>
        <w:t>(2), 123–135. https://doi.org/10.1038/nrg1271</w:t>
      </w:r>
    </w:p>
    <w:p w14:paraId="620AC077" w14:textId="77777777" w:rsidR="00636B5B" w:rsidRPr="00EE03F0" w:rsidRDefault="00636B5B" w:rsidP="00EE03F0">
      <w:pPr>
        <w:widowControl w:val="0"/>
        <w:autoSpaceDE w:val="0"/>
        <w:autoSpaceDN w:val="0"/>
        <w:adjustRightInd w:val="0"/>
        <w:ind w:left="480" w:hanging="480"/>
        <w:rPr>
          <w:rFonts w:cs="Times New Roman"/>
          <w:noProof/>
          <w:szCs w:val="22"/>
        </w:rPr>
      </w:pPr>
      <w:r w:rsidRPr="00EE03F0">
        <w:rPr>
          <w:rFonts w:cs="Times New Roman"/>
          <w:noProof/>
          <w:szCs w:val="22"/>
        </w:rPr>
        <w:t xml:space="preserve">Turner, C., Killoran, C., Thomas, N. S. T., Rosenberg, M., Chuzhanova, N. A., Johnston, J., … Biesecker, L. G. (2003). Human genetic disease caused by de novo mitochondrial-nuclear DNA transfer. </w:t>
      </w:r>
      <w:r w:rsidRPr="00EE03F0">
        <w:rPr>
          <w:rFonts w:cs="Times New Roman"/>
          <w:i/>
          <w:iCs/>
          <w:noProof/>
          <w:szCs w:val="22"/>
        </w:rPr>
        <w:t>Human Genetics</w:t>
      </w:r>
      <w:r w:rsidRPr="00EE03F0">
        <w:rPr>
          <w:rFonts w:cs="Times New Roman"/>
          <w:noProof/>
          <w:szCs w:val="22"/>
        </w:rPr>
        <w:t xml:space="preserve">, </w:t>
      </w:r>
      <w:r w:rsidRPr="00EE03F0">
        <w:rPr>
          <w:rFonts w:cs="Times New Roman"/>
          <w:i/>
          <w:iCs/>
          <w:noProof/>
          <w:szCs w:val="22"/>
        </w:rPr>
        <w:t>112</w:t>
      </w:r>
      <w:r w:rsidRPr="00EE03F0">
        <w:rPr>
          <w:rFonts w:cs="Times New Roman"/>
          <w:noProof/>
          <w:szCs w:val="22"/>
        </w:rPr>
        <w:t>(3), 303–309. https://doi.org/10.1007/s00439-002-0892-2</w:t>
      </w:r>
    </w:p>
    <w:p w14:paraId="51868266" w14:textId="77777777" w:rsidR="00636B5B" w:rsidRPr="00EE03F0" w:rsidRDefault="00636B5B" w:rsidP="00EE03F0">
      <w:pPr>
        <w:widowControl w:val="0"/>
        <w:autoSpaceDE w:val="0"/>
        <w:autoSpaceDN w:val="0"/>
        <w:adjustRightInd w:val="0"/>
        <w:ind w:left="480" w:hanging="480"/>
        <w:rPr>
          <w:rFonts w:cs="Times New Roman"/>
          <w:noProof/>
          <w:szCs w:val="22"/>
        </w:rPr>
      </w:pPr>
      <w:r w:rsidRPr="00EE03F0">
        <w:rPr>
          <w:rFonts w:cs="Times New Roman"/>
          <w:noProof/>
          <w:szCs w:val="22"/>
        </w:rPr>
        <w:t xml:space="preserve">Wang, Dong, Qu, Z., Adelson, D. L., Zhu, J. K., &amp; Timmis, J. N. (2014). Transcription of nuclear organellar DNA in a model plant system. </w:t>
      </w:r>
      <w:r w:rsidRPr="00EE03F0">
        <w:rPr>
          <w:rFonts w:cs="Times New Roman"/>
          <w:i/>
          <w:iCs/>
          <w:noProof/>
          <w:szCs w:val="22"/>
        </w:rPr>
        <w:t>Genome Biology and Evolution</w:t>
      </w:r>
      <w:r w:rsidRPr="00EE03F0">
        <w:rPr>
          <w:rFonts w:cs="Times New Roman"/>
          <w:noProof/>
          <w:szCs w:val="22"/>
        </w:rPr>
        <w:t xml:space="preserve">, </w:t>
      </w:r>
      <w:r w:rsidRPr="00EE03F0">
        <w:rPr>
          <w:rFonts w:cs="Times New Roman"/>
          <w:i/>
          <w:iCs/>
          <w:noProof/>
          <w:szCs w:val="22"/>
        </w:rPr>
        <w:t>6</w:t>
      </w:r>
      <w:r w:rsidRPr="00EE03F0">
        <w:rPr>
          <w:rFonts w:cs="Times New Roman"/>
          <w:noProof/>
          <w:szCs w:val="22"/>
        </w:rPr>
        <w:t>(6), 1327–1334. https://doi.org/10.1093/gbe/evu111</w:t>
      </w:r>
    </w:p>
    <w:p w14:paraId="304575D9" w14:textId="77777777" w:rsidR="00636B5B" w:rsidRPr="00EE03F0" w:rsidRDefault="00636B5B" w:rsidP="00EE03F0">
      <w:pPr>
        <w:widowControl w:val="0"/>
        <w:autoSpaceDE w:val="0"/>
        <w:autoSpaceDN w:val="0"/>
        <w:adjustRightInd w:val="0"/>
        <w:ind w:left="480" w:hanging="480"/>
        <w:rPr>
          <w:rFonts w:cs="Times New Roman"/>
          <w:noProof/>
          <w:szCs w:val="22"/>
        </w:rPr>
      </w:pPr>
      <w:r w:rsidRPr="00EE03F0">
        <w:rPr>
          <w:rFonts w:cs="Times New Roman"/>
          <w:noProof/>
          <w:szCs w:val="22"/>
        </w:rPr>
        <w:t xml:space="preserve">Wang, Dong, &amp; Timmis, J. N. (2013). Cytoplasmic organelle DNA preferentially inserts into open chromatin. </w:t>
      </w:r>
      <w:r w:rsidRPr="00EE03F0">
        <w:rPr>
          <w:rFonts w:cs="Times New Roman"/>
          <w:i/>
          <w:iCs/>
          <w:noProof/>
          <w:szCs w:val="22"/>
        </w:rPr>
        <w:t>Genome Biology and Evolution</w:t>
      </w:r>
      <w:r w:rsidRPr="00EE03F0">
        <w:rPr>
          <w:rFonts w:cs="Times New Roman"/>
          <w:noProof/>
          <w:szCs w:val="22"/>
        </w:rPr>
        <w:t xml:space="preserve">, </w:t>
      </w:r>
      <w:r w:rsidRPr="00EE03F0">
        <w:rPr>
          <w:rFonts w:cs="Times New Roman"/>
          <w:i/>
          <w:iCs/>
          <w:noProof/>
          <w:szCs w:val="22"/>
        </w:rPr>
        <w:t>5</w:t>
      </w:r>
      <w:r w:rsidRPr="00EE03F0">
        <w:rPr>
          <w:rFonts w:cs="Times New Roman"/>
          <w:noProof/>
          <w:szCs w:val="22"/>
        </w:rPr>
        <w:t>(6), 1060–1064. https://doi.org/10.1093/gbe/evt070</w:t>
      </w:r>
    </w:p>
    <w:p w14:paraId="73C6C3CB" w14:textId="77777777" w:rsidR="00636B5B" w:rsidRPr="00EE03F0" w:rsidRDefault="00636B5B" w:rsidP="00EE03F0">
      <w:pPr>
        <w:widowControl w:val="0"/>
        <w:autoSpaceDE w:val="0"/>
        <w:autoSpaceDN w:val="0"/>
        <w:adjustRightInd w:val="0"/>
        <w:ind w:left="480" w:hanging="480"/>
        <w:rPr>
          <w:rFonts w:cs="Times New Roman"/>
          <w:noProof/>
          <w:szCs w:val="22"/>
        </w:rPr>
      </w:pPr>
      <w:r w:rsidRPr="00EE03F0">
        <w:rPr>
          <w:rFonts w:cs="Times New Roman"/>
          <w:noProof/>
          <w:szCs w:val="22"/>
        </w:rPr>
        <w:t xml:space="preserve">Wang, Dongsheng, Wang, Z., Du, S., &amp; Zhang, J. (2015). Phylogeny of section Leuce (Populus, Salicaceae) inferred from 34 chloroplast DNA fragments. </w:t>
      </w:r>
      <w:r w:rsidRPr="00EE03F0">
        <w:rPr>
          <w:rFonts w:cs="Times New Roman"/>
          <w:i/>
          <w:iCs/>
          <w:noProof/>
          <w:szCs w:val="22"/>
        </w:rPr>
        <w:t>Biochemical Systematics and Ecology</w:t>
      </w:r>
      <w:r w:rsidRPr="00EE03F0">
        <w:rPr>
          <w:rFonts w:cs="Times New Roman"/>
          <w:noProof/>
          <w:szCs w:val="22"/>
        </w:rPr>
        <w:t xml:space="preserve">, </w:t>
      </w:r>
      <w:r w:rsidRPr="00EE03F0">
        <w:rPr>
          <w:rFonts w:cs="Times New Roman"/>
          <w:i/>
          <w:iCs/>
          <w:noProof/>
          <w:szCs w:val="22"/>
        </w:rPr>
        <w:t>63</w:t>
      </w:r>
      <w:r w:rsidRPr="00EE03F0">
        <w:rPr>
          <w:rFonts w:cs="Times New Roman"/>
          <w:noProof/>
          <w:szCs w:val="22"/>
        </w:rPr>
        <w:t>, 212–217. https://doi.org/10.1016/j.bse.2015.09.020</w:t>
      </w:r>
    </w:p>
    <w:p w14:paraId="2B524B44" w14:textId="77777777" w:rsidR="00636B5B" w:rsidRPr="00EE03F0" w:rsidRDefault="00636B5B" w:rsidP="00EE03F0">
      <w:pPr>
        <w:widowControl w:val="0"/>
        <w:autoSpaceDE w:val="0"/>
        <w:autoSpaceDN w:val="0"/>
        <w:adjustRightInd w:val="0"/>
        <w:ind w:left="480" w:hanging="480"/>
        <w:rPr>
          <w:rFonts w:cs="Times New Roman"/>
          <w:noProof/>
          <w:szCs w:val="22"/>
        </w:rPr>
      </w:pPr>
      <w:r w:rsidRPr="00EE03F0">
        <w:rPr>
          <w:rFonts w:cs="Times New Roman"/>
          <w:noProof/>
          <w:szCs w:val="22"/>
        </w:rPr>
        <w:t xml:space="preserve">Wang, Y., Tang, H., Debarry, J. D., Tan, X., Li, J., Wang, X., … Paterson, A. H. (2012). MCScanX: A toolkit for detection and evolutionary analysis of gene synteny and collinearity. </w:t>
      </w:r>
      <w:r w:rsidRPr="00EE03F0">
        <w:rPr>
          <w:rFonts w:cs="Times New Roman"/>
          <w:i/>
          <w:iCs/>
          <w:noProof/>
          <w:szCs w:val="22"/>
        </w:rPr>
        <w:t>Nucleic Acids Research</w:t>
      </w:r>
      <w:r w:rsidRPr="00EE03F0">
        <w:rPr>
          <w:rFonts w:cs="Times New Roman"/>
          <w:noProof/>
          <w:szCs w:val="22"/>
        </w:rPr>
        <w:t xml:space="preserve">, </w:t>
      </w:r>
      <w:r w:rsidRPr="00EE03F0">
        <w:rPr>
          <w:rFonts w:cs="Times New Roman"/>
          <w:i/>
          <w:iCs/>
          <w:noProof/>
          <w:szCs w:val="22"/>
        </w:rPr>
        <w:t>40</w:t>
      </w:r>
      <w:r w:rsidRPr="00EE03F0">
        <w:rPr>
          <w:rFonts w:cs="Times New Roman"/>
          <w:noProof/>
          <w:szCs w:val="22"/>
        </w:rPr>
        <w:t>(7). https://doi.org/10.1093/nar/gkr1293</w:t>
      </w:r>
    </w:p>
    <w:p w14:paraId="0F1E47BF" w14:textId="77777777" w:rsidR="00636B5B" w:rsidRPr="00EE03F0" w:rsidRDefault="00636B5B" w:rsidP="00EE03F0">
      <w:pPr>
        <w:widowControl w:val="0"/>
        <w:autoSpaceDE w:val="0"/>
        <w:autoSpaceDN w:val="0"/>
        <w:adjustRightInd w:val="0"/>
        <w:ind w:left="480" w:hanging="480"/>
        <w:rPr>
          <w:rFonts w:cs="Times New Roman"/>
          <w:noProof/>
          <w:szCs w:val="22"/>
        </w:rPr>
      </w:pPr>
      <w:r w:rsidRPr="00EE03F0">
        <w:rPr>
          <w:rFonts w:cs="Times New Roman"/>
          <w:noProof/>
          <w:szCs w:val="22"/>
        </w:rPr>
        <w:t xml:space="preserve">Weighill, D., Macaya-Sanz, D., DiFazio, S. P., Joubert, W., Shah, M., Schmutz, J., … Jacobson, D. (2019). Wavelet-based genomic signal processing for centromere identification and hypothesis generation. </w:t>
      </w:r>
      <w:r w:rsidRPr="00EE03F0">
        <w:rPr>
          <w:rFonts w:cs="Times New Roman"/>
          <w:i/>
          <w:iCs/>
          <w:noProof/>
          <w:szCs w:val="22"/>
        </w:rPr>
        <w:t>Frontiers in Genetics</w:t>
      </w:r>
      <w:r w:rsidRPr="00EE03F0">
        <w:rPr>
          <w:rFonts w:cs="Times New Roman"/>
          <w:noProof/>
          <w:szCs w:val="22"/>
        </w:rPr>
        <w:t xml:space="preserve">, </w:t>
      </w:r>
      <w:r w:rsidRPr="00EE03F0">
        <w:rPr>
          <w:rFonts w:cs="Times New Roman"/>
          <w:i/>
          <w:iCs/>
          <w:noProof/>
          <w:szCs w:val="22"/>
        </w:rPr>
        <w:t>10</w:t>
      </w:r>
      <w:r w:rsidRPr="00EE03F0">
        <w:rPr>
          <w:rFonts w:cs="Times New Roman"/>
          <w:noProof/>
          <w:szCs w:val="22"/>
        </w:rPr>
        <w:t>(MAY). https://doi.org/10.3389/fgene.2019.00487</w:t>
      </w:r>
    </w:p>
    <w:p w14:paraId="17B32E46" w14:textId="77777777" w:rsidR="00636B5B" w:rsidRPr="00EE03F0" w:rsidRDefault="00636B5B" w:rsidP="00EE03F0">
      <w:pPr>
        <w:widowControl w:val="0"/>
        <w:autoSpaceDE w:val="0"/>
        <w:autoSpaceDN w:val="0"/>
        <w:adjustRightInd w:val="0"/>
        <w:ind w:left="480" w:hanging="480"/>
        <w:rPr>
          <w:rFonts w:cs="Times New Roman"/>
          <w:noProof/>
          <w:szCs w:val="22"/>
        </w:rPr>
      </w:pPr>
      <w:r w:rsidRPr="00EE03F0">
        <w:rPr>
          <w:rFonts w:cs="Times New Roman"/>
          <w:noProof/>
          <w:szCs w:val="22"/>
        </w:rPr>
        <w:t xml:space="preserve">Wick, R. R., Judd, L. M., Gorrie, C. L., &amp; Holt, K. E. (2017). Unicycler: Resolving bacterial genome assemblies from short and long sequencing reads. </w:t>
      </w:r>
      <w:r w:rsidRPr="00EE03F0">
        <w:rPr>
          <w:rFonts w:cs="Times New Roman"/>
          <w:i/>
          <w:iCs/>
          <w:noProof/>
          <w:szCs w:val="22"/>
        </w:rPr>
        <w:t>PLoS Computational Biology</w:t>
      </w:r>
      <w:r w:rsidRPr="00EE03F0">
        <w:rPr>
          <w:rFonts w:cs="Times New Roman"/>
          <w:noProof/>
          <w:szCs w:val="22"/>
        </w:rPr>
        <w:t xml:space="preserve">, </w:t>
      </w:r>
      <w:r w:rsidRPr="00EE03F0">
        <w:rPr>
          <w:rFonts w:cs="Times New Roman"/>
          <w:i/>
          <w:iCs/>
          <w:noProof/>
          <w:szCs w:val="22"/>
        </w:rPr>
        <w:t>13</w:t>
      </w:r>
      <w:r w:rsidRPr="00EE03F0">
        <w:rPr>
          <w:rFonts w:cs="Times New Roman"/>
          <w:noProof/>
          <w:szCs w:val="22"/>
        </w:rPr>
        <w:t>(6), 1–22. https://doi.org/10.1371/journal.pcbi.1005595</w:t>
      </w:r>
    </w:p>
    <w:p w14:paraId="5002FCA2" w14:textId="77777777" w:rsidR="00636B5B" w:rsidRPr="00EE03F0" w:rsidRDefault="00636B5B" w:rsidP="00EE03F0">
      <w:pPr>
        <w:widowControl w:val="0"/>
        <w:autoSpaceDE w:val="0"/>
        <w:autoSpaceDN w:val="0"/>
        <w:adjustRightInd w:val="0"/>
        <w:ind w:left="480" w:hanging="480"/>
        <w:rPr>
          <w:rFonts w:cs="Times New Roman"/>
          <w:noProof/>
          <w:szCs w:val="22"/>
        </w:rPr>
      </w:pPr>
      <w:r w:rsidRPr="00EE03F0">
        <w:rPr>
          <w:rFonts w:cs="Times New Roman"/>
          <w:noProof/>
          <w:szCs w:val="22"/>
        </w:rPr>
        <w:t xml:space="preserve">Yates, T. B., Feng, K., Zhang, J., Singan, V., Jawdy, S. S., Ranjan, P., … Muchero, W. (2021).  The Ancient Salicoid Genome Duplication Event: A Platform for Reconstruction of De Novo Gene Evolution in Populus trichocarpa . </w:t>
      </w:r>
      <w:r w:rsidRPr="00EE03F0">
        <w:rPr>
          <w:rFonts w:cs="Times New Roman"/>
          <w:i/>
          <w:iCs/>
          <w:noProof/>
          <w:szCs w:val="22"/>
        </w:rPr>
        <w:t>Genome Biology and Evolution</w:t>
      </w:r>
      <w:r w:rsidRPr="00EE03F0">
        <w:rPr>
          <w:rFonts w:cs="Times New Roman"/>
          <w:noProof/>
          <w:szCs w:val="22"/>
        </w:rPr>
        <w:t xml:space="preserve">, </w:t>
      </w:r>
      <w:r w:rsidRPr="00EE03F0">
        <w:rPr>
          <w:rFonts w:cs="Times New Roman"/>
          <w:i/>
          <w:iCs/>
          <w:noProof/>
          <w:szCs w:val="22"/>
        </w:rPr>
        <w:t>13</w:t>
      </w:r>
      <w:r w:rsidRPr="00EE03F0">
        <w:rPr>
          <w:rFonts w:cs="Times New Roman"/>
          <w:noProof/>
          <w:szCs w:val="22"/>
        </w:rPr>
        <w:t>(9), 1–14. https://doi.org/10.1093/gbe/evab198</w:t>
      </w:r>
    </w:p>
    <w:p w14:paraId="1DA2BE73" w14:textId="77777777" w:rsidR="00636B5B" w:rsidRPr="00EE03F0" w:rsidRDefault="00636B5B" w:rsidP="00EE03F0">
      <w:pPr>
        <w:widowControl w:val="0"/>
        <w:autoSpaceDE w:val="0"/>
        <w:autoSpaceDN w:val="0"/>
        <w:adjustRightInd w:val="0"/>
        <w:ind w:left="480" w:hanging="480"/>
        <w:rPr>
          <w:rFonts w:cs="Times New Roman"/>
          <w:noProof/>
          <w:szCs w:val="22"/>
        </w:rPr>
      </w:pPr>
      <w:r w:rsidRPr="00EE03F0">
        <w:rPr>
          <w:rFonts w:cs="Times New Roman"/>
          <w:noProof/>
          <w:szCs w:val="22"/>
        </w:rPr>
        <w:t xml:space="preserve">Yoshida, T., Furihata, H. Y., To, T. K., Kakutani, T., &amp; Kawabe, A. (2019). Genome defense against integrated organellar DNA fragments from plastids into plant nuclear genomes through DNA methylation. </w:t>
      </w:r>
      <w:r w:rsidRPr="00EE03F0">
        <w:rPr>
          <w:rFonts w:cs="Times New Roman"/>
          <w:i/>
          <w:iCs/>
          <w:noProof/>
          <w:szCs w:val="22"/>
        </w:rPr>
        <w:t>Scientific Reports</w:t>
      </w:r>
      <w:r w:rsidRPr="00EE03F0">
        <w:rPr>
          <w:rFonts w:cs="Times New Roman"/>
          <w:noProof/>
          <w:szCs w:val="22"/>
        </w:rPr>
        <w:t xml:space="preserve">, </w:t>
      </w:r>
      <w:r w:rsidRPr="00EE03F0">
        <w:rPr>
          <w:rFonts w:cs="Times New Roman"/>
          <w:i/>
          <w:iCs/>
          <w:noProof/>
          <w:szCs w:val="22"/>
        </w:rPr>
        <w:t>9</w:t>
      </w:r>
      <w:r w:rsidRPr="00EE03F0">
        <w:rPr>
          <w:rFonts w:cs="Times New Roman"/>
          <w:noProof/>
          <w:szCs w:val="22"/>
        </w:rPr>
        <w:t>(1), 1–11. https://doi.org/10.1038/s41598-019-38607-6</w:t>
      </w:r>
    </w:p>
    <w:p w14:paraId="07711553" w14:textId="77777777" w:rsidR="00636B5B" w:rsidRPr="00EE03F0" w:rsidRDefault="00636B5B" w:rsidP="00EE03F0">
      <w:pPr>
        <w:widowControl w:val="0"/>
        <w:autoSpaceDE w:val="0"/>
        <w:autoSpaceDN w:val="0"/>
        <w:adjustRightInd w:val="0"/>
        <w:ind w:left="480" w:hanging="480"/>
        <w:rPr>
          <w:rFonts w:cs="Times New Roman"/>
          <w:noProof/>
          <w:szCs w:val="22"/>
        </w:rPr>
      </w:pPr>
      <w:r w:rsidRPr="00EE03F0">
        <w:rPr>
          <w:rFonts w:cs="Times New Roman"/>
          <w:noProof/>
          <w:szCs w:val="22"/>
        </w:rPr>
        <w:t xml:space="preserve">Zhang, G. J., Dong, R., Lan, L. N., Li, S. F., Gao, W. J., &amp; Niu, H. X. (2020). Nuclear integrants </w:t>
      </w:r>
      <w:r w:rsidRPr="00EE03F0">
        <w:rPr>
          <w:rFonts w:cs="Times New Roman"/>
          <w:noProof/>
          <w:szCs w:val="22"/>
        </w:rPr>
        <w:lastRenderedPageBreak/>
        <w:t xml:space="preserve">of organellar DNA contribute to genome structure and evolution in plants. </w:t>
      </w:r>
      <w:r w:rsidRPr="00EE03F0">
        <w:rPr>
          <w:rFonts w:cs="Times New Roman"/>
          <w:i/>
          <w:iCs/>
          <w:noProof/>
          <w:szCs w:val="22"/>
        </w:rPr>
        <w:t>International Journal of Molecular Sciences</w:t>
      </w:r>
      <w:r w:rsidRPr="00EE03F0">
        <w:rPr>
          <w:rFonts w:cs="Times New Roman"/>
          <w:noProof/>
          <w:szCs w:val="22"/>
        </w:rPr>
        <w:t xml:space="preserve">, </w:t>
      </w:r>
      <w:r w:rsidRPr="00EE03F0">
        <w:rPr>
          <w:rFonts w:cs="Times New Roman"/>
          <w:i/>
          <w:iCs/>
          <w:noProof/>
          <w:szCs w:val="22"/>
        </w:rPr>
        <w:t>21</w:t>
      </w:r>
      <w:r w:rsidRPr="00EE03F0">
        <w:rPr>
          <w:rFonts w:cs="Times New Roman"/>
          <w:noProof/>
          <w:szCs w:val="22"/>
        </w:rPr>
        <w:t>(3). https://doi.org/10.3390/ijms21030707</w:t>
      </w:r>
    </w:p>
    <w:p w14:paraId="184BD8F0" w14:textId="77777777" w:rsidR="00636B5B" w:rsidRDefault="00636B5B" w:rsidP="00EE03F0">
      <w:pPr>
        <w:widowControl w:val="0"/>
        <w:autoSpaceDE w:val="0"/>
        <w:autoSpaceDN w:val="0"/>
        <w:adjustRightInd w:val="0"/>
        <w:rPr>
          <w:b/>
          <w:bCs/>
          <w:sz w:val="28"/>
          <w:szCs w:val="26"/>
        </w:rPr>
      </w:pPr>
      <w:r w:rsidRPr="00EE03F0">
        <w:rPr>
          <w:b/>
          <w:bCs/>
        </w:rPr>
        <w:fldChar w:fldCharType="end"/>
      </w:r>
    </w:p>
    <w:p w14:paraId="30CE231D" w14:textId="77777777" w:rsidR="00636B5B" w:rsidRDefault="00636B5B"/>
    <w:p w14:paraId="6F25E4A7" w14:textId="77777777" w:rsidR="00636B5B" w:rsidRDefault="00636B5B"/>
    <w:p w14:paraId="1BC1C1B2" w14:textId="77777777" w:rsidR="00636B5B" w:rsidRDefault="00636B5B"/>
    <w:p w14:paraId="73309A36" w14:textId="77777777" w:rsidR="00636B5B" w:rsidRDefault="00636B5B"/>
    <w:p w14:paraId="2A98ED93" w14:textId="77777777" w:rsidR="00636B5B" w:rsidRDefault="00636B5B"/>
    <w:p w14:paraId="47DEDFDE" w14:textId="77777777" w:rsidR="00636B5B" w:rsidRDefault="00636B5B"/>
    <w:p w14:paraId="4C3F1BB8" w14:textId="77777777" w:rsidR="00636B5B" w:rsidRDefault="00636B5B"/>
    <w:p w14:paraId="2C17340B" w14:textId="77777777" w:rsidR="00636B5B" w:rsidRDefault="00636B5B"/>
    <w:p w14:paraId="11344771" w14:textId="77777777" w:rsidR="00636B5B" w:rsidRDefault="00636B5B"/>
    <w:p w14:paraId="1DA56B6E" w14:textId="77777777" w:rsidR="00636B5B" w:rsidRDefault="00636B5B"/>
    <w:p w14:paraId="6E172955" w14:textId="77777777" w:rsidR="00636B5B" w:rsidRDefault="00636B5B"/>
    <w:p w14:paraId="0999A1EF" w14:textId="77777777" w:rsidR="00636B5B" w:rsidRDefault="00636B5B"/>
    <w:p w14:paraId="65E611A2" w14:textId="77777777" w:rsidR="00636B5B" w:rsidRDefault="00636B5B"/>
    <w:p w14:paraId="463F5C74" w14:textId="77777777" w:rsidR="00636B5B" w:rsidRDefault="00636B5B"/>
    <w:p w14:paraId="07CA9780" w14:textId="77777777" w:rsidR="00636B5B" w:rsidRDefault="00636B5B"/>
    <w:p w14:paraId="0222B650" w14:textId="77777777" w:rsidR="00636B5B" w:rsidRDefault="00636B5B"/>
    <w:p w14:paraId="08B8C001" w14:textId="77777777" w:rsidR="00636B5B" w:rsidRDefault="00636B5B"/>
    <w:p w14:paraId="32AAAEE6" w14:textId="77777777" w:rsidR="00636B5B" w:rsidRDefault="00636B5B"/>
    <w:p w14:paraId="5904716E" w14:textId="77777777" w:rsidR="00636B5B" w:rsidRDefault="00636B5B"/>
    <w:p w14:paraId="1A806949" w14:textId="77777777" w:rsidR="00636B5B" w:rsidRDefault="00636B5B"/>
    <w:p w14:paraId="4B53C8EC" w14:textId="77777777" w:rsidR="00636B5B" w:rsidRDefault="00636B5B"/>
    <w:p w14:paraId="684FD070" w14:textId="77777777" w:rsidR="00636B5B" w:rsidRDefault="00636B5B"/>
    <w:p w14:paraId="58FC3632" w14:textId="77777777" w:rsidR="00636B5B" w:rsidRDefault="00636B5B"/>
    <w:p w14:paraId="5EB81060" w14:textId="77777777" w:rsidR="00636B5B" w:rsidRDefault="00636B5B"/>
    <w:p w14:paraId="56592883" w14:textId="77777777" w:rsidR="00636B5B" w:rsidRDefault="00636B5B"/>
    <w:p w14:paraId="35740A2C" w14:textId="77777777" w:rsidR="00636B5B" w:rsidRDefault="00636B5B"/>
    <w:p w14:paraId="3FB718FE" w14:textId="77777777" w:rsidR="00636B5B" w:rsidRDefault="00636B5B"/>
    <w:p w14:paraId="6E46AE66" w14:textId="77777777" w:rsidR="00636B5B" w:rsidRDefault="00636B5B"/>
    <w:p w14:paraId="289D6F00" w14:textId="77777777" w:rsidR="00636B5B" w:rsidRDefault="00636B5B"/>
    <w:p w14:paraId="3AB814DD" w14:textId="77777777" w:rsidR="00636B5B" w:rsidRDefault="00636B5B"/>
    <w:p w14:paraId="43052F29" w14:textId="77777777" w:rsidR="00636B5B" w:rsidRDefault="00636B5B"/>
    <w:p w14:paraId="38EF1FAC" w14:textId="77777777" w:rsidR="00636B5B" w:rsidRDefault="00636B5B"/>
    <w:p w14:paraId="489ED2EA" w14:textId="77777777" w:rsidR="00636B5B" w:rsidRDefault="00636B5B"/>
    <w:p w14:paraId="100E3526" w14:textId="77777777" w:rsidR="00636B5B" w:rsidRDefault="00636B5B"/>
    <w:p w14:paraId="0C19B9FD" w14:textId="77777777" w:rsidR="00636B5B" w:rsidRDefault="00636B5B"/>
    <w:p w14:paraId="5200E7D1" w14:textId="77777777" w:rsidR="00636B5B" w:rsidRDefault="00636B5B"/>
    <w:p w14:paraId="07CA0CA7" w14:textId="77777777" w:rsidR="00636B5B" w:rsidRDefault="00636B5B"/>
    <w:p w14:paraId="6D542055" w14:textId="77777777" w:rsidR="00636B5B" w:rsidRDefault="00636B5B"/>
    <w:p w14:paraId="4F694986" w14:textId="77777777" w:rsidR="00636B5B" w:rsidRDefault="00636B5B"/>
    <w:p w14:paraId="15368235" w14:textId="77777777" w:rsidR="00636B5B" w:rsidRDefault="00636B5B"/>
    <w:p w14:paraId="672DEDA3" w14:textId="77777777" w:rsidR="00636B5B" w:rsidRDefault="00636B5B"/>
    <w:p w14:paraId="680283DE" w14:textId="77777777" w:rsidR="00636B5B" w:rsidRDefault="00636B5B"/>
    <w:p w14:paraId="63FC1ABC" w14:textId="77777777" w:rsidR="00CB6DEA" w:rsidRDefault="00CB6DEA" w:rsidP="00EE03F0">
      <w:pPr>
        <w:widowControl w:val="0"/>
        <w:autoSpaceDE w:val="0"/>
        <w:autoSpaceDN w:val="0"/>
        <w:adjustRightInd w:val="0"/>
        <w:jc w:val="center"/>
        <w:rPr>
          <w:b/>
          <w:bCs/>
          <w:sz w:val="28"/>
          <w:szCs w:val="26"/>
        </w:rPr>
      </w:pPr>
    </w:p>
    <w:p w14:paraId="4389CCF1" w14:textId="7F5B1330" w:rsidR="00636B5B" w:rsidRDefault="00636B5B" w:rsidP="00EE03F0">
      <w:pPr>
        <w:widowControl w:val="0"/>
        <w:autoSpaceDE w:val="0"/>
        <w:autoSpaceDN w:val="0"/>
        <w:adjustRightInd w:val="0"/>
        <w:jc w:val="center"/>
        <w:rPr>
          <w:b/>
          <w:bCs/>
          <w:sz w:val="28"/>
          <w:szCs w:val="26"/>
        </w:rPr>
      </w:pPr>
      <w:r w:rsidRPr="00CC66E8">
        <w:rPr>
          <w:b/>
          <w:bCs/>
          <w:sz w:val="28"/>
          <w:szCs w:val="26"/>
        </w:rPr>
        <w:lastRenderedPageBreak/>
        <w:t>Appendix</w:t>
      </w:r>
    </w:p>
    <w:p w14:paraId="1888059B" w14:textId="77777777" w:rsidR="00636B5B" w:rsidRDefault="00636B5B" w:rsidP="00EE03F0">
      <w:pPr>
        <w:spacing w:line="360" w:lineRule="auto"/>
        <w:rPr>
          <w:bCs/>
          <w:szCs w:val="28"/>
        </w:rPr>
      </w:pPr>
      <w:r w:rsidRPr="00AF60BE">
        <w:rPr>
          <w:bCs/>
          <w:noProof/>
          <w:szCs w:val="28"/>
        </w:rPr>
        <w:drawing>
          <wp:anchor distT="0" distB="0" distL="114300" distR="114300" simplePos="0" relativeHeight="251717632" behindDoc="1" locked="0" layoutInCell="1" allowOverlap="1" wp14:anchorId="7DF3EF2A" wp14:editId="07250660">
            <wp:simplePos x="0" y="0"/>
            <wp:positionH relativeFrom="column">
              <wp:posOffset>110490</wp:posOffset>
            </wp:positionH>
            <wp:positionV relativeFrom="paragraph">
              <wp:posOffset>138430</wp:posOffset>
            </wp:positionV>
            <wp:extent cx="5147310" cy="5413375"/>
            <wp:effectExtent l="0" t="0" r="0" b="0"/>
            <wp:wrapTight wrapText="bothSides">
              <wp:wrapPolygon edited="0">
                <wp:start x="0" y="0"/>
                <wp:lineTo x="0" y="21537"/>
                <wp:lineTo x="21531" y="21537"/>
                <wp:lineTo x="21531" y="0"/>
                <wp:lineTo x="0" y="0"/>
              </wp:wrapPolygon>
            </wp:wrapTight>
            <wp:docPr id="52" name="Picture 2" descr="Diagram&#10;&#10;Description automatically generated">
              <a:extLst xmlns:a="http://schemas.openxmlformats.org/drawingml/2006/main">
                <a:ext uri="{FF2B5EF4-FFF2-40B4-BE49-F238E27FC236}">
                  <a16:creationId xmlns:a16="http://schemas.microsoft.com/office/drawing/2014/main" id="{3B266227-3DAD-D843-92A0-3340F21CE55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Diagram&#10;&#10;Description automatically generated">
                      <a:extLst>
                        <a:ext uri="{FF2B5EF4-FFF2-40B4-BE49-F238E27FC236}">
                          <a16:creationId xmlns:a16="http://schemas.microsoft.com/office/drawing/2014/main" id="{3B266227-3DAD-D843-92A0-3340F21CE550}"/>
                        </a:ext>
                      </a:extLst>
                    </pic:cNvPr>
                    <pic:cNvPicPr>
                      <a:picLocks noChangeAspect="1"/>
                    </pic:cNvPicPr>
                  </pic:nvPicPr>
                  <pic:blipFill>
                    <a:blip r:embed="rId42" cstate="print">
                      <a:extLst>
                        <a:ext uri="{28A0092B-C50C-407E-A947-70E740481C1C}">
                          <a14:useLocalDpi xmlns:a14="http://schemas.microsoft.com/office/drawing/2010/main"/>
                        </a:ext>
                      </a:extLst>
                    </a:blip>
                    <a:stretch>
                      <a:fillRect/>
                    </a:stretch>
                  </pic:blipFill>
                  <pic:spPr>
                    <a:xfrm>
                      <a:off x="0" y="0"/>
                      <a:ext cx="5147310" cy="5413375"/>
                    </a:xfrm>
                    <a:prstGeom prst="rect">
                      <a:avLst/>
                    </a:prstGeom>
                  </pic:spPr>
                </pic:pic>
              </a:graphicData>
            </a:graphic>
            <wp14:sizeRelH relativeFrom="page">
              <wp14:pctWidth>0</wp14:pctWidth>
            </wp14:sizeRelH>
            <wp14:sizeRelV relativeFrom="page">
              <wp14:pctHeight>0</wp14:pctHeight>
            </wp14:sizeRelV>
          </wp:anchor>
        </w:drawing>
      </w:r>
    </w:p>
    <w:p w14:paraId="354BCCCC" w14:textId="77777777" w:rsidR="00636B5B" w:rsidRDefault="00636B5B" w:rsidP="00EE03F0">
      <w:pPr>
        <w:rPr>
          <w:b/>
          <w:szCs w:val="28"/>
        </w:rPr>
      </w:pPr>
    </w:p>
    <w:p w14:paraId="37FC7E82" w14:textId="77777777" w:rsidR="00636B5B" w:rsidRDefault="00636B5B" w:rsidP="00EE03F0">
      <w:pPr>
        <w:rPr>
          <w:b/>
          <w:szCs w:val="28"/>
        </w:rPr>
      </w:pPr>
    </w:p>
    <w:p w14:paraId="6C8E173E" w14:textId="77777777" w:rsidR="00636B5B" w:rsidRDefault="00636B5B" w:rsidP="00EE03F0">
      <w:pPr>
        <w:rPr>
          <w:b/>
          <w:szCs w:val="28"/>
        </w:rPr>
      </w:pPr>
    </w:p>
    <w:p w14:paraId="221E9372" w14:textId="77777777" w:rsidR="00636B5B" w:rsidRDefault="00636B5B" w:rsidP="00EE03F0">
      <w:pPr>
        <w:rPr>
          <w:b/>
          <w:szCs w:val="28"/>
        </w:rPr>
      </w:pPr>
    </w:p>
    <w:p w14:paraId="0A0B41E0" w14:textId="77777777" w:rsidR="00636B5B" w:rsidRDefault="00636B5B" w:rsidP="00EE03F0">
      <w:pPr>
        <w:rPr>
          <w:b/>
          <w:szCs w:val="28"/>
        </w:rPr>
      </w:pPr>
    </w:p>
    <w:p w14:paraId="6CEAF076" w14:textId="77777777" w:rsidR="00636B5B" w:rsidRDefault="00636B5B" w:rsidP="00EE03F0">
      <w:pPr>
        <w:rPr>
          <w:b/>
          <w:szCs w:val="28"/>
        </w:rPr>
      </w:pPr>
    </w:p>
    <w:p w14:paraId="0C17C0A7" w14:textId="77777777" w:rsidR="00636B5B" w:rsidRDefault="00636B5B" w:rsidP="00EE03F0">
      <w:pPr>
        <w:rPr>
          <w:b/>
          <w:szCs w:val="28"/>
        </w:rPr>
      </w:pPr>
    </w:p>
    <w:p w14:paraId="06467BCC" w14:textId="77777777" w:rsidR="00636B5B" w:rsidRDefault="00636B5B" w:rsidP="00EE03F0">
      <w:pPr>
        <w:rPr>
          <w:b/>
          <w:szCs w:val="28"/>
        </w:rPr>
      </w:pPr>
    </w:p>
    <w:p w14:paraId="5907EC44" w14:textId="77777777" w:rsidR="00636B5B" w:rsidRDefault="00636B5B" w:rsidP="00EE03F0">
      <w:pPr>
        <w:rPr>
          <w:b/>
          <w:szCs w:val="28"/>
        </w:rPr>
      </w:pPr>
    </w:p>
    <w:p w14:paraId="1FFFDE85" w14:textId="77777777" w:rsidR="00636B5B" w:rsidRDefault="00636B5B" w:rsidP="00EE03F0">
      <w:pPr>
        <w:rPr>
          <w:b/>
          <w:szCs w:val="28"/>
        </w:rPr>
      </w:pPr>
    </w:p>
    <w:p w14:paraId="36086AC9" w14:textId="77777777" w:rsidR="00636B5B" w:rsidRDefault="00636B5B" w:rsidP="00EE03F0">
      <w:pPr>
        <w:rPr>
          <w:b/>
          <w:szCs w:val="28"/>
        </w:rPr>
      </w:pPr>
    </w:p>
    <w:p w14:paraId="7BF56C05" w14:textId="77777777" w:rsidR="00636B5B" w:rsidRDefault="00636B5B" w:rsidP="00EE03F0">
      <w:pPr>
        <w:rPr>
          <w:b/>
          <w:szCs w:val="28"/>
        </w:rPr>
      </w:pPr>
    </w:p>
    <w:p w14:paraId="113DF534" w14:textId="77777777" w:rsidR="00636B5B" w:rsidRDefault="00636B5B" w:rsidP="00EE03F0">
      <w:pPr>
        <w:rPr>
          <w:b/>
          <w:szCs w:val="28"/>
        </w:rPr>
      </w:pPr>
    </w:p>
    <w:p w14:paraId="10F48943" w14:textId="77777777" w:rsidR="00636B5B" w:rsidRDefault="00636B5B" w:rsidP="00EE03F0">
      <w:pPr>
        <w:rPr>
          <w:b/>
          <w:szCs w:val="28"/>
        </w:rPr>
      </w:pPr>
    </w:p>
    <w:p w14:paraId="104279C1" w14:textId="77777777" w:rsidR="00636B5B" w:rsidRDefault="00636B5B" w:rsidP="00EE03F0">
      <w:pPr>
        <w:rPr>
          <w:b/>
          <w:szCs w:val="28"/>
        </w:rPr>
      </w:pPr>
    </w:p>
    <w:p w14:paraId="61458D3F" w14:textId="77777777" w:rsidR="00636B5B" w:rsidRDefault="00636B5B" w:rsidP="00EE03F0">
      <w:pPr>
        <w:rPr>
          <w:b/>
          <w:szCs w:val="28"/>
        </w:rPr>
      </w:pPr>
    </w:p>
    <w:p w14:paraId="44488334" w14:textId="77777777" w:rsidR="00636B5B" w:rsidRDefault="00636B5B" w:rsidP="00EE03F0">
      <w:pPr>
        <w:rPr>
          <w:b/>
          <w:szCs w:val="28"/>
        </w:rPr>
      </w:pPr>
    </w:p>
    <w:p w14:paraId="2CDE2926" w14:textId="77777777" w:rsidR="00636B5B" w:rsidRDefault="00636B5B" w:rsidP="00EE03F0">
      <w:pPr>
        <w:rPr>
          <w:b/>
          <w:szCs w:val="28"/>
        </w:rPr>
      </w:pPr>
    </w:p>
    <w:p w14:paraId="61DD66AD" w14:textId="77777777" w:rsidR="00636B5B" w:rsidRDefault="00636B5B" w:rsidP="00EE03F0">
      <w:pPr>
        <w:rPr>
          <w:b/>
          <w:szCs w:val="28"/>
        </w:rPr>
      </w:pPr>
    </w:p>
    <w:p w14:paraId="05B8ECD1" w14:textId="77777777" w:rsidR="00636B5B" w:rsidRDefault="00636B5B" w:rsidP="00EE03F0">
      <w:pPr>
        <w:rPr>
          <w:b/>
          <w:szCs w:val="28"/>
        </w:rPr>
      </w:pPr>
    </w:p>
    <w:p w14:paraId="2261CBF8" w14:textId="77777777" w:rsidR="00636B5B" w:rsidRDefault="00636B5B" w:rsidP="00EE03F0">
      <w:pPr>
        <w:rPr>
          <w:b/>
          <w:szCs w:val="28"/>
        </w:rPr>
      </w:pPr>
    </w:p>
    <w:p w14:paraId="1CDAABDB" w14:textId="77777777" w:rsidR="00636B5B" w:rsidRDefault="00636B5B" w:rsidP="00EE03F0">
      <w:pPr>
        <w:rPr>
          <w:b/>
          <w:szCs w:val="28"/>
        </w:rPr>
      </w:pPr>
    </w:p>
    <w:p w14:paraId="0BFFC455" w14:textId="77777777" w:rsidR="00636B5B" w:rsidRDefault="00636B5B" w:rsidP="00EE03F0">
      <w:pPr>
        <w:rPr>
          <w:b/>
          <w:szCs w:val="28"/>
        </w:rPr>
      </w:pPr>
    </w:p>
    <w:p w14:paraId="6E1BA733" w14:textId="77777777" w:rsidR="00636B5B" w:rsidRDefault="00636B5B" w:rsidP="00EE03F0">
      <w:pPr>
        <w:rPr>
          <w:b/>
          <w:szCs w:val="28"/>
        </w:rPr>
      </w:pPr>
    </w:p>
    <w:p w14:paraId="35EA43D1" w14:textId="77777777" w:rsidR="00636B5B" w:rsidRDefault="00636B5B" w:rsidP="00EE03F0">
      <w:pPr>
        <w:rPr>
          <w:b/>
          <w:szCs w:val="28"/>
        </w:rPr>
      </w:pPr>
    </w:p>
    <w:p w14:paraId="77387F2A" w14:textId="77777777" w:rsidR="00636B5B" w:rsidRDefault="00636B5B" w:rsidP="00EE03F0">
      <w:pPr>
        <w:rPr>
          <w:b/>
          <w:szCs w:val="28"/>
        </w:rPr>
      </w:pPr>
    </w:p>
    <w:p w14:paraId="4D737115" w14:textId="77777777" w:rsidR="00636B5B" w:rsidRDefault="00636B5B" w:rsidP="00EE03F0">
      <w:pPr>
        <w:rPr>
          <w:b/>
          <w:szCs w:val="28"/>
        </w:rPr>
      </w:pPr>
    </w:p>
    <w:p w14:paraId="60C61229" w14:textId="77777777" w:rsidR="00636B5B" w:rsidRDefault="00636B5B" w:rsidP="00EE03F0">
      <w:pPr>
        <w:rPr>
          <w:b/>
          <w:szCs w:val="28"/>
        </w:rPr>
      </w:pPr>
    </w:p>
    <w:p w14:paraId="29B39F70" w14:textId="77777777" w:rsidR="00636B5B" w:rsidRDefault="00636B5B" w:rsidP="00EE03F0">
      <w:pPr>
        <w:rPr>
          <w:b/>
          <w:szCs w:val="28"/>
        </w:rPr>
      </w:pPr>
    </w:p>
    <w:p w14:paraId="6AF85EC8" w14:textId="77777777" w:rsidR="00636B5B" w:rsidRDefault="00636B5B" w:rsidP="00EE03F0">
      <w:pPr>
        <w:rPr>
          <w:b/>
          <w:szCs w:val="28"/>
        </w:rPr>
      </w:pPr>
    </w:p>
    <w:p w14:paraId="5559095A" w14:textId="77777777" w:rsidR="00636B5B" w:rsidRDefault="00636B5B" w:rsidP="00EE03F0">
      <w:pPr>
        <w:rPr>
          <w:b/>
          <w:szCs w:val="28"/>
        </w:rPr>
      </w:pPr>
    </w:p>
    <w:p w14:paraId="53C8B4B6" w14:textId="77777777" w:rsidR="00636B5B" w:rsidRPr="00AF60BE" w:rsidRDefault="00636B5B" w:rsidP="00EE03F0">
      <w:pPr>
        <w:rPr>
          <w:b/>
          <w:szCs w:val="28"/>
        </w:rPr>
      </w:pPr>
      <w:r w:rsidRPr="00AF60BE">
        <w:rPr>
          <w:b/>
          <w:szCs w:val="28"/>
        </w:rPr>
        <w:t>Figure III-1</w:t>
      </w:r>
      <w:r>
        <w:rPr>
          <w:b/>
          <w:szCs w:val="28"/>
        </w:rPr>
        <w:t xml:space="preserve">. </w:t>
      </w:r>
      <w:r>
        <w:rPr>
          <w:rFonts w:cs="Times New Roman"/>
        </w:rPr>
        <w:t xml:space="preserve">New organelle assemblies in </w:t>
      </w:r>
      <w:r w:rsidRPr="00333E28">
        <w:rPr>
          <w:rFonts w:cs="Times New Roman"/>
          <w:i/>
          <w:iCs/>
        </w:rPr>
        <w:t xml:space="preserve">P. </w:t>
      </w:r>
      <w:proofErr w:type="spellStart"/>
      <w:r w:rsidRPr="00333E28">
        <w:rPr>
          <w:rFonts w:cs="Times New Roman"/>
          <w:i/>
          <w:iCs/>
        </w:rPr>
        <w:t>trichocarpa</w:t>
      </w:r>
      <w:proofErr w:type="spellEnd"/>
      <w:r>
        <w:rPr>
          <w:rFonts w:cs="Times New Roman"/>
          <w:i/>
          <w:iCs/>
        </w:rPr>
        <w:t xml:space="preserve"> </w:t>
      </w:r>
      <w:r>
        <w:rPr>
          <w:rFonts w:cs="Times New Roman"/>
        </w:rPr>
        <w:t xml:space="preserve">and </w:t>
      </w:r>
      <w:r w:rsidRPr="00333E28">
        <w:rPr>
          <w:rFonts w:cs="Times New Roman"/>
          <w:i/>
          <w:iCs/>
        </w:rPr>
        <w:t xml:space="preserve">P. </w:t>
      </w:r>
      <w:proofErr w:type="spellStart"/>
      <w:r w:rsidRPr="00333E28">
        <w:rPr>
          <w:rFonts w:cs="Times New Roman"/>
          <w:i/>
          <w:iCs/>
        </w:rPr>
        <w:t>deltoides</w:t>
      </w:r>
      <w:proofErr w:type="spellEnd"/>
      <w:r>
        <w:rPr>
          <w:rFonts w:cs="Times New Roman"/>
        </w:rPr>
        <w:t xml:space="preserve"> facilitate phylogenomic analysis with existing publicly available chloroplast and mitochondrial genomes. (A) The </w:t>
      </w:r>
      <w:r w:rsidRPr="00333E28">
        <w:rPr>
          <w:rFonts w:cs="Times New Roman"/>
          <w:i/>
          <w:iCs/>
        </w:rPr>
        <w:t xml:space="preserve">P. </w:t>
      </w:r>
      <w:proofErr w:type="spellStart"/>
      <w:r w:rsidRPr="00333E28">
        <w:rPr>
          <w:rFonts w:cs="Times New Roman"/>
          <w:i/>
          <w:iCs/>
        </w:rPr>
        <w:t>deltoides</w:t>
      </w:r>
      <w:proofErr w:type="spellEnd"/>
      <w:r>
        <w:rPr>
          <w:rFonts w:cs="Times New Roman"/>
          <w:i/>
          <w:iCs/>
        </w:rPr>
        <w:t xml:space="preserve"> </w:t>
      </w:r>
      <w:r>
        <w:rPr>
          <w:rFonts w:cs="Times New Roman"/>
        </w:rPr>
        <w:t xml:space="preserve">WV94 chloroplast genome assembly. (B) Maximum Likelihood tree derived from alignment of single copy orthologs which depict the phylogenomic relationship of the newly assembled </w:t>
      </w:r>
      <w:r w:rsidRPr="00333E28">
        <w:rPr>
          <w:rFonts w:cs="Times New Roman"/>
          <w:i/>
          <w:iCs/>
        </w:rPr>
        <w:t xml:space="preserve">P. </w:t>
      </w:r>
      <w:proofErr w:type="spellStart"/>
      <w:r w:rsidRPr="00333E28">
        <w:rPr>
          <w:rFonts w:cs="Times New Roman"/>
          <w:i/>
          <w:iCs/>
        </w:rPr>
        <w:t>deltoides</w:t>
      </w:r>
      <w:proofErr w:type="spellEnd"/>
      <w:r>
        <w:rPr>
          <w:rFonts w:cs="Times New Roman"/>
          <w:i/>
          <w:iCs/>
        </w:rPr>
        <w:t xml:space="preserve"> </w:t>
      </w:r>
      <w:r>
        <w:rPr>
          <w:rFonts w:cs="Times New Roman"/>
        </w:rPr>
        <w:t xml:space="preserve">WV94 genome (highlighted in red) with 38 </w:t>
      </w:r>
      <w:proofErr w:type="gramStart"/>
      <w:r>
        <w:rPr>
          <w:rFonts w:cs="Times New Roman"/>
        </w:rPr>
        <w:t>other</w:t>
      </w:r>
      <w:proofErr w:type="gramEnd"/>
      <w:r>
        <w:rPr>
          <w:rFonts w:cs="Times New Roman"/>
        </w:rPr>
        <w:t xml:space="preserve"> publicly available </w:t>
      </w:r>
      <w:r>
        <w:rPr>
          <w:rFonts w:cs="Times New Roman"/>
          <w:i/>
          <w:iCs/>
        </w:rPr>
        <w:t>Populus</w:t>
      </w:r>
      <w:r>
        <w:rPr>
          <w:rFonts w:cs="Times New Roman"/>
        </w:rPr>
        <w:t xml:space="preserve"> chloroplast genomes. Bootstrap support values less than 90% are shown.</w:t>
      </w:r>
      <w:r>
        <w:rPr>
          <w:rFonts w:cs="Times New Roman"/>
          <w:i/>
          <w:iCs/>
        </w:rPr>
        <w:t xml:space="preserve"> </w:t>
      </w:r>
      <w:r>
        <w:rPr>
          <w:rFonts w:cs="Times New Roman"/>
        </w:rPr>
        <w:t xml:space="preserve">(C) Whole genome self-alignment of the </w:t>
      </w:r>
      <w:r w:rsidRPr="00333E28">
        <w:rPr>
          <w:rFonts w:cs="Times New Roman"/>
          <w:i/>
          <w:iCs/>
        </w:rPr>
        <w:t xml:space="preserve">P. </w:t>
      </w:r>
      <w:proofErr w:type="spellStart"/>
      <w:r w:rsidRPr="00333E28">
        <w:rPr>
          <w:rFonts w:cs="Times New Roman"/>
          <w:i/>
          <w:iCs/>
        </w:rPr>
        <w:t>trichocarpa</w:t>
      </w:r>
      <w:proofErr w:type="spellEnd"/>
      <w:r>
        <w:rPr>
          <w:rFonts w:cs="Times New Roman"/>
          <w:i/>
          <w:iCs/>
        </w:rPr>
        <w:t xml:space="preserve"> </w:t>
      </w:r>
      <w:r>
        <w:rPr>
          <w:rFonts w:cs="Times New Roman"/>
        </w:rPr>
        <w:t xml:space="preserve">Nisqually-1 mitogenome assembly, red points indicate repetitive alignments. (D) Whole genome self-alignment of the </w:t>
      </w:r>
      <w:r w:rsidRPr="00333E28">
        <w:rPr>
          <w:rFonts w:cs="Times New Roman"/>
          <w:i/>
          <w:iCs/>
        </w:rPr>
        <w:t xml:space="preserve">P. </w:t>
      </w:r>
      <w:proofErr w:type="spellStart"/>
      <w:r w:rsidRPr="00333E28">
        <w:rPr>
          <w:rFonts w:cs="Times New Roman"/>
          <w:i/>
          <w:iCs/>
        </w:rPr>
        <w:t>deltoides</w:t>
      </w:r>
      <w:proofErr w:type="spellEnd"/>
      <w:r>
        <w:rPr>
          <w:rFonts w:cs="Times New Roman"/>
          <w:i/>
          <w:iCs/>
        </w:rPr>
        <w:t xml:space="preserve"> </w:t>
      </w:r>
      <w:r>
        <w:rPr>
          <w:rFonts w:cs="Times New Roman"/>
        </w:rPr>
        <w:t xml:space="preserve">WV94 mitogenome assembly, red points indicated repetitive alignments. (E) Maximum Likelihood tree derived from alignment of single copy orthologs depicting the phylogenomic relationship of the newly assembled </w:t>
      </w:r>
      <w:r w:rsidRPr="00333E28">
        <w:rPr>
          <w:rFonts w:cs="Times New Roman"/>
          <w:i/>
          <w:iCs/>
        </w:rPr>
        <w:t xml:space="preserve">P. </w:t>
      </w:r>
      <w:proofErr w:type="spellStart"/>
      <w:r w:rsidRPr="00333E28">
        <w:rPr>
          <w:rFonts w:cs="Times New Roman"/>
          <w:i/>
          <w:iCs/>
        </w:rPr>
        <w:t>deltoides</w:t>
      </w:r>
      <w:proofErr w:type="spellEnd"/>
      <w:r>
        <w:rPr>
          <w:rFonts w:cs="Times New Roman"/>
          <w:i/>
          <w:iCs/>
        </w:rPr>
        <w:t xml:space="preserve"> </w:t>
      </w:r>
      <w:r>
        <w:rPr>
          <w:rFonts w:cs="Times New Roman"/>
        </w:rPr>
        <w:t xml:space="preserve">WV94 and </w:t>
      </w:r>
      <w:r w:rsidRPr="00333E28">
        <w:rPr>
          <w:rFonts w:cs="Times New Roman"/>
          <w:i/>
          <w:iCs/>
        </w:rPr>
        <w:t xml:space="preserve">P. </w:t>
      </w:r>
      <w:proofErr w:type="spellStart"/>
      <w:r w:rsidRPr="00333E28">
        <w:rPr>
          <w:rFonts w:cs="Times New Roman"/>
          <w:i/>
          <w:iCs/>
        </w:rPr>
        <w:t>trichocarpa</w:t>
      </w:r>
      <w:proofErr w:type="spellEnd"/>
      <w:r>
        <w:rPr>
          <w:rFonts w:cs="Times New Roman"/>
          <w:i/>
          <w:iCs/>
        </w:rPr>
        <w:t xml:space="preserve"> </w:t>
      </w:r>
      <w:r>
        <w:rPr>
          <w:rFonts w:cs="Times New Roman"/>
        </w:rPr>
        <w:t xml:space="preserve">Nisqually-1 mitogenomes (highlighted in red) with existing publicly available </w:t>
      </w:r>
      <w:r>
        <w:rPr>
          <w:rFonts w:cs="Times New Roman"/>
          <w:i/>
          <w:iCs/>
        </w:rPr>
        <w:t xml:space="preserve">Populus </w:t>
      </w:r>
      <w:r>
        <w:rPr>
          <w:rFonts w:cs="Times New Roman"/>
        </w:rPr>
        <w:t xml:space="preserve">and </w:t>
      </w:r>
      <w:r>
        <w:rPr>
          <w:rFonts w:cs="Times New Roman"/>
          <w:i/>
          <w:iCs/>
        </w:rPr>
        <w:t xml:space="preserve">Salix </w:t>
      </w:r>
      <w:r>
        <w:rPr>
          <w:rFonts w:cs="Times New Roman"/>
        </w:rPr>
        <w:t>mitogenome assemblies. Bootstrap support values less than 90% are shown.</w:t>
      </w:r>
    </w:p>
    <w:p w14:paraId="55C97CFD" w14:textId="77777777" w:rsidR="00636B5B" w:rsidRPr="00953FA8" w:rsidRDefault="00636B5B" w:rsidP="00953FA8">
      <w:pPr>
        <w:rPr>
          <w:bCs/>
          <w:szCs w:val="28"/>
        </w:rPr>
      </w:pPr>
      <w:r w:rsidRPr="00AF60BE">
        <w:rPr>
          <w:bCs/>
          <w:noProof/>
          <w:szCs w:val="28"/>
        </w:rPr>
        <w:lastRenderedPageBreak/>
        <w:drawing>
          <wp:anchor distT="0" distB="0" distL="114300" distR="114300" simplePos="0" relativeHeight="251718656" behindDoc="0" locked="0" layoutInCell="1" allowOverlap="1" wp14:anchorId="19B29869" wp14:editId="669D72E6">
            <wp:simplePos x="0" y="0"/>
            <wp:positionH relativeFrom="margin">
              <wp:align>center</wp:align>
            </wp:positionH>
            <wp:positionV relativeFrom="margin">
              <wp:align>top</wp:align>
            </wp:positionV>
            <wp:extent cx="5486400" cy="4347503"/>
            <wp:effectExtent l="0" t="0" r="0" b="0"/>
            <wp:wrapSquare wrapText="bothSides"/>
            <wp:docPr id="53" name="Picture 2" descr="Chart&#10;&#10;Description automatically generated">
              <a:extLst xmlns:a="http://schemas.openxmlformats.org/drawingml/2006/main">
                <a:ext uri="{FF2B5EF4-FFF2-40B4-BE49-F238E27FC236}">
                  <a16:creationId xmlns:a16="http://schemas.microsoft.com/office/drawing/2014/main" id="{1183E6C5-380C-5A40-9F75-36BE5FFEBA8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Chart&#10;&#10;Description automatically generated">
                      <a:extLst>
                        <a:ext uri="{FF2B5EF4-FFF2-40B4-BE49-F238E27FC236}">
                          <a16:creationId xmlns:a16="http://schemas.microsoft.com/office/drawing/2014/main" id="{1183E6C5-380C-5A40-9F75-36BE5FFEBA8C}"/>
                        </a:ext>
                      </a:extLst>
                    </pic:cNvPr>
                    <pic:cNvPicPr>
                      <a:picLocks noChangeAspect="1"/>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486400" cy="4347503"/>
                    </a:xfrm>
                    <a:prstGeom prst="rect">
                      <a:avLst/>
                    </a:prstGeom>
                  </pic:spPr>
                </pic:pic>
              </a:graphicData>
            </a:graphic>
            <wp14:sizeRelH relativeFrom="margin">
              <wp14:pctWidth>0</wp14:pctWidth>
            </wp14:sizeRelH>
            <wp14:sizeRelV relativeFrom="margin">
              <wp14:pctHeight>0</wp14:pctHeight>
            </wp14:sizeRelV>
          </wp:anchor>
        </w:drawing>
      </w:r>
      <w:r>
        <w:rPr>
          <w:b/>
          <w:szCs w:val="28"/>
        </w:rPr>
        <w:t xml:space="preserve">Figure III-2. </w:t>
      </w:r>
      <w:r>
        <w:rPr>
          <w:rFonts w:cs="Times New Roman"/>
        </w:rPr>
        <w:t xml:space="preserve">NUPT and NUMTs and organellar derived protein-coding genes are identified in the </w:t>
      </w:r>
      <w:r w:rsidRPr="00333E28">
        <w:rPr>
          <w:rFonts w:cs="Times New Roman"/>
          <w:i/>
          <w:iCs/>
        </w:rPr>
        <w:t xml:space="preserve">P. </w:t>
      </w:r>
      <w:proofErr w:type="spellStart"/>
      <w:r w:rsidRPr="00333E28">
        <w:rPr>
          <w:rFonts w:cs="Times New Roman"/>
          <w:i/>
          <w:iCs/>
        </w:rPr>
        <w:t>trichocarpa</w:t>
      </w:r>
      <w:proofErr w:type="spellEnd"/>
      <w:r>
        <w:rPr>
          <w:rFonts w:cs="Times New Roman"/>
          <w:i/>
          <w:iCs/>
        </w:rPr>
        <w:t xml:space="preserve"> </w:t>
      </w:r>
      <w:r>
        <w:rPr>
          <w:rFonts w:cs="Times New Roman"/>
        </w:rPr>
        <w:t xml:space="preserve">and </w:t>
      </w:r>
      <w:r w:rsidRPr="00333E28">
        <w:rPr>
          <w:rFonts w:cs="Times New Roman"/>
          <w:i/>
          <w:iCs/>
        </w:rPr>
        <w:t xml:space="preserve">P. </w:t>
      </w:r>
      <w:proofErr w:type="spellStart"/>
      <w:r w:rsidRPr="00333E28">
        <w:rPr>
          <w:rFonts w:cs="Times New Roman"/>
          <w:i/>
          <w:iCs/>
        </w:rPr>
        <w:t>deltoides</w:t>
      </w:r>
      <w:proofErr w:type="spellEnd"/>
      <w:r>
        <w:rPr>
          <w:rFonts w:cs="Times New Roman"/>
          <w:i/>
          <w:iCs/>
        </w:rPr>
        <w:t xml:space="preserve"> </w:t>
      </w:r>
      <w:r>
        <w:rPr>
          <w:rFonts w:cs="Times New Roman"/>
        </w:rPr>
        <w:t xml:space="preserve">nuclear genomes. (A) Size distributions of NUPTs and NUMTs in </w:t>
      </w:r>
      <w:r w:rsidRPr="00333E28">
        <w:rPr>
          <w:rFonts w:cs="Times New Roman"/>
          <w:i/>
          <w:iCs/>
        </w:rPr>
        <w:t xml:space="preserve">P. </w:t>
      </w:r>
      <w:proofErr w:type="spellStart"/>
      <w:r w:rsidRPr="00333E28">
        <w:rPr>
          <w:rFonts w:cs="Times New Roman"/>
          <w:i/>
          <w:iCs/>
        </w:rPr>
        <w:t>trichocarpa</w:t>
      </w:r>
      <w:proofErr w:type="spellEnd"/>
      <w:r>
        <w:rPr>
          <w:rFonts w:cs="Times New Roman"/>
          <w:i/>
          <w:iCs/>
        </w:rPr>
        <w:t xml:space="preserve"> </w:t>
      </w:r>
      <w:r>
        <w:rPr>
          <w:rFonts w:cs="Times New Roman"/>
        </w:rPr>
        <w:t xml:space="preserve">and </w:t>
      </w:r>
      <w:r w:rsidRPr="00333E28">
        <w:rPr>
          <w:rFonts w:cs="Times New Roman"/>
          <w:i/>
          <w:iCs/>
        </w:rPr>
        <w:t xml:space="preserve">P. </w:t>
      </w:r>
      <w:proofErr w:type="spellStart"/>
      <w:r w:rsidRPr="00333E28">
        <w:rPr>
          <w:rFonts w:cs="Times New Roman"/>
          <w:i/>
          <w:iCs/>
        </w:rPr>
        <w:t>deltoides</w:t>
      </w:r>
      <w:proofErr w:type="spellEnd"/>
      <w:r>
        <w:rPr>
          <w:rFonts w:cs="Times New Roman"/>
          <w:i/>
          <w:iCs/>
        </w:rPr>
        <w:t>.</w:t>
      </w:r>
      <w:r>
        <w:rPr>
          <w:rFonts w:cs="Times New Roman"/>
        </w:rPr>
        <w:t xml:space="preserve"> (B) Functional enrichment with the ‘biological process’ ontology of protein-coding NUPTs and NUMTs in </w:t>
      </w:r>
      <w:r w:rsidRPr="00333E28">
        <w:rPr>
          <w:rFonts w:cs="Times New Roman"/>
          <w:i/>
          <w:iCs/>
        </w:rPr>
        <w:t xml:space="preserve">P. </w:t>
      </w:r>
      <w:proofErr w:type="spellStart"/>
      <w:r w:rsidRPr="00333E28">
        <w:rPr>
          <w:rFonts w:cs="Times New Roman"/>
          <w:i/>
          <w:iCs/>
        </w:rPr>
        <w:t>trichocarpa</w:t>
      </w:r>
      <w:proofErr w:type="spellEnd"/>
      <w:r>
        <w:rPr>
          <w:rFonts w:cs="Times New Roman"/>
          <w:i/>
          <w:iCs/>
        </w:rPr>
        <w:t xml:space="preserve"> </w:t>
      </w:r>
      <w:r>
        <w:rPr>
          <w:rFonts w:cs="Times New Roman"/>
        </w:rPr>
        <w:t xml:space="preserve">and </w:t>
      </w:r>
      <w:r w:rsidRPr="00333E28">
        <w:rPr>
          <w:rFonts w:cs="Times New Roman"/>
          <w:i/>
          <w:iCs/>
        </w:rPr>
        <w:t xml:space="preserve">P. </w:t>
      </w:r>
      <w:proofErr w:type="spellStart"/>
      <w:r w:rsidRPr="00333E28">
        <w:rPr>
          <w:rFonts w:cs="Times New Roman"/>
          <w:i/>
          <w:iCs/>
        </w:rPr>
        <w:t>deltoides</w:t>
      </w:r>
      <w:proofErr w:type="spellEnd"/>
      <w:r>
        <w:rPr>
          <w:rFonts w:cs="Times New Roman"/>
        </w:rPr>
        <w:t xml:space="preserve">. (C) Mean expression of uniquely mapping transcript levels represented as counts per million (CPM). Expression levels are derived from genotypes in the </w:t>
      </w:r>
      <w:r w:rsidRPr="00333E28">
        <w:rPr>
          <w:rFonts w:cs="Times New Roman"/>
          <w:i/>
          <w:iCs/>
        </w:rPr>
        <w:t xml:space="preserve">P. </w:t>
      </w:r>
      <w:proofErr w:type="spellStart"/>
      <w:r w:rsidRPr="00333E28">
        <w:rPr>
          <w:rFonts w:cs="Times New Roman"/>
          <w:i/>
          <w:iCs/>
        </w:rPr>
        <w:t>trichocarpa</w:t>
      </w:r>
      <w:proofErr w:type="spellEnd"/>
      <w:r>
        <w:rPr>
          <w:rFonts w:cs="Times New Roman"/>
          <w:i/>
          <w:iCs/>
        </w:rPr>
        <w:t xml:space="preserve"> </w:t>
      </w:r>
      <w:r>
        <w:rPr>
          <w:rFonts w:cs="Times New Roman"/>
        </w:rPr>
        <w:t xml:space="preserve">GWAS mapping panel. The number of genes used in this figure was 8 and 127 for </w:t>
      </w:r>
      <w:proofErr w:type="gramStart"/>
      <w:r>
        <w:rPr>
          <w:rFonts w:cs="Times New Roman"/>
        </w:rPr>
        <w:t>protein-coding</w:t>
      </w:r>
      <w:proofErr w:type="gramEnd"/>
      <w:r>
        <w:rPr>
          <w:rFonts w:cs="Times New Roman"/>
        </w:rPr>
        <w:t xml:space="preserve"> NUMTs and NUPTs, respectively. (D)  Variance was used to describe variation of genes that are not derived from organellar transfer events (non-EGT protein-coding gene) and protein-coding NUPTs and NUMTs which had expression in the </w:t>
      </w:r>
      <w:r w:rsidRPr="00333E28">
        <w:rPr>
          <w:rFonts w:cs="Times New Roman"/>
          <w:i/>
          <w:iCs/>
        </w:rPr>
        <w:t xml:space="preserve">P. </w:t>
      </w:r>
      <w:proofErr w:type="spellStart"/>
      <w:r w:rsidRPr="00333E28">
        <w:rPr>
          <w:rFonts w:cs="Times New Roman"/>
          <w:i/>
          <w:iCs/>
        </w:rPr>
        <w:t>trichocarpa</w:t>
      </w:r>
      <w:proofErr w:type="spellEnd"/>
      <w:r>
        <w:rPr>
          <w:rFonts w:cs="Times New Roman"/>
          <w:i/>
          <w:iCs/>
        </w:rPr>
        <w:t xml:space="preserve"> </w:t>
      </w:r>
      <w:r>
        <w:rPr>
          <w:rFonts w:cs="Times New Roman"/>
        </w:rPr>
        <w:t>GWAS mapping panel for leaf, root, and xylem tissues.</w:t>
      </w:r>
    </w:p>
    <w:p w14:paraId="2DCCCBB4" w14:textId="77777777" w:rsidR="00636B5B" w:rsidRDefault="00636B5B" w:rsidP="00EE03F0">
      <w:pPr>
        <w:rPr>
          <w:rFonts w:cs="Times New Roman"/>
        </w:rPr>
      </w:pPr>
    </w:p>
    <w:p w14:paraId="24AF9168" w14:textId="77777777" w:rsidR="00636B5B" w:rsidRDefault="00636B5B" w:rsidP="00EE03F0">
      <w:pPr>
        <w:rPr>
          <w:rFonts w:cs="Times New Roman"/>
        </w:rPr>
      </w:pPr>
    </w:p>
    <w:p w14:paraId="7E6A1486" w14:textId="77777777" w:rsidR="00636B5B" w:rsidRDefault="00636B5B" w:rsidP="00EE03F0">
      <w:pPr>
        <w:rPr>
          <w:rFonts w:cs="Times New Roman"/>
        </w:rPr>
      </w:pPr>
    </w:p>
    <w:p w14:paraId="46A25F67" w14:textId="77777777" w:rsidR="00636B5B" w:rsidRDefault="00636B5B" w:rsidP="00EE03F0">
      <w:pPr>
        <w:rPr>
          <w:rFonts w:cs="Times New Roman"/>
        </w:rPr>
      </w:pPr>
    </w:p>
    <w:p w14:paraId="5E32BCAC" w14:textId="77777777" w:rsidR="00636B5B" w:rsidRDefault="00636B5B" w:rsidP="00EE03F0">
      <w:pPr>
        <w:rPr>
          <w:rFonts w:cs="Times New Roman"/>
        </w:rPr>
      </w:pPr>
    </w:p>
    <w:p w14:paraId="5B7CEC8C" w14:textId="77777777" w:rsidR="00636B5B" w:rsidRDefault="00636B5B" w:rsidP="00EE03F0">
      <w:pPr>
        <w:rPr>
          <w:b/>
          <w:szCs w:val="28"/>
        </w:rPr>
      </w:pPr>
    </w:p>
    <w:p w14:paraId="628B9D6F" w14:textId="77777777" w:rsidR="00636B5B" w:rsidRDefault="00636B5B" w:rsidP="00EE03F0">
      <w:pPr>
        <w:rPr>
          <w:b/>
          <w:szCs w:val="28"/>
        </w:rPr>
      </w:pPr>
    </w:p>
    <w:p w14:paraId="21239EB7" w14:textId="77777777" w:rsidR="00636B5B" w:rsidRDefault="00636B5B" w:rsidP="00EE03F0">
      <w:pPr>
        <w:rPr>
          <w:b/>
          <w:szCs w:val="28"/>
        </w:rPr>
      </w:pPr>
    </w:p>
    <w:p w14:paraId="6E8CA1D4" w14:textId="77777777" w:rsidR="00636B5B" w:rsidRDefault="00636B5B" w:rsidP="00EE03F0">
      <w:pPr>
        <w:rPr>
          <w:b/>
          <w:szCs w:val="28"/>
        </w:rPr>
      </w:pPr>
    </w:p>
    <w:p w14:paraId="24292992" w14:textId="77777777" w:rsidR="00636B5B" w:rsidRDefault="00636B5B" w:rsidP="00EE03F0">
      <w:pPr>
        <w:rPr>
          <w:b/>
          <w:szCs w:val="28"/>
        </w:rPr>
      </w:pPr>
      <w:r w:rsidRPr="00AF60BE">
        <w:rPr>
          <w:b/>
          <w:bCs/>
          <w:noProof/>
          <w:szCs w:val="28"/>
        </w:rPr>
        <w:lastRenderedPageBreak/>
        <w:drawing>
          <wp:anchor distT="0" distB="0" distL="114300" distR="114300" simplePos="0" relativeHeight="251719680" behindDoc="0" locked="0" layoutInCell="1" allowOverlap="1" wp14:anchorId="1CC8EBE9" wp14:editId="15535F23">
            <wp:simplePos x="0" y="0"/>
            <wp:positionH relativeFrom="margin">
              <wp:posOffset>114300</wp:posOffset>
            </wp:positionH>
            <wp:positionV relativeFrom="margin">
              <wp:posOffset>0</wp:posOffset>
            </wp:positionV>
            <wp:extent cx="4114800" cy="5760720"/>
            <wp:effectExtent l="0" t="0" r="0" b="5080"/>
            <wp:wrapSquare wrapText="bothSides"/>
            <wp:docPr id="54" name="Picture 4" descr="Chart&#10;&#10;Description automatically generated">
              <a:extLst xmlns:a="http://schemas.openxmlformats.org/drawingml/2006/main">
                <a:ext uri="{FF2B5EF4-FFF2-40B4-BE49-F238E27FC236}">
                  <a16:creationId xmlns:a16="http://schemas.microsoft.com/office/drawing/2014/main" id="{6D1B9E1F-51D3-1C4B-BF24-A12F211C215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Chart&#10;&#10;Description automatically generated">
                      <a:extLst>
                        <a:ext uri="{FF2B5EF4-FFF2-40B4-BE49-F238E27FC236}">
                          <a16:creationId xmlns:a16="http://schemas.microsoft.com/office/drawing/2014/main" id="{6D1B9E1F-51D3-1C4B-BF24-A12F211C215D}"/>
                        </a:ext>
                      </a:extLst>
                    </pic:cNvPr>
                    <pic:cNvPicPr>
                      <a:picLocks noChangeAspect="1"/>
                    </pic:cNvPicPr>
                  </pic:nvPicPr>
                  <pic:blipFill>
                    <a:blip r:embed="rId44" cstate="print">
                      <a:extLst>
                        <a:ext uri="{28A0092B-C50C-407E-A947-70E740481C1C}">
                          <a14:useLocalDpi xmlns:a14="http://schemas.microsoft.com/office/drawing/2010/main" val="0"/>
                        </a:ext>
                      </a:extLst>
                    </a:blip>
                    <a:stretch>
                      <a:fillRect/>
                    </a:stretch>
                  </pic:blipFill>
                  <pic:spPr>
                    <a:xfrm>
                      <a:off x="0" y="0"/>
                      <a:ext cx="4114800" cy="5760720"/>
                    </a:xfrm>
                    <a:prstGeom prst="rect">
                      <a:avLst/>
                    </a:prstGeom>
                  </pic:spPr>
                </pic:pic>
              </a:graphicData>
            </a:graphic>
            <wp14:sizeRelH relativeFrom="margin">
              <wp14:pctWidth>0</wp14:pctWidth>
            </wp14:sizeRelH>
            <wp14:sizeRelV relativeFrom="margin">
              <wp14:pctHeight>0</wp14:pctHeight>
            </wp14:sizeRelV>
          </wp:anchor>
        </w:drawing>
      </w:r>
    </w:p>
    <w:p w14:paraId="5A2C7AB6" w14:textId="77777777" w:rsidR="00636B5B" w:rsidRDefault="00636B5B" w:rsidP="00EE03F0">
      <w:pPr>
        <w:rPr>
          <w:b/>
          <w:szCs w:val="28"/>
        </w:rPr>
      </w:pPr>
    </w:p>
    <w:p w14:paraId="776C8C8D" w14:textId="77777777" w:rsidR="00636B5B" w:rsidRDefault="00636B5B" w:rsidP="00EE03F0">
      <w:pPr>
        <w:rPr>
          <w:b/>
          <w:szCs w:val="28"/>
        </w:rPr>
      </w:pPr>
    </w:p>
    <w:p w14:paraId="1A5907C5" w14:textId="77777777" w:rsidR="00636B5B" w:rsidRDefault="00636B5B" w:rsidP="00EE03F0">
      <w:pPr>
        <w:rPr>
          <w:b/>
          <w:szCs w:val="28"/>
        </w:rPr>
      </w:pPr>
    </w:p>
    <w:p w14:paraId="648BBE7F" w14:textId="77777777" w:rsidR="00636B5B" w:rsidRDefault="00636B5B" w:rsidP="00EE03F0">
      <w:pPr>
        <w:rPr>
          <w:b/>
          <w:szCs w:val="28"/>
        </w:rPr>
      </w:pPr>
    </w:p>
    <w:p w14:paraId="6017F53D" w14:textId="77777777" w:rsidR="00636B5B" w:rsidRDefault="00636B5B" w:rsidP="00EE03F0">
      <w:pPr>
        <w:rPr>
          <w:b/>
          <w:szCs w:val="28"/>
        </w:rPr>
      </w:pPr>
    </w:p>
    <w:p w14:paraId="1227FC9B" w14:textId="77777777" w:rsidR="00636B5B" w:rsidRDefault="00636B5B" w:rsidP="00EE03F0">
      <w:pPr>
        <w:rPr>
          <w:b/>
          <w:szCs w:val="28"/>
        </w:rPr>
      </w:pPr>
    </w:p>
    <w:p w14:paraId="231278D0" w14:textId="77777777" w:rsidR="00636B5B" w:rsidRDefault="00636B5B" w:rsidP="00EE03F0">
      <w:pPr>
        <w:rPr>
          <w:b/>
          <w:szCs w:val="28"/>
        </w:rPr>
      </w:pPr>
    </w:p>
    <w:p w14:paraId="16B18760" w14:textId="77777777" w:rsidR="00636B5B" w:rsidRDefault="00636B5B" w:rsidP="00EE03F0">
      <w:pPr>
        <w:rPr>
          <w:b/>
          <w:szCs w:val="28"/>
        </w:rPr>
      </w:pPr>
    </w:p>
    <w:p w14:paraId="33A3301D" w14:textId="77777777" w:rsidR="00636B5B" w:rsidRDefault="00636B5B" w:rsidP="00EE03F0">
      <w:pPr>
        <w:rPr>
          <w:b/>
          <w:szCs w:val="28"/>
        </w:rPr>
      </w:pPr>
    </w:p>
    <w:p w14:paraId="167991E5" w14:textId="77777777" w:rsidR="00636B5B" w:rsidRDefault="00636B5B" w:rsidP="00EE03F0">
      <w:pPr>
        <w:rPr>
          <w:b/>
          <w:szCs w:val="28"/>
        </w:rPr>
      </w:pPr>
    </w:p>
    <w:p w14:paraId="50DEAAFF" w14:textId="77777777" w:rsidR="00636B5B" w:rsidRDefault="00636B5B" w:rsidP="00EE03F0">
      <w:pPr>
        <w:rPr>
          <w:b/>
          <w:szCs w:val="28"/>
        </w:rPr>
      </w:pPr>
    </w:p>
    <w:p w14:paraId="0952EA4E" w14:textId="77777777" w:rsidR="00636B5B" w:rsidRDefault="00636B5B" w:rsidP="00EE03F0">
      <w:pPr>
        <w:rPr>
          <w:b/>
          <w:szCs w:val="28"/>
        </w:rPr>
      </w:pPr>
    </w:p>
    <w:p w14:paraId="4CF37ADE" w14:textId="77777777" w:rsidR="00636B5B" w:rsidRDefault="00636B5B" w:rsidP="00EE03F0">
      <w:pPr>
        <w:rPr>
          <w:b/>
          <w:szCs w:val="28"/>
        </w:rPr>
      </w:pPr>
    </w:p>
    <w:p w14:paraId="33BD69E5" w14:textId="77777777" w:rsidR="00636B5B" w:rsidRDefault="00636B5B" w:rsidP="00EE03F0">
      <w:pPr>
        <w:rPr>
          <w:b/>
          <w:szCs w:val="28"/>
        </w:rPr>
      </w:pPr>
    </w:p>
    <w:p w14:paraId="04944877" w14:textId="77777777" w:rsidR="00636B5B" w:rsidRDefault="00636B5B" w:rsidP="00EE03F0">
      <w:pPr>
        <w:rPr>
          <w:b/>
          <w:szCs w:val="28"/>
        </w:rPr>
      </w:pPr>
    </w:p>
    <w:p w14:paraId="47ACC1A4" w14:textId="77777777" w:rsidR="00636B5B" w:rsidRDefault="00636B5B" w:rsidP="00EE03F0">
      <w:pPr>
        <w:rPr>
          <w:b/>
          <w:szCs w:val="28"/>
        </w:rPr>
      </w:pPr>
    </w:p>
    <w:p w14:paraId="498D8433" w14:textId="77777777" w:rsidR="00636B5B" w:rsidRDefault="00636B5B" w:rsidP="00EE03F0">
      <w:pPr>
        <w:rPr>
          <w:b/>
          <w:szCs w:val="28"/>
        </w:rPr>
      </w:pPr>
    </w:p>
    <w:p w14:paraId="55156747" w14:textId="77777777" w:rsidR="00636B5B" w:rsidRDefault="00636B5B" w:rsidP="00EE03F0">
      <w:pPr>
        <w:rPr>
          <w:b/>
          <w:szCs w:val="28"/>
        </w:rPr>
      </w:pPr>
    </w:p>
    <w:p w14:paraId="3127E4F6" w14:textId="77777777" w:rsidR="00636B5B" w:rsidRDefault="00636B5B" w:rsidP="00EE03F0">
      <w:pPr>
        <w:rPr>
          <w:b/>
          <w:szCs w:val="28"/>
        </w:rPr>
      </w:pPr>
    </w:p>
    <w:p w14:paraId="628786DC" w14:textId="77777777" w:rsidR="00636B5B" w:rsidRDefault="00636B5B" w:rsidP="00EE03F0">
      <w:pPr>
        <w:rPr>
          <w:b/>
          <w:szCs w:val="28"/>
        </w:rPr>
      </w:pPr>
    </w:p>
    <w:p w14:paraId="044D896E" w14:textId="77777777" w:rsidR="00636B5B" w:rsidRDefault="00636B5B" w:rsidP="00EE03F0">
      <w:pPr>
        <w:rPr>
          <w:b/>
          <w:szCs w:val="28"/>
        </w:rPr>
      </w:pPr>
    </w:p>
    <w:p w14:paraId="2D9DFCD5" w14:textId="77777777" w:rsidR="00636B5B" w:rsidRDefault="00636B5B" w:rsidP="00EE03F0">
      <w:pPr>
        <w:rPr>
          <w:b/>
          <w:szCs w:val="28"/>
        </w:rPr>
      </w:pPr>
    </w:p>
    <w:p w14:paraId="20F92FE1" w14:textId="77777777" w:rsidR="00636B5B" w:rsidRDefault="00636B5B" w:rsidP="00EE03F0">
      <w:pPr>
        <w:rPr>
          <w:b/>
          <w:szCs w:val="28"/>
        </w:rPr>
      </w:pPr>
    </w:p>
    <w:p w14:paraId="12AE7C92" w14:textId="77777777" w:rsidR="00636B5B" w:rsidRDefault="00636B5B" w:rsidP="00EE03F0">
      <w:pPr>
        <w:rPr>
          <w:b/>
          <w:szCs w:val="28"/>
        </w:rPr>
      </w:pPr>
    </w:p>
    <w:p w14:paraId="4AED987F" w14:textId="77777777" w:rsidR="00636B5B" w:rsidRDefault="00636B5B" w:rsidP="00EE03F0">
      <w:pPr>
        <w:rPr>
          <w:b/>
          <w:szCs w:val="28"/>
        </w:rPr>
      </w:pPr>
    </w:p>
    <w:p w14:paraId="18002777" w14:textId="77777777" w:rsidR="00636B5B" w:rsidRDefault="00636B5B" w:rsidP="00EE03F0">
      <w:pPr>
        <w:rPr>
          <w:b/>
          <w:szCs w:val="28"/>
        </w:rPr>
      </w:pPr>
    </w:p>
    <w:p w14:paraId="58F6C636" w14:textId="77777777" w:rsidR="00636B5B" w:rsidRDefault="00636B5B" w:rsidP="00EE03F0">
      <w:pPr>
        <w:rPr>
          <w:b/>
          <w:szCs w:val="28"/>
        </w:rPr>
      </w:pPr>
    </w:p>
    <w:p w14:paraId="0E1EF87C" w14:textId="77777777" w:rsidR="00636B5B" w:rsidRDefault="00636B5B" w:rsidP="00EE03F0">
      <w:pPr>
        <w:rPr>
          <w:b/>
          <w:szCs w:val="28"/>
        </w:rPr>
      </w:pPr>
    </w:p>
    <w:p w14:paraId="552F71FB" w14:textId="77777777" w:rsidR="00636B5B" w:rsidRDefault="00636B5B" w:rsidP="00EE03F0">
      <w:pPr>
        <w:rPr>
          <w:b/>
          <w:szCs w:val="28"/>
        </w:rPr>
      </w:pPr>
    </w:p>
    <w:p w14:paraId="18348839" w14:textId="77777777" w:rsidR="00636B5B" w:rsidRDefault="00636B5B" w:rsidP="00EE03F0">
      <w:pPr>
        <w:rPr>
          <w:b/>
          <w:szCs w:val="28"/>
        </w:rPr>
      </w:pPr>
    </w:p>
    <w:p w14:paraId="325AA49C" w14:textId="77777777" w:rsidR="00636B5B" w:rsidRDefault="00636B5B" w:rsidP="00EE03F0">
      <w:pPr>
        <w:rPr>
          <w:b/>
          <w:szCs w:val="28"/>
        </w:rPr>
      </w:pPr>
    </w:p>
    <w:p w14:paraId="5A69CD76" w14:textId="77777777" w:rsidR="00636B5B" w:rsidRDefault="00636B5B" w:rsidP="00EE03F0">
      <w:pPr>
        <w:rPr>
          <w:b/>
          <w:szCs w:val="28"/>
        </w:rPr>
      </w:pPr>
    </w:p>
    <w:p w14:paraId="27FC0B13" w14:textId="77777777" w:rsidR="00636B5B" w:rsidRDefault="00636B5B" w:rsidP="00EE03F0">
      <w:pPr>
        <w:rPr>
          <w:rFonts w:cs="Times New Roman"/>
        </w:rPr>
      </w:pPr>
      <w:r>
        <w:rPr>
          <w:b/>
          <w:szCs w:val="28"/>
        </w:rPr>
        <w:t xml:space="preserve">Figure III-3. </w:t>
      </w:r>
      <w:r>
        <w:rPr>
          <w:rFonts w:cs="Times New Roman"/>
        </w:rPr>
        <w:t xml:space="preserve">NUPT and NUMT content varies between </w:t>
      </w:r>
      <w:r w:rsidRPr="00333E28">
        <w:rPr>
          <w:rFonts w:cs="Times New Roman"/>
          <w:i/>
          <w:iCs/>
        </w:rPr>
        <w:t xml:space="preserve">P. </w:t>
      </w:r>
      <w:proofErr w:type="spellStart"/>
      <w:proofErr w:type="gramStart"/>
      <w:r w:rsidRPr="00333E28">
        <w:rPr>
          <w:rFonts w:cs="Times New Roman"/>
          <w:i/>
          <w:iCs/>
        </w:rPr>
        <w:t>trichocarpa</w:t>
      </w:r>
      <w:proofErr w:type="spellEnd"/>
      <w:r>
        <w:rPr>
          <w:rFonts w:cs="Times New Roman"/>
          <w:i/>
          <w:iCs/>
        </w:rPr>
        <w:t xml:space="preserve">  </w:t>
      </w:r>
      <w:r>
        <w:rPr>
          <w:rFonts w:cs="Times New Roman"/>
        </w:rPr>
        <w:t>and</w:t>
      </w:r>
      <w:proofErr w:type="gramEnd"/>
      <w:r>
        <w:rPr>
          <w:rFonts w:cs="Times New Roman"/>
        </w:rPr>
        <w:t xml:space="preserve"> </w:t>
      </w:r>
      <w:r w:rsidRPr="00333E28">
        <w:rPr>
          <w:rFonts w:cs="Times New Roman"/>
          <w:i/>
          <w:iCs/>
        </w:rPr>
        <w:t xml:space="preserve">P. </w:t>
      </w:r>
      <w:proofErr w:type="spellStart"/>
      <w:r w:rsidRPr="00333E28">
        <w:rPr>
          <w:rFonts w:cs="Times New Roman"/>
          <w:i/>
          <w:iCs/>
        </w:rPr>
        <w:t>deltoides</w:t>
      </w:r>
      <w:proofErr w:type="spellEnd"/>
      <w:r>
        <w:rPr>
          <w:rFonts w:cs="Times New Roman"/>
          <w:i/>
          <w:iCs/>
        </w:rPr>
        <w:t xml:space="preserve">. </w:t>
      </w:r>
      <w:r>
        <w:rPr>
          <w:rFonts w:cs="Times New Roman"/>
        </w:rPr>
        <w:t xml:space="preserve">(A) NUPT and NUMT content by chromosome in </w:t>
      </w:r>
      <w:r w:rsidRPr="00333E28">
        <w:rPr>
          <w:rFonts w:cs="Times New Roman"/>
          <w:i/>
          <w:iCs/>
        </w:rPr>
        <w:t xml:space="preserve">P. </w:t>
      </w:r>
      <w:proofErr w:type="spellStart"/>
      <w:proofErr w:type="gramStart"/>
      <w:r w:rsidRPr="00333E28">
        <w:rPr>
          <w:rFonts w:cs="Times New Roman"/>
          <w:i/>
          <w:iCs/>
        </w:rPr>
        <w:t>trichocarpa</w:t>
      </w:r>
      <w:proofErr w:type="spellEnd"/>
      <w:r>
        <w:rPr>
          <w:rFonts w:cs="Times New Roman"/>
          <w:i/>
          <w:iCs/>
        </w:rPr>
        <w:t xml:space="preserve">  </w:t>
      </w:r>
      <w:r>
        <w:rPr>
          <w:rFonts w:cs="Times New Roman"/>
        </w:rPr>
        <w:t>and</w:t>
      </w:r>
      <w:proofErr w:type="gramEnd"/>
      <w:r>
        <w:rPr>
          <w:rFonts w:cs="Times New Roman"/>
        </w:rPr>
        <w:t xml:space="preserve"> </w:t>
      </w:r>
      <w:r w:rsidRPr="00333E28">
        <w:rPr>
          <w:rFonts w:cs="Times New Roman"/>
          <w:i/>
          <w:iCs/>
        </w:rPr>
        <w:t xml:space="preserve">P. </w:t>
      </w:r>
      <w:proofErr w:type="spellStart"/>
      <w:r w:rsidRPr="00333E28">
        <w:rPr>
          <w:rFonts w:cs="Times New Roman"/>
          <w:i/>
          <w:iCs/>
        </w:rPr>
        <w:t>deltoides</w:t>
      </w:r>
      <w:proofErr w:type="spellEnd"/>
      <w:r>
        <w:rPr>
          <w:rFonts w:cs="Times New Roman"/>
        </w:rPr>
        <w:t xml:space="preserve"> . (B) </w:t>
      </w:r>
      <w:proofErr w:type="spellStart"/>
      <w:r>
        <w:rPr>
          <w:rFonts w:cs="Times New Roman"/>
        </w:rPr>
        <w:t>Circos</w:t>
      </w:r>
      <w:proofErr w:type="spellEnd"/>
      <w:r>
        <w:rPr>
          <w:rFonts w:cs="Times New Roman"/>
        </w:rPr>
        <w:t xml:space="preserve"> plot depicting NUPT and NUMT content and presence and absence differences between </w:t>
      </w:r>
      <w:r w:rsidRPr="00333E28">
        <w:rPr>
          <w:rFonts w:cs="Times New Roman"/>
          <w:i/>
          <w:iCs/>
        </w:rPr>
        <w:t xml:space="preserve">P. </w:t>
      </w:r>
      <w:proofErr w:type="spellStart"/>
      <w:proofErr w:type="gramStart"/>
      <w:r w:rsidRPr="00333E28">
        <w:rPr>
          <w:rFonts w:cs="Times New Roman"/>
          <w:i/>
          <w:iCs/>
        </w:rPr>
        <w:t>trichocarpa</w:t>
      </w:r>
      <w:proofErr w:type="spellEnd"/>
      <w:r>
        <w:rPr>
          <w:rFonts w:cs="Times New Roman"/>
          <w:i/>
          <w:iCs/>
        </w:rPr>
        <w:t xml:space="preserve">  </w:t>
      </w:r>
      <w:r>
        <w:rPr>
          <w:rFonts w:cs="Times New Roman"/>
        </w:rPr>
        <w:t>and</w:t>
      </w:r>
      <w:proofErr w:type="gramEnd"/>
      <w:r>
        <w:rPr>
          <w:rFonts w:cs="Times New Roman"/>
        </w:rPr>
        <w:t xml:space="preserve"> </w:t>
      </w:r>
      <w:r w:rsidRPr="00333E28">
        <w:rPr>
          <w:rFonts w:cs="Times New Roman"/>
          <w:i/>
          <w:iCs/>
        </w:rPr>
        <w:t xml:space="preserve">P. </w:t>
      </w:r>
      <w:proofErr w:type="spellStart"/>
      <w:r w:rsidRPr="00333E28">
        <w:rPr>
          <w:rFonts w:cs="Times New Roman"/>
          <w:i/>
          <w:iCs/>
        </w:rPr>
        <w:t>deltoides</w:t>
      </w:r>
      <w:proofErr w:type="spellEnd"/>
      <w:r>
        <w:rPr>
          <w:rFonts w:cs="Times New Roman"/>
        </w:rPr>
        <w:t>. The prefixes of ‘</w:t>
      </w:r>
      <w:proofErr w:type="spellStart"/>
      <w:r>
        <w:rPr>
          <w:rFonts w:cs="Times New Roman"/>
        </w:rPr>
        <w:t>pt</w:t>
      </w:r>
      <w:proofErr w:type="spellEnd"/>
      <w:r>
        <w:rPr>
          <w:rFonts w:cs="Times New Roman"/>
        </w:rPr>
        <w:t xml:space="preserve">’ and ‘pd’ in the chromosome names refer to </w:t>
      </w:r>
      <w:r w:rsidRPr="00333E28">
        <w:rPr>
          <w:rFonts w:cs="Times New Roman"/>
          <w:i/>
          <w:iCs/>
        </w:rPr>
        <w:t xml:space="preserve">P. </w:t>
      </w:r>
      <w:proofErr w:type="spellStart"/>
      <w:r w:rsidRPr="00333E28">
        <w:rPr>
          <w:rFonts w:cs="Times New Roman"/>
          <w:i/>
          <w:iCs/>
        </w:rPr>
        <w:t>trichocarpa</w:t>
      </w:r>
      <w:proofErr w:type="spellEnd"/>
      <w:r>
        <w:rPr>
          <w:rFonts w:cs="Times New Roman"/>
          <w:i/>
          <w:iCs/>
        </w:rPr>
        <w:t xml:space="preserve"> </w:t>
      </w:r>
      <w:r>
        <w:rPr>
          <w:rFonts w:cs="Times New Roman"/>
        </w:rPr>
        <w:t xml:space="preserve">and </w:t>
      </w:r>
      <w:r w:rsidRPr="00333E28">
        <w:rPr>
          <w:rFonts w:cs="Times New Roman"/>
          <w:i/>
          <w:iCs/>
        </w:rPr>
        <w:t xml:space="preserve">P. </w:t>
      </w:r>
      <w:proofErr w:type="spellStart"/>
      <w:r w:rsidRPr="00333E28">
        <w:rPr>
          <w:rFonts w:cs="Times New Roman"/>
          <w:i/>
          <w:iCs/>
        </w:rPr>
        <w:t>deltoides</w:t>
      </w:r>
      <w:proofErr w:type="spellEnd"/>
      <w:r>
        <w:rPr>
          <w:rFonts w:cs="Times New Roman"/>
          <w:i/>
          <w:iCs/>
        </w:rPr>
        <w:t xml:space="preserve">, </w:t>
      </w:r>
      <w:r>
        <w:rPr>
          <w:rFonts w:cs="Times New Roman"/>
        </w:rPr>
        <w:t xml:space="preserve">respectively. All heatmaps depicting total, present and absent NUPT and NUMT content represent the sum of the size of the NUPT and NUMT features in 500kb windows. The </w:t>
      </w:r>
      <w:proofErr w:type="spellStart"/>
      <w:r>
        <w:rPr>
          <w:rFonts w:cs="Times New Roman"/>
        </w:rPr>
        <w:t>Circos</w:t>
      </w:r>
      <w:proofErr w:type="spellEnd"/>
      <w:r>
        <w:rPr>
          <w:rFonts w:cs="Times New Roman"/>
        </w:rPr>
        <w:t xml:space="preserve"> figure from outer to inner depicts: centromere position (red band), total NUPT content, total NUMT content, shared NUPT content , absent NUPT content, shared NUMT content, absent NUMT content, green highlights indicate the chromosome is an outlier (total content is &gt; (upper quartile + 1.5 * IQR) for total NUPT content, and red highlights indicate the chromosome is an outlier for total NUMT content, CG methylation frequency in 100kb windows, CHG methylation frequency in 100 kb windows, and CHH methylation frequency in 100kb windows.</w:t>
      </w:r>
    </w:p>
    <w:p w14:paraId="0B419E43" w14:textId="77777777" w:rsidR="00636B5B" w:rsidRDefault="00636B5B" w:rsidP="00EE03F0">
      <w:pPr>
        <w:rPr>
          <w:rFonts w:cs="Times New Roman"/>
        </w:rPr>
      </w:pPr>
      <w:r w:rsidRPr="00AF60BE">
        <w:rPr>
          <w:bCs/>
          <w:noProof/>
          <w:szCs w:val="28"/>
        </w:rPr>
        <w:lastRenderedPageBreak/>
        <w:drawing>
          <wp:anchor distT="0" distB="0" distL="114300" distR="114300" simplePos="0" relativeHeight="251728896" behindDoc="1" locked="0" layoutInCell="1" allowOverlap="1" wp14:anchorId="526490AC" wp14:editId="4D2E2B8A">
            <wp:simplePos x="0" y="0"/>
            <wp:positionH relativeFrom="column">
              <wp:posOffset>228600</wp:posOffset>
            </wp:positionH>
            <wp:positionV relativeFrom="paragraph">
              <wp:posOffset>0</wp:posOffset>
            </wp:positionV>
            <wp:extent cx="5486400" cy="6094241"/>
            <wp:effectExtent l="0" t="0" r="0" b="1905"/>
            <wp:wrapTight wrapText="bothSides">
              <wp:wrapPolygon edited="0">
                <wp:start x="0" y="0"/>
                <wp:lineTo x="0" y="21562"/>
                <wp:lineTo x="21550" y="21562"/>
                <wp:lineTo x="21550" y="0"/>
                <wp:lineTo x="0" y="0"/>
              </wp:wrapPolygon>
            </wp:wrapTight>
            <wp:docPr id="55" name="Picture 4" descr="Graphical user interface&#10;&#10;Description automatically generated">
              <a:extLst xmlns:a="http://schemas.openxmlformats.org/drawingml/2006/main">
                <a:ext uri="{FF2B5EF4-FFF2-40B4-BE49-F238E27FC236}">
                  <a16:creationId xmlns:a16="http://schemas.microsoft.com/office/drawing/2014/main" id="{18852587-F925-0649-AC3A-56274A94DCB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4" descr="Graphical user interface&#10;&#10;Description automatically generated">
                      <a:extLst>
                        <a:ext uri="{FF2B5EF4-FFF2-40B4-BE49-F238E27FC236}">
                          <a16:creationId xmlns:a16="http://schemas.microsoft.com/office/drawing/2014/main" id="{18852587-F925-0649-AC3A-56274A94DCBD}"/>
                        </a:ext>
                      </a:extLst>
                    </pic:cNvPr>
                    <pic:cNvPicPr>
                      <a:picLocks noChangeAspect="1"/>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486400" cy="6094241"/>
                    </a:xfrm>
                    <a:prstGeom prst="rect">
                      <a:avLst/>
                    </a:prstGeom>
                  </pic:spPr>
                </pic:pic>
              </a:graphicData>
            </a:graphic>
            <wp14:sizeRelH relativeFrom="page">
              <wp14:pctWidth>0</wp14:pctWidth>
            </wp14:sizeRelH>
            <wp14:sizeRelV relativeFrom="page">
              <wp14:pctHeight>0</wp14:pctHeight>
            </wp14:sizeRelV>
          </wp:anchor>
        </w:drawing>
      </w:r>
    </w:p>
    <w:p w14:paraId="6F613951" w14:textId="77777777" w:rsidR="00636B5B" w:rsidRPr="00AF60BE" w:rsidRDefault="00636B5B" w:rsidP="00EE03F0">
      <w:pPr>
        <w:rPr>
          <w:b/>
          <w:szCs w:val="28"/>
        </w:rPr>
      </w:pPr>
      <w:r w:rsidRPr="00AF60BE">
        <w:rPr>
          <w:b/>
          <w:szCs w:val="28"/>
        </w:rPr>
        <w:t>Figure III-4.</w:t>
      </w:r>
      <w:r>
        <w:rPr>
          <w:b/>
          <w:szCs w:val="28"/>
        </w:rPr>
        <w:t xml:space="preserve"> </w:t>
      </w:r>
      <w:r>
        <w:rPr>
          <w:rFonts w:cs="Times New Roman"/>
        </w:rPr>
        <w:t xml:space="preserve">The </w:t>
      </w:r>
      <w:r w:rsidRPr="00333E28">
        <w:rPr>
          <w:rFonts w:cs="Times New Roman"/>
          <w:i/>
          <w:iCs/>
        </w:rPr>
        <w:t xml:space="preserve">P. </w:t>
      </w:r>
      <w:proofErr w:type="spellStart"/>
      <w:r w:rsidRPr="00333E28">
        <w:rPr>
          <w:rFonts w:cs="Times New Roman"/>
          <w:i/>
          <w:iCs/>
        </w:rPr>
        <w:t>trichocarpa</w:t>
      </w:r>
      <w:proofErr w:type="spellEnd"/>
      <w:r>
        <w:rPr>
          <w:rFonts w:cs="Times New Roman"/>
          <w:i/>
          <w:iCs/>
        </w:rPr>
        <w:t xml:space="preserve"> </w:t>
      </w:r>
      <w:r>
        <w:rPr>
          <w:rFonts w:cs="Times New Roman"/>
        </w:rPr>
        <w:t xml:space="preserve">and </w:t>
      </w:r>
      <w:r w:rsidRPr="00333E28">
        <w:rPr>
          <w:rFonts w:cs="Times New Roman"/>
          <w:i/>
          <w:iCs/>
        </w:rPr>
        <w:t xml:space="preserve">P. </w:t>
      </w:r>
      <w:proofErr w:type="spellStart"/>
      <w:r w:rsidRPr="00333E28">
        <w:rPr>
          <w:rFonts w:cs="Times New Roman"/>
          <w:i/>
          <w:iCs/>
        </w:rPr>
        <w:t>deltoides</w:t>
      </w:r>
      <w:proofErr w:type="spellEnd"/>
      <w:r>
        <w:rPr>
          <w:rFonts w:cs="Times New Roman"/>
          <w:i/>
          <w:iCs/>
        </w:rPr>
        <w:t xml:space="preserve"> </w:t>
      </w:r>
      <w:r>
        <w:rPr>
          <w:rFonts w:cs="Times New Roman"/>
        </w:rPr>
        <w:t xml:space="preserve">whole chloroplast integration events. (A) Overview of the syntenic structure of the between </w:t>
      </w:r>
      <w:r w:rsidRPr="00333E28">
        <w:rPr>
          <w:rFonts w:cs="Times New Roman"/>
          <w:i/>
          <w:iCs/>
        </w:rPr>
        <w:t xml:space="preserve">P. </w:t>
      </w:r>
      <w:proofErr w:type="spellStart"/>
      <w:r w:rsidRPr="00333E28">
        <w:rPr>
          <w:rFonts w:cs="Times New Roman"/>
          <w:i/>
          <w:iCs/>
        </w:rPr>
        <w:t>trichocarpa</w:t>
      </w:r>
      <w:proofErr w:type="spellEnd"/>
      <w:r>
        <w:rPr>
          <w:rFonts w:cs="Times New Roman"/>
          <w:i/>
          <w:iCs/>
        </w:rPr>
        <w:t xml:space="preserve"> </w:t>
      </w:r>
      <w:r>
        <w:rPr>
          <w:rFonts w:cs="Times New Roman"/>
        </w:rPr>
        <w:t xml:space="preserve">and </w:t>
      </w:r>
      <w:r w:rsidRPr="00333E28">
        <w:rPr>
          <w:rFonts w:cs="Times New Roman"/>
          <w:i/>
          <w:iCs/>
        </w:rPr>
        <w:t xml:space="preserve">P. </w:t>
      </w:r>
      <w:proofErr w:type="spellStart"/>
      <w:r w:rsidRPr="00333E28">
        <w:rPr>
          <w:rFonts w:cs="Times New Roman"/>
          <w:i/>
          <w:iCs/>
        </w:rPr>
        <w:t>deltoides</w:t>
      </w:r>
      <w:proofErr w:type="spellEnd"/>
      <w:r>
        <w:rPr>
          <w:rFonts w:cs="Times New Roman"/>
          <w:i/>
          <w:iCs/>
        </w:rPr>
        <w:t xml:space="preserve"> </w:t>
      </w:r>
      <w:r>
        <w:rPr>
          <w:rFonts w:cs="Times New Roman"/>
        </w:rPr>
        <w:t xml:space="preserve">whole chloroplast integration events. </w:t>
      </w:r>
      <w:r w:rsidRPr="00333E28">
        <w:rPr>
          <w:rFonts w:cs="Times New Roman"/>
          <w:i/>
          <w:iCs/>
        </w:rPr>
        <w:t xml:space="preserve">P. </w:t>
      </w:r>
      <w:proofErr w:type="spellStart"/>
      <w:r w:rsidRPr="00333E28">
        <w:rPr>
          <w:rFonts w:cs="Times New Roman"/>
          <w:i/>
          <w:iCs/>
        </w:rPr>
        <w:t>trichocarpa</w:t>
      </w:r>
      <w:proofErr w:type="spellEnd"/>
      <w:r>
        <w:rPr>
          <w:rFonts w:cs="Times New Roman"/>
          <w:i/>
          <w:iCs/>
        </w:rPr>
        <w:t xml:space="preserve"> </w:t>
      </w:r>
      <w:r>
        <w:rPr>
          <w:rFonts w:cs="Times New Roman"/>
        </w:rPr>
        <w:t xml:space="preserve">was used as the reference sequence while </w:t>
      </w:r>
      <w:r w:rsidRPr="00333E28">
        <w:rPr>
          <w:rFonts w:cs="Times New Roman"/>
          <w:i/>
          <w:iCs/>
        </w:rPr>
        <w:t xml:space="preserve">P. </w:t>
      </w:r>
      <w:proofErr w:type="spellStart"/>
      <w:r w:rsidRPr="00333E28">
        <w:rPr>
          <w:rFonts w:cs="Times New Roman"/>
          <w:i/>
          <w:iCs/>
        </w:rPr>
        <w:t>deltoides</w:t>
      </w:r>
      <w:proofErr w:type="spellEnd"/>
      <w:r>
        <w:rPr>
          <w:rFonts w:cs="Times New Roman"/>
          <w:i/>
          <w:iCs/>
        </w:rPr>
        <w:t xml:space="preserve"> </w:t>
      </w:r>
      <w:r>
        <w:rPr>
          <w:rFonts w:cs="Times New Roman"/>
        </w:rPr>
        <w:t xml:space="preserve">was used as the query sequence in the alignment (B) </w:t>
      </w:r>
      <w:proofErr w:type="spellStart"/>
      <w:r>
        <w:rPr>
          <w:rFonts w:cs="Times New Roman"/>
        </w:rPr>
        <w:t>Orthology</w:t>
      </w:r>
      <w:proofErr w:type="spellEnd"/>
      <w:r>
        <w:rPr>
          <w:rFonts w:cs="Times New Roman"/>
        </w:rPr>
        <w:t xml:space="preserve"> and methylation frequency in </w:t>
      </w:r>
      <w:r w:rsidRPr="00333E28">
        <w:rPr>
          <w:rFonts w:cs="Times New Roman"/>
          <w:i/>
          <w:iCs/>
        </w:rPr>
        <w:t xml:space="preserve">P. </w:t>
      </w:r>
      <w:proofErr w:type="spellStart"/>
      <w:r w:rsidRPr="00333E28">
        <w:rPr>
          <w:rFonts w:cs="Times New Roman"/>
          <w:i/>
          <w:iCs/>
        </w:rPr>
        <w:t>trichocarpa</w:t>
      </w:r>
      <w:proofErr w:type="spellEnd"/>
      <w:r>
        <w:rPr>
          <w:rFonts w:cs="Times New Roman"/>
        </w:rPr>
        <w:t xml:space="preserve"> and </w:t>
      </w:r>
      <w:r w:rsidRPr="00333E28">
        <w:rPr>
          <w:rFonts w:cs="Times New Roman"/>
          <w:i/>
          <w:iCs/>
        </w:rPr>
        <w:t xml:space="preserve">P. </w:t>
      </w:r>
      <w:proofErr w:type="spellStart"/>
      <w:r w:rsidRPr="00333E28">
        <w:rPr>
          <w:rFonts w:cs="Times New Roman"/>
          <w:i/>
          <w:iCs/>
        </w:rPr>
        <w:t>deltoides</w:t>
      </w:r>
      <w:proofErr w:type="spellEnd"/>
      <w:r>
        <w:rPr>
          <w:rFonts w:cs="Times New Roman"/>
          <w:i/>
          <w:iCs/>
        </w:rPr>
        <w:t xml:space="preserve"> </w:t>
      </w:r>
      <w:r>
        <w:rPr>
          <w:rFonts w:cs="Times New Roman"/>
        </w:rPr>
        <w:t xml:space="preserve">whole chloroplast integration events. Gray boxes are labeled with the organelle feature these regions are derived from (IR = inverted repeat region, SSC = short single copy region, LSC = large single copy region), links between tracks indicate </w:t>
      </w:r>
      <w:proofErr w:type="spellStart"/>
      <w:r>
        <w:rPr>
          <w:rFonts w:cs="Times New Roman"/>
        </w:rPr>
        <w:t>orthology</w:t>
      </w:r>
      <w:proofErr w:type="spellEnd"/>
      <w:r>
        <w:rPr>
          <w:rFonts w:cs="Times New Roman"/>
        </w:rPr>
        <w:t>, Methylation frequency including all methylation contexts was averaged over 500 bp windows.</w:t>
      </w:r>
    </w:p>
    <w:p w14:paraId="7FE0D57A" w14:textId="77777777" w:rsidR="00636B5B" w:rsidRDefault="00636B5B" w:rsidP="00EE03F0">
      <w:pPr>
        <w:spacing w:line="360" w:lineRule="auto"/>
        <w:rPr>
          <w:bCs/>
          <w:szCs w:val="28"/>
        </w:rPr>
      </w:pPr>
    </w:p>
    <w:p w14:paraId="6F6AAFAA" w14:textId="77777777" w:rsidR="00636B5B" w:rsidRDefault="00636B5B" w:rsidP="00EE03F0">
      <w:pPr>
        <w:spacing w:line="360" w:lineRule="auto"/>
        <w:rPr>
          <w:bCs/>
          <w:szCs w:val="28"/>
        </w:rPr>
      </w:pPr>
      <w:r w:rsidRPr="000D7529">
        <w:rPr>
          <w:bCs/>
          <w:noProof/>
          <w:szCs w:val="28"/>
        </w:rPr>
        <w:lastRenderedPageBreak/>
        <w:drawing>
          <wp:inline distT="0" distB="0" distL="0" distR="0" wp14:anchorId="14F25D23" wp14:editId="30EBB3B3">
            <wp:extent cx="5943600" cy="6021070"/>
            <wp:effectExtent l="0" t="0" r="0" b="0"/>
            <wp:docPr id="56" name="Picture 2" descr="A picture containing device, wheel&#10;&#10;Description automatically generated">
              <a:extLst xmlns:a="http://schemas.openxmlformats.org/drawingml/2006/main">
                <a:ext uri="{FF2B5EF4-FFF2-40B4-BE49-F238E27FC236}">
                  <a16:creationId xmlns:a16="http://schemas.microsoft.com/office/drawing/2014/main" id="{9E106811-B9AD-9943-B078-3F742961C86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A picture containing device, wheel&#10;&#10;Description automatically generated">
                      <a:extLst>
                        <a:ext uri="{FF2B5EF4-FFF2-40B4-BE49-F238E27FC236}">
                          <a16:creationId xmlns:a16="http://schemas.microsoft.com/office/drawing/2014/main" id="{9E106811-B9AD-9943-B078-3F742961C865}"/>
                        </a:ext>
                      </a:extLst>
                    </pic:cNvPr>
                    <pic:cNvPicPr>
                      <a:picLocks noChangeAspect="1"/>
                    </pic:cNvPicPr>
                  </pic:nvPicPr>
                  <pic:blipFill>
                    <a:blip r:embed="rId46" cstate="print">
                      <a:extLst>
                        <a:ext uri="{28A0092B-C50C-407E-A947-70E740481C1C}">
                          <a14:useLocalDpi xmlns:a14="http://schemas.microsoft.com/office/drawing/2010/main"/>
                        </a:ext>
                      </a:extLst>
                    </a:blip>
                    <a:stretch>
                      <a:fillRect/>
                    </a:stretch>
                  </pic:blipFill>
                  <pic:spPr>
                    <a:xfrm>
                      <a:off x="0" y="0"/>
                      <a:ext cx="5943600" cy="6021070"/>
                    </a:xfrm>
                    <a:prstGeom prst="rect">
                      <a:avLst/>
                    </a:prstGeom>
                  </pic:spPr>
                </pic:pic>
              </a:graphicData>
            </a:graphic>
          </wp:inline>
        </w:drawing>
      </w:r>
    </w:p>
    <w:p w14:paraId="6AE200D2" w14:textId="77777777" w:rsidR="00636B5B" w:rsidRDefault="00636B5B" w:rsidP="00EE03F0">
      <w:pPr>
        <w:spacing w:line="360" w:lineRule="auto"/>
        <w:rPr>
          <w:bCs/>
          <w:szCs w:val="28"/>
        </w:rPr>
      </w:pPr>
      <w:r w:rsidRPr="000D7529">
        <w:rPr>
          <w:bCs/>
          <w:noProof/>
          <w:szCs w:val="28"/>
        </w:rPr>
        <mc:AlternateContent>
          <mc:Choice Requires="wps">
            <w:drawing>
              <wp:anchor distT="0" distB="0" distL="114300" distR="114300" simplePos="0" relativeHeight="251705344" behindDoc="0" locked="0" layoutInCell="1" allowOverlap="1" wp14:anchorId="5D59A567" wp14:editId="532B5648">
                <wp:simplePos x="0" y="0"/>
                <wp:positionH relativeFrom="column">
                  <wp:posOffset>1270</wp:posOffset>
                </wp:positionH>
                <wp:positionV relativeFrom="paragraph">
                  <wp:posOffset>62865</wp:posOffset>
                </wp:positionV>
                <wp:extent cx="5943600" cy="953770"/>
                <wp:effectExtent l="0" t="0" r="0" b="0"/>
                <wp:wrapNone/>
                <wp:docPr id="41" name="Rectangle 5"/>
                <wp:cNvGraphicFramePr/>
                <a:graphic xmlns:a="http://schemas.openxmlformats.org/drawingml/2006/main">
                  <a:graphicData uri="http://schemas.microsoft.com/office/word/2010/wordprocessingShape">
                    <wps:wsp>
                      <wps:cNvSpPr/>
                      <wps:spPr>
                        <a:xfrm>
                          <a:off x="0" y="0"/>
                          <a:ext cx="5943600" cy="953770"/>
                        </a:xfrm>
                        <a:prstGeom prst="rect">
                          <a:avLst/>
                        </a:prstGeom>
                      </wps:spPr>
                      <wps:txbx>
                        <w:txbxContent>
                          <w:p w14:paraId="3497810B" w14:textId="77777777" w:rsidR="00636B5B" w:rsidRPr="000D7529" w:rsidRDefault="00636B5B" w:rsidP="00EE03F0">
                            <w:pPr>
                              <w:shd w:val="clear" w:color="auto" w:fill="FFFFFF"/>
                              <w:jc w:val="both"/>
                              <w:rPr>
                                <w:rFonts w:eastAsia="Times New Roman" w:cstheme="minorBidi"/>
                                <w:b/>
                                <w:bCs/>
                                <w:color w:val="222222"/>
                                <w:kern w:val="24"/>
                              </w:rPr>
                            </w:pPr>
                            <w:r w:rsidRPr="000D7529">
                              <w:rPr>
                                <w:rFonts w:eastAsia="Times New Roman" w:cstheme="minorBidi"/>
                                <w:b/>
                                <w:bCs/>
                                <w:color w:val="222222"/>
                                <w:kern w:val="24"/>
                                <w:highlight w:val="white"/>
                              </w:rPr>
                              <w:t>Fig</w:t>
                            </w:r>
                            <w:r>
                              <w:rPr>
                                <w:rFonts w:eastAsia="Times New Roman" w:cstheme="minorBidi"/>
                                <w:b/>
                                <w:bCs/>
                                <w:color w:val="222222"/>
                                <w:kern w:val="24"/>
                                <w:highlight w:val="white"/>
                              </w:rPr>
                              <w:t>ure III-</w:t>
                            </w:r>
                            <w:r w:rsidRPr="000D7529">
                              <w:rPr>
                                <w:rFonts w:eastAsia="Times New Roman" w:cstheme="minorBidi"/>
                                <w:b/>
                                <w:bCs/>
                                <w:color w:val="222222"/>
                                <w:kern w:val="24"/>
                                <w:highlight w:val="white"/>
                              </w:rPr>
                              <w:t>S1</w:t>
                            </w:r>
                            <w:r>
                              <w:rPr>
                                <w:rFonts w:eastAsia="Times New Roman" w:cstheme="minorBidi"/>
                                <w:b/>
                                <w:bCs/>
                                <w:color w:val="222222"/>
                                <w:kern w:val="24"/>
                                <w:highlight w:val="white"/>
                              </w:rPr>
                              <w:t>.</w:t>
                            </w:r>
                            <w:r w:rsidRPr="000D7529">
                              <w:rPr>
                                <w:rFonts w:eastAsia="Times New Roman" w:cstheme="minorBidi"/>
                                <w:b/>
                                <w:bCs/>
                                <w:color w:val="222222"/>
                                <w:kern w:val="24"/>
                                <w:highlight w:val="white"/>
                              </w:rPr>
                              <w:t xml:space="preserve"> </w:t>
                            </w:r>
                            <w:r w:rsidRPr="000D7529">
                              <w:rPr>
                                <w:rFonts w:eastAsia="Times New Roman" w:cstheme="minorBidi"/>
                                <w:i/>
                                <w:iCs/>
                                <w:color w:val="222222"/>
                                <w:kern w:val="24"/>
                                <w:highlight w:val="white"/>
                              </w:rPr>
                              <w:t xml:space="preserve">P. trichocarpa </w:t>
                            </w:r>
                            <w:r w:rsidRPr="000D7529">
                              <w:rPr>
                                <w:rFonts w:eastAsia="Times New Roman" w:cstheme="minorBidi"/>
                                <w:color w:val="222222"/>
                                <w:kern w:val="24"/>
                                <w:highlight w:val="white"/>
                              </w:rPr>
                              <w:t>Nisqually-1 mitogenome assembly.</w:t>
                            </w:r>
                            <w:r w:rsidRPr="000D7529">
                              <w:rPr>
                                <w:rFonts w:eastAsia="Times New Roman" w:cstheme="minorBidi"/>
                                <w:b/>
                                <w:bCs/>
                                <w:color w:val="222222"/>
                                <w:kern w:val="24"/>
                                <w:highlight w:val="white"/>
                              </w:rPr>
                              <w:t xml:space="preserve"> </w:t>
                            </w:r>
                            <w:r w:rsidRPr="000D7529">
                              <w:rPr>
                                <w:rFonts w:eastAsia="Times New Roman" w:cstheme="minorBidi"/>
                                <w:color w:val="222222"/>
                                <w:kern w:val="24"/>
                                <w:highlight w:val="white"/>
                              </w:rPr>
                              <w:t>Red tiles indicate</w:t>
                            </w:r>
                            <w:r>
                              <w:rPr>
                                <w:rFonts w:eastAsia="Times New Roman" w:cstheme="minorBidi"/>
                                <w:b/>
                                <w:bCs/>
                                <w:color w:val="222222"/>
                                <w:kern w:val="24"/>
                              </w:rPr>
                              <w:t xml:space="preserve"> </w:t>
                            </w:r>
                            <w:r w:rsidRPr="000D7529">
                              <w:rPr>
                                <w:rFonts w:eastAsia="Times New Roman" w:cstheme="minorBidi"/>
                                <w:color w:val="222222"/>
                                <w:kern w:val="24"/>
                                <w:highlight w:val="white"/>
                              </w:rPr>
                              <w:t>a feature on the reverse strand and green tiles indicate a feature on</w:t>
                            </w:r>
                            <w:r>
                              <w:rPr>
                                <w:rFonts w:eastAsia="Times New Roman" w:cstheme="minorBidi"/>
                                <w:b/>
                                <w:bCs/>
                                <w:color w:val="222222"/>
                                <w:kern w:val="24"/>
                              </w:rPr>
                              <w:t xml:space="preserve"> </w:t>
                            </w:r>
                            <w:r w:rsidRPr="000D7529">
                              <w:rPr>
                                <w:rFonts w:eastAsia="Times New Roman" w:cstheme="minorBidi"/>
                                <w:color w:val="222222"/>
                                <w:kern w:val="24"/>
                                <w:highlight w:val="white"/>
                              </w:rPr>
                              <w:t>the forward strand. Red links indicate repeats greater than 100 bp and blue links indicate repeats less than 100 bp.</w:t>
                            </w:r>
                          </w:p>
                        </w:txbxContent>
                      </wps:txbx>
                      <wps:bodyPr wrap="square">
                        <a:spAutoFit/>
                      </wps:bodyPr>
                    </wps:wsp>
                  </a:graphicData>
                </a:graphic>
                <wp14:sizeRelH relativeFrom="margin">
                  <wp14:pctWidth>0</wp14:pctWidth>
                </wp14:sizeRelH>
              </wp:anchor>
            </w:drawing>
          </mc:Choice>
          <mc:Fallback>
            <w:pict>
              <v:rect w14:anchorId="5D59A567" id="_x0000_s1046" style="position:absolute;margin-left:.1pt;margin-top:4.95pt;width:468pt;height:75.1pt;z-index:251705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" filled="f" stroked="f">
                <v:textbox style="mso-fit-shape-to-text:t">
                  <w:txbxContent>
                    <w:p w14:paraId="3497810B" w14:textId="77777777" w:rsidR="00636B5B" w:rsidRPr="000D7529" w:rsidRDefault="00636B5B" w:rsidP="00EE03F0">
                      <w:pPr>
                        <w:shd w:val="clear" w:color="auto" w:fill="FFFFFF"/>
                        <w:jc w:val="both"/>
                        <w:rPr>
                          <w:rFonts w:eastAsia="Times New Roman" w:cstheme="minorBidi"/>
                          <w:b/>
                          <w:bCs/>
                          <w:color w:val="222222"/>
                          <w:kern w:val="24"/>
                        </w:rPr>
                      </w:pPr>
                      <w:r w:rsidRPr="000D7529">
                        <w:rPr>
                          <w:rFonts w:eastAsia="Times New Roman" w:cstheme="minorBidi"/>
                          <w:b/>
                          <w:bCs/>
                          <w:color w:val="222222"/>
                          <w:kern w:val="24"/>
                          <w:highlight w:val="white"/>
                        </w:rPr>
                        <w:t>Fig</w:t>
                      </w:r>
                      <w:r>
                        <w:rPr>
                          <w:rFonts w:eastAsia="Times New Roman" w:cstheme="minorBidi"/>
                          <w:b/>
                          <w:bCs/>
                          <w:color w:val="222222"/>
                          <w:kern w:val="24"/>
                          <w:highlight w:val="white"/>
                        </w:rPr>
                        <w:t>ure III-</w:t>
                      </w:r>
                      <w:r w:rsidRPr="000D7529">
                        <w:rPr>
                          <w:rFonts w:eastAsia="Times New Roman" w:cstheme="minorBidi"/>
                          <w:b/>
                          <w:bCs/>
                          <w:color w:val="222222"/>
                          <w:kern w:val="24"/>
                          <w:highlight w:val="white"/>
                        </w:rPr>
                        <w:t>S1</w:t>
                      </w:r>
                      <w:r>
                        <w:rPr>
                          <w:rFonts w:eastAsia="Times New Roman" w:cstheme="minorBidi"/>
                          <w:b/>
                          <w:bCs/>
                          <w:color w:val="222222"/>
                          <w:kern w:val="24"/>
                          <w:highlight w:val="white"/>
                        </w:rPr>
                        <w:t>.</w:t>
                      </w:r>
                      <w:r w:rsidRPr="000D7529">
                        <w:rPr>
                          <w:rFonts w:eastAsia="Times New Roman" w:cstheme="minorBidi"/>
                          <w:b/>
                          <w:bCs/>
                          <w:color w:val="222222"/>
                          <w:kern w:val="24"/>
                          <w:highlight w:val="white"/>
                        </w:rPr>
                        <w:t xml:space="preserve"> </w:t>
                      </w:r>
                      <w:r w:rsidRPr="000D7529">
                        <w:rPr>
                          <w:rFonts w:eastAsia="Times New Roman" w:cstheme="minorBidi"/>
                          <w:i/>
                          <w:iCs/>
                          <w:color w:val="222222"/>
                          <w:kern w:val="24"/>
                          <w:highlight w:val="white"/>
                        </w:rPr>
                        <w:t xml:space="preserve">P. trichocarpa </w:t>
                      </w:r>
                      <w:r w:rsidRPr="000D7529">
                        <w:rPr>
                          <w:rFonts w:eastAsia="Times New Roman" w:cstheme="minorBidi"/>
                          <w:color w:val="222222"/>
                          <w:kern w:val="24"/>
                          <w:highlight w:val="white"/>
                        </w:rPr>
                        <w:t>Nisqually-1 mitogenome assembly.</w:t>
                      </w:r>
                      <w:r w:rsidRPr="000D7529">
                        <w:rPr>
                          <w:rFonts w:eastAsia="Times New Roman" w:cstheme="minorBidi"/>
                          <w:b/>
                          <w:bCs/>
                          <w:color w:val="222222"/>
                          <w:kern w:val="24"/>
                          <w:highlight w:val="white"/>
                        </w:rPr>
                        <w:t xml:space="preserve"> </w:t>
                      </w:r>
                      <w:r w:rsidRPr="000D7529">
                        <w:rPr>
                          <w:rFonts w:eastAsia="Times New Roman" w:cstheme="minorBidi"/>
                          <w:color w:val="222222"/>
                          <w:kern w:val="24"/>
                          <w:highlight w:val="white"/>
                        </w:rPr>
                        <w:t>Red tiles indicate</w:t>
                      </w:r>
                      <w:r>
                        <w:rPr>
                          <w:rFonts w:eastAsia="Times New Roman" w:cstheme="minorBidi"/>
                          <w:b/>
                          <w:bCs/>
                          <w:color w:val="222222"/>
                          <w:kern w:val="24"/>
                        </w:rPr>
                        <w:t xml:space="preserve"> </w:t>
                      </w:r>
                      <w:r w:rsidRPr="000D7529">
                        <w:rPr>
                          <w:rFonts w:eastAsia="Times New Roman" w:cstheme="minorBidi"/>
                          <w:color w:val="222222"/>
                          <w:kern w:val="24"/>
                          <w:highlight w:val="white"/>
                        </w:rPr>
                        <w:t>a feature on the reverse strand and green tiles indicate a feature on</w:t>
                      </w:r>
                      <w:r>
                        <w:rPr>
                          <w:rFonts w:eastAsia="Times New Roman" w:cstheme="minorBidi"/>
                          <w:b/>
                          <w:bCs/>
                          <w:color w:val="222222"/>
                          <w:kern w:val="24"/>
                        </w:rPr>
                        <w:t xml:space="preserve"> </w:t>
                      </w:r>
                      <w:r w:rsidRPr="000D7529">
                        <w:rPr>
                          <w:rFonts w:eastAsia="Times New Roman" w:cstheme="minorBidi"/>
                          <w:color w:val="222222"/>
                          <w:kern w:val="24"/>
                          <w:highlight w:val="white"/>
                        </w:rPr>
                        <w:t>the forward strand. Red links indicate repeats greater than 100 bp and blue links indicate repeats less than 100 bp.</w:t>
                      </w:r>
                    </w:p>
                  </w:txbxContent>
                </v:textbox>
              </v:rect>
            </w:pict>
          </mc:Fallback>
        </mc:AlternateContent>
      </w:r>
    </w:p>
    <w:p w14:paraId="7B466010" w14:textId="77777777" w:rsidR="00636B5B" w:rsidRDefault="00636B5B" w:rsidP="00EE03F0">
      <w:pPr>
        <w:spacing w:line="360" w:lineRule="auto"/>
        <w:rPr>
          <w:bCs/>
          <w:szCs w:val="28"/>
        </w:rPr>
      </w:pPr>
    </w:p>
    <w:p w14:paraId="55E035AE" w14:textId="77777777" w:rsidR="00636B5B" w:rsidRDefault="00636B5B" w:rsidP="00EE03F0">
      <w:pPr>
        <w:spacing w:line="360" w:lineRule="auto"/>
        <w:rPr>
          <w:bCs/>
          <w:szCs w:val="28"/>
        </w:rPr>
      </w:pPr>
    </w:p>
    <w:p w14:paraId="15783565" w14:textId="77777777" w:rsidR="00636B5B" w:rsidRDefault="00636B5B" w:rsidP="00EE03F0">
      <w:pPr>
        <w:spacing w:line="360" w:lineRule="auto"/>
        <w:rPr>
          <w:bCs/>
          <w:szCs w:val="28"/>
        </w:rPr>
      </w:pPr>
    </w:p>
    <w:p w14:paraId="3FA52DB9" w14:textId="77777777" w:rsidR="00636B5B" w:rsidRDefault="00636B5B" w:rsidP="00EE03F0">
      <w:pPr>
        <w:spacing w:line="360" w:lineRule="auto"/>
        <w:rPr>
          <w:bCs/>
          <w:szCs w:val="28"/>
        </w:rPr>
      </w:pPr>
    </w:p>
    <w:p w14:paraId="3ED7D75E" w14:textId="77777777" w:rsidR="00636B5B" w:rsidRDefault="00636B5B" w:rsidP="00EE03F0">
      <w:pPr>
        <w:spacing w:line="360" w:lineRule="auto"/>
        <w:rPr>
          <w:bCs/>
          <w:szCs w:val="28"/>
        </w:rPr>
      </w:pPr>
    </w:p>
    <w:p w14:paraId="796DFDB9" w14:textId="77777777" w:rsidR="00636B5B" w:rsidRDefault="00636B5B" w:rsidP="00EE03F0">
      <w:pPr>
        <w:spacing w:line="360" w:lineRule="auto"/>
        <w:rPr>
          <w:bCs/>
          <w:szCs w:val="28"/>
        </w:rPr>
      </w:pPr>
    </w:p>
    <w:p w14:paraId="0BAB947A" w14:textId="77777777" w:rsidR="00636B5B" w:rsidRDefault="00636B5B" w:rsidP="00EE03F0">
      <w:pPr>
        <w:spacing w:line="360" w:lineRule="auto"/>
        <w:rPr>
          <w:bCs/>
          <w:szCs w:val="28"/>
        </w:rPr>
      </w:pPr>
    </w:p>
    <w:p w14:paraId="506BBFF2" w14:textId="77777777" w:rsidR="00636B5B" w:rsidRDefault="00636B5B" w:rsidP="00EE03F0">
      <w:pPr>
        <w:spacing w:line="360" w:lineRule="auto"/>
        <w:rPr>
          <w:bCs/>
          <w:szCs w:val="28"/>
        </w:rPr>
      </w:pPr>
      <w:r w:rsidRPr="000D7529">
        <w:rPr>
          <w:bCs/>
          <w:noProof/>
          <w:szCs w:val="28"/>
        </w:rPr>
        <w:lastRenderedPageBreak/>
        <mc:AlternateContent>
          <mc:Choice Requires="wps">
            <w:drawing>
              <wp:anchor distT="0" distB="0" distL="114300" distR="114300" simplePos="0" relativeHeight="251706368" behindDoc="0" locked="0" layoutInCell="1" allowOverlap="1" wp14:anchorId="4099D748" wp14:editId="68E4B7CD">
                <wp:simplePos x="0" y="0"/>
                <wp:positionH relativeFrom="column">
                  <wp:posOffset>847</wp:posOffset>
                </wp:positionH>
                <wp:positionV relativeFrom="paragraph">
                  <wp:posOffset>6057053</wp:posOffset>
                </wp:positionV>
                <wp:extent cx="5943600" cy="953770"/>
                <wp:effectExtent l="0" t="0" r="0" b="0"/>
                <wp:wrapNone/>
                <wp:docPr id="42" name="Rectangle 5"/>
                <wp:cNvGraphicFramePr/>
                <a:graphic xmlns:a="http://schemas.openxmlformats.org/drawingml/2006/main">
                  <a:graphicData uri="http://schemas.microsoft.com/office/word/2010/wordprocessingShape">
                    <wps:wsp>
                      <wps:cNvSpPr/>
                      <wps:spPr>
                        <a:xfrm>
                          <a:off x="0" y="0"/>
                          <a:ext cx="5943600" cy="953770"/>
                        </a:xfrm>
                        <a:prstGeom prst="rect">
                          <a:avLst/>
                        </a:prstGeom>
                      </wps:spPr>
                      <wps:txbx>
                        <w:txbxContent>
                          <w:p w14:paraId="767CFD73" w14:textId="77777777" w:rsidR="00636B5B" w:rsidRPr="000D7529" w:rsidRDefault="00636B5B" w:rsidP="00EE03F0">
                            <w:pPr>
                              <w:shd w:val="clear" w:color="auto" w:fill="FFFFFF"/>
                              <w:jc w:val="both"/>
                              <w:rPr>
                                <w:rFonts w:eastAsia="Times New Roman" w:cstheme="minorBidi"/>
                                <w:b/>
                                <w:bCs/>
                                <w:color w:val="222222"/>
                                <w:kern w:val="24"/>
                              </w:rPr>
                            </w:pPr>
                            <w:r w:rsidRPr="000D7529">
                              <w:rPr>
                                <w:rFonts w:eastAsia="Times New Roman" w:cstheme="minorBidi"/>
                                <w:b/>
                                <w:bCs/>
                                <w:color w:val="222222"/>
                                <w:kern w:val="24"/>
                                <w:highlight w:val="white"/>
                              </w:rPr>
                              <w:t>Fig</w:t>
                            </w:r>
                            <w:r>
                              <w:rPr>
                                <w:rFonts w:eastAsia="Times New Roman" w:cstheme="minorBidi"/>
                                <w:b/>
                                <w:bCs/>
                                <w:color w:val="222222"/>
                                <w:kern w:val="24"/>
                                <w:highlight w:val="white"/>
                              </w:rPr>
                              <w:t>ure III-</w:t>
                            </w:r>
                            <w:r w:rsidRPr="000D7529">
                              <w:rPr>
                                <w:rFonts w:eastAsia="Times New Roman" w:cstheme="minorBidi"/>
                                <w:b/>
                                <w:bCs/>
                                <w:color w:val="222222"/>
                                <w:kern w:val="24"/>
                                <w:highlight w:val="white"/>
                              </w:rPr>
                              <w:t>S</w:t>
                            </w:r>
                            <w:r>
                              <w:rPr>
                                <w:rFonts w:eastAsia="Times New Roman" w:cstheme="minorBidi"/>
                                <w:b/>
                                <w:bCs/>
                                <w:color w:val="222222"/>
                                <w:kern w:val="24"/>
                                <w:highlight w:val="white"/>
                              </w:rPr>
                              <w:t>2.</w:t>
                            </w:r>
                            <w:r w:rsidRPr="000D7529">
                              <w:rPr>
                                <w:rFonts w:eastAsia="Times New Roman" w:cstheme="minorBidi"/>
                                <w:b/>
                                <w:bCs/>
                                <w:color w:val="222222"/>
                                <w:kern w:val="24"/>
                                <w:highlight w:val="white"/>
                              </w:rPr>
                              <w:t xml:space="preserve"> </w:t>
                            </w:r>
                            <w:r w:rsidRPr="000D7529">
                              <w:rPr>
                                <w:rFonts w:eastAsia="Times New Roman" w:cstheme="minorBidi"/>
                                <w:i/>
                                <w:iCs/>
                                <w:color w:val="222222"/>
                                <w:kern w:val="24"/>
                                <w:highlight w:val="white"/>
                              </w:rPr>
                              <w:t xml:space="preserve">P. </w:t>
                            </w:r>
                            <w:r>
                              <w:rPr>
                                <w:rFonts w:eastAsia="Times New Roman" w:cstheme="minorBidi"/>
                                <w:i/>
                                <w:iCs/>
                                <w:color w:val="222222"/>
                                <w:kern w:val="24"/>
                                <w:highlight w:val="white"/>
                              </w:rPr>
                              <w:t xml:space="preserve">deltoides </w:t>
                            </w:r>
                            <w:r>
                              <w:rPr>
                                <w:rFonts w:eastAsia="Times New Roman" w:cstheme="minorBidi"/>
                                <w:color w:val="222222"/>
                                <w:kern w:val="24"/>
                                <w:highlight w:val="white"/>
                              </w:rPr>
                              <w:t xml:space="preserve">WV94 </w:t>
                            </w:r>
                            <w:r w:rsidRPr="000D7529">
                              <w:rPr>
                                <w:rFonts w:eastAsia="Times New Roman" w:cstheme="minorBidi"/>
                                <w:color w:val="222222"/>
                                <w:kern w:val="24"/>
                                <w:highlight w:val="white"/>
                              </w:rPr>
                              <w:t>mitogenome assembly.</w:t>
                            </w:r>
                            <w:r w:rsidRPr="000D7529">
                              <w:rPr>
                                <w:rFonts w:eastAsia="Times New Roman" w:cstheme="minorBidi"/>
                                <w:b/>
                                <w:bCs/>
                                <w:color w:val="222222"/>
                                <w:kern w:val="24"/>
                                <w:highlight w:val="white"/>
                              </w:rPr>
                              <w:t xml:space="preserve"> </w:t>
                            </w:r>
                            <w:r w:rsidRPr="000D7529">
                              <w:rPr>
                                <w:rFonts w:eastAsia="Times New Roman" w:cstheme="minorBidi"/>
                                <w:color w:val="222222"/>
                                <w:kern w:val="24"/>
                                <w:highlight w:val="white"/>
                              </w:rPr>
                              <w:t>Red tiles indicate</w:t>
                            </w:r>
                            <w:r>
                              <w:rPr>
                                <w:rFonts w:eastAsia="Times New Roman" w:cstheme="minorBidi"/>
                                <w:b/>
                                <w:bCs/>
                                <w:color w:val="222222"/>
                                <w:kern w:val="24"/>
                              </w:rPr>
                              <w:t xml:space="preserve"> </w:t>
                            </w:r>
                            <w:r w:rsidRPr="000D7529">
                              <w:rPr>
                                <w:rFonts w:eastAsia="Times New Roman" w:cstheme="minorBidi"/>
                                <w:color w:val="222222"/>
                                <w:kern w:val="24"/>
                                <w:highlight w:val="white"/>
                              </w:rPr>
                              <w:t>a feature on the reverse strand and green tiles indicate a feature on</w:t>
                            </w:r>
                            <w:r>
                              <w:rPr>
                                <w:rFonts w:eastAsia="Times New Roman" w:cstheme="minorBidi"/>
                                <w:b/>
                                <w:bCs/>
                                <w:color w:val="222222"/>
                                <w:kern w:val="24"/>
                              </w:rPr>
                              <w:t xml:space="preserve"> </w:t>
                            </w:r>
                            <w:r w:rsidRPr="000D7529">
                              <w:rPr>
                                <w:rFonts w:eastAsia="Times New Roman" w:cstheme="minorBidi"/>
                                <w:color w:val="222222"/>
                                <w:kern w:val="24"/>
                                <w:highlight w:val="white"/>
                              </w:rPr>
                              <w:t>the forward strand. Red links indicate repeats greater than 100 bp and blue links indicate repeats less than 100 bp.</w:t>
                            </w:r>
                          </w:p>
                        </w:txbxContent>
                      </wps:txbx>
                      <wps:bodyPr wrap="square">
                        <a:spAutoFit/>
                      </wps:bodyPr>
                    </wps:wsp>
                  </a:graphicData>
                </a:graphic>
                <wp14:sizeRelH relativeFrom="margin">
                  <wp14:pctWidth>0</wp14:pctWidth>
                </wp14:sizeRelH>
              </wp:anchor>
            </w:drawing>
          </mc:Choice>
          <mc:Fallback>
            <w:pict>
              <v:rect w14:anchorId="4099D748" id="_x0000_s1047" style="position:absolute;margin-left:.05pt;margin-top:476.95pt;width:468pt;height:75.1pt;z-index:251706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" filled="f" stroked="f">
                <v:textbox style="mso-fit-shape-to-text:t">
                  <w:txbxContent>
                    <w:p w14:paraId="767CFD73" w14:textId="77777777" w:rsidR="00636B5B" w:rsidRPr="000D7529" w:rsidRDefault="00636B5B" w:rsidP="00EE03F0">
                      <w:pPr>
                        <w:shd w:val="clear" w:color="auto" w:fill="FFFFFF"/>
                        <w:jc w:val="both"/>
                        <w:rPr>
                          <w:rFonts w:eastAsia="Times New Roman" w:cstheme="minorBidi"/>
                          <w:b/>
                          <w:bCs/>
                          <w:color w:val="222222"/>
                          <w:kern w:val="24"/>
                        </w:rPr>
                      </w:pPr>
                      <w:r w:rsidRPr="000D7529">
                        <w:rPr>
                          <w:rFonts w:eastAsia="Times New Roman" w:cstheme="minorBidi"/>
                          <w:b/>
                          <w:bCs/>
                          <w:color w:val="222222"/>
                          <w:kern w:val="24"/>
                          <w:highlight w:val="white"/>
                        </w:rPr>
                        <w:t>Fig</w:t>
                      </w:r>
                      <w:r>
                        <w:rPr>
                          <w:rFonts w:eastAsia="Times New Roman" w:cstheme="minorBidi"/>
                          <w:b/>
                          <w:bCs/>
                          <w:color w:val="222222"/>
                          <w:kern w:val="24"/>
                          <w:highlight w:val="white"/>
                        </w:rPr>
                        <w:t>ure III-</w:t>
                      </w:r>
                      <w:r w:rsidRPr="000D7529">
                        <w:rPr>
                          <w:rFonts w:eastAsia="Times New Roman" w:cstheme="minorBidi"/>
                          <w:b/>
                          <w:bCs/>
                          <w:color w:val="222222"/>
                          <w:kern w:val="24"/>
                          <w:highlight w:val="white"/>
                        </w:rPr>
                        <w:t>S</w:t>
                      </w:r>
                      <w:r>
                        <w:rPr>
                          <w:rFonts w:eastAsia="Times New Roman" w:cstheme="minorBidi"/>
                          <w:b/>
                          <w:bCs/>
                          <w:color w:val="222222"/>
                          <w:kern w:val="24"/>
                          <w:highlight w:val="white"/>
                        </w:rPr>
                        <w:t>2.</w:t>
                      </w:r>
                      <w:r w:rsidRPr="000D7529">
                        <w:rPr>
                          <w:rFonts w:eastAsia="Times New Roman" w:cstheme="minorBidi"/>
                          <w:b/>
                          <w:bCs/>
                          <w:color w:val="222222"/>
                          <w:kern w:val="24"/>
                          <w:highlight w:val="white"/>
                        </w:rPr>
                        <w:t xml:space="preserve"> </w:t>
                      </w:r>
                      <w:r w:rsidRPr="000D7529">
                        <w:rPr>
                          <w:rFonts w:eastAsia="Times New Roman" w:cstheme="minorBidi"/>
                          <w:i/>
                          <w:iCs/>
                          <w:color w:val="222222"/>
                          <w:kern w:val="24"/>
                          <w:highlight w:val="white"/>
                        </w:rPr>
                        <w:t xml:space="preserve">P. </w:t>
                      </w:r>
                      <w:r>
                        <w:rPr>
                          <w:rFonts w:eastAsia="Times New Roman" w:cstheme="minorBidi"/>
                          <w:i/>
                          <w:iCs/>
                          <w:color w:val="222222"/>
                          <w:kern w:val="24"/>
                          <w:highlight w:val="white"/>
                        </w:rPr>
                        <w:t xml:space="preserve">deltoides </w:t>
                      </w:r>
                      <w:r>
                        <w:rPr>
                          <w:rFonts w:eastAsia="Times New Roman" w:cstheme="minorBidi"/>
                          <w:color w:val="222222"/>
                          <w:kern w:val="24"/>
                          <w:highlight w:val="white"/>
                        </w:rPr>
                        <w:t xml:space="preserve">WV94 </w:t>
                      </w:r>
                      <w:r w:rsidRPr="000D7529">
                        <w:rPr>
                          <w:rFonts w:eastAsia="Times New Roman" w:cstheme="minorBidi"/>
                          <w:color w:val="222222"/>
                          <w:kern w:val="24"/>
                          <w:highlight w:val="white"/>
                        </w:rPr>
                        <w:t>mitogenome assembly.</w:t>
                      </w:r>
                      <w:r w:rsidRPr="000D7529">
                        <w:rPr>
                          <w:rFonts w:eastAsia="Times New Roman" w:cstheme="minorBidi"/>
                          <w:b/>
                          <w:bCs/>
                          <w:color w:val="222222"/>
                          <w:kern w:val="24"/>
                          <w:highlight w:val="white"/>
                        </w:rPr>
                        <w:t xml:space="preserve"> </w:t>
                      </w:r>
                      <w:r w:rsidRPr="000D7529">
                        <w:rPr>
                          <w:rFonts w:eastAsia="Times New Roman" w:cstheme="minorBidi"/>
                          <w:color w:val="222222"/>
                          <w:kern w:val="24"/>
                          <w:highlight w:val="white"/>
                        </w:rPr>
                        <w:t>Red tiles indicate</w:t>
                      </w:r>
                      <w:r>
                        <w:rPr>
                          <w:rFonts w:eastAsia="Times New Roman" w:cstheme="minorBidi"/>
                          <w:b/>
                          <w:bCs/>
                          <w:color w:val="222222"/>
                          <w:kern w:val="24"/>
                        </w:rPr>
                        <w:t xml:space="preserve"> </w:t>
                      </w:r>
                      <w:r w:rsidRPr="000D7529">
                        <w:rPr>
                          <w:rFonts w:eastAsia="Times New Roman" w:cstheme="minorBidi"/>
                          <w:color w:val="222222"/>
                          <w:kern w:val="24"/>
                          <w:highlight w:val="white"/>
                        </w:rPr>
                        <w:t>a feature on the reverse strand and green tiles indicate a feature on</w:t>
                      </w:r>
                      <w:r>
                        <w:rPr>
                          <w:rFonts w:eastAsia="Times New Roman" w:cstheme="minorBidi"/>
                          <w:b/>
                          <w:bCs/>
                          <w:color w:val="222222"/>
                          <w:kern w:val="24"/>
                        </w:rPr>
                        <w:t xml:space="preserve"> </w:t>
                      </w:r>
                      <w:r w:rsidRPr="000D7529">
                        <w:rPr>
                          <w:rFonts w:eastAsia="Times New Roman" w:cstheme="minorBidi"/>
                          <w:color w:val="222222"/>
                          <w:kern w:val="24"/>
                          <w:highlight w:val="white"/>
                        </w:rPr>
                        <w:t>the forward strand. Red links indicate repeats greater than 100 bp and blue links indicate repeats less than 100 bp.</w:t>
                      </w:r>
                    </w:p>
                  </w:txbxContent>
                </v:textbox>
              </v:rect>
            </w:pict>
          </mc:Fallback>
        </mc:AlternateContent>
      </w:r>
      <w:r w:rsidRPr="00C35843">
        <w:rPr>
          <w:bCs/>
          <w:noProof/>
          <w:szCs w:val="28"/>
        </w:rPr>
        <w:drawing>
          <wp:inline distT="0" distB="0" distL="0" distR="0" wp14:anchorId="296C1ABA" wp14:editId="334A1096">
            <wp:extent cx="5943600" cy="6015355"/>
            <wp:effectExtent l="0" t="0" r="0" b="4445"/>
            <wp:docPr id="57" name="Picture 4" descr="A picture containing device, wheel&#10;&#10;Description automatically generated">
              <a:extLst xmlns:a="http://schemas.openxmlformats.org/drawingml/2006/main">
                <a:ext uri="{FF2B5EF4-FFF2-40B4-BE49-F238E27FC236}">
                  <a16:creationId xmlns:a16="http://schemas.microsoft.com/office/drawing/2014/main" id="{659703D7-EAA2-FC44-BD52-407DF60B2B0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4" descr="A picture containing device, wheel&#10;&#10;Description automatically generated">
                      <a:extLst>
                        <a:ext uri="{FF2B5EF4-FFF2-40B4-BE49-F238E27FC236}">
                          <a16:creationId xmlns:a16="http://schemas.microsoft.com/office/drawing/2014/main" id="{659703D7-EAA2-FC44-BD52-407DF60B2B0F}"/>
                        </a:ext>
                      </a:extLst>
                    </pic:cNvPr>
                    <pic:cNvPicPr>
                      <a:picLocks noChangeAspect="1"/>
                    </pic:cNvPicPr>
                  </pic:nvPicPr>
                  <pic:blipFill>
                    <a:blip r:embed="rId47" cstate="print">
                      <a:extLst>
                        <a:ext uri="{28A0092B-C50C-407E-A947-70E740481C1C}">
                          <a14:useLocalDpi xmlns:a14="http://schemas.microsoft.com/office/drawing/2010/main"/>
                        </a:ext>
                      </a:extLst>
                    </a:blip>
                    <a:stretch>
                      <a:fillRect/>
                    </a:stretch>
                  </pic:blipFill>
                  <pic:spPr>
                    <a:xfrm>
                      <a:off x="0" y="0"/>
                      <a:ext cx="5943600" cy="6015355"/>
                    </a:xfrm>
                    <a:prstGeom prst="rect">
                      <a:avLst/>
                    </a:prstGeom>
                  </pic:spPr>
                </pic:pic>
              </a:graphicData>
            </a:graphic>
          </wp:inline>
        </w:drawing>
      </w:r>
    </w:p>
    <w:p w14:paraId="50AF8686" w14:textId="77777777" w:rsidR="00636B5B" w:rsidRDefault="00636B5B" w:rsidP="00EE03F0">
      <w:pPr>
        <w:spacing w:line="360" w:lineRule="auto"/>
        <w:rPr>
          <w:bCs/>
          <w:szCs w:val="28"/>
        </w:rPr>
      </w:pPr>
    </w:p>
    <w:p w14:paraId="78C893D3" w14:textId="77777777" w:rsidR="00636B5B" w:rsidRDefault="00636B5B" w:rsidP="00EE03F0">
      <w:pPr>
        <w:spacing w:line="360" w:lineRule="auto"/>
        <w:rPr>
          <w:bCs/>
          <w:szCs w:val="28"/>
        </w:rPr>
      </w:pPr>
    </w:p>
    <w:p w14:paraId="41DBFAFE" w14:textId="77777777" w:rsidR="00636B5B" w:rsidRDefault="00636B5B" w:rsidP="00EE03F0">
      <w:pPr>
        <w:spacing w:line="360" w:lineRule="auto"/>
        <w:rPr>
          <w:bCs/>
          <w:szCs w:val="28"/>
        </w:rPr>
      </w:pPr>
    </w:p>
    <w:p w14:paraId="2F38A722" w14:textId="77777777" w:rsidR="00636B5B" w:rsidRDefault="00636B5B" w:rsidP="00EE03F0">
      <w:pPr>
        <w:spacing w:line="360" w:lineRule="auto"/>
        <w:rPr>
          <w:bCs/>
          <w:szCs w:val="28"/>
        </w:rPr>
      </w:pPr>
    </w:p>
    <w:p w14:paraId="2B709A6B" w14:textId="77777777" w:rsidR="00636B5B" w:rsidRDefault="00636B5B" w:rsidP="00EE03F0">
      <w:pPr>
        <w:spacing w:line="360" w:lineRule="auto"/>
        <w:rPr>
          <w:bCs/>
          <w:szCs w:val="28"/>
        </w:rPr>
      </w:pPr>
    </w:p>
    <w:p w14:paraId="19E0D743" w14:textId="77777777" w:rsidR="00636B5B" w:rsidRDefault="00636B5B" w:rsidP="00EE03F0">
      <w:pPr>
        <w:spacing w:line="360" w:lineRule="auto"/>
        <w:rPr>
          <w:bCs/>
          <w:szCs w:val="28"/>
        </w:rPr>
      </w:pPr>
    </w:p>
    <w:p w14:paraId="61AED764" w14:textId="77777777" w:rsidR="00636B5B" w:rsidRDefault="00636B5B" w:rsidP="00EE03F0">
      <w:pPr>
        <w:spacing w:line="360" w:lineRule="auto"/>
        <w:rPr>
          <w:bCs/>
          <w:szCs w:val="28"/>
        </w:rPr>
      </w:pPr>
    </w:p>
    <w:p w14:paraId="0B89FE0F" w14:textId="77777777" w:rsidR="00636B5B" w:rsidRDefault="00636B5B" w:rsidP="00EE03F0">
      <w:pPr>
        <w:spacing w:line="360" w:lineRule="auto"/>
        <w:rPr>
          <w:bCs/>
          <w:szCs w:val="28"/>
        </w:rPr>
      </w:pPr>
    </w:p>
    <w:p w14:paraId="47E43A0C" w14:textId="77777777" w:rsidR="00636B5B" w:rsidRDefault="00636B5B" w:rsidP="00EE03F0">
      <w:pPr>
        <w:spacing w:line="360" w:lineRule="auto"/>
        <w:rPr>
          <w:bCs/>
          <w:szCs w:val="28"/>
        </w:rPr>
      </w:pPr>
      <w:r w:rsidRPr="00ED09FA">
        <w:rPr>
          <w:bCs/>
          <w:noProof/>
          <w:szCs w:val="28"/>
        </w:rPr>
        <w:lastRenderedPageBreak/>
        <w:drawing>
          <wp:anchor distT="0" distB="0" distL="114300" distR="114300" simplePos="0" relativeHeight="251708416" behindDoc="0" locked="0" layoutInCell="1" allowOverlap="1" wp14:anchorId="3B6B1B1E" wp14:editId="0DB120A1">
            <wp:simplePos x="0" y="0"/>
            <wp:positionH relativeFrom="margin">
              <wp:align>center</wp:align>
            </wp:positionH>
            <wp:positionV relativeFrom="margin">
              <wp:align>top</wp:align>
            </wp:positionV>
            <wp:extent cx="5486400" cy="3657600"/>
            <wp:effectExtent l="0" t="0" r="0" b="0"/>
            <wp:wrapNone/>
            <wp:docPr id="58" name="Picture 4">
              <a:extLst xmlns:a="http://schemas.openxmlformats.org/drawingml/2006/main">
                <a:ext uri="{FF2B5EF4-FFF2-40B4-BE49-F238E27FC236}">
                  <a16:creationId xmlns:a16="http://schemas.microsoft.com/office/drawing/2014/main" id="{31C1B51A-BA21-194B-AEC6-5F2341A7B4D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31C1B51A-BA21-194B-AEC6-5F2341A7B4D1}"/>
                        </a:ext>
                      </a:extLst>
                    </pic:cNvPr>
                    <pic:cNvPicPr>
                      <a:picLocks noChangeAspect="1"/>
                    </pic:cNvPicPr>
                  </pic:nvPicPr>
                  <pic:blipFill>
                    <a:blip r:embed="rId48"/>
                    <a:stretch>
                      <a:fillRect/>
                    </a:stretch>
                  </pic:blipFill>
                  <pic:spPr>
                    <a:xfrm>
                      <a:off x="0" y="0"/>
                      <a:ext cx="5486400" cy="3657600"/>
                    </a:xfrm>
                    <a:prstGeom prst="rect">
                      <a:avLst/>
                    </a:prstGeom>
                  </pic:spPr>
                </pic:pic>
              </a:graphicData>
            </a:graphic>
            <wp14:sizeRelH relativeFrom="margin">
              <wp14:pctWidth>0</wp14:pctWidth>
            </wp14:sizeRelH>
            <wp14:sizeRelV relativeFrom="margin">
              <wp14:pctHeight>0</wp14:pctHeight>
            </wp14:sizeRelV>
          </wp:anchor>
        </w:drawing>
      </w:r>
    </w:p>
    <w:p w14:paraId="1993CBD5" w14:textId="77777777" w:rsidR="00636B5B" w:rsidRDefault="00636B5B" w:rsidP="00EE03F0">
      <w:pPr>
        <w:spacing w:line="360" w:lineRule="auto"/>
        <w:rPr>
          <w:bCs/>
          <w:szCs w:val="28"/>
        </w:rPr>
      </w:pPr>
    </w:p>
    <w:p w14:paraId="55FF6C51" w14:textId="77777777" w:rsidR="00636B5B" w:rsidRDefault="00636B5B" w:rsidP="00EE03F0">
      <w:pPr>
        <w:spacing w:line="360" w:lineRule="auto"/>
        <w:rPr>
          <w:bCs/>
          <w:szCs w:val="28"/>
        </w:rPr>
      </w:pPr>
    </w:p>
    <w:p w14:paraId="42EB3345" w14:textId="77777777" w:rsidR="00636B5B" w:rsidRDefault="00636B5B" w:rsidP="00EE03F0">
      <w:pPr>
        <w:spacing w:line="360" w:lineRule="auto"/>
        <w:rPr>
          <w:bCs/>
          <w:szCs w:val="28"/>
        </w:rPr>
      </w:pPr>
    </w:p>
    <w:p w14:paraId="541AC1B8" w14:textId="77777777" w:rsidR="00636B5B" w:rsidRDefault="00636B5B" w:rsidP="00EE03F0">
      <w:pPr>
        <w:spacing w:line="360" w:lineRule="auto"/>
        <w:rPr>
          <w:bCs/>
          <w:szCs w:val="28"/>
        </w:rPr>
      </w:pPr>
    </w:p>
    <w:p w14:paraId="2186A003" w14:textId="77777777" w:rsidR="00636B5B" w:rsidRDefault="00636B5B" w:rsidP="00EE03F0">
      <w:pPr>
        <w:spacing w:line="360" w:lineRule="auto"/>
        <w:rPr>
          <w:bCs/>
          <w:szCs w:val="28"/>
        </w:rPr>
      </w:pPr>
    </w:p>
    <w:p w14:paraId="44B569B5" w14:textId="77777777" w:rsidR="00636B5B" w:rsidRDefault="00636B5B" w:rsidP="00EE03F0">
      <w:pPr>
        <w:spacing w:line="360" w:lineRule="auto"/>
        <w:rPr>
          <w:bCs/>
          <w:szCs w:val="28"/>
        </w:rPr>
      </w:pPr>
    </w:p>
    <w:p w14:paraId="7EA51DB1" w14:textId="77777777" w:rsidR="00636B5B" w:rsidRDefault="00636B5B" w:rsidP="00EE03F0">
      <w:pPr>
        <w:spacing w:line="360" w:lineRule="auto"/>
        <w:rPr>
          <w:bCs/>
          <w:szCs w:val="28"/>
        </w:rPr>
      </w:pPr>
    </w:p>
    <w:p w14:paraId="1F710072" w14:textId="77777777" w:rsidR="00636B5B" w:rsidRDefault="00636B5B" w:rsidP="00EE03F0">
      <w:pPr>
        <w:spacing w:line="360" w:lineRule="auto"/>
        <w:rPr>
          <w:bCs/>
          <w:szCs w:val="28"/>
        </w:rPr>
      </w:pPr>
    </w:p>
    <w:p w14:paraId="4D2AD3AE" w14:textId="77777777" w:rsidR="00636B5B" w:rsidRDefault="00636B5B" w:rsidP="00EE03F0">
      <w:pPr>
        <w:spacing w:line="360" w:lineRule="auto"/>
        <w:rPr>
          <w:bCs/>
          <w:szCs w:val="28"/>
        </w:rPr>
      </w:pPr>
    </w:p>
    <w:p w14:paraId="7F0791E0" w14:textId="77777777" w:rsidR="00636B5B" w:rsidRDefault="00636B5B" w:rsidP="00EE03F0">
      <w:pPr>
        <w:spacing w:line="360" w:lineRule="auto"/>
        <w:rPr>
          <w:bCs/>
          <w:szCs w:val="28"/>
        </w:rPr>
      </w:pPr>
    </w:p>
    <w:p w14:paraId="60742C25" w14:textId="77777777" w:rsidR="00636B5B" w:rsidRDefault="00636B5B" w:rsidP="00EE03F0">
      <w:pPr>
        <w:spacing w:line="360" w:lineRule="auto"/>
        <w:rPr>
          <w:bCs/>
          <w:szCs w:val="28"/>
        </w:rPr>
      </w:pPr>
    </w:p>
    <w:p w14:paraId="63CE6553" w14:textId="77777777" w:rsidR="00636B5B" w:rsidRDefault="00636B5B" w:rsidP="00EE03F0">
      <w:pPr>
        <w:spacing w:line="360" w:lineRule="auto"/>
        <w:rPr>
          <w:bCs/>
          <w:szCs w:val="28"/>
        </w:rPr>
      </w:pPr>
    </w:p>
    <w:p w14:paraId="001211D9" w14:textId="2D41975B" w:rsidR="00636B5B" w:rsidRDefault="00CB6DEA" w:rsidP="00EE03F0">
      <w:pPr>
        <w:spacing w:line="360" w:lineRule="auto"/>
        <w:rPr>
          <w:bCs/>
          <w:szCs w:val="28"/>
        </w:rPr>
      </w:pPr>
      <w:r w:rsidRPr="00ED09FA">
        <w:rPr>
          <w:bCs/>
          <w:noProof/>
          <w:szCs w:val="28"/>
        </w:rPr>
        <mc:AlternateContent>
          <mc:Choice Requires="wps">
            <w:drawing>
              <wp:anchor distT="0" distB="0" distL="114300" distR="114300" simplePos="0" relativeHeight="251707392" behindDoc="0" locked="0" layoutInCell="1" allowOverlap="1" wp14:anchorId="5F5CF40F" wp14:editId="7C84EE83">
                <wp:simplePos x="0" y="0"/>
                <wp:positionH relativeFrom="column">
                  <wp:posOffset>-1905</wp:posOffset>
                </wp:positionH>
                <wp:positionV relativeFrom="paragraph">
                  <wp:posOffset>237490</wp:posOffset>
                </wp:positionV>
                <wp:extent cx="5943600" cy="953770"/>
                <wp:effectExtent l="0" t="0" r="0" b="0"/>
                <wp:wrapNone/>
                <wp:docPr id="49" name="Rectangle 3"/>
                <wp:cNvGraphicFramePr/>
                <a:graphic xmlns:a="http://schemas.openxmlformats.org/drawingml/2006/main">
                  <a:graphicData uri="http://schemas.microsoft.com/office/word/2010/wordprocessingShape">
                    <wps:wsp>
                      <wps:cNvSpPr/>
                      <wps:spPr>
                        <a:xfrm>
                          <a:off x="0" y="0"/>
                          <a:ext cx="5943600" cy="953770"/>
                        </a:xfrm>
                        <a:prstGeom prst="rect">
                          <a:avLst/>
                        </a:prstGeom>
                      </wps:spPr>
                      <wps:txbx>
                        <w:txbxContent>
                          <w:p w14:paraId="052EB3AC" w14:textId="77777777" w:rsidR="00636B5B" w:rsidRPr="00ED09FA" w:rsidRDefault="00636B5B" w:rsidP="00EE03F0">
                            <w:pPr>
                              <w:shd w:val="clear" w:color="auto" w:fill="FFFFFF"/>
                              <w:jc w:val="both"/>
                              <w:rPr>
                                <w:rFonts w:eastAsia="Times New Roman" w:cstheme="minorBidi"/>
                                <w:color w:val="222222"/>
                                <w:kern w:val="24"/>
                              </w:rPr>
                            </w:pPr>
                            <w:r w:rsidRPr="00ED09FA">
                              <w:rPr>
                                <w:rFonts w:eastAsia="Times New Roman" w:cstheme="minorBidi"/>
                                <w:b/>
                                <w:bCs/>
                                <w:color w:val="222222"/>
                                <w:kern w:val="24"/>
                                <w:highlight w:val="white"/>
                              </w:rPr>
                              <w:t>Figure III-S3.</w:t>
                            </w:r>
                            <w:r w:rsidRPr="00ED09FA">
                              <w:rPr>
                                <w:rFonts w:eastAsia="Times New Roman" w:cstheme="minorBidi"/>
                                <w:color w:val="222222"/>
                                <w:kern w:val="24"/>
                                <w:highlight w:val="white"/>
                              </w:rPr>
                              <w:t xml:space="preserve"> Methylation frequency of a large 336 kb possible misassembly (</w:t>
                            </w:r>
                            <w:r w:rsidRPr="00ED09FA">
                              <w:rPr>
                                <w:rFonts w:eastAsia="Times New Roman" w:cstheme="minorBidi"/>
                                <w:color w:val="000000" w:themeColor="text1"/>
                                <w:kern w:val="24"/>
                                <w:highlight w:val="white"/>
                              </w:rPr>
                              <w:t xml:space="preserve">Chr02:20,020,773-20,357,166 </w:t>
                            </w:r>
                            <w:r w:rsidRPr="00ED09FA">
                              <w:rPr>
                                <w:rFonts w:eastAsia="Times New Roman" w:cstheme="minorBidi"/>
                                <w:color w:val="222222"/>
                                <w:kern w:val="24"/>
                                <w:highlight w:val="white"/>
                              </w:rPr>
                              <w:t xml:space="preserve">) in </w:t>
                            </w:r>
                            <w:r w:rsidRPr="00ED09FA">
                              <w:rPr>
                                <w:rFonts w:eastAsia="Times New Roman" w:cstheme="minorBidi"/>
                                <w:i/>
                                <w:iCs/>
                                <w:color w:val="222222"/>
                                <w:kern w:val="24"/>
                                <w:highlight w:val="white"/>
                              </w:rPr>
                              <w:t xml:space="preserve">P. deltoides. </w:t>
                            </w:r>
                            <w:r w:rsidRPr="00ED09FA">
                              <w:rPr>
                                <w:rFonts w:eastAsia="Times New Roman" w:cstheme="minorBidi"/>
                                <w:color w:val="222222"/>
                                <w:kern w:val="24"/>
                                <w:highlight w:val="white"/>
                              </w:rPr>
                              <w:t>Methylation frequencies were averaged in 10kb windows, a sliding distance of 2.5 kb was used. Regions highlighted in red indicate the target region.</w:t>
                            </w:r>
                          </w:p>
                        </w:txbxContent>
                      </wps:txbx>
                      <wps:bodyPr wrap="square">
                        <a:spAutoFit/>
                      </wps:bodyPr>
                    </wps:wsp>
                  </a:graphicData>
                </a:graphic>
                <wp14:sizeRelH relativeFrom="margin">
                  <wp14:pctWidth>0</wp14:pctWidth>
                </wp14:sizeRelH>
              </wp:anchor>
            </w:drawing>
          </mc:Choice>
          <mc:Fallback>
            <w:pict>
              <v:rect w14:anchorId="5F5CF40F" id="Rectangle 3" o:spid="_x0000_s1048" style="position:absolute;margin-left:-.15pt;margin-top:18.7pt;width:468pt;height:75.1pt;z-index:251707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" filled="f" stroked="f">
                <v:textbox style="mso-fit-shape-to-text:t">
                  <w:txbxContent>
                    <w:p w14:paraId="052EB3AC" w14:textId="77777777" w:rsidR="00636B5B" w:rsidRPr="00ED09FA" w:rsidRDefault="00636B5B" w:rsidP="00EE03F0">
                      <w:pPr>
                        <w:shd w:val="clear" w:color="auto" w:fill="FFFFFF"/>
                        <w:jc w:val="both"/>
                        <w:rPr>
                          <w:rFonts w:eastAsia="Times New Roman" w:cstheme="minorBidi"/>
                          <w:color w:val="222222"/>
                          <w:kern w:val="24"/>
                        </w:rPr>
                      </w:pPr>
                      <w:r w:rsidRPr="00ED09FA">
                        <w:rPr>
                          <w:rFonts w:eastAsia="Times New Roman" w:cstheme="minorBidi"/>
                          <w:b/>
                          <w:bCs/>
                          <w:color w:val="222222"/>
                          <w:kern w:val="24"/>
                          <w:highlight w:val="white"/>
                        </w:rPr>
                        <w:t>Figure III-S3.</w:t>
                      </w:r>
                      <w:r w:rsidRPr="00ED09FA">
                        <w:rPr>
                          <w:rFonts w:eastAsia="Times New Roman" w:cstheme="minorBidi"/>
                          <w:color w:val="222222"/>
                          <w:kern w:val="24"/>
                          <w:highlight w:val="white"/>
                        </w:rPr>
                        <w:t xml:space="preserve"> Methylation frequency of a large 336 kb possible misassembly (</w:t>
                      </w:r>
                      <w:r w:rsidRPr="00ED09FA">
                        <w:rPr>
                          <w:rFonts w:eastAsia="Times New Roman" w:cstheme="minorBidi"/>
                          <w:color w:val="000000" w:themeColor="text1"/>
                          <w:kern w:val="24"/>
                          <w:highlight w:val="white"/>
                        </w:rPr>
                        <w:t xml:space="preserve">Chr02:20,020,773-20,357,166 </w:t>
                      </w:r>
                      <w:r w:rsidRPr="00ED09FA">
                        <w:rPr>
                          <w:rFonts w:eastAsia="Times New Roman" w:cstheme="minorBidi"/>
                          <w:color w:val="222222"/>
                          <w:kern w:val="24"/>
                          <w:highlight w:val="white"/>
                        </w:rPr>
                        <w:t xml:space="preserve">) in </w:t>
                      </w:r>
                      <w:r w:rsidRPr="00ED09FA">
                        <w:rPr>
                          <w:rFonts w:eastAsia="Times New Roman" w:cstheme="minorBidi"/>
                          <w:i/>
                          <w:iCs/>
                          <w:color w:val="222222"/>
                          <w:kern w:val="24"/>
                          <w:highlight w:val="white"/>
                        </w:rPr>
                        <w:t xml:space="preserve">P. deltoides. </w:t>
                      </w:r>
                      <w:r w:rsidRPr="00ED09FA">
                        <w:rPr>
                          <w:rFonts w:eastAsia="Times New Roman" w:cstheme="minorBidi"/>
                          <w:color w:val="222222"/>
                          <w:kern w:val="24"/>
                          <w:highlight w:val="white"/>
                        </w:rPr>
                        <w:t>Methylation frequencies were averaged in 10kb windows, a sliding distance of 2.5 kb was used. Regions highlighted in red indicate the target region.</w:t>
                      </w:r>
                    </w:p>
                  </w:txbxContent>
                </v:textbox>
              </v:rect>
            </w:pict>
          </mc:Fallback>
        </mc:AlternateContent>
      </w:r>
    </w:p>
    <w:p w14:paraId="50436C80" w14:textId="5F6127D2" w:rsidR="00636B5B" w:rsidRDefault="00636B5B" w:rsidP="00EE03F0">
      <w:pPr>
        <w:spacing w:line="360" w:lineRule="auto"/>
        <w:rPr>
          <w:bCs/>
          <w:szCs w:val="28"/>
        </w:rPr>
      </w:pPr>
    </w:p>
    <w:p w14:paraId="45A64CF5" w14:textId="2519288B" w:rsidR="00636B5B" w:rsidRDefault="00636B5B" w:rsidP="00EE03F0">
      <w:pPr>
        <w:spacing w:line="360" w:lineRule="auto"/>
        <w:rPr>
          <w:bCs/>
          <w:szCs w:val="28"/>
        </w:rPr>
      </w:pPr>
    </w:p>
    <w:p w14:paraId="17E32E0B" w14:textId="77777777" w:rsidR="00636B5B" w:rsidRDefault="00636B5B" w:rsidP="00EE03F0">
      <w:pPr>
        <w:spacing w:line="360" w:lineRule="auto"/>
        <w:rPr>
          <w:bCs/>
          <w:szCs w:val="28"/>
        </w:rPr>
      </w:pPr>
    </w:p>
    <w:p w14:paraId="016A2A13" w14:textId="77777777" w:rsidR="00636B5B" w:rsidRDefault="00636B5B" w:rsidP="00EE03F0">
      <w:pPr>
        <w:spacing w:line="360" w:lineRule="auto"/>
        <w:rPr>
          <w:bCs/>
          <w:szCs w:val="28"/>
        </w:rPr>
      </w:pPr>
    </w:p>
    <w:p w14:paraId="60DCD8B7" w14:textId="77777777" w:rsidR="00636B5B" w:rsidRDefault="00636B5B" w:rsidP="00EE03F0">
      <w:pPr>
        <w:spacing w:line="360" w:lineRule="auto"/>
        <w:rPr>
          <w:bCs/>
          <w:szCs w:val="28"/>
        </w:rPr>
      </w:pPr>
    </w:p>
    <w:p w14:paraId="1372DF11" w14:textId="77777777" w:rsidR="00636B5B" w:rsidRDefault="00636B5B" w:rsidP="00EE03F0">
      <w:pPr>
        <w:spacing w:line="360" w:lineRule="auto"/>
        <w:rPr>
          <w:bCs/>
          <w:szCs w:val="28"/>
        </w:rPr>
      </w:pPr>
    </w:p>
    <w:p w14:paraId="38E45469" w14:textId="77777777" w:rsidR="00636B5B" w:rsidRDefault="00636B5B" w:rsidP="00EE03F0">
      <w:pPr>
        <w:spacing w:line="360" w:lineRule="auto"/>
        <w:rPr>
          <w:bCs/>
          <w:szCs w:val="28"/>
        </w:rPr>
      </w:pPr>
    </w:p>
    <w:p w14:paraId="2A8713B1" w14:textId="77777777" w:rsidR="00636B5B" w:rsidRDefault="00636B5B" w:rsidP="00EE03F0">
      <w:pPr>
        <w:spacing w:line="360" w:lineRule="auto"/>
        <w:rPr>
          <w:bCs/>
          <w:szCs w:val="28"/>
        </w:rPr>
      </w:pPr>
    </w:p>
    <w:p w14:paraId="1B0B3516" w14:textId="77777777" w:rsidR="00636B5B" w:rsidRDefault="00636B5B" w:rsidP="00EE03F0">
      <w:pPr>
        <w:spacing w:line="360" w:lineRule="auto"/>
        <w:rPr>
          <w:bCs/>
          <w:szCs w:val="28"/>
        </w:rPr>
      </w:pPr>
    </w:p>
    <w:p w14:paraId="180040EC" w14:textId="77777777" w:rsidR="00636B5B" w:rsidRDefault="00636B5B" w:rsidP="00EE03F0">
      <w:pPr>
        <w:spacing w:line="360" w:lineRule="auto"/>
        <w:rPr>
          <w:bCs/>
          <w:szCs w:val="28"/>
        </w:rPr>
      </w:pPr>
    </w:p>
    <w:p w14:paraId="5CC74C7D" w14:textId="77777777" w:rsidR="00636B5B" w:rsidRDefault="00636B5B" w:rsidP="00EE03F0">
      <w:pPr>
        <w:spacing w:line="360" w:lineRule="auto"/>
        <w:rPr>
          <w:bCs/>
          <w:szCs w:val="28"/>
        </w:rPr>
      </w:pPr>
    </w:p>
    <w:p w14:paraId="64CE3E6F" w14:textId="77777777" w:rsidR="00636B5B" w:rsidRDefault="00636B5B" w:rsidP="00EE03F0">
      <w:pPr>
        <w:spacing w:line="360" w:lineRule="auto"/>
        <w:rPr>
          <w:bCs/>
          <w:szCs w:val="28"/>
        </w:rPr>
      </w:pPr>
    </w:p>
    <w:p w14:paraId="573E1F29" w14:textId="77777777" w:rsidR="00636B5B" w:rsidRDefault="00636B5B" w:rsidP="00EE03F0">
      <w:pPr>
        <w:spacing w:line="360" w:lineRule="auto"/>
        <w:rPr>
          <w:bCs/>
          <w:szCs w:val="28"/>
        </w:rPr>
      </w:pPr>
    </w:p>
    <w:p w14:paraId="053E44E2" w14:textId="77777777" w:rsidR="00636B5B" w:rsidRDefault="00636B5B" w:rsidP="00EE03F0">
      <w:pPr>
        <w:spacing w:line="360" w:lineRule="auto"/>
        <w:rPr>
          <w:bCs/>
          <w:szCs w:val="28"/>
        </w:rPr>
      </w:pPr>
    </w:p>
    <w:p w14:paraId="40E5558A" w14:textId="77777777" w:rsidR="00636B5B" w:rsidRDefault="00636B5B" w:rsidP="00EE03F0">
      <w:pPr>
        <w:spacing w:line="360" w:lineRule="auto"/>
        <w:rPr>
          <w:bCs/>
          <w:szCs w:val="28"/>
        </w:rPr>
      </w:pPr>
    </w:p>
    <w:p w14:paraId="390F54E4" w14:textId="77777777" w:rsidR="00636B5B" w:rsidRDefault="00636B5B" w:rsidP="00EE03F0">
      <w:pPr>
        <w:spacing w:line="360" w:lineRule="auto"/>
        <w:rPr>
          <w:bCs/>
          <w:szCs w:val="28"/>
        </w:rPr>
      </w:pPr>
    </w:p>
    <w:p w14:paraId="1C388CCA" w14:textId="77777777" w:rsidR="00636B5B" w:rsidRDefault="00636B5B" w:rsidP="00EE03F0">
      <w:pPr>
        <w:spacing w:line="360" w:lineRule="auto"/>
        <w:rPr>
          <w:bCs/>
          <w:szCs w:val="28"/>
        </w:rPr>
      </w:pPr>
    </w:p>
    <w:p w14:paraId="407DF2AE" w14:textId="77777777" w:rsidR="00636B5B" w:rsidRDefault="00636B5B" w:rsidP="00EE03F0">
      <w:pPr>
        <w:spacing w:line="360" w:lineRule="auto"/>
        <w:rPr>
          <w:bCs/>
          <w:szCs w:val="28"/>
        </w:rPr>
      </w:pPr>
      <w:r w:rsidRPr="00ED09FA">
        <w:rPr>
          <w:bCs/>
          <w:noProof/>
          <w:szCs w:val="28"/>
        </w:rPr>
        <w:lastRenderedPageBreak/>
        <w:drawing>
          <wp:anchor distT="0" distB="0" distL="114300" distR="114300" simplePos="0" relativeHeight="251710464" behindDoc="0" locked="0" layoutInCell="1" allowOverlap="1" wp14:anchorId="3C43B0B5" wp14:editId="4573AB9B">
            <wp:simplePos x="0" y="0"/>
            <wp:positionH relativeFrom="margin">
              <wp:align>center</wp:align>
            </wp:positionH>
            <wp:positionV relativeFrom="paragraph">
              <wp:posOffset>0</wp:posOffset>
            </wp:positionV>
            <wp:extent cx="5486400" cy="3657600"/>
            <wp:effectExtent l="0" t="0" r="0" b="0"/>
            <wp:wrapNone/>
            <wp:docPr id="59" name="Picture 2">
              <a:extLst xmlns:a="http://schemas.openxmlformats.org/drawingml/2006/main">
                <a:ext uri="{FF2B5EF4-FFF2-40B4-BE49-F238E27FC236}">
                  <a16:creationId xmlns:a16="http://schemas.microsoft.com/office/drawing/2014/main" id="{B76291BC-D50A-0C43-A229-F7503A2B1C3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B76291BC-D50A-0C43-A229-F7503A2B1C38}"/>
                        </a:ext>
                      </a:extLst>
                    </pic:cNvPr>
                    <pic:cNvPicPr>
                      <a:picLocks noChangeAspect="1"/>
                    </pic:cNvPicPr>
                  </pic:nvPicPr>
                  <pic:blipFill>
                    <a:blip r:embed="rId49"/>
                    <a:stretch>
                      <a:fillRect/>
                    </a:stretch>
                  </pic:blipFill>
                  <pic:spPr>
                    <a:xfrm>
                      <a:off x="0" y="0"/>
                      <a:ext cx="5486400" cy="3657600"/>
                    </a:xfrm>
                    <a:prstGeom prst="rect">
                      <a:avLst/>
                    </a:prstGeom>
                  </pic:spPr>
                </pic:pic>
              </a:graphicData>
            </a:graphic>
            <wp14:sizeRelH relativeFrom="margin">
              <wp14:pctWidth>0</wp14:pctWidth>
            </wp14:sizeRelH>
            <wp14:sizeRelV relativeFrom="margin">
              <wp14:pctHeight>0</wp14:pctHeight>
            </wp14:sizeRelV>
          </wp:anchor>
        </w:drawing>
      </w:r>
    </w:p>
    <w:p w14:paraId="3AD3DA1F" w14:textId="77777777" w:rsidR="00636B5B" w:rsidRDefault="00636B5B" w:rsidP="00EE03F0">
      <w:pPr>
        <w:spacing w:line="360" w:lineRule="auto"/>
        <w:rPr>
          <w:bCs/>
          <w:szCs w:val="28"/>
        </w:rPr>
      </w:pPr>
    </w:p>
    <w:p w14:paraId="6C63BA17" w14:textId="77777777" w:rsidR="00636B5B" w:rsidRDefault="00636B5B" w:rsidP="00EE03F0">
      <w:pPr>
        <w:spacing w:line="360" w:lineRule="auto"/>
        <w:rPr>
          <w:bCs/>
          <w:szCs w:val="28"/>
        </w:rPr>
      </w:pPr>
    </w:p>
    <w:p w14:paraId="48E6F499" w14:textId="77777777" w:rsidR="00636B5B" w:rsidRDefault="00636B5B" w:rsidP="00EE03F0">
      <w:pPr>
        <w:spacing w:line="360" w:lineRule="auto"/>
        <w:rPr>
          <w:bCs/>
          <w:szCs w:val="28"/>
        </w:rPr>
      </w:pPr>
    </w:p>
    <w:p w14:paraId="5F426F51" w14:textId="77777777" w:rsidR="00636B5B" w:rsidRDefault="00636B5B" w:rsidP="00EE03F0">
      <w:pPr>
        <w:spacing w:line="360" w:lineRule="auto"/>
        <w:rPr>
          <w:bCs/>
          <w:szCs w:val="28"/>
        </w:rPr>
      </w:pPr>
    </w:p>
    <w:p w14:paraId="12B5592F" w14:textId="77777777" w:rsidR="00636B5B" w:rsidRDefault="00636B5B" w:rsidP="00EE03F0">
      <w:pPr>
        <w:spacing w:line="360" w:lineRule="auto"/>
        <w:rPr>
          <w:bCs/>
          <w:szCs w:val="28"/>
        </w:rPr>
      </w:pPr>
    </w:p>
    <w:p w14:paraId="522B22FC" w14:textId="77777777" w:rsidR="00636B5B" w:rsidRDefault="00636B5B" w:rsidP="00EE03F0">
      <w:pPr>
        <w:spacing w:line="360" w:lineRule="auto"/>
        <w:rPr>
          <w:bCs/>
          <w:szCs w:val="28"/>
        </w:rPr>
      </w:pPr>
    </w:p>
    <w:p w14:paraId="5BE9FF41" w14:textId="77777777" w:rsidR="00636B5B" w:rsidRDefault="00636B5B" w:rsidP="00EE03F0">
      <w:pPr>
        <w:spacing w:line="360" w:lineRule="auto"/>
        <w:rPr>
          <w:bCs/>
          <w:szCs w:val="28"/>
        </w:rPr>
      </w:pPr>
    </w:p>
    <w:p w14:paraId="3AF2350F" w14:textId="77777777" w:rsidR="00636B5B" w:rsidRDefault="00636B5B" w:rsidP="00EE03F0">
      <w:pPr>
        <w:spacing w:line="360" w:lineRule="auto"/>
        <w:rPr>
          <w:bCs/>
          <w:szCs w:val="28"/>
        </w:rPr>
      </w:pPr>
    </w:p>
    <w:p w14:paraId="78EA4F1F" w14:textId="77777777" w:rsidR="00636B5B" w:rsidRDefault="00636B5B" w:rsidP="00EE03F0">
      <w:pPr>
        <w:spacing w:line="360" w:lineRule="auto"/>
        <w:rPr>
          <w:bCs/>
          <w:szCs w:val="28"/>
        </w:rPr>
      </w:pPr>
    </w:p>
    <w:p w14:paraId="4FEA4DD3" w14:textId="77777777" w:rsidR="00636B5B" w:rsidRDefault="00636B5B" w:rsidP="00EE03F0">
      <w:pPr>
        <w:spacing w:line="360" w:lineRule="auto"/>
        <w:rPr>
          <w:bCs/>
          <w:szCs w:val="28"/>
        </w:rPr>
      </w:pPr>
    </w:p>
    <w:p w14:paraId="6AB87157" w14:textId="77777777" w:rsidR="00636B5B" w:rsidRDefault="00636B5B" w:rsidP="00EE03F0">
      <w:pPr>
        <w:spacing w:line="360" w:lineRule="auto"/>
        <w:rPr>
          <w:bCs/>
          <w:szCs w:val="28"/>
        </w:rPr>
      </w:pPr>
    </w:p>
    <w:p w14:paraId="40E100B4" w14:textId="77777777" w:rsidR="00636B5B" w:rsidRDefault="00636B5B" w:rsidP="00EE03F0">
      <w:pPr>
        <w:spacing w:line="360" w:lineRule="auto"/>
        <w:rPr>
          <w:bCs/>
          <w:szCs w:val="28"/>
        </w:rPr>
      </w:pPr>
    </w:p>
    <w:p w14:paraId="12E4DB06" w14:textId="0AF02F0D" w:rsidR="00636B5B" w:rsidRDefault="00CB6DEA" w:rsidP="00EE03F0">
      <w:pPr>
        <w:spacing w:line="360" w:lineRule="auto"/>
        <w:rPr>
          <w:bCs/>
          <w:szCs w:val="28"/>
        </w:rPr>
      </w:pPr>
      <w:r w:rsidRPr="00ED09FA">
        <w:rPr>
          <w:bCs/>
          <w:noProof/>
          <w:szCs w:val="28"/>
        </w:rPr>
        <mc:AlternateContent>
          <mc:Choice Requires="wps">
            <w:drawing>
              <wp:anchor distT="0" distB="0" distL="114300" distR="114300" simplePos="0" relativeHeight="251709440" behindDoc="0" locked="0" layoutInCell="1" allowOverlap="1" wp14:anchorId="7FFF518B" wp14:editId="27D208D8">
                <wp:simplePos x="0" y="0"/>
                <wp:positionH relativeFrom="margin">
                  <wp:align>left</wp:align>
                </wp:positionH>
                <wp:positionV relativeFrom="paragraph">
                  <wp:posOffset>255905</wp:posOffset>
                </wp:positionV>
                <wp:extent cx="5943600" cy="522605"/>
                <wp:effectExtent l="0" t="0" r="0" b="0"/>
                <wp:wrapNone/>
                <wp:docPr id="50" name="Rectangle 3"/>
                <wp:cNvGraphicFramePr/>
                <a:graphic xmlns:a="http://schemas.openxmlformats.org/drawingml/2006/main">
                  <a:graphicData uri="http://schemas.microsoft.com/office/word/2010/wordprocessingShape">
                    <wps:wsp>
                      <wps:cNvSpPr/>
                      <wps:spPr>
                        <a:xfrm>
                          <a:off x="0" y="0"/>
                          <a:ext cx="5943600" cy="522605"/>
                        </a:xfrm>
                        <a:prstGeom prst="rect">
                          <a:avLst/>
                        </a:prstGeom>
                      </wps:spPr>
                      <wps:txbx>
                        <w:txbxContent>
                          <w:p w14:paraId="49CA6E52" w14:textId="77777777" w:rsidR="00636B5B" w:rsidRPr="00ED09FA" w:rsidRDefault="00636B5B" w:rsidP="00EE03F0">
                            <w:pPr>
                              <w:shd w:val="clear" w:color="auto" w:fill="FFFFFF"/>
                              <w:jc w:val="both"/>
                              <w:rPr>
                                <w:rFonts w:eastAsia="Times New Roman" w:cstheme="minorBidi"/>
                                <w:b/>
                                <w:bCs/>
                                <w:color w:val="222222"/>
                                <w:kern w:val="24"/>
                              </w:rPr>
                            </w:pPr>
                            <w:r w:rsidRPr="00ED09FA">
                              <w:rPr>
                                <w:rFonts w:eastAsia="Times New Roman" w:cstheme="minorBidi"/>
                                <w:b/>
                                <w:bCs/>
                                <w:color w:val="222222"/>
                                <w:kern w:val="24"/>
                                <w:highlight w:val="white"/>
                              </w:rPr>
                              <w:t xml:space="preserve">Figure III-S4. </w:t>
                            </w:r>
                            <w:r w:rsidRPr="00ED09FA">
                              <w:rPr>
                                <w:rFonts w:eastAsia="Times New Roman" w:cstheme="minorBidi"/>
                                <w:color w:val="222222"/>
                                <w:kern w:val="24"/>
                                <w:highlight w:val="white"/>
                              </w:rPr>
                              <w:t xml:space="preserve">Methylation frequency of scaffold_22 in </w:t>
                            </w:r>
                            <w:r w:rsidRPr="00ED09FA">
                              <w:rPr>
                                <w:rFonts w:eastAsia="Times New Roman" w:cstheme="minorBidi"/>
                                <w:i/>
                                <w:iCs/>
                                <w:color w:val="222222"/>
                                <w:kern w:val="24"/>
                                <w:highlight w:val="white"/>
                              </w:rPr>
                              <w:t xml:space="preserve">P. deltoides. </w:t>
                            </w:r>
                            <w:r w:rsidRPr="00ED09FA">
                              <w:rPr>
                                <w:rFonts w:eastAsia="Times New Roman" w:cstheme="minorBidi"/>
                                <w:color w:val="222222"/>
                                <w:kern w:val="24"/>
                                <w:highlight w:val="white"/>
                              </w:rPr>
                              <w:t>Methylation frequencies were averaged in 10kb windows, a sliding distance of 2.5 kb was used.</w:t>
                            </w:r>
                            <w:r w:rsidRPr="00ED09FA">
                              <w:rPr>
                                <w:rFonts w:eastAsia="Times New Roman" w:cstheme="minorBidi"/>
                                <w:b/>
                                <w:bCs/>
                                <w:color w:val="222222"/>
                                <w:kern w:val="24"/>
                                <w:highlight w:val="white"/>
                              </w:rPr>
                              <w:t xml:space="preserve"> </w:t>
                            </w:r>
                          </w:p>
                        </w:txbxContent>
                      </wps:txbx>
                      <wps:bodyPr wrap="square">
                        <a:spAutoFit/>
                      </wps:bodyPr>
                    </wps:wsp>
                  </a:graphicData>
                </a:graphic>
                <wp14:sizeRelH relativeFrom="margin">
                  <wp14:pctWidth>0</wp14:pctWidth>
                </wp14:sizeRelH>
              </wp:anchor>
            </w:drawing>
          </mc:Choice>
          <mc:Fallback>
            <w:pict>
              <v:rect w14:anchorId="7FFF518B" id="_x0000_s1049" style="position:absolute;margin-left:0;margin-top:20.15pt;width:468pt;height:41.15pt;z-index:25170944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" filled="f" stroked="f">
                <v:textbox style="mso-fit-shape-to-text:t">
                  <w:txbxContent>
                    <w:p w14:paraId="49CA6E52" w14:textId="77777777" w:rsidR="00636B5B" w:rsidRPr="00ED09FA" w:rsidRDefault="00636B5B" w:rsidP="00EE03F0">
                      <w:pPr>
                        <w:shd w:val="clear" w:color="auto" w:fill="FFFFFF"/>
                        <w:jc w:val="both"/>
                        <w:rPr>
                          <w:rFonts w:eastAsia="Times New Roman" w:cstheme="minorBidi"/>
                          <w:b/>
                          <w:bCs/>
                          <w:color w:val="222222"/>
                          <w:kern w:val="24"/>
                        </w:rPr>
                      </w:pPr>
                      <w:r w:rsidRPr="00ED09FA">
                        <w:rPr>
                          <w:rFonts w:eastAsia="Times New Roman" w:cstheme="minorBidi"/>
                          <w:b/>
                          <w:bCs/>
                          <w:color w:val="222222"/>
                          <w:kern w:val="24"/>
                          <w:highlight w:val="white"/>
                        </w:rPr>
                        <w:t xml:space="preserve">Figure III-S4. </w:t>
                      </w:r>
                      <w:r w:rsidRPr="00ED09FA">
                        <w:rPr>
                          <w:rFonts w:eastAsia="Times New Roman" w:cstheme="minorBidi"/>
                          <w:color w:val="222222"/>
                          <w:kern w:val="24"/>
                          <w:highlight w:val="white"/>
                        </w:rPr>
                        <w:t xml:space="preserve">Methylation frequency of scaffold_22 in </w:t>
                      </w:r>
                      <w:r w:rsidRPr="00ED09FA">
                        <w:rPr>
                          <w:rFonts w:eastAsia="Times New Roman" w:cstheme="minorBidi"/>
                          <w:i/>
                          <w:iCs/>
                          <w:color w:val="222222"/>
                          <w:kern w:val="24"/>
                          <w:highlight w:val="white"/>
                        </w:rPr>
                        <w:t xml:space="preserve">P. deltoides. </w:t>
                      </w:r>
                      <w:r w:rsidRPr="00ED09FA">
                        <w:rPr>
                          <w:rFonts w:eastAsia="Times New Roman" w:cstheme="minorBidi"/>
                          <w:color w:val="222222"/>
                          <w:kern w:val="24"/>
                          <w:highlight w:val="white"/>
                        </w:rPr>
                        <w:t>Methylation frequencies were averaged in 10kb windows, a sliding distance of 2.5 kb was used.</w:t>
                      </w:r>
                      <w:r w:rsidRPr="00ED09FA">
                        <w:rPr>
                          <w:rFonts w:eastAsia="Times New Roman" w:cstheme="minorBidi"/>
                          <w:b/>
                          <w:bCs/>
                          <w:color w:val="222222"/>
                          <w:kern w:val="24"/>
                          <w:highlight w:val="white"/>
                        </w:rPr>
                        <w:t xml:space="preserve"> </w:t>
                      </w:r>
                    </w:p>
                  </w:txbxContent>
                </v:textbox>
                <w10:wrap anchorx="margin"/>
              </v:rect>
            </w:pict>
          </mc:Fallback>
        </mc:AlternateContent>
      </w:r>
    </w:p>
    <w:p w14:paraId="70B342A7" w14:textId="4FBFC4DD" w:rsidR="00636B5B" w:rsidRDefault="00636B5B" w:rsidP="00EE03F0">
      <w:pPr>
        <w:spacing w:line="360" w:lineRule="auto"/>
        <w:rPr>
          <w:bCs/>
          <w:szCs w:val="28"/>
        </w:rPr>
      </w:pPr>
    </w:p>
    <w:p w14:paraId="2810F9D4" w14:textId="625E3A81" w:rsidR="00636B5B" w:rsidRDefault="00636B5B" w:rsidP="00EE03F0">
      <w:pPr>
        <w:spacing w:line="360" w:lineRule="auto"/>
        <w:rPr>
          <w:bCs/>
          <w:szCs w:val="28"/>
        </w:rPr>
      </w:pPr>
    </w:p>
    <w:p w14:paraId="2E4D08EB" w14:textId="77777777" w:rsidR="00636B5B" w:rsidRDefault="00636B5B" w:rsidP="00EE03F0">
      <w:pPr>
        <w:spacing w:line="360" w:lineRule="auto"/>
        <w:rPr>
          <w:bCs/>
          <w:szCs w:val="28"/>
        </w:rPr>
      </w:pPr>
    </w:p>
    <w:p w14:paraId="5C5BDD1C" w14:textId="77777777" w:rsidR="00636B5B" w:rsidRDefault="00636B5B" w:rsidP="00EE03F0">
      <w:pPr>
        <w:spacing w:line="360" w:lineRule="auto"/>
        <w:rPr>
          <w:bCs/>
          <w:szCs w:val="28"/>
        </w:rPr>
      </w:pPr>
    </w:p>
    <w:p w14:paraId="4B3E6EC9" w14:textId="77777777" w:rsidR="00636B5B" w:rsidRDefault="00636B5B" w:rsidP="00EE03F0">
      <w:pPr>
        <w:spacing w:line="360" w:lineRule="auto"/>
        <w:rPr>
          <w:bCs/>
          <w:szCs w:val="28"/>
        </w:rPr>
      </w:pPr>
    </w:p>
    <w:p w14:paraId="352CF946" w14:textId="77777777" w:rsidR="00636B5B" w:rsidRDefault="00636B5B" w:rsidP="00EE03F0">
      <w:pPr>
        <w:spacing w:line="360" w:lineRule="auto"/>
        <w:rPr>
          <w:bCs/>
          <w:szCs w:val="28"/>
        </w:rPr>
      </w:pPr>
    </w:p>
    <w:p w14:paraId="1963CD9F" w14:textId="77777777" w:rsidR="00636B5B" w:rsidRDefault="00636B5B" w:rsidP="00EE03F0">
      <w:pPr>
        <w:spacing w:line="360" w:lineRule="auto"/>
        <w:rPr>
          <w:bCs/>
          <w:szCs w:val="28"/>
        </w:rPr>
      </w:pPr>
    </w:p>
    <w:p w14:paraId="24D4026A" w14:textId="77777777" w:rsidR="00636B5B" w:rsidRDefault="00636B5B" w:rsidP="00EE03F0">
      <w:pPr>
        <w:spacing w:line="360" w:lineRule="auto"/>
        <w:rPr>
          <w:bCs/>
          <w:szCs w:val="28"/>
        </w:rPr>
      </w:pPr>
    </w:p>
    <w:p w14:paraId="746D5214" w14:textId="77777777" w:rsidR="00636B5B" w:rsidRDefault="00636B5B" w:rsidP="00EE03F0">
      <w:pPr>
        <w:spacing w:line="360" w:lineRule="auto"/>
        <w:rPr>
          <w:bCs/>
          <w:szCs w:val="28"/>
        </w:rPr>
      </w:pPr>
    </w:p>
    <w:p w14:paraId="20F2C49A" w14:textId="77777777" w:rsidR="00636B5B" w:rsidRDefault="00636B5B" w:rsidP="00EE03F0">
      <w:pPr>
        <w:spacing w:line="360" w:lineRule="auto"/>
        <w:rPr>
          <w:bCs/>
          <w:szCs w:val="28"/>
        </w:rPr>
      </w:pPr>
    </w:p>
    <w:p w14:paraId="1C6CFAD3" w14:textId="77777777" w:rsidR="00636B5B" w:rsidRDefault="00636B5B" w:rsidP="00EE03F0">
      <w:pPr>
        <w:spacing w:line="360" w:lineRule="auto"/>
        <w:rPr>
          <w:bCs/>
          <w:szCs w:val="28"/>
        </w:rPr>
      </w:pPr>
    </w:p>
    <w:p w14:paraId="1BDF30F1" w14:textId="77777777" w:rsidR="00636B5B" w:rsidRDefault="00636B5B" w:rsidP="00EE03F0">
      <w:pPr>
        <w:spacing w:line="360" w:lineRule="auto"/>
        <w:rPr>
          <w:bCs/>
          <w:szCs w:val="28"/>
        </w:rPr>
      </w:pPr>
    </w:p>
    <w:p w14:paraId="5C65618B" w14:textId="77777777" w:rsidR="00636B5B" w:rsidRDefault="00636B5B" w:rsidP="00EE03F0">
      <w:pPr>
        <w:spacing w:line="360" w:lineRule="auto"/>
        <w:rPr>
          <w:bCs/>
          <w:szCs w:val="28"/>
        </w:rPr>
      </w:pPr>
    </w:p>
    <w:p w14:paraId="385C0317" w14:textId="77777777" w:rsidR="00636B5B" w:rsidRDefault="00636B5B" w:rsidP="00EE03F0">
      <w:pPr>
        <w:spacing w:line="360" w:lineRule="auto"/>
        <w:rPr>
          <w:bCs/>
          <w:szCs w:val="28"/>
        </w:rPr>
      </w:pPr>
    </w:p>
    <w:p w14:paraId="3CEF4AEB" w14:textId="77777777" w:rsidR="00636B5B" w:rsidRDefault="00636B5B" w:rsidP="00EE03F0">
      <w:pPr>
        <w:spacing w:line="360" w:lineRule="auto"/>
        <w:rPr>
          <w:bCs/>
          <w:szCs w:val="28"/>
        </w:rPr>
      </w:pPr>
    </w:p>
    <w:p w14:paraId="4319F0BD" w14:textId="77777777" w:rsidR="00636B5B" w:rsidRDefault="00636B5B" w:rsidP="00EE03F0">
      <w:pPr>
        <w:spacing w:line="360" w:lineRule="auto"/>
        <w:rPr>
          <w:bCs/>
          <w:szCs w:val="28"/>
        </w:rPr>
      </w:pPr>
    </w:p>
    <w:p w14:paraId="5535548E" w14:textId="77777777" w:rsidR="00636B5B" w:rsidRDefault="00636B5B" w:rsidP="00EE03F0">
      <w:pPr>
        <w:spacing w:line="360" w:lineRule="auto"/>
        <w:rPr>
          <w:bCs/>
          <w:szCs w:val="28"/>
        </w:rPr>
      </w:pPr>
    </w:p>
    <w:p w14:paraId="79F9B9E1" w14:textId="77777777" w:rsidR="00636B5B" w:rsidRDefault="00636B5B" w:rsidP="00EE03F0">
      <w:pPr>
        <w:spacing w:line="360" w:lineRule="auto"/>
        <w:rPr>
          <w:bCs/>
          <w:szCs w:val="28"/>
        </w:rPr>
      </w:pPr>
      <w:r w:rsidRPr="00ED09FA">
        <w:rPr>
          <w:bCs/>
          <w:noProof/>
          <w:szCs w:val="28"/>
        </w:rPr>
        <w:lastRenderedPageBreak/>
        <w:drawing>
          <wp:anchor distT="0" distB="0" distL="114300" distR="114300" simplePos="0" relativeHeight="251711488" behindDoc="1" locked="0" layoutInCell="1" allowOverlap="1" wp14:anchorId="6AFEECD2" wp14:editId="1B3D5A31">
            <wp:simplePos x="0" y="0"/>
            <wp:positionH relativeFrom="margin">
              <wp:align>center</wp:align>
            </wp:positionH>
            <wp:positionV relativeFrom="paragraph">
              <wp:posOffset>212</wp:posOffset>
            </wp:positionV>
            <wp:extent cx="5069174" cy="7318669"/>
            <wp:effectExtent l="0" t="0" r="0" b="0"/>
            <wp:wrapTight wrapText="bothSides">
              <wp:wrapPolygon edited="0">
                <wp:start x="0" y="0"/>
                <wp:lineTo x="0" y="21553"/>
                <wp:lineTo x="21540" y="21553"/>
                <wp:lineTo x="21540" y="0"/>
                <wp:lineTo x="0" y="0"/>
              </wp:wrapPolygon>
            </wp:wrapTight>
            <wp:docPr id="60" name="Picture 4" descr="Chart, bar chart, box and whisker chart&#10;&#10;Description automatically generated">
              <a:extLst xmlns:a="http://schemas.openxmlformats.org/drawingml/2006/main">
                <a:ext uri="{FF2B5EF4-FFF2-40B4-BE49-F238E27FC236}">
                  <a16:creationId xmlns:a16="http://schemas.microsoft.com/office/drawing/2014/main" id="{74940502-0993-C149-B280-28268B20B44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4" descr="Chart, bar chart, box and whisker chart&#10;&#10;Description automatically generated">
                      <a:extLst>
                        <a:ext uri="{FF2B5EF4-FFF2-40B4-BE49-F238E27FC236}">
                          <a16:creationId xmlns:a16="http://schemas.microsoft.com/office/drawing/2014/main" id="{74940502-0993-C149-B280-28268B20B448}"/>
                        </a:ext>
                      </a:extLst>
                    </pic:cNvPr>
                    <pic:cNvPicPr>
                      <a:picLocks noChangeAspect="1"/>
                    </pic:cNvPicPr>
                  </pic:nvPicPr>
                  <pic:blipFill>
                    <a:blip r:embed="rId50" cstate="print">
                      <a:extLst>
                        <a:ext uri="{28A0092B-C50C-407E-A947-70E740481C1C}">
                          <a14:useLocalDpi xmlns:a14="http://schemas.microsoft.com/office/drawing/2010/main"/>
                        </a:ext>
                      </a:extLst>
                    </a:blip>
                    <a:stretch>
                      <a:fillRect/>
                    </a:stretch>
                  </pic:blipFill>
                  <pic:spPr>
                    <a:xfrm>
                      <a:off x="0" y="0"/>
                      <a:ext cx="5069174" cy="7318669"/>
                    </a:xfrm>
                    <a:prstGeom prst="rect">
                      <a:avLst/>
                    </a:prstGeom>
                  </pic:spPr>
                </pic:pic>
              </a:graphicData>
            </a:graphic>
            <wp14:sizeRelH relativeFrom="page">
              <wp14:pctWidth>0</wp14:pctWidth>
            </wp14:sizeRelH>
            <wp14:sizeRelV relativeFrom="page">
              <wp14:pctHeight>0</wp14:pctHeight>
            </wp14:sizeRelV>
          </wp:anchor>
        </w:drawing>
      </w:r>
    </w:p>
    <w:p w14:paraId="7C5CD4F6" w14:textId="77777777" w:rsidR="00636B5B" w:rsidRDefault="00636B5B" w:rsidP="00EE03F0">
      <w:pPr>
        <w:spacing w:line="360" w:lineRule="auto"/>
        <w:rPr>
          <w:bCs/>
          <w:szCs w:val="28"/>
        </w:rPr>
      </w:pPr>
    </w:p>
    <w:p w14:paraId="1062D4AF" w14:textId="77777777" w:rsidR="00636B5B" w:rsidRDefault="00636B5B" w:rsidP="00EE03F0">
      <w:pPr>
        <w:spacing w:line="360" w:lineRule="auto"/>
        <w:rPr>
          <w:bCs/>
          <w:szCs w:val="28"/>
        </w:rPr>
      </w:pPr>
    </w:p>
    <w:p w14:paraId="3A860608" w14:textId="77777777" w:rsidR="00636B5B" w:rsidRDefault="00636B5B" w:rsidP="00EE03F0">
      <w:pPr>
        <w:spacing w:line="360" w:lineRule="auto"/>
        <w:rPr>
          <w:bCs/>
          <w:szCs w:val="28"/>
        </w:rPr>
      </w:pPr>
    </w:p>
    <w:p w14:paraId="42A22D2F" w14:textId="77777777" w:rsidR="00636B5B" w:rsidRDefault="00636B5B" w:rsidP="00EE03F0">
      <w:pPr>
        <w:spacing w:line="360" w:lineRule="auto"/>
        <w:rPr>
          <w:bCs/>
          <w:szCs w:val="28"/>
        </w:rPr>
      </w:pPr>
    </w:p>
    <w:p w14:paraId="62AC3A77" w14:textId="77777777" w:rsidR="00636B5B" w:rsidRDefault="00636B5B" w:rsidP="00EE03F0">
      <w:pPr>
        <w:spacing w:line="360" w:lineRule="auto"/>
        <w:rPr>
          <w:bCs/>
          <w:szCs w:val="28"/>
        </w:rPr>
      </w:pPr>
    </w:p>
    <w:p w14:paraId="044BD1A2" w14:textId="77777777" w:rsidR="00636B5B" w:rsidRDefault="00636B5B" w:rsidP="00EE03F0">
      <w:pPr>
        <w:spacing w:line="360" w:lineRule="auto"/>
        <w:rPr>
          <w:bCs/>
          <w:szCs w:val="28"/>
        </w:rPr>
      </w:pPr>
    </w:p>
    <w:p w14:paraId="6BB5E4A1" w14:textId="77777777" w:rsidR="00636B5B" w:rsidRDefault="00636B5B" w:rsidP="00EE03F0">
      <w:pPr>
        <w:spacing w:line="360" w:lineRule="auto"/>
        <w:rPr>
          <w:bCs/>
          <w:szCs w:val="28"/>
        </w:rPr>
      </w:pPr>
    </w:p>
    <w:p w14:paraId="3C10D7D8" w14:textId="77777777" w:rsidR="00636B5B" w:rsidRDefault="00636B5B" w:rsidP="00EE03F0">
      <w:pPr>
        <w:spacing w:line="360" w:lineRule="auto"/>
        <w:rPr>
          <w:bCs/>
          <w:szCs w:val="28"/>
        </w:rPr>
      </w:pPr>
    </w:p>
    <w:p w14:paraId="6D354DE9" w14:textId="77777777" w:rsidR="00636B5B" w:rsidRDefault="00636B5B" w:rsidP="00EE03F0">
      <w:pPr>
        <w:spacing w:line="360" w:lineRule="auto"/>
        <w:rPr>
          <w:bCs/>
          <w:szCs w:val="28"/>
        </w:rPr>
      </w:pPr>
    </w:p>
    <w:p w14:paraId="30FAD8AF" w14:textId="77777777" w:rsidR="00636B5B" w:rsidRDefault="00636B5B" w:rsidP="00EE03F0">
      <w:pPr>
        <w:spacing w:line="360" w:lineRule="auto"/>
        <w:rPr>
          <w:bCs/>
          <w:szCs w:val="28"/>
        </w:rPr>
      </w:pPr>
    </w:p>
    <w:p w14:paraId="225780ED" w14:textId="77777777" w:rsidR="00636B5B" w:rsidRDefault="00636B5B" w:rsidP="00EE03F0">
      <w:pPr>
        <w:spacing w:line="360" w:lineRule="auto"/>
        <w:rPr>
          <w:bCs/>
          <w:szCs w:val="28"/>
        </w:rPr>
      </w:pPr>
    </w:p>
    <w:p w14:paraId="11F9C54A" w14:textId="77777777" w:rsidR="00636B5B" w:rsidRDefault="00636B5B" w:rsidP="00EE03F0">
      <w:pPr>
        <w:spacing w:line="360" w:lineRule="auto"/>
        <w:rPr>
          <w:bCs/>
          <w:szCs w:val="28"/>
        </w:rPr>
      </w:pPr>
    </w:p>
    <w:p w14:paraId="36125C69" w14:textId="77777777" w:rsidR="00636B5B" w:rsidRDefault="00636B5B" w:rsidP="00EE03F0">
      <w:pPr>
        <w:spacing w:line="360" w:lineRule="auto"/>
        <w:rPr>
          <w:bCs/>
          <w:szCs w:val="28"/>
        </w:rPr>
      </w:pPr>
    </w:p>
    <w:p w14:paraId="796FE848" w14:textId="77777777" w:rsidR="00636B5B" w:rsidRDefault="00636B5B" w:rsidP="00EE03F0">
      <w:pPr>
        <w:spacing w:line="360" w:lineRule="auto"/>
        <w:rPr>
          <w:bCs/>
          <w:szCs w:val="28"/>
        </w:rPr>
      </w:pPr>
    </w:p>
    <w:p w14:paraId="552EFE94" w14:textId="77777777" w:rsidR="00636B5B" w:rsidRDefault="00636B5B" w:rsidP="00EE03F0">
      <w:pPr>
        <w:spacing w:line="360" w:lineRule="auto"/>
        <w:rPr>
          <w:bCs/>
          <w:szCs w:val="28"/>
        </w:rPr>
      </w:pPr>
    </w:p>
    <w:p w14:paraId="06E94751" w14:textId="77777777" w:rsidR="00636B5B" w:rsidRDefault="00636B5B" w:rsidP="00EE03F0">
      <w:pPr>
        <w:spacing w:line="360" w:lineRule="auto"/>
        <w:rPr>
          <w:bCs/>
          <w:szCs w:val="28"/>
        </w:rPr>
      </w:pPr>
    </w:p>
    <w:p w14:paraId="3E618FD8" w14:textId="77777777" w:rsidR="00636B5B" w:rsidRDefault="00636B5B" w:rsidP="00EE03F0">
      <w:pPr>
        <w:spacing w:line="360" w:lineRule="auto"/>
        <w:rPr>
          <w:bCs/>
          <w:szCs w:val="28"/>
        </w:rPr>
      </w:pPr>
    </w:p>
    <w:p w14:paraId="3FD82BC2" w14:textId="77777777" w:rsidR="00636B5B" w:rsidRDefault="00636B5B" w:rsidP="00EE03F0">
      <w:pPr>
        <w:spacing w:line="360" w:lineRule="auto"/>
        <w:rPr>
          <w:bCs/>
          <w:szCs w:val="28"/>
        </w:rPr>
      </w:pPr>
    </w:p>
    <w:p w14:paraId="63138698" w14:textId="77777777" w:rsidR="00636B5B" w:rsidRDefault="00636B5B" w:rsidP="00EE03F0">
      <w:pPr>
        <w:spacing w:line="360" w:lineRule="auto"/>
        <w:rPr>
          <w:bCs/>
          <w:szCs w:val="28"/>
        </w:rPr>
      </w:pPr>
    </w:p>
    <w:p w14:paraId="7F1F5C3E" w14:textId="77777777" w:rsidR="00636B5B" w:rsidRDefault="00636B5B" w:rsidP="00EE03F0">
      <w:pPr>
        <w:spacing w:line="360" w:lineRule="auto"/>
        <w:rPr>
          <w:bCs/>
          <w:szCs w:val="28"/>
        </w:rPr>
      </w:pPr>
    </w:p>
    <w:p w14:paraId="7122AD5B" w14:textId="77777777" w:rsidR="00636B5B" w:rsidRDefault="00636B5B" w:rsidP="00EE03F0">
      <w:pPr>
        <w:spacing w:line="360" w:lineRule="auto"/>
        <w:rPr>
          <w:bCs/>
          <w:szCs w:val="28"/>
        </w:rPr>
      </w:pPr>
    </w:p>
    <w:p w14:paraId="5A617F8E" w14:textId="77777777" w:rsidR="00636B5B" w:rsidRDefault="00636B5B" w:rsidP="00EE03F0">
      <w:pPr>
        <w:spacing w:line="360" w:lineRule="auto"/>
        <w:rPr>
          <w:bCs/>
          <w:szCs w:val="28"/>
        </w:rPr>
      </w:pPr>
    </w:p>
    <w:p w14:paraId="69676265" w14:textId="77777777" w:rsidR="00636B5B" w:rsidRDefault="00636B5B" w:rsidP="00EE03F0">
      <w:pPr>
        <w:spacing w:line="360" w:lineRule="auto"/>
        <w:rPr>
          <w:bCs/>
          <w:szCs w:val="28"/>
        </w:rPr>
      </w:pPr>
    </w:p>
    <w:p w14:paraId="3E36A78A" w14:textId="77777777" w:rsidR="00636B5B" w:rsidRDefault="00636B5B" w:rsidP="00EE03F0">
      <w:pPr>
        <w:spacing w:line="360" w:lineRule="auto"/>
        <w:rPr>
          <w:bCs/>
          <w:szCs w:val="28"/>
        </w:rPr>
      </w:pPr>
    </w:p>
    <w:p w14:paraId="51C633B8" w14:textId="77777777" w:rsidR="00636B5B" w:rsidRDefault="00636B5B" w:rsidP="00EE03F0">
      <w:pPr>
        <w:spacing w:line="360" w:lineRule="auto"/>
        <w:rPr>
          <w:bCs/>
          <w:szCs w:val="28"/>
        </w:rPr>
      </w:pPr>
    </w:p>
    <w:p w14:paraId="3BBB0AD6" w14:textId="77777777" w:rsidR="00636B5B" w:rsidRDefault="00636B5B" w:rsidP="00EE03F0">
      <w:pPr>
        <w:spacing w:line="360" w:lineRule="auto"/>
        <w:rPr>
          <w:bCs/>
          <w:szCs w:val="28"/>
        </w:rPr>
      </w:pPr>
    </w:p>
    <w:p w14:paraId="119B8A4A" w14:textId="77777777" w:rsidR="00636B5B" w:rsidRDefault="00636B5B" w:rsidP="00EE03F0">
      <w:pPr>
        <w:spacing w:line="360" w:lineRule="auto"/>
        <w:rPr>
          <w:bCs/>
          <w:szCs w:val="28"/>
        </w:rPr>
      </w:pPr>
      <w:r w:rsidRPr="00ED09FA">
        <w:rPr>
          <w:bCs/>
          <w:noProof/>
          <w:szCs w:val="28"/>
        </w:rPr>
        <mc:AlternateContent>
          <mc:Choice Requires="wps">
            <w:drawing>
              <wp:anchor distT="0" distB="0" distL="114300" distR="114300" simplePos="0" relativeHeight="251712512" behindDoc="0" locked="0" layoutInCell="1" allowOverlap="1" wp14:anchorId="5D24925F" wp14:editId="3FA7EA3D">
                <wp:simplePos x="0" y="0"/>
                <wp:positionH relativeFrom="margin">
                  <wp:align>left</wp:align>
                </wp:positionH>
                <wp:positionV relativeFrom="paragraph">
                  <wp:posOffset>216112</wp:posOffset>
                </wp:positionV>
                <wp:extent cx="5943600" cy="1169551"/>
                <wp:effectExtent l="0" t="0" r="0" b="0"/>
                <wp:wrapNone/>
                <wp:docPr id="51" name="Rectangle 3"/>
                <wp:cNvGraphicFramePr/>
                <a:graphic xmlns:a="http://schemas.openxmlformats.org/drawingml/2006/main">
                  <a:graphicData uri="http://schemas.microsoft.com/office/word/2010/wordprocessingShape">
                    <wps:wsp>
                      <wps:cNvSpPr/>
                      <wps:spPr>
                        <a:xfrm>
                          <a:off x="0" y="0"/>
                          <a:ext cx="5943600" cy="1169551"/>
                        </a:xfrm>
                        <a:prstGeom prst="rect">
                          <a:avLst/>
                        </a:prstGeom>
                      </wps:spPr>
                      <wps:txbx>
                        <w:txbxContent>
                          <w:p w14:paraId="228B1394" w14:textId="77777777" w:rsidR="00636B5B" w:rsidRPr="00ED09FA" w:rsidRDefault="00636B5B" w:rsidP="00EE03F0">
                            <w:pPr>
                              <w:shd w:val="clear" w:color="auto" w:fill="FFFFFF"/>
                              <w:jc w:val="both"/>
                              <w:rPr>
                                <w:rFonts w:eastAsia="Times New Roman" w:cstheme="minorBidi"/>
                                <w:b/>
                                <w:bCs/>
                                <w:color w:val="222222"/>
                                <w:kern w:val="24"/>
                              </w:rPr>
                            </w:pPr>
                            <w:r w:rsidRPr="00ED09FA">
                              <w:rPr>
                                <w:rFonts w:eastAsia="Times New Roman" w:cstheme="minorBidi"/>
                                <w:b/>
                                <w:bCs/>
                                <w:color w:val="222222"/>
                                <w:kern w:val="24"/>
                                <w:highlight w:val="white"/>
                              </w:rPr>
                              <w:t xml:space="preserve">Figure III-S5. </w:t>
                            </w:r>
                            <w:r w:rsidRPr="00ED09FA">
                              <w:rPr>
                                <w:rFonts w:eastAsia="Times New Roman" w:cstheme="minorBidi"/>
                                <w:color w:val="222222"/>
                                <w:kern w:val="24"/>
                                <w:highlight w:val="white"/>
                              </w:rPr>
                              <w:t xml:space="preserve">Methylation frequency of </w:t>
                            </w:r>
                            <w:r w:rsidRPr="00ED09FA">
                              <w:rPr>
                                <w:rFonts w:eastAsia="Times New Roman" w:cstheme="minorBidi"/>
                                <w:i/>
                                <w:iCs/>
                                <w:color w:val="222222"/>
                                <w:kern w:val="24"/>
                                <w:highlight w:val="white"/>
                              </w:rPr>
                              <w:t xml:space="preserve">P. trichocarpa </w:t>
                            </w:r>
                            <w:r w:rsidRPr="00ED09FA">
                              <w:rPr>
                                <w:rFonts w:eastAsia="Times New Roman" w:cstheme="minorBidi"/>
                                <w:color w:val="222222"/>
                                <w:kern w:val="24"/>
                                <w:highlight w:val="white"/>
                              </w:rPr>
                              <w:t xml:space="preserve">and </w:t>
                            </w:r>
                            <w:r w:rsidRPr="00ED09FA">
                              <w:rPr>
                                <w:rFonts w:eastAsia="Times New Roman" w:cstheme="minorBidi"/>
                                <w:i/>
                                <w:iCs/>
                                <w:color w:val="222222"/>
                                <w:kern w:val="24"/>
                                <w:highlight w:val="white"/>
                              </w:rPr>
                              <w:t xml:space="preserve">P. detloides </w:t>
                            </w:r>
                            <w:r w:rsidRPr="00ED09FA">
                              <w:rPr>
                                <w:rFonts w:eastAsia="Times New Roman" w:cstheme="minorBidi"/>
                                <w:color w:val="222222"/>
                                <w:kern w:val="24"/>
                                <w:highlight w:val="white"/>
                              </w:rPr>
                              <w:t xml:space="preserve">NUPTs and NUMTs in present and absent contexts, ’all’ represents a combined average of all methylation contexts. </w:t>
                            </w:r>
                            <w:r w:rsidRPr="00ED09FA">
                              <w:rPr>
                                <w:rFonts w:eastAsia="Times New Roman" w:cstheme="minorBidi"/>
                                <w:color w:val="222222"/>
                                <w:kern w:val="24"/>
                              </w:rPr>
                              <w:t>ns: p &gt; 0.05 ,*: p &lt;= 0.05 ,**: p &lt;= 0.01 ,***: p &lt;= 0.001 ,****: p &lt;= 0.0001, Wilcoxon signed rank test.</w:t>
                            </w:r>
                          </w:p>
                        </w:txbxContent>
                      </wps:txbx>
                      <wps:bodyPr wrap="square">
                        <a:spAutoFit/>
                      </wps:bodyPr>
                    </wps:wsp>
                  </a:graphicData>
                </a:graphic>
                <wp14:sizeRelH relativeFrom="margin">
                  <wp14:pctWidth>0</wp14:pctWidth>
                </wp14:sizeRelH>
              </wp:anchor>
            </w:drawing>
          </mc:Choice>
          <mc:Fallback>
            <w:pict>
              <v:rect w14:anchorId="5D24925F" id="_x0000_s1050" style="position:absolute;margin-left:0;margin-top:17pt;width:468pt;height:92.1pt;z-index:25171251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" filled="f" stroked="f">
                <v:textbox style="mso-fit-shape-to-text:t">
                  <w:txbxContent>
                    <w:p w14:paraId="228B1394" w14:textId="77777777" w:rsidR="00636B5B" w:rsidRPr="00ED09FA" w:rsidRDefault="00636B5B" w:rsidP="00EE03F0">
                      <w:pPr>
                        <w:shd w:val="clear" w:color="auto" w:fill="FFFFFF"/>
                        <w:jc w:val="both"/>
                        <w:rPr>
                          <w:rFonts w:eastAsia="Times New Roman" w:cstheme="minorBidi"/>
                          <w:b/>
                          <w:bCs/>
                          <w:color w:val="222222"/>
                          <w:kern w:val="24"/>
                        </w:rPr>
                      </w:pPr>
                      <w:r w:rsidRPr="00ED09FA">
                        <w:rPr>
                          <w:rFonts w:eastAsia="Times New Roman" w:cstheme="minorBidi"/>
                          <w:b/>
                          <w:bCs/>
                          <w:color w:val="222222"/>
                          <w:kern w:val="24"/>
                          <w:highlight w:val="white"/>
                        </w:rPr>
                        <w:t xml:space="preserve">Figure III-S5. </w:t>
                      </w:r>
                      <w:r w:rsidRPr="00ED09FA">
                        <w:rPr>
                          <w:rFonts w:eastAsia="Times New Roman" w:cstheme="minorBidi"/>
                          <w:color w:val="222222"/>
                          <w:kern w:val="24"/>
                          <w:highlight w:val="white"/>
                        </w:rPr>
                        <w:t xml:space="preserve">Methylation frequency of </w:t>
                      </w:r>
                      <w:r w:rsidRPr="00ED09FA">
                        <w:rPr>
                          <w:rFonts w:eastAsia="Times New Roman" w:cstheme="minorBidi"/>
                          <w:i/>
                          <w:iCs/>
                          <w:color w:val="222222"/>
                          <w:kern w:val="24"/>
                          <w:highlight w:val="white"/>
                        </w:rPr>
                        <w:t xml:space="preserve">P. trichocarpa </w:t>
                      </w:r>
                      <w:r w:rsidRPr="00ED09FA">
                        <w:rPr>
                          <w:rFonts w:eastAsia="Times New Roman" w:cstheme="minorBidi"/>
                          <w:color w:val="222222"/>
                          <w:kern w:val="24"/>
                          <w:highlight w:val="white"/>
                        </w:rPr>
                        <w:t xml:space="preserve">and </w:t>
                      </w:r>
                      <w:r w:rsidRPr="00ED09FA">
                        <w:rPr>
                          <w:rFonts w:eastAsia="Times New Roman" w:cstheme="minorBidi"/>
                          <w:i/>
                          <w:iCs/>
                          <w:color w:val="222222"/>
                          <w:kern w:val="24"/>
                          <w:highlight w:val="white"/>
                        </w:rPr>
                        <w:t xml:space="preserve">P. detloides </w:t>
                      </w:r>
                      <w:r w:rsidRPr="00ED09FA">
                        <w:rPr>
                          <w:rFonts w:eastAsia="Times New Roman" w:cstheme="minorBidi"/>
                          <w:color w:val="222222"/>
                          <w:kern w:val="24"/>
                          <w:highlight w:val="white"/>
                        </w:rPr>
                        <w:t xml:space="preserve">NUPTs and NUMTs in present and absent contexts, ’all’ represents a combined average of all methylation contexts. </w:t>
                      </w:r>
                      <w:r w:rsidRPr="00ED09FA">
                        <w:rPr>
                          <w:rFonts w:eastAsia="Times New Roman" w:cstheme="minorBidi"/>
                          <w:color w:val="222222"/>
                          <w:kern w:val="24"/>
                        </w:rPr>
                        <w:t>ns: p &gt; 0.05 ,*: p &lt;= 0.05 ,**: p &lt;= 0.01 ,***: p &lt;= 0.001 ,****: p &lt;= 0.0001, Wilcoxon signed rank test.</w:t>
                      </w:r>
                    </w:p>
                  </w:txbxContent>
                </v:textbox>
                <w10:wrap anchorx="margin"/>
              </v:rect>
            </w:pict>
          </mc:Fallback>
        </mc:AlternateContent>
      </w:r>
    </w:p>
    <w:p w14:paraId="1714E47E" w14:textId="77777777" w:rsidR="00636B5B" w:rsidRDefault="00636B5B" w:rsidP="00EE03F0">
      <w:pPr>
        <w:spacing w:line="360" w:lineRule="auto"/>
        <w:rPr>
          <w:bCs/>
          <w:szCs w:val="28"/>
        </w:rPr>
      </w:pPr>
    </w:p>
    <w:p w14:paraId="178E84AD" w14:textId="77777777" w:rsidR="00636B5B" w:rsidRDefault="00636B5B" w:rsidP="00EE03F0">
      <w:pPr>
        <w:spacing w:line="360" w:lineRule="auto"/>
        <w:rPr>
          <w:bCs/>
          <w:szCs w:val="28"/>
        </w:rPr>
      </w:pPr>
    </w:p>
    <w:p w14:paraId="51849E96" w14:textId="77777777" w:rsidR="00636B5B" w:rsidRDefault="00636B5B" w:rsidP="00EE03F0">
      <w:pPr>
        <w:spacing w:line="360" w:lineRule="auto"/>
        <w:rPr>
          <w:bCs/>
          <w:szCs w:val="28"/>
        </w:rPr>
      </w:pPr>
    </w:p>
    <w:p w14:paraId="67C4D41B" w14:textId="77777777" w:rsidR="00636B5B" w:rsidRDefault="00636B5B" w:rsidP="00EE03F0">
      <w:pPr>
        <w:spacing w:line="360" w:lineRule="auto"/>
        <w:rPr>
          <w:bCs/>
          <w:szCs w:val="28"/>
        </w:rPr>
      </w:pPr>
      <w:r w:rsidRPr="00ED09FA">
        <w:rPr>
          <w:bCs/>
          <w:noProof/>
          <w:szCs w:val="28"/>
        </w:rPr>
        <w:lastRenderedPageBreak/>
        <w:drawing>
          <wp:anchor distT="0" distB="0" distL="114300" distR="114300" simplePos="0" relativeHeight="251714560" behindDoc="0" locked="0" layoutInCell="1" allowOverlap="1" wp14:anchorId="0CFD1D19" wp14:editId="6551FDE1">
            <wp:simplePos x="0" y="0"/>
            <wp:positionH relativeFrom="column">
              <wp:posOffset>570865</wp:posOffset>
            </wp:positionH>
            <wp:positionV relativeFrom="paragraph">
              <wp:posOffset>-1482</wp:posOffset>
            </wp:positionV>
            <wp:extent cx="4797272" cy="6716183"/>
            <wp:effectExtent l="0" t="0" r="3810" b="2540"/>
            <wp:wrapNone/>
            <wp:docPr id="61" name="Content Placeholder 4">
              <a:extLst xmlns:a="http://schemas.openxmlformats.org/drawingml/2006/main">
                <a:ext uri="{FF2B5EF4-FFF2-40B4-BE49-F238E27FC236}">
                  <a16:creationId xmlns:a16="http://schemas.microsoft.com/office/drawing/2014/main" id="{5433481B-1F40-634B-9F9C-999CE64AD72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ontent Placeholder 4">
                      <a:extLst>
                        <a:ext uri="{FF2B5EF4-FFF2-40B4-BE49-F238E27FC236}">
                          <a16:creationId xmlns:a16="http://schemas.microsoft.com/office/drawing/2014/main" id="{5433481B-1F40-634B-9F9C-999CE64AD726}"/>
                        </a:ext>
                      </a:extLst>
                    </pic:cNvPr>
                    <pic:cNvPicPr>
                      <a:picLocks noChangeAspect="1"/>
                    </pic:cNvPicPr>
                  </pic:nvPicPr>
                  <pic:blipFill>
                    <a:blip r:embed="rId51"/>
                    <a:stretch>
                      <a:fillRect/>
                    </a:stretch>
                  </pic:blipFill>
                  <pic:spPr>
                    <a:xfrm>
                      <a:off x="0" y="0"/>
                      <a:ext cx="4797272" cy="6716183"/>
                    </a:xfrm>
                    <a:prstGeom prst="rect">
                      <a:avLst/>
                    </a:prstGeom>
                  </pic:spPr>
                </pic:pic>
              </a:graphicData>
            </a:graphic>
            <wp14:sizeRelH relativeFrom="margin">
              <wp14:pctWidth>0</wp14:pctWidth>
            </wp14:sizeRelH>
            <wp14:sizeRelV relativeFrom="margin">
              <wp14:pctHeight>0</wp14:pctHeight>
            </wp14:sizeRelV>
          </wp:anchor>
        </w:drawing>
      </w:r>
    </w:p>
    <w:p w14:paraId="0509F411" w14:textId="77777777" w:rsidR="00636B5B" w:rsidRDefault="00636B5B" w:rsidP="00EE03F0">
      <w:pPr>
        <w:spacing w:line="360" w:lineRule="auto"/>
        <w:rPr>
          <w:bCs/>
          <w:szCs w:val="28"/>
        </w:rPr>
      </w:pPr>
    </w:p>
    <w:p w14:paraId="69E4E4FF" w14:textId="77777777" w:rsidR="00636B5B" w:rsidRDefault="00636B5B" w:rsidP="00EE03F0">
      <w:pPr>
        <w:spacing w:line="360" w:lineRule="auto"/>
        <w:rPr>
          <w:bCs/>
          <w:szCs w:val="28"/>
        </w:rPr>
      </w:pPr>
    </w:p>
    <w:p w14:paraId="0D320D04" w14:textId="77777777" w:rsidR="00636B5B" w:rsidRDefault="00636B5B" w:rsidP="00EE03F0">
      <w:pPr>
        <w:spacing w:line="360" w:lineRule="auto"/>
        <w:rPr>
          <w:bCs/>
          <w:szCs w:val="28"/>
        </w:rPr>
      </w:pPr>
    </w:p>
    <w:p w14:paraId="542A0807" w14:textId="77777777" w:rsidR="00636B5B" w:rsidRDefault="00636B5B" w:rsidP="00EE03F0">
      <w:pPr>
        <w:spacing w:line="360" w:lineRule="auto"/>
        <w:rPr>
          <w:bCs/>
          <w:szCs w:val="28"/>
        </w:rPr>
      </w:pPr>
    </w:p>
    <w:p w14:paraId="6B82C982" w14:textId="77777777" w:rsidR="00636B5B" w:rsidRDefault="00636B5B" w:rsidP="00EE03F0">
      <w:pPr>
        <w:spacing w:line="360" w:lineRule="auto"/>
        <w:rPr>
          <w:bCs/>
          <w:szCs w:val="28"/>
        </w:rPr>
      </w:pPr>
    </w:p>
    <w:p w14:paraId="13797FAF" w14:textId="77777777" w:rsidR="00636B5B" w:rsidRDefault="00636B5B" w:rsidP="00EE03F0">
      <w:pPr>
        <w:spacing w:line="360" w:lineRule="auto"/>
        <w:rPr>
          <w:bCs/>
          <w:szCs w:val="28"/>
        </w:rPr>
      </w:pPr>
    </w:p>
    <w:p w14:paraId="37240F00" w14:textId="77777777" w:rsidR="00636B5B" w:rsidRDefault="00636B5B" w:rsidP="00EE03F0">
      <w:pPr>
        <w:spacing w:line="360" w:lineRule="auto"/>
        <w:rPr>
          <w:bCs/>
          <w:szCs w:val="28"/>
        </w:rPr>
      </w:pPr>
    </w:p>
    <w:p w14:paraId="7D605634" w14:textId="77777777" w:rsidR="00636B5B" w:rsidRDefault="00636B5B" w:rsidP="00EE03F0">
      <w:pPr>
        <w:spacing w:line="360" w:lineRule="auto"/>
        <w:rPr>
          <w:bCs/>
          <w:szCs w:val="28"/>
        </w:rPr>
      </w:pPr>
    </w:p>
    <w:p w14:paraId="73D7F59C" w14:textId="77777777" w:rsidR="00636B5B" w:rsidRDefault="00636B5B" w:rsidP="00EE03F0">
      <w:pPr>
        <w:spacing w:line="360" w:lineRule="auto"/>
        <w:rPr>
          <w:bCs/>
          <w:szCs w:val="28"/>
        </w:rPr>
      </w:pPr>
    </w:p>
    <w:p w14:paraId="3EF65117" w14:textId="77777777" w:rsidR="00636B5B" w:rsidRDefault="00636B5B" w:rsidP="00EE03F0">
      <w:pPr>
        <w:spacing w:line="360" w:lineRule="auto"/>
        <w:rPr>
          <w:bCs/>
          <w:szCs w:val="28"/>
        </w:rPr>
      </w:pPr>
    </w:p>
    <w:p w14:paraId="0A91BD18" w14:textId="77777777" w:rsidR="00636B5B" w:rsidRDefault="00636B5B" w:rsidP="00EE03F0">
      <w:pPr>
        <w:spacing w:line="360" w:lineRule="auto"/>
        <w:rPr>
          <w:bCs/>
          <w:szCs w:val="28"/>
        </w:rPr>
      </w:pPr>
    </w:p>
    <w:p w14:paraId="140FFE1D" w14:textId="77777777" w:rsidR="00636B5B" w:rsidRDefault="00636B5B" w:rsidP="00EE03F0">
      <w:pPr>
        <w:spacing w:line="360" w:lineRule="auto"/>
        <w:rPr>
          <w:bCs/>
          <w:szCs w:val="28"/>
        </w:rPr>
      </w:pPr>
    </w:p>
    <w:p w14:paraId="44946172" w14:textId="77777777" w:rsidR="00636B5B" w:rsidRDefault="00636B5B" w:rsidP="00EE03F0">
      <w:pPr>
        <w:spacing w:line="360" w:lineRule="auto"/>
        <w:rPr>
          <w:bCs/>
          <w:szCs w:val="28"/>
        </w:rPr>
      </w:pPr>
    </w:p>
    <w:p w14:paraId="0B6B3420" w14:textId="77777777" w:rsidR="00636B5B" w:rsidRDefault="00636B5B" w:rsidP="00EE03F0">
      <w:pPr>
        <w:spacing w:line="360" w:lineRule="auto"/>
        <w:rPr>
          <w:bCs/>
          <w:szCs w:val="28"/>
        </w:rPr>
      </w:pPr>
    </w:p>
    <w:p w14:paraId="2ABB5DB5" w14:textId="77777777" w:rsidR="00636B5B" w:rsidRDefault="00636B5B" w:rsidP="00EE03F0">
      <w:pPr>
        <w:spacing w:line="360" w:lineRule="auto"/>
        <w:rPr>
          <w:bCs/>
          <w:szCs w:val="28"/>
        </w:rPr>
      </w:pPr>
    </w:p>
    <w:p w14:paraId="7106B76D" w14:textId="77777777" w:rsidR="00636B5B" w:rsidRDefault="00636B5B" w:rsidP="00EE03F0">
      <w:pPr>
        <w:spacing w:line="360" w:lineRule="auto"/>
        <w:rPr>
          <w:bCs/>
          <w:szCs w:val="28"/>
        </w:rPr>
      </w:pPr>
    </w:p>
    <w:p w14:paraId="29B7C629" w14:textId="77777777" w:rsidR="00636B5B" w:rsidRDefault="00636B5B" w:rsidP="00EE03F0">
      <w:pPr>
        <w:spacing w:line="360" w:lineRule="auto"/>
        <w:rPr>
          <w:bCs/>
          <w:szCs w:val="28"/>
        </w:rPr>
      </w:pPr>
    </w:p>
    <w:p w14:paraId="0A39EC96" w14:textId="77777777" w:rsidR="00636B5B" w:rsidRDefault="00636B5B" w:rsidP="00EE03F0">
      <w:pPr>
        <w:spacing w:line="360" w:lineRule="auto"/>
        <w:rPr>
          <w:bCs/>
          <w:szCs w:val="28"/>
        </w:rPr>
      </w:pPr>
    </w:p>
    <w:p w14:paraId="6B35FA3A" w14:textId="77777777" w:rsidR="00636B5B" w:rsidRDefault="00636B5B" w:rsidP="00EE03F0">
      <w:pPr>
        <w:spacing w:line="360" w:lineRule="auto"/>
        <w:rPr>
          <w:bCs/>
          <w:szCs w:val="28"/>
        </w:rPr>
      </w:pPr>
    </w:p>
    <w:p w14:paraId="10CD64B5" w14:textId="77777777" w:rsidR="00636B5B" w:rsidRDefault="00636B5B" w:rsidP="00EE03F0">
      <w:pPr>
        <w:spacing w:line="360" w:lineRule="auto"/>
        <w:rPr>
          <w:bCs/>
          <w:szCs w:val="28"/>
        </w:rPr>
      </w:pPr>
    </w:p>
    <w:p w14:paraId="329D1AF1" w14:textId="77777777" w:rsidR="00636B5B" w:rsidRDefault="00636B5B" w:rsidP="00EE03F0">
      <w:pPr>
        <w:spacing w:line="360" w:lineRule="auto"/>
        <w:rPr>
          <w:bCs/>
          <w:szCs w:val="28"/>
        </w:rPr>
      </w:pPr>
    </w:p>
    <w:p w14:paraId="501F6950" w14:textId="77777777" w:rsidR="00636B5B" w:rsidRDefault="00636B5B" w:rsidP="00EE03F0">
      <w:pPr>
        <w:spacing w:line="360" w:lineRule="auto"/>
        <w:rPr>
          <w:bCs/>
          <w:szCs w:val="28"/>
        </w:rPr>
      </w:pPr>
    </w:p>
    <w:p w14:paraId="60181321" w14:textId="77777777" w:rsidR="00636B5B" w:rsidRDefault="00636B5B" w:rsidP="00EE03F0">
      <w:pPr>
        <w:spacing w:line="360" w:lineRule="auto"/>
        <w:rPr>
          <w:bCs/>
          <w:szCs w:val="28"/>
        </w:rPr>
      </w:pPr>
    </w:p>
    <w:p w14:paraId="16A2B680" w14:textId="77777777" w:rsidR="00636B5B" w:rsidRDefault="00636B5B" w:rsidP="00EE03F0">
      <w:pPr>
        <w:spacing w:line="360" w:lineRule="auto"/>
        <w:rPr>
          <w:bCs/>
          <w:szCs w:val="28"/>
        </w:rPr>
      </w:pPr>
    </w:p>
    <w:p w14:paraId="7B401A59" w14:textId="77777777" w:rsidR="00636B5B" w:rsidRDefault="00636B5B" w:rsidP="00EE03F0">
      <w:pPr>
        <w:spacing w:line="360" w:lineRule="auto"/>
        <w:rPr>
          <w:bCs/>
          <w:szCs w:val="28"/>
        </w:rPr>
      </w:pPr>
      <w:r w:rsidRPr="00ED09FA">
        <w:rPr>
          <w:bCs/>
          <w:noProof/>
          <w:szCs w:val="28"/>
        </w:rPr>
        <mc:AlternateContent>
          <mc:Choice Requires="wps">
            <w:drawing>
              <wp:anchor distT="0" distB="0" distL="114300" distR="114300" simplePos="0" relativeHeight="251713536" behindDoc="0" locked="0" layoutInCell="1" allowOverlap="1" wp14:anchorId="15858A9D" wp14:editId="3F2375C3">
                <wp:simplePos x="0" y="0"/>
                <wp:positionH relativeFrom="column">
                  <wp:posOffset>2540</wp:posOffset>
                </wp:positionH>
                <wp:positionV relativeFrom="paragraph">
                  <wp:posOffset>173355</wp:posOffset>
                </wp:positionV>
                <wp:extent cx="5943600" cy="953770"/>
                <wp:effectExtent l="0" t="0" r="0" b="0"/>
                <wp:wrapNone/>
                <wp:docPr id="62" name="Rectangle 3"/>
                <wp:cNvGraphicFramePr/>
                <a:graphic xmlns:a="http://schemas.openxmlformats.org/drawingml/2006/main">
                  <a:graphicData uri="http://schemas.microsoft.com/office/word/2010/wordprocessingShape">
                    <wps:wsp>
                      <wps:cNvSpPr/>
                      <wps:spPr>
                        <a:xfrm>
                          <a:off x="0" y="0"/>
                          <a:ext cx="5943600" cy="953770"/>
                        </a:xfrm>
                        <a:prstGeom prst="rect">
                          <a:avLst/>
                        </a:prstGeom>
                      </wps:spPr>
                      <wps:txbx>
                        <w:txbxContent>
                          <w:p w14:paraId="1F213006" w14:textId="77777777" w:rsidR="00636B5B" w:rsidRPr="00ED09FA" w:rsidRDefault="00636B5B" w:rsidP="00EE03F0">
                            <w:pPr>
                              <w:shd w:val="clear" w:color="auto" w:fill="FFFFFF"/>
                              <w:jc w:val="both"/>
                              <w:rPr>
                                <w:rFonts w:eastAsia="Times New Roman" w:cstheme="minorBidi"/>
                                <w:color w:val="222222"/>
                                <w:kern w:val="24"/>
                              </w:rPr>
                            </w:pPr>
                            <w:r w:rsidRPr="00ED09FA">
                              <w:rPr>
                                <w:rFonts w:eastAsia="Times New Roman" w:cstheme="minorBidi"/>
                                <w:b/>
                                <w:bCs/>
                                <w:color w:val="222222"/>
                                <w:kern w:val="24"/>
                                <w:highlight w:val="white"/>
                              </w:rPr>
                              <w:t xml:space="preserve">Figure III-S6. </w:t>
                            </w:r>
                            <w:r w:rsidRPr="00ED09FA">
                              <w:rPr>
                                <w:rFonts w:eastAsia="Times New Roman" w:cstheme="minorBidi"/>
                                <w:color w:val="222222"/>
                                <w:kern w:val="24"/>
                                <w:highlight w:val="white"/>
                              </w:rPr>
                              <w:t xml:space="preserve">AT transversion-based genetic distance of of </w:t>
                            </w:r>
                            <w:r w:rsidRPr="00ED09FA">
                              <w:rPr>
                                <w:rFonts w:eastAsia="Times New Roman" w:cstheme="minorBidi"/>
                                <w:i/>
                                <w:iCs/>
                                <w:color w:val="222222"/>
                                <w:kern w:val="24"/>
                                <w:highlight w:val="white"/>
                              </w:rPr>
                              <w:t xml:space="preserve">P. trichocarpa </w:t>
                            </w:r>
                            <w:r w:rsidRPr="00ED09FA">
                              <w:rPr>
                                <w:rFonts w:eastAsia="Times New Roman" w:cstheme="minorBidi"/>
                                <w:color w:val="222222"/>
                                <w:kern w:val="24"/>
                                <w:highlight w:val="white"/>
                              </w:rPr>
                              <w:t xml:space="preserve">and </w:t>
                            </w:r>
                            <w:r w:rsidRPr="00ED09FA">
                              <w:rPr>
                                <w:rFonts w:eastAsia="Times New Roman" w:cstheme="minorBidi"/>
                                <w:i/>
                                <w:iCs/>
                                <w:color w:val="222222"/>
                                <w:kern w:val="24"/>
                                <w:highlight w:val="white"/>
                              </w:rPr>
                              <w:t xml:space="preserve">P. deltoides </w:t>
                            </w:r>
                            <w:r w:rsidRPr="00ED09FA">
                              <w:rPr>
                                <w:rFonts w:eastAsia="Times New Roman" w:cstheme="minorBidi"/>
                                <w:color w:val="222222"/>
                                <w:kern w:val="24"/>
                                <w:highlight w:val="white"/>
                              </w:rPr>
                              <w:t xml:space="preserve">NUPTs and NUMTs in present and absent contexts. </w:t>
                            </w:r>
                            <w:r w:rsidRPr="00ED09FA">
                              <w:rPr>
                                <w:rFonts w:eastAsia="Times New Roman" w:cstheme="minorBidi"/>
                                <w:color w:val="222222"/>
                                <w:kern w:val="24"/>
                              </w:rPr>
                              <w:t>ns: p &gt; 0.05 ,*: p &lt;= 0.05 ,**: p &lt;= 0.01 ,***: p &lt;= 0.001 ,****: p &lt;= 0.0001, Wilcoxon signed rank test.</w:t>
                            </w:r>
                          </w:p>
                        </w:txbxContent>
                      </wps:txbx>
                      <wps:bodyPr wrap="square">
                        <a:spAutoFit/>
                      </wps:bodyPr>
                    </wps:wsp>
                  </a:graphicData>
                </a:graphic>
                <wp14:sizeRelH relativeFrom="margin">
                  <wp14:pctWidth>0</wp14:pctWidth>
                </wp14:sizeRelH>
              </wp:anchor>
            </w:drawing>
          </mc:Choice>
          <mc:Fallback>
            <w:pict>
              <v:rect w14:anchorId="15858A9D" id="_x0000_s1051" style="position:absolute;margin-left:.2pt;margin-top:13.65pt;width:468pt;height:75.1pt;z-index:251713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" filled="f" stroked="f">
                <v:textbox style="mso-fit-shape-to-text:t">
                  <w:txbxContent>
                    <w:p w14:paraId="1F213006" w14:textId="77777777" w:rsidR="00636B5B" w:rsidRPr="00ED09FA" w:rsidRDefault="00636B5B" w:rsidP="00EE03F0">
                      <w:pPr>
                        <w:shd w:val="clear" w:color="auto" w:fill="FFFFFF"/>
                        <w:jc w:val="both"/>
                        <w:rPr>
                          <w:rFonts w:eastAsia="Times New Roman" w:cstheme="minorBidi"/>
                          <w:color w:val="222222"/>
                          <w:kern w:val="24"/>
                        </w:rPr>
                      </w:pPr>
                      <w:r w:rsidRPr="00ED09FA">
                        <w:rPr>
                          <w:rFonts w:eastAsia="Times New Roman" w:cstheme="minorBidi"/>
                          <w:b/>
                          <w:bCs/>
                          <w:color w:val="222222"/>
                          <w:kern w:val="24"/>
                          <w:highlight w:val="white"/>
                        </w:rPr>
                        <w:t xml:space="preserve">Figure III-S6. </w:t>
                      </w:r>
                      <w:r w:rsidRPr="00ED09FA">
                        <w:rPr>
                          <w:rFonts w:eastAsia="Times New Roman" w:cstheme="minorBidi"/>
                          <w:color w:val="222222"/>
                          <w:kern w:val="24"/>
                          <w:highlight w:val="white"/>
                        </w:rPr>
                        <w:t xml:space="preserve">AT transversion-based genetic distance of of </w:t>
                      </w:r>
                      <w:r w:rsidRPr="00ED09FA">
                        <w:rPr>
                          <w:rFonts w:eastAsia="Times New Roman" w:cstheme="minorBidi"/>
                          <w:i/>
                          <w:iCs/>
                          <w:color w:val="222222"/>
                          <w:kern w:val="24"/>
                          <w:highlight w:val="white"/>
                        </w:rPr>
                        <w:t xml:space="preserve">P. trichocarpa </w:t>
                      </w:r>
                      <w:r w:rsidRPr="00ED09FA">
                        <w:rPr>
                          <w:rFonts w:eastAsia="Times New Roman" w:cstheme="minorBidi"/>
                          <w:color w:val="222222"/>
                          <w:kern w:val="24"/>
                          <w:highlight w:val="white"/>
                        </w:rPr>
                        <w:t xml:space="preserve">and </w:t>
                      </w:r>
                      <w:r w:rsidRPr="00ED09FA">
                        <w:rPr>
                          <w:rFonts w:eastAsia="Times New Roman" w:cstheme="minorBidi"/>
                          <w:i/>
                          <w:iCs/>
                          <w:color w:val="222222"/>
                          <w:kern w:val="24"/>
                          <w:highlight w:val="white"/>
                        </w:rPr>
                        <w:t xml:space="preserve">P. deltoides </w:t>
                      </w:r>
                      <w:r w:rsidRPr="00ED09FA">
                        <w:rPr>
                          <w:rFonts w:eastAsia="Times New Roman" w:cstheme="minorBidi"/>
                          <w:color w:val="222222"/>
                          <w:kern w:val="24"/>
                          <w:highlight w:val="white"/>
                        </w:rPr>
                        <w:t xml:space="preserve">NUPTs and NUMTs in present and absent contexts. </w:t>
                      </w:r>
                      <w:r w:rsidRPr="00ED09FA">
                        <w:rPr>
                          <w:rFonts w:eastAsia="Times New Roman" w:cstheme="minorBidi"/>
                          <w:color w:val="222222"/>
                          <w:kern w:val="24"/>
                        </w:rPr>
                        <w:t>ns: p &gt; 0.05 ,*: p &lt;= 0.05 ,**: p &lt;= 0.01 ,***: p &lt;= 0.001 ,****: p &lt;= 0.0001, Wilcoxon signed rank test.</w:t>
                      </w:r>
                    </w:p>
                  </w:txbxContent>
                </v:textbox>
              </v:rect>
            </w:pict>
          </mc:Fallback>
        </mc:AlternateContent>
      </w:r>
    </w:p>
    <w:p w14:paraId="653FBDF8" w14:textId="77777777" w:rsidR="00636B5B" w:rsidRDefault="00636B5B" w:rsidP="00EE03F0">
      <w:pPr>
        <w:spacing w:line="360" w:lineRule="auto"/>
        <w:rPr>
          <w:bCs/>
          <w:szCs w:val="28"/>
        </w:rPr>
      </w:pPr>
    </w:p>
    <w:p w14:paraId="5967B3D3" w14:textId="77777777" w:rsidR="00636B5B" w:rsidRDefault="00636B5B" w:rsidP="00EE03F0">
      <w:pPr>
        <w:spacing w:line="360" w:lineRule="auto"/>
        <w:rPr>
          <w:bCs/>
          <w:szCs w:val="28"/>
        </w:rPr>
      </w:pPr>
    </w:p>
    <w:p w14:paraId="7A6A9298" w14:textId="77777777" w:rsidR="00636B5B" w:rsidRDefault="00636B5B" w:rsidP="00EE03F0">
      <w:pPr>
        <w:spacing w:line="360" w:lineRule="auto"/>
        <w:rPr>
          <w:bCs/>
          <w:szCs w:val="28"/>
        </w:rPr>
      </w:pPr>
    </w:p>
    <w:p w14:paraId="6586D577" w14:textId="77777777" w:rsidR="00636B5B" w:rsidRDefault="00636B5B" w:rsidP="00EE03F0">
      <w:pPr>
        <w:spacing w:line="360" w:lineRule="auto"/>
        <w:rPr>
          <w:bCs/>
          <w:szCs w:val="28"/>
        </w:rPr>
      </w:pPr>
    </w:p>
    <w:p w14:paraId="00B82700" w14:textId="77777777" w:rsidR="00636B5B" w:rsidRDefault="00636B5B" w:rsidP="00EE03F0">
      <w:pPr>
        <w:spacing w:line="360" w:lineRule="auto"/>
        <w:rPr>
          <w:bCs/>
          <w:szCs w:val="28"/>
        </w:rPr>
      </w:pPr>
    </w:p>
    <w:p w14:paraId="33BCECA3" w14:textId="77777777" w:rsidR="00636B5B" w:rsidRDefault="00636B5B" w:rsidP="00EE03F0">
      <w:pPr>
        <w:spacing w:line="360" w:lineRule="auto"/>
        <w:rPr>
          <w:bCs/>
          <w:szCs w:val="28"/>
        </w:rPr>
      </w:pPr>
      <w:r w:rsidRPr="00197C89">
        <w:rPr>
          <w:bCs/>
          <w:noProof/>
          <w:szCs w:val="28"/>
        </w:rPr>
        <w:lastRenderedPageBreak/>
        <w:drawing>
          <wp:anchor distT="0" distB="0" distL="114300" distR="114300" simplePos="0" relativeHeight="251716608" behindDoc="0" locked="0" layoutInCell="1" allowOverlap="1" wp14:anchorId="4E6993AE" wp14:editId="43534BE2">
            <wp:simplePos x="0" y="0"/>
            <wp:positionH relativeFrom="column">
              <wp:posOffset>-2963</wp:posOffset>
            </wp:positionH>
            <wp:positionV relativeFrom="paragraph">
              <wp:posOffset>-1482</wp:posOffset>
            </wp:positionV>
            <wp:extent cx="5943600" cy="7131050"/>
            <wp:effectExtent l="0" t="0" r="0" b="6350"/>
            <wp:wrapNone/>
            <wp:docPr id="64" name="Picture 5" descr="Diagram&#10;&#10;Description automatically generated">
              <a:extLst xmlns:a="http://schemas.openxmlformats.org/drawingml/2006/main">
                <a:ext uri="{FF2B5EF4-FFF2-40B4-BE49-F238E27FC236}">
                  <a16:creationId xmlns:a16="http://schemas.microsoft.com/office/drawing/2014/main" id="{A4906355-731D-3843-BFB3-962D4F87072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5" descr="Diagram&#10;&#10;Description automatically generated">
                      <a:extLst>
                        <a:ext uri="{FF2B5EF4-FFF2-40B4-BE49-F238E27FC236}">
                          <a16:creationId xmlns:a16="http://schemas.microsoft.com/office/drawing/2014/main" id="{A4906355-731D-3843-BFB3-962D4F870726}"/>
                        </a:ext>
                      </a:extLst>
                    </pic:cNvPr>
                    <pic:cNvPicPr>
                      <a:picLocks noChangeAspect="1"/>
                    </pic:cNvPicPr>
                  </pic:nvPicPr>
                  <pic:blipFill>
                    <a:blip r:embed="rId52" cstate="print">
                      <a:extLst>
                        <a:ext uri="{28A0092B-C50C-407E-A947-70E740481C1C}">
                          <a14:useLocalDpi xmlns:a14="http://schemas.microsoft.com/office/drawing/2010/main"/>
                        </a:ext>
                      </a:extLst>
                    </a:blip>
                    <a:stretch>
                      <a:fillRect/>
                    </a:stretch>
                  </pic:blipFill>
                  <pic:spPr>
                    <a:xfrm>
                      <a:off x="0" y="0"/>
                      <a:ext cx="5943600" cy="7131050"/>
                    </a:xfrm>
                    <a:prstGeom prst="rect">
                      <a:avLst/>
                    </a:prstGeom>
                  </pic:spPr>
                </pic:pic>
              </a:graphicData>
            </a:graphic>
          </wp:anchor>
        </w:drawing>
      </w:r>
    </w:p>
    <w:p w14:paraId="71CF078C" w14:textId="77777777" w:rsidR="00636B5B" w:rsidRDefault="00636B5B" w:rsidP="00EE03F0">
      <w:pPr>
        <w:spacing w:line="360" w:lineRule="auto"/>
        <w:rPr>
          <w:bCs/>
          <w:szCs w:val="28"/>
        </w:rPr>
      </w:pPr>
    </w:p>
    <w:p w14:paraId="2E618580" w14:textId="77777777" w:rsidR="00636B5B" w:rsidRDefault="00636B5B" w:rsidP="00EE03F0">
      <w:pPr>
        <w:spacing w:line="360" w:lineRule="auto"/>
        <w:rPr>
          <w:bCs/>
          <w:szCs w:val="28"/>
        </w:rPr>
      </w:pPr>
    </w:p>
    <w:p w14:paraId="6E4B567D" w14:textId="77777777" w:rsidR="00636B5B" w:rsidRDefault="00636B5B" w:rsidP="00EE03F0">
      <w:pPr>
        <w:spacing w:line="360" w:lineRule="auto"/>
        <w:rPr>
          <w:bCs/>
          <w:szCs w:val="28"/>
        </w:rPr>
      </w:pPr>
    </w:p>
    <w:p w14:paraId="5B41F531" w14:textId="77777777" w:rsidR="00636B5B" w:rsidRDefault="00636B5B" w:rsidP="00EE03F0">
      <w:pPr>
        <w:spacing w:line="360" w:lineRule="auto"/>
        <w:rPr>
          <w:bCs/>
          <w:szCs w:val="28"/>
        </w:rPr>
      </w:pPr>
    </w:p>
    <w:p w14:paraId="0C683557" w14:textId="77777777" w:rsidR="00636B5B" w:rsidRDefault="00636B5B" w:rsidP="00EE03F0">
      <w:pPr>
        <w:spacing w:line="360" w:lineRule="auto"/>
        <w:rPr>
          <w:bCs/>
          <w:szCs w:val="28"/>
        </w:rPr>
      </w:pPr>
    </w:p>
    <w:p w14:paraId="14D30A99" w14:textId="77777777" w:rsidR="00636B5B" w:rsidRDefault="00636B5B" w:rsidP="00EE03F0">
      <w:pPr>
        <w:spacing w:line="360" w:lineRule="auto"/>
        <w:rPr>
          <w:bCs/>
          <w:szCs w:val="28"/>
        </w:rPr>
      </w:pPr>
    </w:p>
    <w:p w14:paraId="7F4A47B3" w14:textId="77777777" w:rsidR="00636B5B" w:rsidRDefault="00636B5B" w:rsidP="00EE03F0">
      <w:pPr>
        <w:spacing w:line="360" w:lineRule="auto"/>
        <w:rPr>
          <w:bCs/>
          <w:szCs w:val="28"/>
        </w:rPr>
      </w:pPr>
    </w:p>
    <w:p w14:paraId="5FADA01A" w14:textId="77777777" w:rsidR="00636B5B" w:rsidRDefault="00636B5B" w:rsidP="00EE03F0">
      <w:pPr>
        <w:spacing w:line="360" w:lineRule="auto"/>
        <w:rPr>
          <w:bCs/>
          <w:szCs w:val="28"/>
        </w:rPr>
      </w:pPr>
    </w:p>
    <w:p w14:paraId="22E3EBE0" w14:textId="77777777" w:rsidR="00636B5B" w:rsidRDefault="00636B5B" w:rsidP="00EE03F0">
      <w:pPr>
        <w:spacing w:line="360" w:lineRule="auto"/>
        <w:rPr>
          <w:bCs/>
          <w:szCs w:val="28"/>
        </w:rPr>
      </w:pPr>
    </w:p>
    <w:p w14:paraId="1CDCAF78" w14:textId="77777777" w:rsidR="00636B5B" w:rsidRPr="004013DD" w:rsidRDefault="00636B5B" w:rsidP="00EE03F0">
      <w:pPr>
        <w:spacing w:line="360" w:lineRule="auto"/>
        <w:rPr>
          <w:bCs/>
          <w:szCs w:val="28"/>
        </w:rPr>
      </w:pPr>
    </w:p>
    <w:p w14:paraId="59443FD2" w14:textId="77777777" w:rsidR="00636B5B" w:rsidRDefault="00636B5B" w:rsidP="00EE03F0"/>
    <w:p w14:paraId="2A514218" w14:textId="77777777" w:rsidR="00636B5B" w:rsidRDefault="00636B5B" w:rsidP="00EE03F0"/>
    <w:p w14:paraId="0A614E4A" w14:textId="77777777" w:rsidR="00636B5B" w:rsidRDefault="00636B5B" w:rsidP="00EE03F0"/>
    <w:p w14:paraId="52052FDE" w14:textId="77777777" w:rsidR="00636B5B" w:rsidRDefault="00636B5B" w:rsidP="00EE03F0"/>
    <w:p w14:paraId="2C0A4053" w14:textId="77777777" w:rsidR="00636B5B" w:rsidRDefault="00636B5B" w:rsidP="00EE03F0"/>
    <w:p w14:paraId="2052807A" w14:textId="77777777" w:rsidR="00636B5B" w:rsidRDefault="00636B5B" w:rsidP="00EE03F0"/>
    <w:p w14:paraId="1817975F" w14:textId="77777777" w:rsidR="00636B5B" w:rsidRDefault="00636B5B" w:rsidP="00EE03F0"/>
    <w:p w14:paraId="5C16E330" w14:textId="77777777" w:rsidR="00636B5B" w:rsidRDefault="00636B5B" w:rsidP="00EE03F0"/>
    <w:p w14:paraId="751693CF" w14:textId="77777777" w:rsidR="00636B5B" w:rsidRDefault="00636B5B" w:rsidP="00EE03F0"/>
    <w:p w14:paraId="7E315133" w14:textId="77777777" w:rsidR="00636B5B" w:rsidRDefault="00636B5B" w:rsidP="00EE03F0"/>
    <w:p w14:paraId="45050C09" w14:textId="77777777" w:rsidR="00636B5B" w:rsidRDefault="00636B5B" w:rsidP="00EE03F0"/>
    <w:p w14:paraId="6DAB8E82" w14:textId="77777777" w:rsidR="00636B5B" w:rsidRDefault="00636B5B" w:rsidP="00EE03F0"/>
    <w:p w14:paraId="6986F7E0" w14:textId="77777777" w:rsidR="00636B5B" w:rsidRDefault="00636B5B" w:rsidP="00EE03F0"/>
    <w:p w14:paraId="79E046E1" w14:textId="77777777" w:rsidR="00636B5B" w:rsidRDefault="00636B5B" w:rsidP="00EE03F0"/>
    <w:p w14:paraId="2C0C2545" w14:textId="77777777" w:rsidR="00636B5B" w:rsidRDefault="00636B5B" w:rsidP="00EE03F0"/>
    <w:p w14:paraId="68FE8189" w14:textId="77777777" w:rsidR="00636B5B" w:rsidRDefault="00636B5B" w:rsidP="00EE03F0"/>
    <w:p w14:paraId="06BC4AD3" w14:textId="77777777" w:rsidR="00636B5B" w:rsidRDefault="00636B5B" w:rsidP="00EE03F0"/>
    <w:p w14:paraId="008F4345" w14:textId="77777777" w:rsidR="00636B5B" w:rsidRDefault="00636B5B" w:rsidP="00EE03F0"/>
    <w:p w14:paraId="13144D8A" w14:textId="77777777" w:rsidR="00636B5B" w:rsidRDefault="00636B5B" w:rsidP="00EE03F0"/>
    <w:p w14:paraId="0CEF65B4" w14:textId="77777777" w:rsidR="00636B5B" w:rsidRDefault="00636B5B" w:rsidP="00EE03F0"/>
    <w:p w14:paraId="571D5CB4" w14:textId="77777777" w:rsidR="00636B5B" w:rsidRDefault="00636B5B" w:rsidP="00EE03F0"/>
    <w:p w14:paraId="1C7A5154" w14:textId="77777777" w:rsidR="00636B5B" w:rsidRDefault="00636B5B" w:rsidP="00EE03F0"/>
    <w:p w14:paraId="1B8EBCEA" w14:textId="77777777" w:rsidR="00636B5B" w:rsidRDefault="00636B5B" w:rsidP="00EE03F0"/>
    <w:p w14:paraId="4DF215BA" w14:textId="77777777" w:rsidR="00636B5B" w:rsidRDefault="00636B5B" w:rsidP="00EE03F0"/>
    <w:p w14:paraId="5B386DAA" w14:textId="77777777" w:rsidR="00636B5B" w:rsidRDefault="00636B5B" w:rsidP="00EE03F0">
      <w:r w:rsidRPr="00197C89">
        <w:rPr>
          <w:bCs/>
          <w:noProof/>
          <w:szCs w:val="28"/>
        </w:rPr>
        <mc:AlternateContent>
          <mc:Choice Requires="wps">
            <w:drawing>
              <wp:anchor distT="0" distB="0" distL="114300" distR="114300" simplePos="0" relativeHeight="251715584" behindDoc="0" locked="0" layoutInCell="1" allowOverlap="1" wp14:anchorId="6D92F67D" wp14:editId="7E53F859">
                <wp:simplePos x="0" y="0"/>
                <wp:positionH relativeFrom="margin">
                  <wp:align>left</wp:align>
                </wp:positionH>
                <wp:positionV relativeFrom="paragraph">
                  <wp:posOffset>101600</wp:posOffset>
                </wp:positionV>
                <wp:extent cx="5943600" cy="953770"/>
                <wp:effectExtent l="0" t="0" r="0" b="0"/>
                <wp:wrapNone/>
                <wp:docPr id="63" name="Rectangle 1"/>
                <wp:cNvGraphicFramePr/>
                <a:graphic xmlns:a="http://schemas.openxmlformats.org/drawingml/2006/main">
                  <a:graphicData uri="http://schemas.microsoft.com/office/word/2010/wordprocessingShape">
                    <wps:wsp>
                      <wps:cNvSpPr/>
                      <wps:spPr>
                        <a:xfrm>
                          <a:off x="0" y="0"/>
                          <a:ext cx="5943600" cy="953770"/>
                        </a:xfrm>
                        <a:prstGeom prst="rect">
                          <a:avLst/>
                        </a:prstGeom>
                      </wps:spPr>
                      <wps:txbx>
                        <w:txbxContent>
                          <w:p w14:paraId="369E7472" w14:textId="77777777" w:rsidR="00636B5B" w:rsidRPr="00197C89" w:rsidRDefault="00636B5B" w:rsidP="00EE03F0">
                            <w:pPr>
                              <w:shd w:val="clear" w:color="auto" w:fill="FFFFFF"/>
                              <w:jc w:val="both"/>
                              <w:rPr>
                                <w:rFonts w:eastAsia="Times New Roman" w:cstheme="minorBidi"/>
                                <w:color w:val="222222"/>
                                <w:kern w:val="24"/>
                              </w:rPr>
                            </w:pPr>
                            <w:r w:rsidRPr="00197C89">
                              <w:rPr>
                                <w:rFonts w:eastAsia="Times New Roman" w:cstheme="minorBidi"/>
                                <w:b/>
                                <w:bCs/>
                                <w:color w:val="222222"/>
                                <w:kern w:val="24"/>
                                <w:highlight w:val="white"/>
                              </w:rPr>
                              <w:t xml:space="preserve">Figure III-S7. </w:t>
                            </w:r>
                            <w:r w:rsidRPr="00197C89">
                              <w:rPr>
                                <w:rFonts w:eastAsia="Times New Roman" w:cstheme="minorBidi"/>
                                <w:color w:val="222222"/>
                                <w:kern w:val="24"/>
                                <w:highlight w:val="white"/>
                              </w:rPr>
                              <w:t xml:space="preserve">Methylation frequency in the </w:t>
                            </w:r>
                            <w:r w:rsidRPr="00197C89">
                              <w:rPr>
                                <w:rFonts w:eastAsia="Times New Roman" w:cstheme="minorBidi"/>
                                <w:i/>
                                <w:iCs/>
                                <w:color w:val="222222"/>
                                <w:kern w:val="24"/>
                                <w:highlight w:val="white"/>
                              </w:rPr>
                              <w:t xml:space="preserve">P. trichocarpa </w:t>
                            </w:r>
                            <w:r w:rsidRPr="00197C89">
                              <w:rPr>
                                <w:rFonts w:eastAsia="Times New Roman" w:cstheme="minorBidi"/>
                                <w:color w:val="222222"/>
                                <w:kern w:val="24"/>
                                <w:highlight w:val="white"/>
                              </w:rPr>
                              <w:t xml:space="preserve">(A) and </w:t>
                            </w:r>
                            <w:r w:rsidRPr="00197C89">
                              <w:rPr>
                                <w:rFonts w:eastAsia="Times New Roman" w:cstheme="minorBidi"/>
                                <w:i/>
                                <w:iCs/>
                                <w:color w:val="222222"/>
                                <w:kern w:val="24"/>
                                <w:highlight w:val="white"/>
                              </w:rPr>
                              <w:t xml:space="preserve">P. deltoides </w:t>
                            </w:r>
                            <w:r w:rsidRPr="00197C89">
                              <w:rPr>
                                <w:rFonts w:eastAsia="Times New Roman" w:cstheme="minorBidi"/>
                                <w:color w:val="222222"/>
                                <w:kern w:val="24"/>
                                <w:highlight w:val="white"/>
                              </w:rPr>
                              <w:t>(B) whole chloroplast integration events with 100 kb flanking regions. Regions highlighted in red indicate the whole chloroplast integration event. 10kb windows with a sliding distance of 2.5kb was used.</w:t>
                            </w:r>
                          </w:p>
                        </w:txbxContent>
                      </wps:txbx>
                      <wps:bodyPr wrap="square">
                        <a:spAutoFit/>
                      </wps:bodyPr>
                    </wps:wsp>
                  </a:graphicData>
                </a:graphic>
                <wp14:sizeRelH relativeFrom="margin">
                  <wp14:pctWidth>0</wp14:pctWidth>
                </wp14:sizeRelH>
              </wp:anchor>
            </w:drawing>
          </mc:Choice>
          <mc:Fallback>
            <w:pict>
              <v:rect w14:anchorId="6D92F67D" id="_x0000_s1052" style="position:absolute;margin-left:0;margin-top:8pt;width:468pt;height:75.1pt;z-index:25171558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" filled="f" stroked="f">
                <v:textbox style="mso-fit-shape-to-text:t">
                  <w:txbxContent>
                    <w:p w14:paraId="369E7472" w14:textId="77777777" w:rsidR="00636B5B" w:rsidRPr="00197C89" w:rsidRDefault="00636B5B" w:rsidP="00EE03F0">
                      <w:pPr>
                        <w:shd w:val="clear" w:color="auto" w:fill="FFFFFF"/>
                        <w:jc w:val="both"/>
                        <w:rPr>
                          <w:rFonts w:eastAsia="Times New Roman" w:cstheme="minorBidi"/>
                          <w:color w:val="222222"/>
                          <w:kern w:val="24"/>
                        </w:rPr>
                      </w:pPr>
                      <w:r w:rsidRPr="00197C89">
                        <w:rPr>
                          <w:rFonts w:eastAsia="Times New Roman" w:cstheme="minorBidi"/>
                          <w:b/>
                          <w:bCs/>
                          <w:color w:val="222222"/>
                          <w:kern w:val="24"/>
                          <w:highlight w:val="white"/>
                        </w:rPr>
                        <w:t xml:space="preserve">Figure III-S7. </w:t>
                      </w:r>
                      <w:r w:rsidRPr="00197C89">
                        <w:rPr>
                          <w:rFonts w:eastAsia="Times New Roman" w:cstheme="minorBidi"/>
                          <w:color w:val="222222"/>
                          <w:kern w:val="24"/>
                          <w:highlight w:val="white"/>
                        </w:rPr>
                        <w:t xml:space="preserve">Methylation frequency in the </w:t>
                      </w:r>
                      <w:r w:rsidRPr="00197C89">
                        <w:rPr>
                          <w:rFonts w:eastAsia="Times New Roman" w:cstheme="minorBidi"/>
                          <w:i/>
                          <w:iCs/>
                          <w:color w:val="222222"/>
                          <w:kern w:val="24"/>
                          <w:highlight w:val="white"/>
                        </w:rPr>
                        <w:t xml:space="preserve">P. trichocarpa </w:t>
                      </w:r>
                      <w:r w:rsidRPr="00197C89">
                        <w:rPr>
                          <w:rFonts w:eastAsia="Times New Roman" w:cstheme="minorBidi"/>
                          <w:color w:val="222222"/>
                          <w:kern w:val="24"/>
                          <w:highlight w:val="white"/>
                        </w:rPr>
                        <w:t xml:space="preserve">(A) and </w:t>
                      </w:r>
                      <w:r w:rsidRPr="00197C89">
                        <w:rPr>
                          <w:rFonts w:eastAsia="Times New Roman" w:cstheme="minorBidi"/>
                          <w:i/>
                          <w:iCs/>
                          <w:color w:val="222222"/>
                          <w:kern w:val="24"/>
                          <w:highlight w:val="white"/>
                        </w:rPr>
                        <w:t xml:space="preserve">P. deltoides </w:t>
                      </w:r>
                      <w:r w:rsidRPr="00197C89">
                        <w:rPr>
                          <w:rFonts w:eastAsia="Times New Roman" w:cstheme="minorBidi"/>
                          <w:color w:val="222222"/>
                          <w:kern w:val="24"/>
                          <w:highlight w:val="white"/>
                        </w:rPr>
                        <w:t>(B) whole chloroplast integration events with 100 kb flanking regions. Regions highlighted in red indicate the whole chloroplast integration event. 10kb windows with a sliding distance of 2.5kb was used.</w:t>
                      </w:r>
                    </w:p>
                  </w:txbxContent>
                </v:textbox>
                <w10:wrap anchorx="margin"/>
              </v:rect>
            </w:pict>
          </mc:Fallback>
        </mc:AlternateContent>
      </w:r>
    </w:p>
    <w:p w14:paraId="1ED3FE95" w14:textId="77777777" w:rsidR="00636B5B" w:rsidRDefault="00636B5B" w:rsidP="00EE03F0"/>
    <w:p w14:paraId="45DA5C37" w14:textId="77777777" w:rsidR="00636B5B" w:rsidRDefault="00636B5B" w:rsidP="00EE03F0"/>
    <w:p w14:paraId="65108BC3" w14:textId="77777777" w:rsidR="00636B5B" w:rsidRDefault="00636B5B" w:rsidP="00EE03F0"/>
    <w:p w14:paraId="46CE9341" w14:textId="77777777" w:rsidR="00636B5B" w:rsidRDefault="00636B5B"/>
    <w:p w14:paraId="11AF8AEA" w14:textId="3BB0E1C1" w:rsidR="00636B5B" w:rsidRDefault="00636B5B"/>
    <w:p w14:paraId="17755E07" w14:textId="77777777" w:rsidR="00973759" w:rsidRDefault="00973759" w:rsidP="002A18A2">
      <w:pPr>
        <w:jc w:val="center"/>
        <w:rPr>
          <w:b/>
          <w:bCs/>
          <w:sz w:val="28"/>
          <w:szCs w:val="26"/>
        </w:rPr>
      </w:pPr>
      <w:r>
        <w:rPr>
          <w:b/>
          <w:bCs/>
          <w:sz w:val="28"/>
          <w:szCs w:val="26"/>
        </w:rPr>
        <w:lastRenderedPageBreak/>
        <w:t>CHAPTER IV</w:t>
      </w:r>
    </w:p>
    <w:p w14:paraId="0CA4F65B" w14:textId="77777777" w:rsidR="00973759" w:rsidRPr="00D631B4" w:rsidRDefault="00973759" w:rsidP="002A18A2">
      <w:pPr>
        <w:jc w:val="center"/>
        <w:rPr>
          <w:rFonts w:cs="Times New Roman"/>
          <w:b/>
          <w:bCs/>
          <w:color w:val="000000" w:themeColor="text1"/>
          <w:sz w:val="32"/>
          <w:szCs w:val="32"/>
        </w:rPr>
      </w:pPr>
      <w:r w:rsidRPr="00D631B4">
        <w:rPr>
          <w:rFonts w:cs="Times New Roman"/>
          <w:b/>
          <w:bCs/>
          <w:color w:val="000000" w:themeColor="text1"/>
          <w:sz w:val="32"/>
          <w:szCs w:val="32"/>
        </w:rPr>
        <w:t xml:space="preserve">Assembly, annotation, and characterization of 11 </w:t>
      </w:r>
      <w:r w:rsidRPr="00D631B4">
        <w:rPr>
          <w:rFonts w:cs="Times New Roman"/>
          <w:b/>
          <w:bCs/>
          <w:i/>
          <w:iCs/>
          <w:color w:val="000000" w:themeColor="text1"/>
          <w:sz w:val="32"/>
          <w:szCs w:val="32"/>
        </w:rPr>
        <w:t xml:space="preserve">Salix </w:t>
      </w:r>
      <w:r w:rsidRPr="00D631B4">
        <w:rPr>
          <w:rFonts w:cs="Times New Roman"/>
          <w:b/>
          <w:bCs/>
          <w:color w:val="000000" w:themeColor="text1"/>
          <w:sz w:val="32"/>
          <w:szCs w:val="32"/>
        </w:rPr>
        <w:t>organelle genomes</w:t>
      </w:r>
    </w:p>
    <w:p w14:paraId="2F8BC34C" w14:textId="77777777" w:rsidR="00973759" w:rsidRDefault="00973759" w:rsidP="002A18A2">
      <w:pPr>
        <w:jc w:val="center"/>
        <w:rPr>
          <w:b/>
          <w:bCs/>
          <w:sz w:val="28"/>
          <w:szCs w:val="26"/>
        </w:rPr>
      </w:pPr>
    </w:p>
    <w:p w14:paraId="1FD003F7" w14:textId="77777777" w:rsidR="00973759" w:rsidRDefault="00973759" w:rsidP="002A18A2">
      <w:pPr>
        <w:jc w:val="center"/>
      </w:pPr>
    </w:p>
    <w:p w14:paraId="0A34EDE8" w14:textId="77777777" w:rsidR="00973759" w:rsidRDefault="00973759" w:rsidP="002A18A2">
      <w:pPr>
        <w:jc w:val="center"/>
      </w:pPr>
    </w:p>
    <w:p w14:paraId="2B978239" w14:textId="77777777" w:rsidR="00973759" w:rsidRDefault="00973759" w:rsidP="002A18A2"/>
    <w:p w14:paraId="6E6B8D3C" w14:textId="77777777" w:rsidR="00973759" w:rsidRDefault="00973759" w:rsidP="002A18A2"/>
    <w:p w14:paraId="2F163068" w14:textId="77777777" w:rsidR="00973759" w:rsidRDefault="00973759" w:rsidP="002A18A2"/>
    <w:p w14:paraId="014BD822" w14:textId="77777777" w:rsidR="00973759" w:rsidRDefault="00973759" w:rsidP="002A18A2"/>
    <w:p w14:paraId="55AF355D" w14:textId="77777777" w:rsidR="00973759" w:rsidRDefault="00973759" w:rsidP="002A18A2"/>
    <w:p w14:paraId="3D9F26A6" w14:textId="77777777" w:rsidR="00973759" w:rsidRDefault="00973759" w:rsidP="002A18A2"/>
    <w:p w14:paraId="1D9A88E5" w14:textId="77777777" w:rsidR="00973759" w:rsidRDefault="00973759" w:rsidP="002A18A2"/>
    <w:p w14:paraId="4C8283D2" w14:textId="77777777" w:rsidR="00973759" w:rsidRDefault="00973759" w:rsidP="002A18A2"/>
    <w:p w14:paraId="4607E5D5" w14:textId="77777777" w:rsidR="00973759" w:rsidRDefault="00973759" w:rsidP="002A18A2"/>
    <w:p w14:paraId="3808EE5A" w14:textId="77777777" w:rsidR="00973759" w:rsidRDefault="00973759" w:rsidP="002A18A2"/>
    <w:p w14:paraId="49ACC198" w14:textId="77777777" w:rsidR="00973759" w:rsidRDefault="00973759" w:rsidP="002A18A2"/>
    <w:p w14:paraId="038BC854" w14:textId="77777777" w:rsidR="00973759" w:rsidRDefault="00973759" w:rsidP="002A18A2"/>
    <w:p w14:paraId="2490E568" w14:textId="77777777" w:rsidR="00973759" w:rsidRDefault="00973759" w:rsidP="002A18A2"/>
    <w:p w14:paraId="65BD84AC" w14:textId="77777777" w:rsidR="00973759" w:rsidRDefault="00973759" w:rsidP="002A18A2"/>
    <w:p w14:paraId="329795AC" w14:textId="77777777" w:rsidR="00973759" w:rsidRDefault="00973759" w:rsidP="002A18A2"/>
    <w:p w14:paraId="7C55C37E" w14:textId="77777777" w:rsidR="00973759" w:rsidRDefault="00973759" w:rsidP="002A18A2"/>
    <w:p w14:paraId="0139BB14" w14:textId="77777777" w:rsidR="00973759" w:rsidRDefault="00973759" w:rsidP="002A18A2"/>
    <w:p w14:paraId="1ECA9CF3" w14:textId="77777777" w:rsidR="00973759" w:rsidRDefault="00973759" w:rsidP="002A18A2"/>
    <w:p w14:paraId="5DF3CFF9" w14:textId="77777777" w:rsidR="00973759" w:rsidRDefault="00973759" w:rsidP="002A18A2"/>
    <w:p w14:paraId="6D7E638D" w14:textId="77777777" w:rsidR="00973759" w:rsidRDefault="00973759" w:rsidP="002A18A2"/>
    <w:p w14:paraId="24BE0386" w14:textId="77777777" w:rsidR="00973759" w:rsidRDefault="00973759" w:rsidP="002A18A2"/>
    <w:p w14:paraId="2899E35A" w14:textId="77777777" w:rsidR="00973759" w:rsidRDefault="00973759" w:rsidP="002A18A2"/>
    <w:p w14:paraId="32B3CBF6" w14:textId="77777777" w:rsidR="00973759" w:rsidRDefault="00973759" w:rsidP="002A18A2"/>
    <w:p w14:paraId="36A47528" w14:textId="77777777" w:rsidR="00973759" w:rsidRDefault="00973759" w:rsidP="002A18A2"/>
    <w:p w14:paraId="5E2F62BC" w14:textId="77777777" w:rsidR="00973759" w:rsidRDefault="00973759" w:rsidP="002A18A2"/>
    <w:p w14:paraId="5AEBB304" w14:textId="77777777" w:rsidR="00973759" w:rsidRDefault="00973759" w:rsidP="002A18A2"/>
    <w:p w14:paraId="1F3F8FCD" w14:textId="77777777" w:rsidR="00973759" w:rsidRDefault="00973759" w:rsidP="002A18A2"/>
    <w:p w14:paraId="647C5BCD" w14:textId="77777777" w:rsidR="00973759" w:rsidRDefault="00973759" w:rsidP="002A18A2"/>
    <w:p w14:paraId="11DAA762" w14:textId="77777777" w:rsidR="00973759" w:rsidRDefault="00973759" w:rsidP="002A18A2"/>
    <w:p w14:paraId="0C542143" w14:textId="77777777" w:rsidR="00973759" w:rsidRDefault="00973759" w:rsidP="002A18A2"/>
    <w:p w14:paraId="128CC5D5" w14:textId="77777777" w:rsidR="00973759" w:rsidRDefault="00973759" w:rsidP="002A18A2"/>
    <w:p w14:paraId="3D8E4296" w14:textId="77777777" w:rsidR="00973759" w:rsidRDefault="00973759" w:rsidP="002A18A2"/>
    <w:p w14:paraId="159D55E7" w14:textId="77777777" w:rsidR="00973759" w:rsidRDefault="00973759" w:rsidP="002A18A2"/>
    <w:p w14:paraId="4FF5377D" w14:textId="77777777" w:rsidR="00973759" w:rsidRDefault="00973759" w:rsidP="002A18A2"/>
    <w:p w14:paraId="0D5E9593" w14:textId="77777777" w:rsidR="00973759" w:rsidRDefault="00973759" w:rsidP="002A18A2"/>
    <w:p w14:paraId="009CCFBE" w14:textId="77777777" w:rsidR="00973759" w:rsidRDefault="00973759" w:rsidP="002A18A2"/>
    <w:p w14:paraId="1ADA6D5D" w14:textId="77777777" w:rsidR="00973759" w:rsidRDefault="00973759" w:rsidP="002A18A2"/>
    <w:p w14:paraId="48A24B3F" w14:textId="77777777" w:rsidR="00973759" w:rsidRDefault="00973759" w:rsidP="002A18A2"/>
    <w:p w14:paraId="152D99A7" w14:textId="77777777" w:rsidR="00973759" w:rsidRDefault="00973759" w:rsidP="002A18A2"/>
    <w:p w14:paraId="116C4ABA" w14:textId="77777777" w:rsidR="00973759" w:rsidRDefault="00973759" w:rsidP="002A18A2">
      <w:pPr>
        <w:rPr>
          <w:bCs/>
          <w:szCs w:val="28"/>
        </w:rPr>
      </w:pPr>
      <w:r>
        <w:rPr>
          <w:bCs/>
          <w:szCs w:val="28"/>
        </w:rPr>
        <w:lastRenderedPageBreak/>
        <w:t>A version of this chapter is in preparation for publication by:</w:t>
      </w:r>
    </w:p>
    <w:p w14:paraId="027B77BF" w14:textId="77777777" w:rsidR="00973759" w:rsidRDefault="00973759" w:rsidP="002A18A2">
      <w:pPr>
        <w:rPr>
          <w:bCs/>
          <w:szCs w:val="28"/>
        </w:rPr>
      </w:pPr>
    </w:p>
    <w:p w14:paraId="55AD9A60" w14:textId="77777777" w:rsidR="00973759" w:rsidRDefault="00973759" w:rsidP="002A18A2">
      <w:pPr>
        <w:spacing w:line="360" w:lineRule="auto"/>
        <w:rPr>
          <w:bCs/>
          <w:szCs w:val="28"/>
        </w:rPr>
      </w:pPr>
      <w:r>
        <w:rPr>
          <w:bCs/>
          <w:szCs w:val="28"/>
        </w:rPr>
        <w:t xml:space="preserve">Timothy B. Yates, Kai Feng, Chelsea N. </w:t>
      </w:r>
      <w:proofErr w:type="spellStart"/>
      <w:r>
        <w:rPr>
          <w:bCs/>
          <w:szCs w:val="28"/>
        </w:rPr>
        <w:t>Cereghino</w:t>
      </w:r>
      <w:proofErr w:type="spellEnd"/>
      <w:r>
        <w:rPr>
          <w:bCs/>
          <w:szCs w:val="28"/>
        </w:rPr>
        <w:t xml:space="preserve">, </w:t>
      </w:r>
      <w:r w:rsidRPr="004013DD">
        <w:rPr>
          <w:bCs/>
          <w:szCs w:val="28"/>
        </w:rPr>
        <w:t xml:space="preserve">Sara S. </w:t>
      </w:r>
      <w:proofErr w:type="spellStart"/>
      <w:r w:rsidRPr="004013DD">
        <w:rPr>
          <w:bCs/>
          <w:szCs w:val="28"/>
        </w:rPr>
        <w:t>Jawdy</w:t>
      </w:r>
      <w:proofErr w:type="spellEnd"/>
      <w:r w:rsidRPr="004013DD">
        <w:rPr>
          <w:bCs/>
          <w:szCs w:val="28"/>
        </w:rPr>
        <w:t>,</w:t>
      </w:r>
      <w:r>
        <w:rPr>
          <w:bCs/>
          <w:szCs w:val="28"/>
        </w:rPr>
        <w:t xml:space="preserve"> Lee E. Gunter, Larry B. Smart,</w:t>
      </w:r>
      <w:r w:rsidRPr="004013DD">
        <w:rPr>
          <w:bCs/>
          <w:szCs w:val="28"/>
        </w:rPr>
        <w:t xml:space="preserve"> and Wellington </w:t>
      </w:r>
      <w:proofErr w:type="spellStart"/>
      <w:r w:rsidRPr="004013DD">
        <w:rPr>
          <w:bCs/>
          <w:szCs w:val="28"/>
        </w:rPr>
        <w:t>Muche</w:t>
      </w:r>
      <w:r>
        <w:rPr>
          <w:bCs/>
          <w:szCs w:val="28"/>
        </w:rPr>
        <w:t>ro</w:t>
      </w:r>
      <w:proofErr w:type="spellEnd"/>
    </w:p>
    <w:p w14:paraId="0008335E" w14:textId="77777777" w:rsidR="00973759" w:rsidRDefault="00973759" w:rsidP="002A18A2">
      <w:pPr>
        <w:spacing w:line="360" w:lineRule="auto"/>
        <w:rPr>
          <w:bCs/>
          <w:szCs w:val="28"/>
        </w:rPr>
      </w:pPr>
    </w:p>
    <w:p w14:paraId="55A74323" w14:textId="77777777" w:rsidR="00973759" w:rsidRDefault="00973759" w:rsidP="002A18A2">
      <w:pPr>
        <w:widowControl w:val="0"/>
        <w:autoSpaceDE w:val="0"/>
        <w:autoSpaceDN w:val="0"/>
        <w:adjustRightInd w:val="0"/>
        <w:spacing w:line="360" w:lineRule="auto"/>
      </w:pPr>
      <w:r w:rsidRPr="006D5D0D">
        <w:rPr>
          <w:b/>
          <w:bCs/>
        </w:rPr>
        <w:t>Author contributions:</w:t>
      </w:r>
      <w:r>
        <w:t xml:space="preserve"> </w:t>
      </w:r>
      <w:r w:rsidRPr="00291637">
        <w:t>T.B.Y. and W.M. designed this study. T.B.Y conducted data analysis and wrote the manuscript. S.J.S.</w:t>
      </w:r>
      <w:r>
        <w:t xml:space="preserve">, </w:t>
      </w:r>
      <w:r w:rsidRPr="00291637">
        <w:t>L.</w:t>
      </w:r>
      <w:r>
        <w:t>E.</w:t>
      </w:r>
      <w:r w:rsidRPr="00291637">
        <w:t>G.</w:t>
      </w:r>
      <w:r>
        <w:t>, and C.N.C</w:t>
      </w:r>
      <w:r w:rsidRPr="00291637">
        <w:t xml:space="preserve"> generated data. K.F. performed data analysis.</w:t>
      </w:r>
      <w:r>
        <w:t xml:space="preserve"> L.B.S. provided materials.</w:t>
      </w:r>
      <w:r w:rsidRPr="00291637">
        <w:t xml:space="preserve"> T.B.Y.</w:t>
      </w:r>
      <w:r>
        <w:t>, L.B.S.</w:t>
      </w:r>
      <w:r w:rsidRPr="00291637">
        <w:t xml:space="preserve"> and W.M. revised the manuscript.</w:t>
      </w:r>
    </w:p>
    <w:p w14:paraId="0CC77315" w14:textId="77777777" w:rsidR="00973759" w:rsidRDefault="00973759" w:rsidP="002A18A2">
      <w:pPr>
        <w:spacing w:line="360" w:lineRule="auto"/>
        <w:rPr>
          <w:bCs/>
          <w:szCs w:val="28"/>
        </w:rPr>
      </w:pPr>
    </w:p>
    <w:p w14:paraId="5A9693D1" w14:textId="77777777" w:rsidR="00973759" w:rsidRDefault="00973759" w:rsidP="002A18A2"/>
    <w:p w14:paraId="5DB192B0" w14:textId="77777777" w:rsidR="00973759" w:rsidRDefault="00973759" w:rsidP="002A18A2"/>
    <w:p w14:paraId="00555B02" w14:textId="77777777" w:rsidR="00973759" w:rsidRDefault="00973759" w:rsidP="002A18A2"/>
    <w:p w14:paraId="659112DF" w14:textId="77777777" w:rsidR="00973759" w:rsidRDefault="00973759" w:rsidP="002A18A2"/>
    <w:p w14:paraId="098DE93B" w14:textId="77777777" w:rsidR="00973759" w:rsidRDefault="00973759" w:rsidP="002A18A2"/>
    <w:p w14:paraId="243933BC" w14:textId="77777777" w:rsidR="00973759" w:rsidRDefault="00973759" w:rsidP="002A18A2"/>
    <w:p w14:paraId="418268B9" w14:textId="77777777" w:rsidR="00973759" w:rsidRDefault="00973759" w:rsidP="002A18A2"/>
    <w:p w14:paraId="42F8483D" w14:textId="77777777" w:rsidR="00973759" w:rsidRDefault="00973759" w:rsidP="002A18A2"/>
    <w:p w14:paraId="49F82D7E" w14:textId="77777777" w:rsidR="00973759" w:rsidRDefault="00973759" w:rsidP="002A18A2"/>
    <w:p w14:paraId="50F612BD" w14:textId="77777777" w:rsidR="00973759" w:rsidRDefault="00973759" w:rsidP="002A18A2"/>
    <w:p w14:paraId="0B39BFF2" w14:textId="77777777" w:rsidR="00973759" w:rsidRDefault="00973759" w:rsidP="002A18A2"/>
    <w:p w14:paraId="41854DE1" w14:textId="77777777" w:rsidR="00973759" w:rsidRDefault="00973759" w:rsidP="002A18A2"/>
    <w:p w14:paraId="32097599" w14:textId="77777777" w:rsidR="00973759" w:rsidRDefault="00973759" w:rsidP="002A18A2"/>
    <w:p w14:paraId="2FF145A6" w14:textId="77777777" w:rsidR="00973759" w:rsidRDefault="00973759" w:rsidP="002A18A2"/>
    <w:p w14:paraId="5609CDB1" w14:textId="77777777" w:rsidR="00973759" w:rsidRDefault="00973759" w:rsidP="002A18A2"/>
    <w:p w14:paraId="5124D7B7" w14:textId="77777777" w:rsidR="00973759" w:rsidRDefault="00973759" w:rsidP="002A18A2"/>
    <w:p w14:paraId="0D746E36" w14:textId="77777777" w:rsidR="00973759" w:rsidRDefault="00973759" w:rsidP="002A18A2"/>
    <w:p w14:paraId="46B4C237" w14:textId="77777777" w:rsidR="00973759" w:rsidRDefault="00973759" w:rsidP="002A18A2"/>
    <w:p w14:paraId="1F8BA574" w14:textId="77777777" w:rsidR="00973759" w:rsidRDefault="00973759" w:rsidP="002A18A2"/>
    <w:p w14:paraId="4B571514" w14:textId="77777777" w:rsidR="00973759" w:rsidRDefault="00973759" w:rsidP="002A18A2"/>
    <w:p w14:paraId="66D0741C" w14:textId="77777777" w:rsidR="00973759" w:rsidRDefault="00973759" w:rsidP="002A18A2"/>
    <w:p w14:paraId="660339D3" w14:textId="77777777" w:rsidR="00973759" w:rsidRDefault="00973759" w:rsidP="002A18A2"/>
    <w:p w14:paraId="24CE43D2" w14:textId="77777777" w:rsidR="00973759" w:rsidRDefault="00973759" w:rsidP="002A18A2"/>
    <w:p w14:paraId="180CA5E9" w14:textId="77777777" w:rsidR="00973759" w:rsidRDefault="00973759" w:rsidP="002A18A2"/>
    <w:p w14:paraId="38458E39" w14:textId="77777777" w:rsidR="00973759" w:rsidRDefault="00973759" w:rsidP="002A18A2"/>
    <w:p w14:paraId="5F6DEB7C" w14:textId="77777777" w:rsidR="00973759" w:rsidRDefault="00973759" w:rsidP="002A18A2"/>
    <w:p w14:paraId="16EFD887" w14:textId="77777777" w:rsidR="00973759" w:rsidRDefault="00973759" w:rsidP="002A18A2"/>
    <w:p w14:paraId="0A527CC7" w14:textId="77777777" w:rsidR="00973759" w:rsidRDefault="00973759" w:rsidP="002A18A2"/>
    <w:p w14:paraId="19898795" w14:textId="77777777" w:rsidR="00973759" w:rsidRDefault="00973759" w:rsidP="002A18A2"/>
    <w:p w14:paraId="4C2315D3" w14:textId="77777777" w:rsidR="00973759" w:rsidRDefault="00973759" w:rsidP="002A18A2"/>
    <w:p w14:paraId="7909306B" w14:textId="77777777" w:rsidR="00973759" w:rsidRDefault="00973759" w:rsidP="002A18A2"/>
    <w:p w14:paraId="709360DE" w14:textId="77777777" w:rsidR="00973759" w:rsidRDefault="00973759" w:rsidP="002A18A2"/>
    <w:p w14:paraId="60F82958" w14:textId="77777777" w:rsidR="00973759" w:rsidRDefault="00973759" w:rsidP="002A18A2"/>
    <w:p w14:paraId="2B57092F" w14:textId="77777777" w:rsidR="00973759" w:rsidRDefault="00973759" w:rsidP="002A18A2"/>
    <w:p w14:paraId="63A779EA" w14:textId="1BB9BE2E" w:rsidR="00973759" w:rsidRPr="00CB6DEA" w:rsidRDefault="00973759" w:rsidP="00CB6DEA">
      <w:pPr>
        <w:widowControl w:val="0"/>
        <w:autoSpaceDE w:val="0"/>
        <w:autoSpaceDN w:val="0"/>
        <w:adjustRightInd w:val="0"/>
        <w:jc w:val="center"/>
        <w:rPr>
          <w:b/>
          <w:bCs/>
          <w:sz w:val="28"/>
          <w:szCs w:val="26"/>
        </w:rPr>
      </w:pPr>
      <w:r w:rsidRPr="006F508A">
        <w:rPr>
          <w:b/>
          <w:bCs/>
          <w:sz w:val="28"/>
          <w:szCs w:val="26"/>
        </w:rPr>
        <w:lastRenderedPageBreak/>
        <w:t>Abstract</w:t>
      </w:r>
    </w:p>
    <w:p w14:paraId="2AFCE505" w14:textId="5CF550BA" w:rsidR="00973759" w:rsidRPr="007A3D04" w:rsidRDefault="00973759" w:rsidP="002A18A2">
      <w:pPr>
        <w:spacing w:before="240" w:line="360" w:lineRule="auto"/>
      </w:pPr>
      <w:r>
        <w:tab/>
        <w:t xml:space="preserve">The genus </w:t>
      </w:r>
      <w:r>
        <w:rPr>
          <w:i/>
          <w:iCs/>
        </w:rPr>
        <w:t xml:space="preserve">Salix </w:t>
      </w:r>
      <w:r>
        <w:t>consists of more than 350 species, has an expansive natural range, and is economically and ecologically important. Here, we provided 11 assembled and annotated chloroplast and mitogenomes which consist</w:t>
      </w:r>
      <w:r w:rsidR="00D02596">
        <w:t>ed</w:t>
      </w:r>
      <w:r>
        <w:t xml:space="preserve"> of six different species. We also characterized structural variation in these genomes and observed highly homogenous chloroplast genomes and heterogenous mitogenomes. Furthermore, protein-coding gene content was very conserved in the chloroplast genomes which had 77 protein-coding genes and one pseudogene. The mitogenomes were also fairly conserved as most genomes had 33 protein-coding genes and one pseudogene. Interestingly, two genotypes (</w:t>
      </w:r>
      <w:r>
        <w:rPr>
          <w:i/>
          <w:iCs/>
        </w:rPr>
        <w:t>S. integra</w:t>
      </w:r>
      <w:r>
        <w:t>-P336</w:t>
      </w:r>
      <w:r>
        <w:rPr>
          <w:i/>
          <w:iCs/>
        </w:rPr>
        <w:t xml:space="preserve"> </w:t>
      </w:r>
      <w:r>
        <w:t xml:space="preserve">and </w:t>
      </w:r>
      <w:r>
        <w:rPr>
          <w:i/>
          <w:iCs/>
        </w:rPr>
        <w:t xml:space="preserve">S. </w:t>
      </w:r>
      <w:proofErr w:type="spellStart"/>
      <w:r>
        <w:rPr>
          <w:i/>
          <w:iCs/>
        </w:rPr>
        <w:t>viminalis</w:t>
      </w:r>
      <w:r>
        <w:t>-Jorr</w:t>
      </w:r>
      <w:proofErr w:type="spellEnd"/>
      <w:r>
        <w:t>)</w:t>
      </w:r>
      <w:r>
        <w:rPr>
          <w:i/>
          <w:iCs/>
        </w:rPr>
        <w:t xml:space="preserve"> </w:t>
      </w:r>
      <w:r>
        <w:t xml:space="preserve">were missing the large subunit ribosomal protein </w:t>
      </w:r>
      <w:r>
        <w:rPr>
          <w:i/>
          <w:iCs/>
        </w:rPr>
        <w:t>rpl10</w:t>
      </w:r>
      <w:r>
        <w:t xml:space="preserve">. Repeat content was highly similar in the chloroplast genomes and varied considerably in the mitogenomes. Notably, </w:t>
      </w:r>
      <w:r>
        <w:rPr>
          <w:i/>
          <w:iCs/>
        </w:rPr>
        <w:t>S. udensis-</w:t>
      </w:r>
      <w:r>
        <w:t xml:space="preserve">04-BN-051, had a large 11.5kb repeat and </w:t>
      </w:r>
      <w:r>
        <w:rPr>
          <w:i/>
          <w:iCs/>
        </w:rPr>
        <w:t>S. suchowensis</w:t>
      </w:r>
      <w:r>
        <w:t>-P63</w:t>
      </w:r>
      <w:r>
        <w:rPr>
          <w:i/>
          <w:iCs/>
        </w:rPr>
        <w:t xml:space="preserve">, S. </w:t>
      </w:r>
      <w:proofErr w:type="spellStart"/>
      <w:r>
        <w:rPr>
          <w:i/>
          <w:iCs/>
        </w:rPr>
        <w:t>viminalis-</w:t>
      </w:r>
      <w:r>
        <w:t>Jorr</w:t>
      </w:r>
      <w:proofErr w:type="spellEnd"/>
      <w:r>
        <w:rPr>
          <w:i/>
          <w:iCs/>
        </w:rPr>
        <w:t xml:space="preserve">, </w:t>
      </w:r>
      <w:r>
        <w:t xml:space="preserve">and </w:t>
      </w:r>
      <w:r>
        <w:rPr>
          <w:i/>
          <w:iCs/>
        </w:rPr>
        <w:t>S. integra</w:t>
      </w:r>
      <w:r>
        <w:rPr>
          <w:i/>
          <w:iCs/>
        </w:rPr>
        <w:softHyphen/>
        <w:t>-</w:t>
      </w:r>
      <w:r>
        <w:t xml:space="preserve">P336, had a large 7kb repeat which was conserved between them. Phylogenomic analyses in both chloroplast and mitogenome contexts proved to be challenging due to the low variability in </w:t>
      </w:r>
      <w:r>
        <w:rPr>
          <w:i/>
          <w:iCs/>
        </w:rPr>
        <w:t>Salix</w:t>
      </w:r>
      <w:r>
        <w:t xml:space="preserve">. Although relationships at the subgenera level could be resolved, species could not be classified correctly. Future </w:t>
      </w:r>
      <w:r>
        <w:rPr>
          <w:i/>
          <w:iCs/>
        </w:rPr>
        <w:t xml:space="preserve">Salix </w:t>
      </w:r>
      <w:r>
        <w:t xml:space="preserve">phylogenomic studies should utilize nuclear genome data. Lastly, we assessed selection on genes in the 11 organelle genomes and determined </w:t>
      </w:r>
      <w:r>
        <w:rPr>
          <w:i/>
          <w:iCs/>
        </w:rPr>
        <w:t xml:space="preserve">rps7 </w:t>
      </w:r>
      <w:r>
        <w:t xml:space="preserve">and </w:t>
      </w:r>
      <w:r>
        <w:rPr>
          <w:i/>
          <w:iCs/>
        </w:rPr>
        <w:t xml:space="preserve">rpl23 </w:t>
      </w:r>
      <w:r>
        <w:t>in the chloroplast genomes were under positive selection, and the remaining genes were under purifying selection. In the mitogenomes, we identified six genes (</w:t>
      </w:r>
      <w:r w:rsidRPr="009076E9">
        <w:rPr>
          <w:rFonts w:cs="Times New Roman"/>
          <w:i/>
          <w:iCs/>
          <w:color w:val="000000" w:themeColor="text1"/>
        </w:rPr>
        <w:t>atp4</w:t>
      </w:r>
      <w:r>
        <w:rPr>
          <w:rFonts w:cs="Times New Roman"/>
          <w:color w:val="000000" w:themeColor="text1"/>
        </w:rPr>
        <w:t xml:space="preserve">, </w:t>
      </w:r>
      <w:proofErr w:type="spellStart"/>
      <w:r w:rsidRPr="009076E9">
        <w:rPr>
          <w:rFonts w:cs="Times New Roman"/>
          <w:i/>
          <w:iCs/>
          <w:color w:val="000000" w:themeColor="text1"/>
        </w:rPr>
        <w:t>ccmB</w:t>
      </w:r>
      <w:proofErr w:type="spellEnd"/>
      <w:r>
        <w:rPr>
          <w:rFonts w:cs="Times New Roman"/>
          <w:color w:val="000000" w:themeColor="text1"/>
        </w:rPr>
        <w:t xml:space="preserve">, </w:t>
      </w:r>
      <w:r w:rsidRPr="009076E9">
        <w:rPr>
          <w:rFonts w:cs="Times New Roman"/>
          <w:i/>
          <w:iCs/>
          <w:color w:val="000000" w:themeColor="text1"/>
        </w:rPr>
        <w:t>nad3</w:t>
      </w:r>
      <w:r>
        <w:rPr>
          <w:rFonts w:cs="Times New Roman"/>
          <w:color w:val="000000" w:themeColor="text1"/>
        </w:rPr>
        <w:t xml:space="preserve">, </w:t>
      </w:r>
      <w:r w:rsidRPr="009076E9">
        <w:rPr>
          <w:rFonts w:cs="Times New Roman"/>
          <w:i/>
          <w:iCs/>
          <w:color w:val="000000" w:themeColor="text1"/>
        </w:rPr>
        <w:t>nad4</w:t>
      </w:r>
      <w:r>
        <w:rPr>
          <w:rFonts w:cs="Times New Roman"/>
          <w:color w:val="000000" w:themeColor="text1"/>
        </w:rPr>
        <w:t xml:space="preserve">, </w:t>
      </w:r>
      <w:r w:rsidRPr="009076E9">
        <w:rPr>
          <w:rFonts w:cs="Times New Roman"/>
          <w:i/>
          <w:iCs/>
          <w:color w:val="000000" w:themeColor="text1"/>
        </w:rPr>
        <w:t>rps4</w:t>
      </w:r>
      <w:r>
        <w:rPr>
          <w:rFonts w:cs="Times New Roman"/>
          <w:color w:val="000000" w:themeColor="text1"/>
        </w:rPr>
        <w:t xml:space="preserve">, and </w:t>
      </w:r>
      <w:r w:rsidRPr="009076E9">
        <w:rPr>
          <w:rFonts w:cs="Times New Roman"/>
          <w:i/>
          <w:iCs/>
          <w:color w:val="000000" w:themeColor="text1"/>
        </w:rPr>
        <w:t>sdh4</w:t>
      </w:r>
      <w:r>
        <w:rPr>
          <w:rFonts w:cs="Times New Roman"/>
          <w:color w:val="000000" w:themeColor="text1"/>
        </w:rPr>
        <w:t xml:space="preserve">) under positive selection. Overall, these highly curated </w:t>
      </w:r>
      <w:r>
        <w:rPr>
          <w:rFonts w:cs="Times New Roman"/>
          <w:i/>
          <w:iCs/>
          <w:color w:val="000000" w:themeColor="text1"/>
        </w:rPr>
        <w:t xml:space="preserve">Salix </w:t>
      </w:r>
      <w:r>
        <w:rPr>
          <w:rFonts w:cs="Times New Roman"/>
          <w:color w:val="000000" w:themeColor="text1"/>
        </w:rPr>
        <w:t>organelle genomic resources should aid in future domestication and conservation efforts.</w:t>
      </w:r>
    </w:p>
    <w:p w14:paraId="42EAB095" w14:textId="77777777" w:rsidR="00973759" w:rsidRDefault="00973759" w:rsidP="002A18A2">
      <w:pPr>
        <w:jc w:val="center"/>
      </w:pPr>
    </w:p>
    <w:p w14:paraId="40850DB5" w14:textId="77777777" w:rsidR="00973759" w:rsidRDefault="00973759" w:rsidP="002A18A2">
      <w:pPr>
        <w:jc w:val="center"/>
      </w:pPr>
    </w:p>
    <w:p w14:paraId="4B6BC0D4" w14:textId="77777777" w:rsidR="00973759" w:rsidRDefault="00973759" w:rsidP="002A18A2">
      <w:pPr>
        <w:jc w:val="center"/>
      </w:pPr>
    </w:p>
    <w:p w14:paraId="7FD16A51" w14:textId="77777777" w:rsidR="00973759" w:rsidRDefault="00973759" w:rsidP="002A18A2">
      <w:pPr>
        <w:jc w:val="center"/>
      </w:pPr>
    </w:p>
    <w:p w14:paraId="1FE89572" w14:textId="77777777" w:rsidR="00973759" w:rsidRDefault="00973759" w:rsidP="002A18A2">
      <w:pPr>
        <w:jc w:val="center"/>
      </w:pPr>
    </w:p>
    <w:p w14:paraId="38B9FF2C" w14:textId="77777777" w:rsidR="00973759" w:rsidRDefault="00973759" w:rsidP="002A18A2">
      <w:pPr>
        <w:jc w:val="center"/>
      </w:pPr>
    </w:p>
    <w:p w14:paraId="527EFCC5" w14:textId="77777777" w:rsidR="00973759" w:rsidRDefault="00973759" w:rsidP="002A18A2">
      <w:pPr>
        <w:jc w:val="center"/>
      </w:pPr>
    </w:p>
    <w:p w14:paraId="6CB3FDD6" w14:textId="77777777" w:rsidR="00973759" w:rsidRDefault="00973759" w:rsidP="002A18A2">
      <w:pPr>
        <w:jc w:val="center"/>
      </w:pPr>
    </w:p>
    <w:p w14:paraId="501DE6A3" w14:textId="77777777" w:rsidR="00973759" w:rsidRDefault="00973759" w:rsidP="002A18A2">
      <w:pPr>
        <w:jc w:val="center"/>
      </w:pPr>
    </w:p>
    <w:p w14:paraId="2625EAA3" w14:textId="77777777" w:rsidR="00973759" w:rsidRDefault="00973759" w:rsidP="002A18A2">
      <w:pPr>
        <w:jc w:val="center"/>
      </w:pPr>
    </w:p>
    <w:p w14:paraId="17A72684" w14:textId="77777777" w:rsidR="00973759" w:rsidRDefault="00973759" w:rsidP="002A18A2">
      <w:pPr>
        <w:jc w:val="center"/>
      </w:pPr>
    </w:p>
    <w:p w14:paraId="027D4B62" w14:textId="77777777" w:rsidR="00973759" w:rsidRDefault="00973759" w:rsidP="002A18A2">
      <w:pPr>
        <w:jc w:val="center"/>
      </w:pPr>
    </w:p>
    <w:p w14:paraId="1BC18F46" w14:textId="77777777" w:rsidR="00973759" w:rsidRDefault="00973759" w:rsidP="002A18A2">
      <w:pPr>
        <w:widowControl w:val="0"/>
        <w:autoSpaceDE w:val="0"/>
        <w:autoSpaceDN w:val="0"/>
        <w:adjustRightInd w:val="0"/>
      </w:pPr>
    </w:p>
    <w:p w14:paraId="01AD8B50" w14:textId="77777777" w:rsidR="00CB6DEA" w:rsidRDefault="00CB6DEA" w:rsidP="002A18A2">
      <w:pPr>
        <w:widowControl w:val="0"/>
        <w:autoSpaceDE w:val="0"/>
        <w:autoSpaceDN w:val="0"/>
        <w:adjustRightInd w:val="0"/>
        <w:jc w:val="center"/>
        <w:rPr>
          <w:b/>
          <w:bCs/>
          <w:sz w:val="28"/>
          <w:szCs w:val="26"/>
        </w:rPr>
      </w:pPr>
    </w:p>
    <w:p w14:paraId="6BA22B66" w14:textId="3FC19CEA" w:rsidR="00973759" w:rsidRPr="001616C4" w:rsidRDefault="00973759" w:rsidP="002A18A2">
      <w:pPr>
        <w:widowControl w:val="0"/>
        <w:autoSpaceDE w:val="0"/>
        <w:autoSpaceDN w:val="0"/>
        <w:adjustRightInd w:val="0"/>
        <w:jc w:val="center"/>
        <w:rPr>
          <w:b/>
          <w:bCs/>
          <w:sz w:val="28"/>
          <w:szCs w:val="26"/>
        </w:rPr>
      </w:pPr>
      <w:r w:rsidRPr="006F508A">
        <w:rPr>
          <w:b/>
          <w:bCs/>
          <w:sz w:val="28"/>
          <w:szCs w:val="26"/>
        </w:rPr>
        <w:lastRenderedPageBreak/>
        <w:t>Introduction</w:t>
      </w:r>
    </w:p>
    <w:p w14:paraId="4767D706" w14:textId="77777777" w:rsidR="00973759" w:rsidRDefault="00973759" w:rsidP="002A18A2">
      <w:pPr>
        <w:jc w:val="center"/>
      </w:pPr>
    </w:p>
    <w:p w14:paraId="75B0DB77" w14:textId="77777777" w:rsidR="00973759" w:rsidRDefault="00973759" w:rsidP="002A18A2">
      <w:pPr>
        <w:spacing w:line="360" w:lineRule="auto"/>
        <w:ind w:firstLine="720"/>
      </w:pPr>
      <w:r>
        <w:t>The family Salicaceae consists of three genera (</w:t>
      </w:r>
      <w:r w:rsidRPr="001616C4">
        <w:rPr>
          <w:i/>
          <w:iCs/>
        </w:rPr>
        <w:t xml:space="preserve">Salix, Populus, </w:t>
      </w:r>
      <w:r>
        <w:t xml:space="preserve">and </w:t>
      </w:r>
      <w:proofErr w:type="spellStart"/>
      <w:r w:rsidRPr="001616C4">
        <w:rPr>
          <w:i/>
          <w:iCs/>
        </w:rPr>
        <w:t>Chosenia</w:t>
      </w:r>
      <w:proofErr w:type="spellEnd"/>
      <w:r w:rsidRPr="001616C4">
        <w:rPr>
          <w:i/>
          <w:iCs/>
        </w:rPr>
        <w:t>)</w:t>
      </w:r>
      <w:r>
        <w:t xml:space="preserve"> and is placed in the order </w:t>
      </w:r>
      <w:proofErr w:type="spellStart"/>
      <w:r w:rsidRPr="0001692E">
        <w:rPr>
          <w:i/>
          <w:iCs/>
        </w:rPr>
        <w:t>Malpighiales</w:t>
      </w:r>
      <w:proofErr w:type="spellEnd"/>
      <w:r>
        <w:t xml:space="preserve">. </w:t>
      </w:r>
      <w:r w:rsidRPr="001616C4">
        <w:rPr>
          <w:i/>
          <w:iCs/>
        </w:rPr>
        <w:t xml:space="preserve">Salix </w:t>
      </w:r>
      <w:r>
        <w:t xml:space="preserve">and </w:t>
      </w:r>
      <w:r w:rsidRPr="001616C4">
        <w:rPr>
          <w:i/>
          <w:iCs/>
        </w:rPr>
        <w:t xml:space="preserve">Populus </w:t>
      </w:r>
      <w:r>
        <w:t xml:space="preserve">share many characteristics and diverged from a common ancestor approximately 52 million years ago </w:t>
      </w:r>
      <w:r>
        <w:fldChar w:fldCharType="begin" w:fldLock="1"/>
      </w:r>
      <w:r>
        <w:instrText>ADDIN CSL_CITATION {"citationItems":[{"id":"ITEM-1","itemData":{"DOI":"10.1038/cr.2014.83","ISBN":"1748-7838 (Electronic)\\r1001-0602 (Linking)","ISSN":"1748-7838","PMID":"24980958","abstract":"\\nSupplementary information available for this article at http://www.nature.com/cr/journal/v24/n10/suppinfo/cr201483s1.html","author":[{"dropping-particle":"","family":"Dai","given":"Xiaogang","non-dropping-particle":"","parse-names":false,"suffix":""},{"dropping-particle":"","family":"Hu","given":"Quanjun","non-dropping-particle":"","parse-names":false,"suffix":""},{"dropping-particle":"","family":"Cai","given":"Qingle","non-dropping-particle":"","parse-names":false,"suffix":""},{"dropping-particle":"","family":"Feng","given":"Kai","non-dropping-particle":"","parse-names":false,"suffix":""},{"dropping-particle":"","family":"Ye","given":"Ning","non-dropping-particle":"","parse-names":false,"suffix":""},{"dropping-particle":"","family":"Tuskan","given":"Gerald A","non-dropping-particle":"","parse-names":false,"suffix":""},{"dropping-particle":"","family":"Milne","given":"Richard","non-dropping-particle":"","parse-names":false,"suffix":""},{"dropping-particle":"","family":"Chen","given":"Yingnan","non-dropping-particle":"","parse-names":false,"suffix":""},{"dropping-particle":"","family":"Wan","given":"Zhibing","non-dropping-particle":"","parse-names":false,"suffix":""},{"dropping-particle":"","family":"Wang","given":"Zefu","non-dropping-particle":"","parse-names":false,"suffix":""},{"dropping-particle":"","family":"Luo","given":"Wenchun","non-dropping-particle":"","parse-names":false,"suffix":""},{"dropping-particle":"","family":"Wang","given":"Kun","non-dropping-particle":"","parse-names":false,"suffix":""},{"dropping-particle":"","family":"Wan","given":"Dongshi","non-dropping-particle":"","parse-names":false,"suffix":""},{"dropping-particle":"","family":"Wang","given":"Mingxiu","non-dropping-particle":"","parse-names":false,"suffix":""},{"dropping-particle":"","family":"Wang","given":"Jun","non-dropping-particle":"","parse-names":false,"suffix":""},{"dropping-particle":"","family":"Liu","given":"Jianquan","non-dropping-particle":"","parse-names":false,"suffix":""},{"dropping-particle":"","family":"Yin","given":"Tongming","non-dropping-particle":"","parse-names":false,"suffix":""}],"container-title":"Cell research","id":"ITEM-1","issue":"10","issued":{"date-parts":[["2014"]]},"page":"1274-1277","title":"The willow genome and divergent evolution from poplar after the common genome duplication.","type":"article-journal","volume":"24"},"uris":["http://www.mendeley.com/documents/?uuid=3bc29b77-8ec8-46b0-b497-e078d08e0308"]}],"mendeley":{"formattedCitation":"(Dai et al., 2014)","plainTextFormattedCitation":"(Dai et al., 2014)","previouslyFormattedCitation":"(Dai et al. 2014)"},"properties":{"noteIndex":0},"schema":"https://github.com/citation-style-language/schema/raw/master/csl-citation.json"}</w:instrText>
      </w:r>
      <w:r>
        <w:fldChar w:fldCharType="separate"/>
      </w:r>
      <w:r w:rsidRPr="002A18A2">
        <w:rPr>
          <w:noProof/>
        </w:rPr>
        <w:t>(Dai et al., 2014)</w:t>
      </w:r>
      <w:r>
        <w:fldChar w:fldCharType="end"/>
      </w:r>
      <w:r>
        <w:t xml:space="preserve">. Additionally, the genus </w:t>
      </w:r>
      <w:r w:rsidRPr="001616C4">
        <w:rPr>
          <w:i/>
          <w:iCs/>
        </w:rPr>
        <w:t xml:space="preserve">Salix </w:t>
      </w:r>
      <w:r>
        <w:t xml:space="preserve">consists of approximately 400-500 species of trees and shrubs which are both ecologically and economically important </w:t>
      </w:r>
      <w:r>
        <w:fldChar w:fldCharType="begin" w:fldLock="1"/>
      </w:r>
      <w:r>
        <w:instrText>ADDIN CSL_CITATION {"citationItems":[{"id":"ITEM-1","itemData":{"author":[{"dropping-particle":"","family":"Argus","given":"G. W.","non-dropping-particle":"","parse-names":false,"suffix":""}],"id":"ITEM-1","issued":{"date-parts":[["2010"]]},"publisher":"Oxford University Press, New York, NY and Oxford, UK","title":"Flora of North America, Volume 7. Magnoliophyta: Salicaceae to Brassicaceae","type":"article"},"uris":["http://www.mendeley.com/documents/?uuid=a1c87edb-48c9-4358-9a3d-4273e4e21267"]},{"id":"ITEM-2","itemData":{"author":[{"dropping-particle":"","family":"Argus","given":"George W","non-dropping-particle":"","parse-names":false,"suffix":""}],"container-title":"Systematic Botany Monographs","id":"ITEM-2","issued":{"date-parts":[["1997"]]},"page":"1-121","title":"Infrageneric Classification of Salix (Salicaceae) in the New World","type":"article-journal","volume":"52"},"uris":["http://www.mendeley.com/documents/?uuid=8654fe3d-de63-41c4-9d80-796bcd023f39"]}],"mendeley":{"formattedCitation":"(G. W. Argus, 2010; George W Argus, 1997)","manualFormatting":"(Argus, 2010; Argus, 1997)","plainTextFormattedCitation":"(G. W. Argus, 2010; George W Argus, 1997)","previouslyFormattedCitation":"(Argus 2010, 1997)"},"properties":{"noteIndex":0},"schema":"https://github.com/citation-style-language/schema/raw/master/csl-citation.json"}</w:instrText>
      </w:r>
      <w:r>
        <w:fldChar w:fldCharType="separate"/>
      </w:r>
      <w:r w:rsidRPr="00BE1C30">
        <w:rPr>
          <w:noProof/>
        </w:rPr>
        <w:t>(Argus, 2010; Argus, 1997)</w:t>
      </w:r>
      <w:r>
        <w:fldChar w:fldCharType="end"/>
      </w:r>
      <w:r>
        <w:t xml:space="preserve">. </w:t>
      </w:r>
    </w:p>
    <w:p w14:paraId="1CE05FB7" w14:textId="77777777" w:rsidR="00973759" w:rsidRDefault="00973759" w:rsidP="002A18A2">
      <w:pPr>
        <w:spacing w:line="360" w:lineRule="auto"/>
      </w:pPr>
      <w:r>
        <w:tab/>
        <w:t xml:space="preserve">In addition to nuclear genomes, plants have haploid chloroplast and mitochondrial genomes which perform photosynthesis and supply energy to the cell, respectively. Chloroplast genomes have a highly conserved quadripartite structure which consists of a large single-copy (LSC), small single-copy (SSC), and two inverted repeat (IR) regions. Almost all chloroplast genomes range in size from 120kb to 160kb and contain between 110-130 genes </w:t>
      </w:r>
      <w:r>
        <w:fldChar w:fldCharType="begin" w:fldLock="1"/>
      </w:r>
      <w:r>
        <w:instrText>ADDIN CSL_CITATION {"citationItems":[{"id":"ITEM-1","itemData":{"DOI":"10.3389/fpls.2018.00689","ISSN":"1664462X","abstract":"In general, the chloroplast genomes of angiosperms are considered to be highly conserved and affected little by adaptive evolution. In this study, we tested this hypothesis based on sequence differentiation and adaptive variation in the plastid genomes in the order Dipsacales. We sequenced the plastid genomes of one Adoxaceae species and six Caprifoliaceae species, and together with seven previously released Dipsacales chloroplasts, we determined the sequence variations, evolutionary divergence of the plastid genomes, and phylogeny of Dipsacales species. The chloroplast genomes of Adoxaceae species ranged in size from 157,074 bp (Sinadoxa corydalifolia) to 158,305 bp (Sambucus williamsii), and the plastid genomes of Caprifoliaceae varied from 154,732 bp (Lonicera fragrantissima var. lancifolia) to 156,874 bp (Weigela florida). The differences in the number of genes in Caprifoliaceae and Adoxaceae species were largely due to the expansion and contraction of inverted repeat regions. In addition, we found that the number of dispersed repeats (Adoxaceae = 37; Caprifoliaceae = 384) was much higher than that of tandem repeats (Adoxaceae = 34; Caprifoliaceae = 291) in Dipsacales species. Interestingly, we determined 19 genes with positive selection sites, including three genes encoding ATP protein subunits (atpA, atpB, and atpI), four genes for ribosome protein small subunits (rps3, rps7, rps14, and rps15), four genes for photosystem protein subunits (psaA, psaJ, psbC, and pabK), two genes for ribosome protein large subunits (rpl22 and rpl32), and the clpP, infA, matK, rbcL, ycf1, and ycf2 genes. These gene regions may have played key roles in the adaptation of Dipsacales to diverse environments. In addition, phylogenetic analysis based on the plastid genomes strongly supported the division of 14 Dipsacales species into two previously recognized sections. The diversification of Adoxaceae and Caprifoliaceae was dated to the late Cretaceous and Tertiary periods. The availability of these chloroplast genomes provides useful genetic information for studying taxonomy, phylogeny, and species evolution in Dipsacales.","author":[{"dropping-particle":"","family":"Fan","given":"Wei Bing","non-dropping-particle":"","parse-names":false,"suffix":""},{"dropping-particle":"","family":"Wu","given":"Ying","non-dropping-particle":"","parse-names":false,"suffix":""},{"dropping-particle":"","family":"Yang","given":"Jiao","non-dropping-particle":"","parse-names":false,"suffix":""},{"dropping-particle":"","family":"Shahzad","given":"Khurram","non-dropping-particle":"","parse-names":false,"suffix":""},{"dropping-particle":"","family":"Li","given":"Zhong Hu","non-dropping-particle":"","parse-names":false,"suffix":""}],"container-title":"Frontiers in Plant Science","id":"ITEM-1","issue":"May","issued":{"date-parts":[["2018"]]},"page":"1-13","title":"Comparative chloroplast genomics of dipsacales species: Insights into sequence variation, adaptive evolution, and phylogenetic relationships","type":"article-journal","volume":"9"},"uris":["http://www.mendeley.com/documents/?uuid=53ba138e-cb60-4d13-b4cb-f4ef14e6d6ea"]},{"id":"ITEM-2","itemData":{"DOI":"10.1146/annurev.ge.19.120185.001545","ISSN":"00664197","PMID":"3936406","author":[{"dropping-particle":"","family":"Palmer","given":"J. D.","non-dropping-particle":"","parse-names":false,"suffix":""}],"container-title":"Annual review of genetics","id":"ITEM-2","issued":{"date-parts":[["1985"]]},"page":"325-354","title":"Comparative organization of chloroplast genomes.","type":"article-journal","volume":"19"},"uris":["http://www.mendeley.com/documents/?uuid=025a84d1-6284-4b9d-8a79-69beda3ad8f0"]}],"mendeley":{"formattedCitation":"(Fan, Wu, Yang, Shahzad, &amp; Li, 2018; Palmer, 1985)","manualFormatting":"(Fan et al., 2018; Palmer, 1985)","plainTextFormattedCitation":"(Fan, Wu, Yang, Shahzad, &amp; Li, 2018; Palmer, 1985)","previouslyFormattedCitation":"(Fan et al. 2018; Palmer 1985)"},"properties":{"noteIndex":0},"schema":"https://github.com/citation-style-language/schema/raw/master/csl-citation.json"}</w:instrText>
      </w:r>
      <w:r>
        <w:fldChar w:fldCharType="separate"/>
      </w:r>
      <w:r w:rsidRPr="0001692E">
        <w:rPr>
          <w:noProof/>
        </w:rPr>
        <w:t>(Fan</w:t>
      </w:r>
      <w:r>
        <w:rPr>
          <w:noProof/>
        </w:rPr>
        <w:t xml:space="preserve"> et al.,</w:t>
      </w:r>
      <w:r w:rsidRPr="0001692E">
        <w:rPr>
          <w:noProof/>
        </w:rPr>
        <w:t xml:space="preserve"> 2018; Palmer, 1985)</w:t>
      </w:r>
      <w:r>
        <w:fldChar w:fldCharType="end"/>
      </w:r>
      <w:r>
        <w:t xml:space="preserve">. In contrast, land plant mitochondria genomes are highly heterogeneous even among closely related species with most ranging in size from 200kb to 800kb </w:t>
      </w:r>
      <w:r>
        <w:fldChar w:fldCharType="begin" w:fldLock="1"/>
      </w:r>
      <w:r>
        <w:instrText>ADDIN CSL_CITATION {"citationItems":[{"id":"ITEM-1","itemData":{"DOI":"10.3390/genes9110547","ISSN":"20734425","abstract":"Diversity in structure and organization is one of the main features of angiosperm mitochondrial genomes (mitogenomes). The ultra-long reads of Oxford Nanopore Technology (ONT) provide an opportunity to obtain a complete mitogenome and investigate the structural variation in unprecedented detail. In this study, we compared mitogenome assembly methods using Illumina and/or ONT sequencing data and obtained the complete mitogenome (208 kb) of Chrysanthemum nankingense based on the hybrid assembly method. The mitogenome encoded 19 transfer RNA genes, three ribosomal RNA genes, and 34 protein-coding genes with 21 group II introns disrupting eight intron-contained genes. A total of seven medium repeats were related to homologous recombination at different frequencies as supported by the long ONT reads. Subsequently, we investigated the variations in gene content and constitution of 28 near-complete mitogenomes from Asteraceae. A total of six protein-coding genes were missing in all Asteraceae mitogenomes, while four other genes were not detected in some lineages. The core fragments (~88 kb) of the Asteraceae mitogenomes had a higher GC content (~46.7%) than the variable and specific fragments. The phylogenetic topology based on the core fragments of the Asteraceae mitogenomes was highly consistent with the topologies obtained from the corresponding plastid datasets. Our results highlighted the advantages of the complete assembly of the C. nankingense mitogenome and the investigation of its structural variation based on ONT sequencing data. Moreover, the method based on local collinear blocks of the mitogenomes could achieve the alignment of highly rearrangeable and variable plant mitogenomes as well as construct a robust phylogenetic topology.","author":[{"dropping-particle":"","family":"Wang","given":"Shuaibin","non-dropping-particle":"","parse-names":false,"suffix":""},{"dropping-particle":"","family":"Song","given":"Qingwei","non-dropping-particle":"","parse-names":false,"suffix":""},{"dropping-particle":"","family":"Li","given":"Shanshan","non-dropping-particle":"","parse-names":false,"suffix":""},{"dropping-particle":"","family":"Hu","given":"Zhigang","non-dropping-particle":"","parse-names":false,"suffix":""},{"dropping-particle":"","family":"Dong","given":"Gangqiang","non-dropping-particle":"","parse-names":false,"suffix":""},{"dropping-particle":"","family":"Song","given":"Chi","non-dropping-particle":"","parse-names":false,"suffix":""},{"dropping-particle":"","family":"Huang","given":"Hongwen","non-dropping-particle":"","parse-names":false,"suffix":""},{"dropping-particle":"","family":"Liu","given":"Yifei","non-dropping-particle":"","parse-names":false,"suffix":""}],"container-title":"Genes","id":"ITEM-1","issue":"11","issued":{"date-parts":[["2018"]]},"title":"Assembly of a complete mitogenome of chrysanthemum nankingense using oxford nanopore long reads and the diversity and evolution of asteraceae mitogenomes","type":"article-journal","volume":"9"},"uris":["http://www.mendeley.com/documents/?uuid=4b6b606e-7371-4a77-91d5-82ada1d60541"]}],"mendeley":{"formattedCitation":"(S. Wang et al., 2018)","plainTextFormattedCitation":"(S. Wang et al., 2018)","previouslyFormattedCitation":"(Wang et al. 2018)"},"properties":{"noteIndex":0},"schema":"https://github.com/citation-style-language/schema/raw/master/csl-citation.json"}</w:instrText>
      </w:r>
      <w:r>
        <w:fldChar w:fldCharType="separate"/>
      </w:r>
      <w:r w:rsidRPr="002A18A2">
        <w:rPr>
          <w:noProof/>
        </w:rPr>
        <w:t>(S. Wang et al., 2018)</w:t>
      </w:r>
      <w:r>
        <w:fldChar w:fldCharType="end"/>
      </w:r>
      <w:r>
        <w:t xml:space="preserve">. They contain 41 variable protein-coding genes, 3 ribosomal RNA (rRNA) genes, and tRNA genes which are insufficient in number to carry out the translation of all codons.  These missing tRNAs are compensated by tRNAs encoded in the nuclear genome </w:t>
      </w:r>
      <w:r>
        <w:fldChar w:fldCharType="begin" w:fldLock="1"/>
      </w:r>
      <w:r>
        <w:instrText>ADDIN CSL_CITATION {"citationItems":[{"id":"ITEM-1","itemData":{"DOI":"10.1016/S1055-7903(03)00194-5","ISSN":"10557903","PMID":"14615181","abstract":"Mitochondrial gene content is highly variable across extant eukaryotes. The number of mitochondrial protein genes varies from 3 to 67, while tRNA gene content varies from 0 to 27. Moreover, these numbers exclude the many diverse lineages of non-respiring eukaryotes that lack a mitochondrial genome yet still contain a mitochondrion, albeit one often highly derived in ultrastructure and metabolic function, such as the hydrogenosome. Diversity in tRNA gene content primarily reflects differential usage of imported tRNAs of nuclear origin. In the case of protein genes, most of this diversity reflects differential degrees of functional gene transfer to the nucleus, with more minor contributions resulting from gene loss from the cell as a consequence of either substitution via a functional nuclear homolog or the cell's dispensation of the function of the gene product. The tempo and pattern of mitochondrial gene loss is highly episodic, both across the broad sweep of eukaryotes and within such well-studied groups as angiosperms. All animals, some plants, and certain other groups of eukaryotes are mired in profound stases in mitochondrial gene content, whereas other lineages have experienced relatively frequent gene loss. Loss and transfer to the nucleus of ribosomal protein and succinate dehydrogenase genes has been especially frequent, sporadic, and episodic during angiosperm evolution. Potential mechanisms for activation of transferred genes have been inferred, and intermediate stages in the process have been identified by comparative studies. Several hypotheses have been proposed for why mitochondrial genes are transferred to the nucleus, why mitochondria retain genomes, and why functional gene transfer is almost exclusively unidirectional. © 2003 Elsevier Science (USA). All rights reserved.","author":[{"dropping-particle":"","family":"Adams","given":"Keith L.","non-dropping-particle":"","parse-names":false,"suffix":""},{"dropping-particle":"","family":"Palmer","given":"Jeffrey D.","non-dropping-particle":"","parse-names":false,"suffix":""}],"container-title":"Molecular Phylogenetics and Evolution","id":"ITEM-1","issue":"3","issued":{"date-parts":[["2003"]]},"page":"380-395","title":"Evolution of mitochondrial gene content: Gene loss and transfer to the nucleus","type":"article-journal","volume":"29"},"uris":["http://www.mendeley.com/documents/?uuid=7a734593-0f84-4fe2-a192-008fc8f1ed14"]}],"mendeley":{"formattedCitation":"(Adams &amp; Palmer, 2003)","plainTextFormattedCitation":"(Adams &amp; Palmer, 2003)","previouslyFormattedCitation":"(Adams &amp; Palmer 2003)"},"properties":{"noteIndex":0},"schema":"https://github.com/citation-style-language/schema/raw/master/csl-citation.json"}</w:instrText>
      </w:r>
      <w:r>
        <w:fldChar w:fldCharType="separate"/>
      </w:r>
      <w:r w:rsidRPr="002A18A2">
        <w:rPr>
          <w:noProof/>
        </w:rPr>
        <w:t>(Adams &amp; Palmer, 2003)</w:t>
      </w:r>
      <w:r>
        <w:fldChar w:fldCharType="end"/>
      </w:r>
      <w:r>
        <w:t>.</w:t>
      </w:r>
    </w:p>
    <w:p w14:paraId="66C4B024" w14:textId="77777777" w:rsidR="00973759" w:rsidRDefault="00973759" w:rsidP="002A18A2">
      <w:pPr>
        <w:spacing w:line="360" w:lineRule="auto"/>
      </w:pPr>
      <w:r>
        <w:tab/>
        <w:t xml:space="preserve">Although chloroplast genomes can be readily assembled with next-generation sequencing (NGS) data, genome assembly of mitogenomes with short-read data remains a challenge due to repeats and chloroplast DNA transfer to the mitogenome which may be longer than the short read length </w:t>
      </w:r>
      <w:r>
        <w:fldChar w:fldCharType="begin" w:fldLock="1"/>
      </w:r>
      <w:r>
        <w:instrText>ADDIN CSL_CITATION {"citationItems":[{"id":"ITEM-1","itemData":{"DOI":"10.1111/nph.12395","ISSN":"0028646X","PMID":"24712049","abstract":"The in vivo molecular structure of plant mitochondrial DNA (mtDNA) has been a long-standing source of intrigue and controversy. Recent deep sequencing analyses of mitochondrial genomes from numerous plant species have provided the opportunity to revisit this decades-old question from a novel perspective. Whole-genome sequencing approaches have yielded new lines of evidence that the 'master circle' is not the predominant form of plant mtDNA and have revealed striking structural variation both within and among species. Here, I review these recent studies, including the discovery that at least two independent angiosperm lineages have evolved multichromosomal mitochondrial genome structures. These findings raise fascinating questions regarding the mechanisms of plant mtDNA replication and inheritance. © 2013 New Phytologist Trust.","author":[{"dropping-particle":"","family":"Sloan","given":"Daniel B.","non-dropping-particle":"","parse-names":false,"suffix":""}],"container-title":"New Phytologist","id":"ITEM-1","issue":"4","issued":{"date-parts":[["2013"]]},"page":"978-985","title":"One ring to rule them all? Genome sequencing provides new insights into the 'master circle' model of plant mitochondrial DNA structure","type":"article-journal","volume":"200"},"uris":["http://www.mendeley.com/documents/?uuid=4fc66721-e397-4194-b27d-48584a986d51"]},{"id":"ITEM-2","itemData":{"DOI":"10.1093/molbev/msy176","ISSN":"15371719","PMID":"30202905","abstract":"For 30 years, it has been clear that angiosperm mitochondrial genomes evolve rapidly in sequence arrangement (i.e., synteny), yet absolute rates of rearrangement have not been measured in any plant group, nor is it known how much these rates vary. To investigate these issues, we sequenced and reconstructed the rearrangement history of seven mitochondrial genomes in Monsonia (Geraniaceae). We show that rearrangements (occurring mostly as inversions) not only take place at generally high rates in these genomes but also uncover significant variation in rearrangement rates. For example, the hyperactive mitochondrial genome of Monsonia ciliata has accumulated at least 30 rearrangements over the last million years, whereas the branch leading to M. ciliata and its sister species has sustained rearrangement at a rate that is at least ten times lower. Furthermore, our analysis of published data shows that rates of mitochondrial genome rearrangement in seed plants vary by at least 600-fold. We find that sites of rearrangement are highly preferentially located in very close proximity to repeated sequences in Monsonia. This provides strong support for the hypothesis that rearrangement in angiosperm mitochondrial genomes occurs largely through repeat-mediated recombination. Because there is little variation in the amount of repeat sequence among Monsonia genomes, the variable rates of rearrangement in Monsonia probably reflect variable rates of mitochondrial recombination itself. Finally, we show that mitochondrial synonymous substitutions occur in a clock-like manner in Monsonia; rates of mitochondrial substitutions and rearrangements are therefore highly uncoupled in this group.","author":[{"dropping-particle":"","family":"Cole","given":"Logan W.","non-dropping-particle":"","parse-names":false,"suffix":""},{"dropping-particle":"","family":"Guo","given":"Wenhu","non-dropping-particle":"","parse-names":false,"suffix":""},{"dropping-particle":"","family":"Mower","given":"Jeffrey P.","non-dropping-particle":"","parse-names":false,"suffix":""},{"dropping-particle":"","family":"Palmer","given":"Jeffrey D.","non-dropping-particle":"","parse-names":false,"suffix":""}],"container-title":"Molecular biology and evolution","id":"ITEM-2","issue":"11","issued":{"date-parts":[["2018"]]},"page":"2773-2785","title":"High and Variable Rates of Repeat-Mediated Mitochondrial Genome Rearrangement in a Genus of Plants","type":"article-journal","volume":"35"},"uris":["http://www.mendeley.com/documents/?uuid=35a9d26b-c602-4a69-94b5-ba4c7285d6fa"]}],"mendeley":{"formattedCitation":"(Cole, Guo, Mower, &amp; Palmer, 2018; Sloan, 2013)","manualFormatting":"(Cole, et al., 2018; Sloan, 2013)","plainTextFormattedCitation":"(Cole, Guo, Mower, &amp; Palmer, 2018; Sloan, 2013)","previouslyFormattedCitation":"(Sloan 2013; Cole et al. 2018)"},"properties":{"noteIndex":0},"schema":"https://github.com/citation-style-language/schema/raw/master/csl-citation.json"}</w:instrText>
      </w:r>
      <w:r>
        <w:fldChar w:fldCharType="separate"/>
      </w:r>
      <w:r w:rsidRPr="00CD3478">
        <w:rPr>
          <w:noProof/>
        </w:rPr>
        <w:t>(Cole,</w:t>
      </w:r>
      <w:r>
        <w:rPr>
          <w:noProof/>
        </w:rPr>
        <w:t xml:space="preserve"> et al.</w:t>
      </w:r>
      <w:r w:rsidRPr="00CD3478">
        <w:rPr>
          <w:noProof/>
        </w:rPr>
        <w:t>, 2018; Sloan, 2013)</w:t>
      </w:r>
      <w:r>
        <w:fldChar w:fldCharType="end"/>
      </w:r>
      <w:r>
        <w:t xml:space="preserve">. Currently, there are only 290 land plant mitogenomes, which consists of 204 genera that have been deposited at NCBI </w:t>
      </w:r>
      <w:proofErr w:type="spellStart"/>
      <w:r>
        <w:t>Genbank</w:t>
      </w:r>
      <w:proofErr w:type="spellEnd"/>
      <w:r>
        <w:t xml:space="preserve">, of which there are seven assembled </w:t>
      </w:r>
      <w:r>
        <w:rPr>
          <w:i/>
          <w:iCs/>
        </w:rPr>
        <w:t xml:space="preserve">Salix </w:t>
      </w:r>
      <w:r>
        <w:t xml:space="preserve">mitogenomes (accessed 01/2022). Single molecule based assembly of mitogenomes with technologies such as PacBio or Oxford Nanopore have already proven to be highly useful for the characterization of complex mitogenomes and should facilitate the assembly of more plant mitogenomes </w:t>
      </w:r>
      <w:r>
        <w:fldChar w:fldCharType="begin" w:fldLock="1"/>
      </w:r>
      <w:r>
        <w:instrText>ADDIN CSL_CITATION {"citationItems":[{"id":"ITEM-1","itemData":{"DOI":"10.1093/gbe/evaa108","ISSN":"17596653","PMID":"32449750","abstract":"Plant mitochondrial genomes vary widely in size. Although many plant mitochondrial genomes have been sequenced and assembled, the vast majority are of angiosperms, and few are of gymnosperms. Most plant mitochondrial genomes are smaller than a megabase, with a few notable exceptions. We have sequenced and assembled the complete 5.5-Mb mitochondrial genome of Sitka spruce (Picea sitchensis), to date, one of the largest mitochondrial genomes of a gymnosperm. We sequenced the whole genome using Oxford Nanopore MinION, and then identified contigs of mitochondrial origin assembled from these long reads based on sequence homology to the white spruce mitochondrial genome. The assembly graph shows a multipartite genome structure, composed of one smaller 168-kb circular segment of DNA, and a larger 5.4-Mb single component with a branching structure. The assembly graph gives insight into a putative complex physical genome structure, and its branching points may represent active sites of recombination.","author":[{"dropping-particle":"","family":"Jackman","given":"Shaun D.","non-dropping-particle":"","parse-names":false,"suffix":""},{"dropping-particle":"","family":"Coombe","given":"Lauren","non-dropping-particle":"","parse-names":false,"suffix":""},{"dropping-particle":"","family":"Warren","given":"René L.","non-dropping-particle":"","parse-names":false,"suffix":""},{"dropping-particle":"","family":"Kirk","given":"Heather","non-dropping-particle":"","parse-names":false,"suffix":""},{"dropping-particle":"","family":"Trinh","given":"Eva","non-dropping-particle":"","parse-names":false,"suffix":""},{"dropping-particle":"","family":"MacLeod","given":"Tina","non-dropping-particle":"","parse-names":false,"suffix":""},{"dropping-particle":"","family":"Pleasance","given":"Stephen","non-dropping-particle":"","parse-names":false,"suffix":""},{"dropping-particle":"","family":"Pandoh","given":"Pawan","non-dropping-particle":"","parse-names":false,"suffix":""},{"dropping-particle":"","family":"Zhao","given":"Yongjun","non-dropping-particle":"","parse-names":false,"suffix":""},{"dropping-particle":"","family":"Coope","given":"Robin J.","non-dropping-particle":"","parse-names":false,"suffix":""},{"dropping-particle":"","family":"Bousquet","given":"Jean","non-dropping-particle":"","parse-names":false,"suffix":""},{"dropping-particle":"","family":"Bohlmann","given":"Joerg","non-dropping-particle":"","parse-names":false,"suffix":""},{"dropping-particle":"","family":"Jones","given":"Steven J.M.","non-dropping-particle":"","parse-names":false,"suffix":""},{"dropping-particle":"","family":"Birol","given":"Inanc","non-dropping-particle":"","parse-names":false,"suffix":""}],"container-title":"Genome biology and evolution","id":"ITEM-1","issue":"7","issued":{"date-parts":[["2020"]]},"page":"1174-1179","title":"Complete Mitochondrial Genome of a Gymnosperm, Sitka Spruce (Picea sitchensis), Indicates a Complex Physical Structure","type":"article-journal","volume":"12"},"uris":["http://www.mendeley.com/documents/?uuid=6da1e996-6b30-4e42-af96-406294806490"]},{"id":"ITEM-2","itemData":{"DOI":"10.1007/s00425-021-03684-3","ISBN":"0123456789","ISSN":"14322048","PMID":"34302538","abstract":"Main conclusion: We assembled the complete mitochondrial genome of Scutellaria tsinyunensis in this study. Repeat-mediated recombination resulted in the formation of two conformations of the mitochondrial genome in S. tsinyunensis. Abstract: Scutellaria tsinyunensis belongs to the family Lamiaceae, distributed only in the Jinyun Mountain, Chongqing, China. As a valuable endemic and small population species, it is regarded as a natural resource potentially with significant economic and ecological importance. In this study, we assembled a complete and gap-free mitochondrial genome of S. tsinyunensis. This genome had a length of 354,073 bp and the base composition of the genome was A (27.44%), T (27.30%), C (22.58%), and G (22.68%). This genome encodes 59 genes, including 32 protein-coding genes, 24 tRNA genes, and 3 rRNA genes. The Sanger sequencing and Oxford Nanopore sequencing confirmed a pair of direct repeats had mediated genome recombination, resulting in the formation of two conformations. The gene conversation between plastome and mitochondrial genome was also observed in S. tsinyunensis by detecting gene migration, including six tRNA genes (namely, trnW-CCA, trnI-CAU, trnH-UUU, trnD-GUC, trnN-GUU, and trnM-CAU), five protein-coding gene fragments, and the fragments from 2 rRNA genes. Moreover, the dN/dS analysis revealed the atp9 gene had undergone strong negative selection, and four genes (atp4, mttB, ccmFc, and ccmB) probably had undergone positive selection during evolution in Lamiales. This work reported the first mitochondrial genome of S. tsinyunensis, which could be used as a reference genome for the important medicinal plants of the genus Scutellaria, and also provide much-desired information for molecular breeding.","author":[{"dropping-particle":"","family":"Li","given":"Jingling","non-dropping-particle":"","parse-names":false,"suffix":""},{"dropping-particle":"","family":"Xu","given":"Yicen","non-dropping-particle":"","parse-names":false,"suffix":""},{"dropping-particle":"","family":"Shan","given":"Yuanyu","non-dropping-particle":"","parse-names":false,"suffix":""},{"dropping-particle":"","family":"Pei","given":"Xiaoying","non-dropping-particle":"","parse-names":false,"suffix":""},{"dropping-particle":"","family":"Yong","given":"Shunyuan","non-dropping-particle":"","parse-names":false,"suffix":""},{"dropping-particle":"","family":"Liu","given":"Chang","non-dropping-particle":"","parse-names":false,"suffix":""},{"dropping-particle":"","family":"Yu","given":"Jie","non-dropping-particle":"","parse-names":false,"suffix":""}],"container-title":"Planta","id":"ITEM-2","issue":"2","issued":{"date-parts":[["2021"]]},"page":"1-16","publisher":"Springer Berlin Heidelberg","title":"Assembly of the complete mitochondrial genome of an endemic plant, Scutellaria tsinyunensis, revealed the existence of two conformations generated by a repeat-mediated recombination","type":"article-journal","volume":"254"},"uris":["http://www.mendeley.com/documents/?uuid=878ef7d3-bb8e-4e59-ae1c-1fc108a300ec"]}],"mendeley":{"formattedCitation":"(Jackman et al., 2020; Li et al., 2021)","plainTextFormattedCitation":"(Jackman et al., 2020; Li et al., 2021)","previouslyFormattedCitation":"(Jackman et al. 2020; Li et al. 2021)"},"properties":{"noteIndex":0},"schema":"https://github.com/citation-style-language/schema/raw/master/csl-citation.json"}</w:instrText>
      </w:r>
      <w:r>
        <w:fldChar w:fldCharType="separate"/>
      </w:r>
      <w:r w:rsidRPr="002A18A2">
        <w:rPr>
          <w:noProof/>
        </w:rPr>
        <w:t>(Jackman et al., 2020; Li et al., 2021)</w:t>
      </w:r>
      <w:r>
        <w:fldChar w:fldCharType="end"/>
      </w:r>
      <w:r>
        <w:t>.</w:t>
      </w:r>
    </w:p>
    <w:p w14:paraId="22A64BEB" w14:textId="77777777" w:rsidR="00973759" w:rsidRDefault="00973759" w:rsidP="002A18A2">
      <w:pPr>
        <w:spacing w:line="360" w:lineRule="auto"/>
        <w:rPr>
          <w:rFonts w:cs="Times New Roman"/>
          <w:color w:val="000000" w:themeColor="text1"/>
        </w:rPr>
      </w:pPr>
      <w:r>
        <w:tab/>
        <w:t xml:space="preserve">Previous studies have explored </w:t>
      </w:r>
      <w:r>
        <w:rPr>
          <w:i/>
          <w:iCs/>
        </w:rPr>
        <w:t xml:space="preserve">Salix </w:t>
      </w:r>
      <w:proofErr w:type="spellStart"/>
      <w:r>
        <w:t>phylogenomics</w:t>
      </w:r>
      <w:proofErr w:type="spellEnd"/>
      <w:r>
        <w:t xml:space="preserve"> through whole chloroplast or mitochondria genome analysis </w:t>
      </w:r>
      <w:r>
        <w:fldChar w:fldCharType="begin" w:fldLock="1"/>
      </w:r>
      <w:r>
        <w:instrText>ADDIN CSL_CITATION {"citationItems":[{"id":"ITEM-1","itemData":{"DOI":"10.1080/23802359.2021.1950055","ISSN":"23802359","abstract":"In this study, whole chloroplast genomes of five Salix species (S. argyracea, S. dasyclados, S. eriocephala, S. integra ‘Hakuro Nishiki’, and S. suchowensis) were sequenced. These chloroplast genomes were 155 ,605, 155, 763, 155, 552, 155, 538, and 155 ,550 bp in length, harboring 131 genes (77 unigenes), 37 tRNA genes, 8 rRNA genes, and 86 mRNA genes, respectively. The genes ycf1, psaI, ycf2-2, rpoC2, rpl22, atpF, and ndhF were under positive selection among the 21 Salix species. psaI, ycf2-2, atpF, and ycf1-2 were under positive selection between the tree willow and shrub willow, and rpoC2, rpl22, and ycf1-2 were positively selected among the shrub genomes. The gene rps7 was most variable among the genomes. Phylogenetic analysis of 21 Salix species and Chosenia arbutifolia provide evidence that the cp genome data partially support the relationship with traditional taxonomic concepts in the Flora of China. This chloroplast genome elucidates Salix taxonomy and provides evidence for evolutionary research.","author":[{"dropping-particle":"","family":"Zhou","given":"Jie","non-dropping-particle":"","parse-names":false,"suffix":""},{"dropping-particle":"","family":"Jiao","given":"Zhongyi","non-dropping-particle":"","parse-names":false,"suffix":""},{"dropping-particle":"","family":"Guo","given":"Jiahui","non-dropping-particle":"","parse-names":false,"suffix":""},{"dropping-particle":"","family":"Wang","given":"Bao song","non-dropping-particle":"","parse-names":false,"suffix":""},{"dropping-particle":"","family":"Zheng","given":"Jiwei","non-dropping-particle":"","parse-names":false,"suffix":""}],"container-title":"Mitochondrial DNA Part B: Resources","id":"ITEM-1","issue":"8","issued":{"date-parts":[["2021"]]},"page":"2348-2352","publisher":"Taylor &amp; Francis","title":"Complete chloroplast genome sequencing of five Salix species and its application in the phylogeny and taxonomy of the genus","type":"article-journal","volume":"6"},"uris":["http://www.mendeley.com/documents/?uuid=2d3fb428-7753-4a54-9f10-e856f39a2bae"]},{"id":"ITEM-2","itemData":{"DOI":"10.1080/23802359.2020.1827065","ISSN":"23802359","abstract":"Salix cardiophylla was a member of the genus of Salix in family Salicaceae with unique morphological traits, and once recognized as a separate genus, Toisusu Kimura. Here, we sequenced and assembled the complete mitochondrial genome of S. cardiophylla, which was 735,173 bp in length, including 56 genes, 28 protein-coding genes, 3 rRNA genes, 25 tRNA genes, and one large inverted repeat regions with length of 13,603 bp. Phylogenetic analysis based on 26 mitochondrial CDS confirmed that S. cardiophylla is a member of Salix, and support its merge into Salix in aspect of our new insights on mitogenome phylogenomics.","author":[{"dropping-particle":"","family":"Chen","given":"Xiong","non-dropping-particle":"","parse-names":false,"suffix":""},{"dropping-particle":"","family":"Zhang","given":"Li","non-dropping-particle":"","parse-names":false,"suffix":""},{"dropping-particle":"","family":"Huang","given":"Yuan","non-dropping-particle":"","parse-names":false,"suffix":""},{"dropping-particle":"","family":"Zhao","given":"Fuwei","non-dropping-particle":"","parse-names":false,"suffix":""}],"container-title":"Mitochondrial DNA Part B: Resources","id":"ITEM-2","issue":"3","issued":{"date-parts":[["2020"]]},"page":"3503-3504","title":"Mitochondrial genome of Salix cardiophylla and its implications for infrageneric division of the genus of Salix","type":"article-journal","volume":"5"},"uris":["http://www.mendeley.com/documents/?uuid=6230b9b1-277c-490b-a86d-518ab70fddec"]},{"id":"ITEM-3","itemData":{"DOI":"10.3389/fpls.2017.01050","ISSN":"1664462X","abstract":"Chloroplast genomes of plants are highly conserved in both gene order and gene content. Analysis of the whole chloroplast genome is known to provide much more informative DNA sites and thus generates high resolution for plant phylogenies. Here, we report the complete chloroplast genomes of three Salix species in family Salicaceae. Phylogeny of Salicaceae inferred from complete chloroplast genomes is generally consistent with previous studies but resolved with higher statistical support. Incongruences of phylogeny, however, are observed in genus Populus, which most likely results from homoplasy. By comparing three Salix chloroplast genomes with the published chloroplast genomes of other Salicaceae species, we demonstrate that the synteny and length of chloroplast genomes in Salicaceae are highly conserved but experienced dynamic evolution among species. We identify seven positively selected chloroplast genes in Salicaceae, which might be related to the adaptive evolution of Salicaceae species. Comparative chloroplast genome analysis within the family also indicates that some chloroplast genes are lost or became pseudogenes, infer that the chloroplast genes horizontally transferred to the nucleus genome. Based on the complete nucleus genome sequences from two Salicaceae species, we remarkably identify that the entire chloroplast genome is indeed transferred and integrated to the nucleus genome in the individual of the reference genome of P. trichocarpa at least once. This observation, along with presence of the large nuclear plastid DNA (NUPTs) and NUPTs-containing multiple chloroplast genes in their original order in the chloroplast genome, favors the DNA-mediated hypothesis of organelle to nucleus DNA transfer. Overall, the phylogenomic analysis using chloroplast complete genomes clearly elucidates the phylogeny of Salicaceae. The identification of positively selected chloroplast genes and dynamic chloroplast-to-nucleus gene transfers in Salicaceae provide resources to better understand the successful adaptation of Salicaceae species.","author":[{"dropping-particle":"","family":"Huang","given":"Yuan","non-dropping-particle":"","parse-names":false,"suffix":""},{"dropping-particle":"","family":"Wang","given":"Jun","non-dropping-particle":"","parse-names":false,"suffix":""},{"dropping-particle":"","family":"Yang","given":"Yongping","non-dropping-particle":"","parse-names":false,"suffix":""},{"dropping-particle":"","family":"Fan","given":"Chuanzhu","non-dropping-particle":"","parse-names":false,"suffix":""},{"dropping-particle":"","family":"Chen","given":"Jiahui","non-dropping-particle":"","parse-names":false,"suffix":""}],"container-title":"Frontiers in Plant Science","id":"ITEM-3","issue":"June","issued":{"date-parts":[["2017"]]},"page":"1-13","title":"Phylogenomic analysis and dynamic evolution of chloroplast genomes in salicaceae","type":"article-journal","volume":"8"},"uris":["http://www.mendeley.com/documents/?uuid=9ac21e2f-6e3f-4ac6-accc-519fbac0dffb"]},{"id":"ITEM-4","itemData":{"DOI":"10.3389/fpls.2021.662715","ISSN":"1664462X","abstract":"Plastome phylogenomics is used in a broad range of studies where single markers do not bear enough information. Phylogenetic reconstruction in the genus Salix is difficult due to the lack of informative characters and reticulate evolution. Here, we use a genome skimming approach to reconstruct 41 complete plastomes of 32 Eurasian and North American Salix species representing different lineages, different ploidy levels, and separate geographic regions. We combined our plastomes with published data from Genbank to build a comprehensive phylogeny of 61 samples (50 species) using RAxML (Randomized Axelerated Maximum Likelihood). Additionally, haplotype networks for two observed subclades were calculated, and 72 genes were tested to be under selection. The results revealed a highly conserved structure of the observed plastomes. Within the genus, we observed a variation of 1.68%, most of which separated subg. Salix from the subgeneric Chamaetia/Vetrix clade. Our data generally confirm previous plastid phylogenies, however, within Chamaetia/Vetrix phylogenetic results represented neither taxonomical classifications nor geographical regions. Non-coding DNA regions were responsible for most of the observed variation within subclades and 5.6% of the analyzed genes showed signals of diversifying selection. A comparison of nuclear restriction site associated DNA (RAD) sequencing and plastome data on a subset of 10 species showed discrepancies in topology and resolution. We assume that a combination of (i) a very low mutation rate due to efficient mechanisms preventing mutagenesis, (ii) reticulate evolution, including ancient and ongoing hybridization, and (iii) homoplasy has shaped plastome evolution in willows.","author":[{"dropping-particle":"","family":"Wagner","given":"Natascha D.","non-dropping-particle":"","parse-names":false,"suffix":""},{"dropping-particle":"","family":"Volf","given":"Martin","non-dropping-particle":"","parse-names":false,"suffix":""},{"dropping-particle":"","family":"Hörandl","given":"Elvira","non-dropping-particle":"","parse-names":false,"suffix":""}],"container-title":"Frontiers in Plant Science","id":"ITEM-4","issue":"September","issued":{"date-parts":[["2021"]]},"title":"Highly Diverse Shrub Willows (Salix L.) Share Highly Similar Plastomes","type":"article-journal","volume":"12"},"uris":["http://www.mendeley.com/documents/?uuid=99d45728-e884-44ed-8ace-453e034b6e0f"]}],"mendeley":{"formattedCitation":"(Chen, Zhang, Huang, &amp; Zhao, 2020; Huang, Wang, Yang, Fan, &amp; Chen, 2017; Wagner, Volf, &amp; Hörandl, 2021; Zhou, Jiao, Guo, Wang, &amp; Zheng, 2021)","manualFormatting":"(Chen et al., 2020; Huang et al., 2017; Wagner et al., 2021; Zhou et al., 2021)","plainTextFormattedCitation":"(Chen, Zhang, Huang, &amp; Zhao, 2020; Huang, Wang, Yang, Fan, &amp; Chen, 2017; Wagner, Volf, &amp; Hörandl, 2021; Zhou, Jiao, Guo, Wang, &amp; Zheng, 2021)","previouslyFormattedCitation":"(Zhou et al. 2021; Chen et al. 2020; Huang et al. 2017; Wagner et al. 2021)"},"properties":{"noteIndex":0},"schema":"https://github.com/citation-style-language/schema/raw/master/csl-citation.json"}</w:instrText>
      </w:r>
      <w:r>
        <w:fldChar w:fldCharType="separate"/>
      </w:r>
      <w:r w:rsidRPr="00F41199">
        <w:rPr>
          <w:noProof/>
        </w:rPr>
        <w:t>(Chen</w:t>
      </w:r>
      <w:r>
        <w:rPr>
          <w:noProof/>
        </w:rPr>
        <w:t xml:space="preserve"> et al.</w:t>
      </w:r>
      <w:r w:rsidRPr="00F41199">
        <w:rPr>
          <w:noProof/>
        </w:rPr>
        <w:t>, 2020; Huang</w:t>
      </w:r>
      <w:r>
        <w:rPr>
          <w:noProof/>
        </w:rPr>
        <w:t xml:space="preserve"> et al.,</w:t>
      </w:r>
      <w:r w:rsidRPr="00F41199">
        <w:rPr>
          <w:noProof/>
        </w:rPr>
        <w:t xml:space="preserve"> 2017; Wagner</w:t>
      </w:r>
      <w:r>
        <w:rPr>
          <w:noProof/>
        </w:rPr>
        <w:t xml:space="preserve"> et al., </w:t>
      </w:r>
      <w:r w:rsidRPr="00F41199">
        <w:rPr>
          <w:noProof/>
        </w:rPr>
        <w:t>2021; Zhou</w:t>
      </w:r>
      <w:r>
        <w:rPr>
          <w:noProof/>
        </w:rPr>
        <w:t xml:space="preserve"> et al., </w:t>
      </w:r>
      <w:r w:rsidRPr="00F41199">
        <w:rPr>
          <w:noProof/>
        </w:rPr>
        <w:t>2021)</w:t>
      </w:r>
      <w:r>
        <w:fldChar w:fldCharType="end"/>
      </w:r>
      <w:r>
        <w:t xml:space="preserve">.  Organelle </w:t>
      </w:r>
      <w:proofErr w:type="spellStart"/>
      <w:r>
        <w:t>phylogenomics</w:t>
      </w:r>
      <w:proofErr w:type="spellEnd"/>
      <w:r>
        <w:t xml:space="preserve"> in </w:t>
      </w:r>
      <w:r>
        <w:rPr>
          <w:i/>
          <w:iCs/>
        </w:rPr>
        <w:t xml:space="preserve">Salix </w:t>
      </w:r>
      <w:r>
        <w:t xml:space="preserve">is challenging due to the low variation in the genus and resolution at the species level is unreliable </w:t>
      </w:r>
      <w:r>
        <w:fldChar w:fldCharType="begin" w:fldLock="1"/>
      </w:r>
      <w:r>
        <w:instrText>ADDIN CSL_CITATION {"citationItems":[{"id":"ITEM-1","itemData":{"DOI":"10.1111/mec.12837","ISSN":"1365294X","PMID":"24944007","abstract":"Willows (Salix: Salicaceae) form a major ecological component of Holarctic floras and consequently are an obvious target for a DNA-based identification system. We surveyed two to seven plastid genome regions (</w:instrText>
      </w:r>
      <w:r>
        <w:rPr>
          <w:rFonts w:ascii="Cambria Math" w:hAnsi="Cambria Math" w:cs="Cambria Math"/>
        </w:rPr>
        <w:instrText>∼</w:instrText>
      </w:r>
      <w:r>
        <w:instrText xml:space="preserve">3.8 kb; </w:instrText>
      </w:r>
      <w:r>
        <w:rPr>
          <w:rFonts w:ascii="Cambria Math" w:hAnsi="Cambria Math" w:cs="Cambria Math"/>
        </w:rPr>
        <w:instrText>∼</w:instrText>
      </w:r>
      <w:r>
        <w:instrText>3% of the genome) from 71 Salix species across all five subgenera, to assess their performance as DNA barcode markers. Although Salix has a relatively high level of interspecific hybridization, this may not sufficiently explain the near complete failure of barcoding that we observed: only one species had a unique barcode. We recovered 39 unique haplotypes, from more than 500 specimens, that could be partitioned into six major haplotype groups. A unique variant of group I (haplotype 1) was shared by 53 species in three of five Salix subgenera. This unusual pattern of haplotype sharing across infrageneric taxa is suggestive of either a massive nonrandom coalescence failure (incomplete lineage sorting), or of repeated plastid capture events, possibly including a historical selective sweep of haplotype 1</w:instrText>
      </w:r>
      <w:r>
        <w:rPr>
          <w:rFonts w:ascii="Cambria Math" w:hAnsi="Cambria Math" w:cs="Cambria Math"/>
        </w:rPr>
        <w:instrText>∗</w:instrText>
      </w:r>
      <w:r>
        <w:instrText xml:space="preserve"> across taxonomic sections. The former is unlikely as molecular dating indicates that haplotype 1</w:instrText>
      </w:r>
      <w:r>
        <w:rPr>
          <w:rFonts w:ascii="Cambria Math" w:hAnsi="Cambria Math" w:cs="Cambria Math"/>
        </w:rPr>
        <w:instrText>∗</w:instrText>
      </w:r>
      <w:r>
        <w:instrText xml:space="preserve"> originated recently and is nested in the oldest major haplotype group in the genus. Further, we detected significant non-neutrality in the frequency spectrum of mutations in group I, but not outside group I, and demonstrated a striking absence of geographical (isolation by distance) effects in the haplotype distributions of this group. The most likely explanation for the patterns we observed involves recent repeated plastid capture events, aided by widespread hybridization and long-range seed dispersal, but primarily propelled by one or more trans-species selective sweeps.","author":[{"dropping-particle":"","family":"Percy","given":"Diana M.","non-dropping-particle":"","parse-names":false,"suffix":""},{"dropping-particle":"","family":"Argus","given":"George W.","non-dropping-particle":"","parse-names":false,"suffix":""},{"dropping-particle":"","family":"Cronk","given":"Quentin C.","non-dropping-particle":"","parse-names":false,"suffix":""},{"dropping-particle":"","family":"Fazekas","given":"Aron J.","non-dropping-particle":"","parse-names":false,"suffix":""},{"dropping-particle":"","family":"Kesanakurti","given":"Prasad R.","non-dropping-particle":"","parse-names":false,"suffix":""},{"dropping-particle":"","family":"Burgess","given":"Kevin S.","non-dropping-particle":"","parse-names":false,"suffix":""},{"dropping-particle":"","family":"Husband","given":"Brian C.","non-dropping-particle":"","parse-names":false,"suffix":""},{"dropping-particle":"","family":"Newmaster","given":"Steven G.","non-dropping-particle":"","parse-names":false,"suffix":""},{"dropping-particle":"","family":"Barrett","given":"Spencer C.H.","non-dropping-particle":"","parse-names":false,"suffix":""},{"dropping-particle":"","family":"Graham","given":"Sean W.","non-dropping-particle":"","parse-names":false,"suffix":""}],"container-title":"Molecular Ecology","id":"ITEM-1","issue":"19","issued":{"date-parts":[["2014"]]},"page":"4737-4756","title":"Understanding the spectacular failure of DNA barcoding in willows (Salix): Does this result from a trans-specific selective sweep?","type":"article-journal","volume":"23"},"uris":["http://www.mendeley.com/documents/?uuid=bf7cf8d8-377c-481f-b914-88896cf4c9bf"]}],"mendeley":{"formattedCitation":"(Percy et al., 2014)","plainTextFormattedCitation":"(Percy et al., 2014)","previouslyFormattedCitation":"(Percy et al. 2014)"},"properties":{"noteIndex":0},"schema":"https://github.com/citation-style-language/schema/raw/master/csl-citation.json"}</w:instrText>
      </w:r>
      <w:r>
        <w:fldChar w:fldCharType="separate"/>
      </w:r>
      <w:r w:rsidRPr="002A18A2">
        <w:rPr>
          <w:noProof/>
        </w:rPr>
        <w:t>(Percy et al., 2014)</w:t>
      </w:r>
      <w:r>
        <w:fldChar w:fldCharType="end"/>
      </w:r>
      <w:r>
        <w:t xml:space="preserve">. However, resolution in </w:t>
      </w:r>
      <w:r>
        <w:rPr>
          <w:i/>
          <w:iCs/>
        </w:rPr>
        <w:lastRenderedPageBreak/>
        <w:t>Salix</w:t>
      </w:r>
      <w:r>
        <w:t xml:space="preserve"> is</w:t>
      </w:r>
      <w:r>
        <w:rPr>
          <w:i/>
          <w:iCs/>
        </w:rPr>
        <w:t xml:space="preserve"> </w:t>
      </w:r>
      <w:r>
        <w:t xml:space="preserve">sufficient phylogenetic inference at the subgenera level. In </w:t>
      </w:r>
      <w:r>
        <w:rPr>
          <w:i/>
          <w:iCs/>
        </w:rPr>
        <w:t xml:space="preserve">Salix, </w:t>
      </w:r>
      <w:r>
        <w:t xml:space="preserve">two main subgenera include </w:t>
      </w:r>
      <w:r>
        <w:rPr>
          <w:i/>
          <w:iCs/>
        </w:rPr>
        <w:t xml:space="preserve">Salix </w:t>
      </w:r>
      <w:proofErr w:type="spellStart"/>
      <w:r>
        <w:rPr>
          <w:i/>
          <w:iCs/>
        </w:rPr>
        <w:t>s.l.</w:t>
      </w:r>
      <w:proofErr w:type="spellEnd"/>
      <w:r>
        <w:rPr>
          <w:i/>
          <w:iCs/>
        </w:rPr>
        <w:t xml:space="preserve"> </w:t>
      </w:r>
      <w:r>
        <w:t xml:space="preserve">(tree willows) and </w:t>
      </w:r>
      <w:proofErr w:type="spellStart"/>
      <w:r w:rsidRPr="008D541A">
        <w:rPr>
          <w:rFonts w:cs="Times New Roman"/>
          <w:i/>
          <w:iCs/>
          <w:color w:val="000000" w:themeColor="text1"/>
        </w:rPr>
        <w:t>Chamaetia</w:t>
      </w:r>
      <w:proofErr w:type="spellEnd"/>
      <w:r w:rsidRPr="008D541A">
        <w:rPr>
          <w:rFonts w:cs="Times New Roman"/>
          <w:i/>
          <w:iCs/>
          <w:color w:val="000000" w:themeColor="text1"/>
        </w:rPr>
        <w:t>/</w:t>
      </w:r>
      <w:proofErr w:type="spellStart"/>
      <w:r w:rsidRPr="008D541A">
        <w:rPr>
          <w:rFonts w:cs="Times New Roman"/>
          <w:i/>
          <w:iCs/>
          <w:color w:val="000000" w:themeColor="text1"/>
        </w:rPr>
        <w:t>Vetrix</w:t>
      </w:r>
      <w:proofErr w:type="spellEnd"/>
      <w:r>
        <w:rPr>
          <w:rFonts w:cs="Times New Roman"/>
          <w:i/>
          <w:iCs/>
          <w:color w:val="000000" w:themeColor="text1"/>
        </w:rPr>
        <w:t xml:space="preserve"> </w:t>
      </w:r>
      <w:r>
        <w:rPr>
          <w:rFonts w:cs="Times New Roman"/>
          <w:color w:val="000000" w:themeColor="text1"/>
        </w:rPr>
        <w:t xml:space="preserve">(shrub willows) </w:t>
      </w:r>
      <w:r>
        <w:rPr>
          <w:rFonts w:cs="Times New Roman"/>
          <w:color w:val="000000" w:themeColor="text1"/>
        </w:rPr>
        <w:fldChar w:fldCharType="begin" w:fldLock="1"/>
      </w:r>
      <w:r>
        <w:rPr>
          <w:rFonts w:cs="Times New Roman"/>
          <w:color w:val="000000" w:themeColor="text1"/>
        </w:rPr>
        <w:instrText>ADDIN CSL_CITATION {"citationItems":[{"id":"ITEM-1","itemData":{"DOI":"10.3389/fpls.2021.662715","ISSN":"1664462X","abstract":"Plastome phylogenomics is used in a broad range of studies where single markers do not bear enough information. Phylogenetic reconstruction in the genus Salix is difficult due to the lack of informative characters and reticulate evolution. Here, we use a genome skimming approach to reconstruct 41 complete plastomes of 32 Eurasian and North American Salix species representing different lineages, different ploidy levels, and separate geographic regions. We combined our plastomes with published data from Genbank to build a comprehensive phylogeny of 61 samples (50 species) using RAxML (Randomized Axelerated Maximum Likelihood). Additionally, haplotype networks for two observed subclades were calculated, and 72 genes were tested to be under selection. The results revealed a highly conserved structure of the observed plastomes. Within the genus, we observed a variation of 1.68%, most of which separated subg. Salix from the subgeneric Chamaetia/Vetrix clade. Our data generally confirm previous plastid phylogenies, however, within Chamaetia/Vetrix phylogenetic results represented neither taxonomical classifications nor geographical regions. Non-coding DNA regions were responsible for most of the observed variation within subclades and 5.6% of the analyzed genes showed signals of diversifying selection. A comparison of nuclear restriction site associated DNA (RAD) sequencing and plastome data on a subset of 10 species showed discrepancies in topology and resolution. We assume that a combination of (i) a very low mutation rate due to efficient mechanisms preventing mutagenesis, (ii) reticulate evolution, including ancient and ongoing hybridization, and (iii) homoplasy has shaped plastome evolution in willows.","author":[{"dropping-particle":"","family":"Wagner","given":"Natascha D.","non-dropping-particle":"","parse-names":false,"suffix":""},{"dropping-particle":"","family":"Volf","given":"Martin","non-dropping-particle":"","parse-names":false,"suffix":""},{"dropping-particle":"","family":"Hörandl","given":"Elvira","non-dropping-particle":"","parse-names":false,"suffix":""}],"container-title":"Frontiers in Plant Science","id":"ITEM-1","issue":"September","issued":{"date-parts":[["2021"]]},"title":"Highly Diverse Shrub Willows (Salix L.) Share Highly Similar Plastomes","type":"article-journal","volume":"12"},"uris":["http://www.mendeley.com/documents/?uuid=99d45728-e884-44ed-8ace-453e034b6e0f"]}],"mendeley":{"formattedCitation":"(Wagner et al., 2021)","plainTextFormattedCitation":"(Wagner et al., 2021)","previouslyFormattedCitation":"(Wagner et al. 2021)"},"properties":{"noteIndex":0},"schema":"https://github.com/citation-style-language/schema/raw/master/csl-citation.json"}</w:instrText>
      </w:r>
      <w:r>
        <w:rPr>
          <w:rFonts w:cs="Times New Roman"/>
          <w:color w:val="000000" w:themeColor="text1"/>
        </w:rPr>
        <w:fldChar w:fldCharType="separate"/>
      </w:r>
      <w:r w:rsidRPr="002A18A2">
        <w:rPr>
          <w:rFonts w:cs="Times New Roman"/>
          <w:noProof/>
          <w:color w:val="000000" w:themeColor="text1"/>
        </w:rPr>
        <w:t>(Wagner et al., 2021)</w:t>
      </w:r>
      <w:r>
        <w:rPr>
          <w:rFonts w:cs="Times New Roman"/>
          <w:color w:val="000000" w:themeColor="text1"/>
        </w:rPr>
        <w:fldChar w:fldCharType="end"/>
      </w:r>
      <w:r>
        <w:rPr>
          <w:rFonts w:cs="Times New Roman"/>
          <w:color w:val="000000" w:themeColor="text1"/>
        </w:rPr>
        <w:t>.</w:t>
      </w:r>
    </w:p>
    <w:p w14:paraId="60BB2CFE" w14:textId="721578DF" w:rsidR="00973759" w:rsidRPr="00601193" w:rsidRDefault="00973759" w:rsidP="002A18A2">
      <w:pPr>
        <w:spacing w:line="360" w:lineRule="auto"/>
        <w:ind w:firstLine="720"/>
      </w:pPr>
      <w:r>
        <w:rPr>
          <w:rFonts w:cs="Times New Roman"/>
          <w:color w:val="000000" w:themeColor="text1"/>
        </w:rPr>
        <w:t xml:space="preserve">In addition to </w:t>
      </w:r>
      <w:proofErr w:type="spellStart"/>
      <w:r>
        <w:rPr>
          <w:rFonts w:cs="Times New Roman"/>
          <w:color w:val="000000" w:themeColor="text1"/>
        </w:rPr>
        <w:t>phylogenomics</w:t>
      </w:r>
      <w:proofErr w:type="spellEnd"/>
      <w:r>
        <w:rPr>
          <w:rFonts w:cs="Times New Roman"/>
          <w:color w:val="000000" w:themeColor="text1"/>
        </w:rPr>
        <w:t xml:space="preserve"> analyses, </w:t>
      </w:r>
      <w:r>
        <w:t xml:space="preserve">structural variation as well as gene presence and absence was assessed within the 11 </w:t>
      </w:r>
      <w:r>
        <w:rPr>
          <w:i/>
          <w:iCs/>
        </w:rPr>
        <w:t xml:space="preserve">Salix </w:t>
      </w:r>
      <w:r>
        <w:t>organelle</w:t>
      </w:r>
      <w:r>
        <w:rPr>
          <w:i/>
          <w:iCs/>
        </w:rPr>
        <w:t xml:space="preserve"> </w:t>
      </w:r>
      <w:r>
        <w:t xml:space="preserve">genomes and publicly available organelle genomes from the </w:t>
      </w:r>
      <w:r>
        <w:rPr>
          <w:i/>
          <w:iCs/>
        </w:rPr>
        <w:t>Salicaceae</w:t>
      </w:r>
      <w:r>
        <w:t>. The levels of horizontal transfer from the chloroplast to the mitogenomes were also determined for each of</w:t>
      </w:r>
      <w:r w:rsidR="00485BA2">
        <w:t xml:space="preserve"> the</w:t>
      </w:r>
      <w:r>
        <w:t xml:space="preserve"> 11 genotypes.  We also characterize repeat content and assess selection on protein-coding genes in both chloroplast and mitogenomes. From these analyses, we describe and characterize the diversity present in 11 </w:t>
      </w:r>
      <w:r>
        <w:rPr>
          <w:i/>
          <w:iCs/>
        </w:rPr>
        <w:t xml:space="preserve">Salix </w:t>
      </w:r>
      <w:r>
        <w:t xml:space="preserve">organelle genomes and provide high quality organelle assemblies and genomic resources for </w:t>
      </w:r>
      <w:r>
        <w:rPr>
          <w:i/>
          <w:iCs/>
        </w:rPr>
        <w:t>Salix.</w:t>
      </w:r>
    </w:p>
    <w:p w14:paraId="07B9F613" w14:textId="77777777" w:rsidR="00973759" w:rsidRDefault="00973759" w:rsidP="002A18A2">
      <w:pPr>
        <w:jc w:val="center"/>
      </w:pPr>
    </w:p>
    <w:p w14:paraId="0421FCAA" w14:textId="77777777" w:rsidR="00973759" w:rsidRDefault="00973759" w:rsidP="002A18A2">
      <w:pPr>
        <w:jc w:val="center"/>
        <w:rPr>
          <w:rFonts w:cs="Times New Roman"/>
          <w:b/>
          <w:bCs/>
          <w:sz w:val="28"/>
          <w:szCs w:val="28"/>
        </w:rPr>
      </w:pPr>
      <w:r>
        <w:rPr>
          <w:rFonts w:cs="Times New Roman"/>
          <w:b/>
          <w:bCs/>
          <w:sz w:val="28"/>
          <w:szCs w:val="28"/>
        </w:rPr>
        <w:t>Results</w:t>
      </w:r>
    </w:p>
    <w:p w14:paraId="26E6BD5B" w14:textId="77777777" w:rsidR="00973759" w:rsidRDefault="00973759" w:rsidP="002A18A2">
      <w:pPr>
        <w:jc w:val="center"/>
        <w:rPr>
          <w:rFonts w:cs="Times New Roman"/>
          <w:b/>
          <w:bCs/>
          <w:sz w:val="28"/>
          <w:szCs w:val="28"/>
        </w:rPr>
      </w:pPr>
    </w:p>
    <w:p w14:paraId="56F6776A" w14:textId="484FF65F" w:rsidR="00D75172" w:rsidRDefault="00973759" w:rsidP="002A18A2">
      <w:pPr>
        <w:tabs>
          <w:tab w:val="left" w:pos="360"/>
        </w:tabs>
        <w:rPr>
          <w:rFonts w:cs="Times New Roman"/>
          <w:b/>
          <w:bCs/>
          <w:color w:val="000000" w:themeColor="text1"/>
        </w:rPr>
      </w:pPr>
      <w:r w:rsidRPr="00FF5DEF">
        <w:rPr>
          <w:rFonts w:cs="Times New Roman"/>
          <w:b/>
          <w:bCs/>
          <w:color w:val="000000" w:themeColor="text1"/>
        </w:rPr>
        <w:t xml:space="preserve">Assembly and annotation of the 11 </w:t>
      </w:r>
      <w:r w:rsidRPr="00FF5DEF">
        <w:rPr>
          <w:rFonts w:cs="Times New Roman"/>
          <w:b/>
          <w:bCs/>
          <w:i/>
          <w:iCs/>
          <w:color w:val="000000" w:themeColor="text1"/>
        </w:rPr>
        <w:t xml:space="preserve">Salix </w:t>
      </w:r>
      <w:r w:rsidRPr="00FF5DEF">
        <w:rPr>
          <w:rFonts w:cs="Times New Roman"/>
          <w:b/>
          <w:bCs/>
          <w:color w:val="000000" w:themeColor="text1"/>
        </w:rPr>
        <w:t>chloroplast and mitochondrial genomes</w:t>
      </w:r>
    </w:p>
    <w:p w14:paraId="48A208F8" w14:textId="77777777" w:rsidR="00973759" w:rsidRPr="00CB156F" w:rsidRDefault="00973759" w:rsidP="002A18A2">
      <w:pPr>
        <w:tabs>
          <w:tab w:val="left" w:pos="360"/>
        </w:tabs>
        <w:spacing w:before="240" w:line="360" w:lineRule="auto"/>
        <w:rPr>
          <w:rFonts w:cs="Times New Roman"/>
          <w:color w:val="000000" w:themeColor="text1"/>
        </w:rPr>
      </w:pPr>
      <w:r>
        <w:rPr>
          <w:rFonts w:cs="Times New Roman"/>
          <w:b/>
          <w:bCs/>
          <w:color w:val="000000" w:themeColor="text1"/>
        </w:rPr>
        <w:tab/>
      </w:r>
      <w:r>
        <w:rPr>
          <w:rFonts w:cs="Times New Roman"/>
          <w:b/>
          <w:bCs/>
          <w:color w:val="000000" w:themeColor="text1"/>
        </w:rPr>
        <w:tab/>
      </w:r>
      <w:r>
        <w:rPr>
          <w:rFonts w:cs="Times New Roman"/>
          <w:color w:val="000000" w:themeColor="text1"/>
        </w:rPr>
        <w:t xml:space="preserve">The assembly of the mitogenomes and chloroplast genomes was performed with </w:t>
      </w:r>
      <w:proofErr w:type="spellStart"/>
      <w:r>
        <w:rPr>
          <w:rFonts w:cs="Times New Roman"/>
          <w:color w:val="000000" w:themeColor="text1"/>
        </w:rPr>
        <w:t>Unicycler</w:t>
      </w:r>
      <w:proofErr w:type="spellEnd"/>
      <w:r>
        <w:rPr>
          <w:rFonts w:cs="Times New Roman"/>
          <w:color w:val="000000" w:themeColor="text1"/>
        </w:rPr>
        <w:t xml:space="preserve"> and </w:t>
      </w:r>
      <w:proofErr w:type="spellStart"/>
      <w:r>
        <w:rPr>
          <w:rFonts w:cs="Times New Roman"/>
          <w:color w:val="000000" w:themeColor="text1"/>
        </w:rPr>
        <w:t>GetOrganelle</w:t>
      </w:r>
      <w:proofErr w:type="spellEnd"/>
      <w:r>
        <w:rPr>
          <w:rFonts w:cs="Times New Roman"/>
          <w:color w:val="000000" w:themeColor="text1"/>
        </w:rPr>
        <w:t xml:space="preserve">, respectively </w:t>
      </w:r>
      <w:r>
        <w:rPr>
          <w:rFonts w:cs="Times New Roman"/>
          <w:color w:val="000000" w:themeColor="text1"/>
        </w:rPr>
        <w:fldChar w:fldCharType="begin" w:fldLock="1"/>
      </w:r>
      <w:r>
        <w:rPr>
          <w:rFonts w:cs="Times New Roman"/>
          <w:color w:val="000000" w:themeColor="text1"/>
        </w:rPr>
        <w:instrText>ADDIN CSL_CITATION {"citationItems":[{"id":"ITEM-1","itemData":{"DOI":"10.1371/journal.pcbi.1005595","ISBN":"1111111111","ISSN":"15537358","PMID":"28594827","abstract":"The Illumina DNA sequencing platform generates accurate but short reads, which can be used to produce accurate but fragmented genome assemblies. Pacific Biosciences and Oxford Nanopore Technologies DNA sequencing platforms generate long reads that can produce complete genome assemblies, but the sequencing is more expensive and error-prone. There is significant interest in combining data from these complementary sequencing technologies to generate more accurate “hybrid” assemblies. However, few tools exist that truly leverage the benefits of both types of data, namely the accuracy of short reads and the structural resolving power of long reads. Here we present Unicycler, a new tool for assembling bacterial genomes from a combination of short and long reads, which produces assemblies that are accurate, complete and cost-effective. Unicycler builds an initial assembly graph from short reads using the de novo assembler SPAdes and then simplifies the graph using information from short and long reads. Unicycler uses a novel semi-global aligner to align long reads to the assembly graph. Tests on both synthetic and real reads show Unicycler can assemble larger contigs with fewer misassemblies than other hybrid assemblers, even when long-read depth and accuracy are low. Unicycler is open source (GPLv3) and available at github.com/rrwick/Unicycler.","author":[{"dropping-particle":"","family":"Wick","given":"Ryan R.","non-dropping-particle":"","parse-names":false,"suffix":""},{"dropping-particle":"","family":"Judd","given":"Louise M.","non-dropping-particle":"","parse-names":false,"suffix":""},{"dropping-particle":"","family":"Gorrie","given":"Claire L.","non-dropping-particle":"","parse-names":false,"suffix":""},{"dropping-particle":"","family":"Holt","given":"Kathryn E.","non-dropping-particle":"","parse-names":false,"suffix":""}],"container-title":"PLoS Computational Biology","id":"ITEM-1","issue":"6","issued":{"date-parts":[["2017"]]},"page":"1-22","title":"Unicycler: Resolving bacterial genome assemblies from short and long sequencing reads","type":"article-journal","volume":"13"},"uris":["http://www.mendeley.com/documents/?uuid=9b3244c1-ea55-4111-a237-4b2f5b2910e4"]},{"id":"ITEM-2","itemData":{"DOI":"10.1186/s13059-020-02154-5","ISSN":"1474760X","PMID":"32912315","abstract":"GetOrganelle is a state-of-the-art toolkit to accurately assemble organelle genomes from whole genome sequencing data. It recruits organelle-associated reads using a modified \"baiting and iterative mapping\"approach, conducts de novo assembly, filters and disentangles the assembly graph, and produces all possible configurations of circular organelle genomes. For 50 published plant datasets, we are able to reassemble the circular plastomes from 47 datasets using GetOrganelle. GetOrganelle assemblies are more accurate than published and/or NOVOPlasty-reassembled plastomes as assessed by mapping. We also assemble complete mitochondrial genomes using GetOrganelle. GetOrganelle is freely released under a GPL-3 license (https://github.com/Kinggerm/GetOrganelle).","author":[{"dropping-particle":"","family":"Jin","given":"Jian Jun","non-dropping-particle":"","parse-names":false,"suffix":""},{"dropping-particle":"Bin","family":"Yu","given":"Wen","non-dropping-particle":"","parse-names":false,"suffix":""},{"dropping-particle":"","family":"Yang","given":"Jun Bo","non-dropping-particle":"","parse-names":false,"suffix":""},{"dropping-particle":"","family":"Song","given":"Yu","non-dropping-particle":"","parse-names":false,"suffix":""},{"dropping-particle":"","family":"Depamphilis","given":"Claude W.","non-dropping-particle":"","parse-names":false,"suffix":""},{"dropping-particle":"","family":"Yi","given":"Ting Shuang","non-dropping-particle":"","parse-names":false,"suffix":""},{"dropping-particle":"","family":"Li","given":"De Zhu","non-dropping-particle":"","parse-names":false,"suffix":""}],"container-title":"Genome Biology","id":"ITEM-2","issue":"1","issued":{"date-parts":[["2020"]]},"page":"1-31","publisher":"Genome Biology","title":"GetOrganelle: A fast and versatile toolkit for accurate de novo assembly of organelle genomes","type":"article-journal","volume":"21"},"uris":["http://www.mendeley.com/documents/?uuid=7ebbdab2-fd16-4d6d-b102-f5b38395d0c9"]}],"mendeley":{"formattedCitation":"(Jin et al., 2020; Wick, Judd, Gorrie, &amp; Holt, 2017)","manualFormatting":"(Jin et al., 2020; Wick et al., 2017)","plainTextFormattedCitation":"(Jin et al., 2020; Wick, Judd, Gorrie, &amp; Holt, 2017)","previouslyFormattedCitation":"(Wick et al. 2017; Jin et al. 2020)"},"properties":{"noteIndex":0},"schema":"https://github.com/citation-style-language/schema/raw/master/csl-citation.json"}</w:instrText>
      </w:r>
      <w:r>
        <w:rPr>
          <w:rFonts w:cs="Times New Roman"/>
          <w:color w:val="000000" w:themeColor="text1"/>
        </w:rPr>
        <w:fldChar w:fldCharType="separate"/>
      </w:r>
      <w:r w:rsidRPr="00C22343">
        <w:rPr>
          <w:rFonts w:cs="Times New Roman"/>
          <w:noProof/>
          <w:color w:val="000000" w:themeColor="text1"/>
        </w:rPr>
        <w:t>(Jin et al., 2020; Wick</w:t>
      </w:r>
      <w:r>
        <w:rPr>
          <w:rFonts w:cs="Times New Roman"/>
          <w:noProof/>
          <w:color w:val="000000" w:themeColor="text1"/>
        </w:rPr>
        <w:t xml:space="preserve"> et al.</w:t>
      </w:r>
      <w:r w:rsidRPr="00C22343">
        <w:rPr>
          <w:rFonts w:cs="Times New Roman"/>
          <w:noProof/>
          <w:color w:val="000000" w:themeColor="text1"/>
        </w:rPr>
        <w:t>, 2017)</w:t>
      </w:r>
      <w:r>
        <w:rPr>
          <w:rFonts w:cs="Times New Roman"/>
          <w:color w:val="000000" w:themeColor="text1"/>
        </w:rPr>
        <w:fldChar w:fldCharType="end"/>
      </w:r>
      <w:r>
        <w:rPr>
          <w:rFonts w:cs="Times New Roman"/>
          <w:color w:val="000000" w:themeColor="text1"/>
        </w:rPr>
        <w:t xml:space="preserve">. The chloroplast genome assemblies were highly similar in both size and structure and showed little divergence (Table IV-S1, Figure IV-1). Pairwise identity was calculated between all chloroplast genomes and mean identity was 99.77% (Table IV-S2). The most similar chloroplast genomes based on sequence identity were two </w:t>
      </w:r>
      <w:r>
        <w:rPr>
          <w:rFonts w:cs="Times New Roman"/>
          <w:i/>
          <w:iCs/>
          <w:color w:val="000000" w:themeColor="text1"/>
        </w:rPr>
        <w:t xml:space="preserve">S. </w:t>
      </w:r>
      <w:proofErr w:type="spellStart"/>
      <w:r>
        <w:rPr>
          <w:rFonts w:cs="Times New Roman"/>
          <w:i/>
          <w:iCs/>
          <w:color w:val="000000" w:themeColor="text1"/>
        </w:rPr>
        <w:t>suchowensis</w:t>
      </w:r>
      <w:proofErr w:type="spellEnd"/>
      <w:r>
        <w:rPr>
          <w:rFonts w:cs="Times New Roman"/>
          <w:color w:val="000000" w:themeColor="text1"/>
        </w:rPr>
        <w:t xml:space="preserve"> genotypes P294 and P295 (99.998%) while the most dissimilar were between P336 (</w:t>
      </w:r>
      <w:r>
        <w:rPr>
          <w:rFonts w:cs="Times New Roman"/>
          <w:i/>
          <w:iCs/>
          <w:color w:val="000000" w:themeColor="text1"/>
        </w:rPr>
        <w:t>S. integra</w:t>
      </w:r>
      <w:r>
        <w:rPr>
          <w:rFonts w:cs="Times New Roman"/>
          <w:color w:val="000000" w:themeColor="text1"/>
        </w:rPr>
        <w:t>) and 07-MBG (</w:t>
      </w:r>
      <w:r>
        <w:rPr>
          <w:rFonts w:cs="Times New Roman"/>
          <w:i/>
          <w:iCs/>
          <w:color w:val="000000" w:themeColor="text1"/>
        </w:rPr>
        <w:t xml:space="preserve">S. </w:t>
      </w:r>
      <w:proofErr w:type="spellStart"/>
      <w:r>
        <w:rPr>
          <w:rFonts w:cs="Times New Roman"/>
          <w:i/>
          <w:iCs/>
          <w:color w:val="000000" w:themeColor="text1"/>
        </w:rPr>
        <w:t>viminalis</w:t>
      </w:r>
      <w:proofErr w:type="spellEnd"/>
      <w:r>
        <w:rPr>
          <w:rFonts w:cs="Times New Roman"/>
          <w:color w:val="000000" w:themeColor="text1"/>
        </w:rPr>
        <w:t xml:space="preserve">) (99.491%). To further assess structural differences between the chloroplast assemblies we explored the contraction and expansion of sequence boundaries around the inverted repeat regions (IRs) (Figure IV-S1). The short single-copy region (SSC) and large single-copy (LSC) region showed small variation in size across the 11 </w:t>
      </w:r>
      <w:r>
        <w:rPr>
          <w:rFonts w:cs="Times New Roman"/>
          <w:i/>
          <w:iCs/>
          <w:color w:val="000000" w:themeColor="text1"/>
        </w:rPr>
        <w:t xml:space="preserve">Salix </w:t>
      </w:r>
      <w:r>
        <w:rPr>
          <w:rFonts w:cs="Times New Roman"/>
          <w:color w:val="000000" w:themeColor="text1"/>
        </w:rPr>
        <w:t xml:space="preserve">chloroplast genomes and the inverted repeats were identical further indicating a highly homogenous structure. Gene numbers were identical across all 11 </w:t>
      </w:r>
      <w:r>
        <w:rPr>
          <w:rFonts w:cs="Times New Roman"/>
          <w:i/>
          <w:iCs/>
          <w:color w:val="000000" w:themeColor="text1"/>
        </w:rPr>
        <w:t xml:space="preserve">Salix </w:t>
      </w:r>
      <w:r>
        <w:rPr>
          <w:rFonts w:cs="Times New Roman"/>
          <w:color w:val="000000" w:themeColor="text1"/>
        </w:rPr>
        <w:t>chloroplast genomes with 77 protein-coding genes, one pseudogene (</w:t>
      </w:r>
      <w:proofErr w:type="spellStart"/>
      <w:r w:rsidRPr="00FB5CD2">
        <w:rPr>
          <w:rFonts w:cs="Times New Roman"/>
          <w:i/>
          <w:iCs/>
          <w:color w:val="000000" w:themeColor="text1"/>
        </w:rPr>
        <w:t>infA</w:t>
      </w:r>
      <w:proofErr w:type="spellEnd"/>
      <w:r>
        <w:rPr>
          <w:rFonts w:cs="Times New Roman"/>
          <w:color w:val="000000" w:themeColor="text1"/>
        </w:rPr>
        <w:t xml:space="preserve">), 4 rRNAs, and 27 tRNAs. To further assess the reliability of the annotations we examined protein-coding gene presence and absence between publicly available </w:t>
      </w:r>
      <w:proofErr w:type="gramStart"/>
      <w:r>
        <w:rPr>
          <w:rFonts w:cs="Times New Roman"/>
          <w:i/>
          <w:iCs/>
          <w:color w:val="000000" w:themeColor="text1"/>
        </w:rPr>
        <w:t>Populus</w:t>
      </w:r>
      <w:proofErr w:type="gramEnd"/>
      <w:r>
        <w:rPr>
          <w:rFonts w:cs="Times New Roman"/>
          <w:i/>
          <w:iCs/>
          <w:color w:val="000000" w:themeColor="text1"/>
        </w:rPr>
        <w:t xml:space="preserve"> </w:t>
      </w:r>
      <w:r>
        <w:rPr>
          <w:rFonts w:cs="Times New Roman"/>
          <w:color w:val="000000" w:themeColor="text1"/>
        </w:rPr>
        <w:t xml:space="preserve">and </w:t>
      </w:r>
      <w:r>
        <w:rPr>
          <w:rFonts w:cs="Times New Roman"/>
          <w:i/>
          <w:iCs/>
          <w:color w:val="000000" w:themeColor="text1"/>
        </w:rPr>
        <w:t xml:space="preserve">Salix </w:t>
      </w:r>
      <w:r>
        <w:rPr>
          <w:rFonts w:cs="Times New Roman"/>
          <w:color w:val="000000" w:themeColor="text1"/>
        </w:rPr>
        <w:t xml:space="preserve">chloroplast genomes and the 11 </w:t>
      </w:r>
      <w:r>
        <w:rPr>
          <w:rFonts w:cs="Times New Roman"/>
          <w:i/>
          <w:iCs/>
          <w:color w:val="000000" w:themeColor="text1"/>
        </w:rPr>
        <w:t xml:space="preserve">Salix </w:t>
      </w:r>
      <w:r>
        <w:rPr>
          <w:rFonts w:cs="Times New Roman"/>
          <w:color w:val="000000" w:themeColor="text1"/>
        </w:rPr>
        <w:t>chloroplast</w:t>
      </w:r>
      <w:r>
        <w:rPr>
          <w:rFonts w:cs="Times New Roman"/>
          <w:i/>
          <w:iCs/>
          <w:color w:val="000000" w:themeColor="text1"/>
        </w:rPr>
        <w:t xml:space="preserve"> </w:t>
      </w:r>
      <w:r>
        <w:rPr>
          <w:rFonts w:cs="Times New Roman"/>
          <w:color w:val="000000" w:themeColor="text1"/>
        </w:rPr>
        <w:t xml:space="preserve">genomes generated here (Figure IV-2A, Table IV-S3). Although variation in gene presence and absence was low across the chloroplast genomes some differences were apparent. For example, the </w:t>
      </w:r>
      <w:r w:rsidRPr="009076E9">
        <w:rPr>
          <w:rFonts w:cs="Times New Roman"/>
          <w:i/>
          <w:iCs/>
          <w:color w:val="000000" w:themeColor="text1"/>
        </w:rPr>
        <w:t>rps7</w:t>
      </w:r>
      <w:r>
        <w:rPr>
          <w:rFonts w:cs="Times New Roman"/>
          <w:color w:val="000000" w:themeColor="text1"/>
        </w:rPr>
        <w:t xml:space="preserve"> gene is absent in the publicly available </w:t>
      </w:r>
      <w:r>
        <w:rPr>
          <w:rFonts w:cs="Times New Roman"/>
          <w:i/>
          <w:iCs/>
          <w:color w:val="000000" w:themeColor="text1"/>
        </w:rPr>
        <w:t xml:space="preserve">S. </w:t>
      </w:r>
      <w:proofErr w:type="spellStart"/>
      <w:r>
        <w:rPr>
          <w:rFonts w:cs="Times New Roman"/>
          <w:i/>
          <w:iCs/>
          <w:color w:val="000000" w:themeColor="text1"/>
        </w:rPr>
        <w:t>acutifolia</w:t>
      </w:r>
      <w:proofErr w:type="spellEnd"/>
      <w:r>
        <w:rPr>
          <w:rFonts w:cs="Times New Roman"/>
          <w:i/>
          <w:iCs/>
          <w:color w:val="000000" w:themeColor="text1"/>
        </w:rPr>
        <w:t xml:space="preserve">, S. </w:t>
      </w:r>
      <w:proofErr w:type="spellStart"/>
      <w:r>
        <w:rPr>
          <w:rFonts w:cs="Times New Roman"/>
          <w:i/>
          <w:iCs/>
          <w:color w:val="000000" w:themeColor="text1"/>
        </w:rPr>
        <w:t>helvetica</w:t>
      </w:r>
      <w:proofErr w:type="spellEnd"/>
      <w:r>
        <w:rPr>
          <w:rFonts w:cs="Times New Roman"/>
          <w:i/>
          <w:iCs/>
          <w:color w:val="000000" w:themeColor="text1"/>
        </w:rPr>
        <w:t xml:space="preserve">, </w:t>
      </w:r>
      <w:r>
        <w:rPr>
          <w:rFonts w:cs="Times New Roman"/>
          <w:color w:val="000000" w:themeColor="text1"/>
        </w:rPr>
        <w:t xml:space="preserve">and </w:t>
      </w:r>
      <w:r>
        <w:rPr>
          <w:rFonts w:cs="Times New Roman"/>
          <w:i/>
          <w:iCs/>
          <w:color w:val="000000" w:themeColor="text1"/>
        </w:rPr>
        <w:t xml:space="preserve">S. </w:t>
      </w:r>
      <w:proofErr w:type="spellStart"/>
      <w:r>
        <w:rPr>
          <w:rFonts w:cs="Times New Roman"/>
          <w:i/>
          <w:iCs/>
          <w:color w:val="000000" w:themeColor="text1"/>
        </w:rPr>
        <w:t>myrsinifolia</w:t>
      </w:r>
      <w:proofErr w:type="spellEnd"/>
      <w:r>
        <w:rPr>
          <w:rFonts w:cs="Times New Roman"/>
          <w:color w:val="000000" w:themeColor="text1"/>
        </w:rPr>
        <w:t xml:space="preserve">. These three </w:t>
      </w:r>
      <w:r>
        <w:rPr>
          <w:rFonts w:cs="Times New Roman"/>
          <w:i/>
          <w:iCs/>
          <w:color w:val="000000" w:themeColor="text1"/>
        </w:rPr>
        <w:t xml:space="preserve">Salix </w:t>
      </w:r>
      <w:r>
        <w:rPr>
          <w:rFonts w:cs="Times New Roman"/>
          <w:color w:val="000000" w:themeColor="text1"/>
        </w:rPr>
        <w:t xml:space="preserve">genomes are also missing the ycf15 annotation which </w:t>
      </w:r>
      <w:r>
        <w:rPr>
          <w:rFonts w:cs="Times New Roman"/>
          <w:color w:val="000000" w:themeColor="text1"/>
        </w:rPr>
        <w:lastRenderedPageBreak/>
        <w:t xml:space="preserve">should be corrected. Additionally, the </w:t>
      </w:r>
      <w:r w:rsidRPr="009076E9">
        <w:rPr>
          <w:rFonts w:cs="Times New Roman"/>
          <w:i/>
          <w:iCs/>
          <w:color w:val="000000" w:themeColor="text1"/>
        </w:rPr>
        <w:t>rps16</w:t>
      </w:r>
      <w:r>
        <w:rPr>
          <w:rFonts w:cs="Times New Roman"/>
          <w:color w:val="000000" w:themeColor="text1"/>
        </w:rPr>
        <w:t xml:space="preserve"> gene which is present in </w:t>
      </w:r>
      <w:r>
        <w:rPr>
          <w:rFonts w:cs="Times New Roman"/>
          <w:i/>
          <w:iCs/>
          <w:color w:val="000000" w:themeColor="text1"/>
        </w:rPr>
        <w:t xml:space="preserve">S. </w:t>
      </w:r>
      <w:proofErr w:type="spellStart"/>
      <w:r>
        <w:rPr>
          <w:rFonts w:cs="Times New Roman"/>
          <w:i/>
          <w:iCs/>
          <w:color w:val="000000" w:themeColor="text1"/>
        </w:rPr>
        <w:t>acutifolia</w:t>
      </w:r>
      <w:proofErr w:type="spellEnd"/>
      <w:r>
        <w:rPr>
          <w:rFonts w:cs="Times New Roman"/>
          <w:i/>
          <w:iCs/>
          <w:color w:val="000000" w:themeColor="text1"/>
        </w:rPr>
        <w:t xml:space="preserve">, S. </w:t>
      </w:r>
      <w:proofErr w:type="spellStart"/>
      <w:r>
        <w:rPr>
          <w:rFonts w:cs="Times New Roman"/>
          <w:i/>
          <w:iCs/>
          <w:color w:val="000000" w:themeColor="text1"/>
        </w:rPr>
        <w:t>helvetica</w:t>
      </w:r>
      <w:proofErr w:type="spellEnd"/>
      <w:r>
        <w:rPr>
          <w:rFonts w:cs="Times New Roman"/>
          <w:i/>
          <w:iCs/>
          <w:color w:val="000000" w:themeColor="text1"/>
        </w:rPr>
        <w:t xml:space="preserve">, </w:t>
      </w:r>
      <w:r>
        <w:rPr>
          <w:rFonts w:cs="Times New Roman"/>
          <w:color w:val="000000" w:themeColor="text1"/>
        </w:rPr>
        <w:t xml:space="preserve">and </w:t>
      </w:r>
      <w:r>
        <w:rPr>
          <w:rFonts w:cs="Times New Roman"/>
          <w:i/>
          <w:iCs/>
          <w:color w:val="000000" w:themeColor="text1"/>
        </w:rPr>
        <w:t xml:space="preserve">S. </w:t>
      </w:r>
      <w:proofErr w:type="spellStart"/>
      <w:r>
        <w:rPr>
          <w:rFonts w:cs="Times New Roman"/>
          <w:i/>
          <w:iCs/>
          <w:color w:val="000000" w:themeColor="text1"/>
        </w:rPr>
        <w:t>myrsinifolia</w:t>
      </w:r>
      <w:proofErr w:type="spellEnd"/>
      <w:r>
        <w:rPr>
          <w:rFonts w:cs="Times New Roman"/>
          <w:i/>
          <w:iCs/>
          <w:color w:val="000000" w:themeColor="text1"/>
        </w:rPr>
        <w:t xml:space="preserve"> </w:t>
      </w:r>
      <w:r>
        <w:rPr>
          <w:rFonts w:cs="Times New Roman"/>
          <w:color w:val="000000" w:themeColor="text1"/>
        </w:rPr>
        <w:t xml:space="preserve">has been shown to be lost in the </w:t>
      </w:r>
      <w:r w:rsidRPr="00FB5CD2">
        <w:rPr>
          <w:rFonts w:cs="Times New Roman"/>
          <w:i/>
          <w:iCs/>
          <w:color w:val="000000" w:themeColor="text1"/>
        </w:rPr>
        <w:t>Salicaceae</w:t>
      </w:r>
      <w:r>
        <w:rPr>
          <w:rFonts w:cs="Times New Roman"/>
          <w:color w:val="000000" w:themeColor="text1"/>
        </w:rPr>
        <w:t xml:space="preserve"> and examination of the annotation of </w:t>
      </w:r>
      <w:r w:rsidRPr="007330CD">
        <w:rPr>
          <w:rFonts w:cs="Times New Roman"/>
          <w:i/>
          <w:iCs/>
          <w:color w:val="000000" w:themeColor="text1"/>
        </w:rPr>
        <w:t xml:space="preserve">rps16 </w:t>
      </w:r>
      <w:r>
        <w:rPr>
          <w:rFonts w:cs="Times New Roman"/>
          <w:color w:val="000000" w:themeColor="text1"/>
        </w:rPr>
        <w:t xml:space="preserve">in these three genomes suggested this gene was annotated incorrectly </w:t>
      </w:r>
      <w:r>
        <w:rPr>
          <w:rFonts w:cs="Times New Roman"/>
          <w:color w:val="000000" w:themeColor="text1"/>
        </w:rPr>
        <w:fldChar w:fldCharType="begin" w:fldLock="1"/>
      </w:r>
      <w:r>
        <w:rPr>
          <w:rFonts w:cs="Times New Roman"/>
          <w:color w:val="000000" w:themeColor="text1"/>
        </w:rPr>
        <w:instrText>ADDIN CSL_CITATION {"citationItems":[{"id":"ITEM-1","itemData":{"DOI":"10.3389/fpls.2017.01050","ISSN":"1664462X","abstract":"Chloroplast genomes of plants are highly conserved in both gene order and gene content. Analysis of the whole chloroplast genome is known to provide much more informative DNA sites and thus generates high resolution for plant phylogenies. Here, we report the complete chloroplast genomes of three Salix species in family Salicaceae. Phylogeny of Salicaceae inferred from complete chloroplast genomes is generally consistent with previous studies but resolved with higher statistical support. Incongruences of phylogeny, however, are observed in genus Populus, which most likely results from homoplasy. By comparing three Salix chloroplast genomes with the published chloroplast genomes of other Salicaceae species, we demonstrate that the synteny and length of chloroplast genomes in Salicaceae are highly conserved but experienced dynamic evolution among species. We identify seven positively selected chloroplast genes in Salicaceae, which might be related to the adaptive evolution of Salicaceae species. Comparative chloroplast genome analysis within the family also indicates that some chloroplast genes are lost or became pseudogenes, infer that the chloroplast genes horizontally transferred to the nucleus genome. Based on the complete nucleus genome sequences from two Salicaceae species, we remarkably identify that the entire chloroplast genome is indeed transferred and integrated to the nucleus genome in the individual of the reference genome of P. trichocarpa at least once. This observation, along with presence of the large nuclear plastid DNA (NUPTs) and NUPTs-containing multiple chloroplast genes in their original order in the chloroplast genome, favors the DNA-mediated hypothesis of organelle to nucleus DNA transfer. Overall, the phylogenomic analysis using chloroplast complete genomes clearly elucidates the phylogeny of Salicaceae. The identification of positively selected chloroplast genes and dynamic chloroplast-to-nucleus gene transfers in Salicaceae provide resources to better understand the successful adaptation of Salicaceae species.","author":[{"dropping-particle":"","family":"Huang","given":"Yuan","non-dropping-particle":"","parse-names":false,"suffix":""},{"dropping-particle":"","family":"Wang","given":"Jun","non-dropping-particle":"","parse-names":false,"suffix":""},{"dropping-particle":"","family":"Yang","given":"Yongping","non-dropping-particle":"","parse-names":false,"suffix":""},{"dropping-particle":"","family":"Fan","given":"Chuanzhu","non-dropping-particle":"","parse-names":false,"suffix":""},{"dropping-particle":"","family":"Chen","given":"Jiahui","non-dropping-particle":"","parse-names":false,"suffix":""}],"container-title":"Frontiers in Plant Science","id":"ITEM-1","issue":"June","issued":{"date-parts":[["2017"]]},"page":"1-13","title":"Phylogenomic analysis and dynamic evolution of chloroplast genomes in salicaceae","type":"article-journal","volume":"8"},"uris":["http://www.mendeley.com/documents/?uuid=9ac21e2f-6e3f-4ac6-accc-519fbac0dffb"]}],"mendeley":{"formattedCitation":"(Huang et al., 2017)","plainTextFormattedCitation":"(Huang et al., 2017)","previouslyFormattedCitation":"(Huang et al. 2017)"},"properties":{"noteIndex":0},"schema":"https://github.com/citation-style-language/schema/raw/master/csl-citation.json"}</w:instrText>
      </w:r>
      <w:r>
        <w:rPr>
          <w:rFonts w:cs="Times New Roman"/>
          <w:color w:val="000000" w:themeColor="text1"/>
        </w:rPr>
        <w:fldChar w:fldCharType="separate"/>
      </w:r>
      <w:r w:rsidRPr="002A18A2">
        <w:rPr>
          <w:rFonts w:cs="Times New Roman"/>
          <w:noProof/>
          <w:color w:val="000000" w:themeColor="text1"/>
        </w:rPr>
        <w:t>(Huang et al., 2017)</w:t>
      </w:r>
      <w:r>
        <w:rPr>
          <w:rFonts w:cs="Times New Roman"/>
          <w:color w:val="000000" w:themeColor="text1"/>
        </w:rPr>
        <w:fldChar w:fldCharType="end"/>
      </w:r>
      <w:r>
        <w:rPr>
          <w:rFonts w:cs="Times New Roman"/>
          <w:color w:val="000000" w:themeColor="text1"/>
        </w:rPr>
        <w:t xml:space="preserve">. </w:t>
      </w:r>
    </w:p>
    <w:p w14:paraId="0B3EF4ED" w14:textId="77777777" w:rsidR="00973759" w:rsidRDefault="00973759" w:rsidP="002A18A2">
      <w:pPr>
        <w:tabs>
          <w:tab w:val="left" w:pos="360"/>
        </w:tabs>
        <w:spacing w:line="360" w:lineRule="auto"/>
        <w:rPr>
          <w:rFonts w:cs="Times New Roman"/>
          <w:color w:val="000000" w:themeColor="text1"/>
        </w:rPr>
      </w:pPr>
      <w:r>
        <w:rPr>
          <w:rFonts w:cs="Times New Roman"/>
          <w:color w:val="000000" w:themeColor="text1"/>
        </w:rPr>
        <w:tab/>
      </w:r>
      <w:r>
        <w:rPr>
          <w:rFonts w:cs="Times New Roman"/>
          <w:color w:val="000000" w:themeColor="text1"/>
        </w:rPr>
        <w:tab/>
        <w:t xml:space="preserve">In contrast to the chloroplast assemblies, the mitogenome assemblies were more heterogenous in nature and showed evidence of differences in gene number, variation in size, and extensive rearrangement (Figure IV-S2). First, gene presence and absence </w:t>
      </w:r>
      <w:proofErr w:type="gramStart"/>
      <w:r>
        <w:rPr>
          <w:rFonts w:cs="Times New Roman"/>
          <w:color w:val="000000" w:themeColor="text1"/>
        </w:rPr>
        <w:t>was</w:t>
      </w:r>
      <w:proofErr w:type="gramEnd"/>
      <w:r>
        <w:rPr>
          <w:rFonts w:cs="Times New Roman"/>
          <w:color w:val="000000" w:themeColor="text1"/>
        </w:rPr>
        <w:t xml:space="preserve"> assessed in the 11 </w:t>
      </w:r>
      <w:r w:rsidRPr="00155490">
        <w:rPr>
          <w:rFonts w:cs="Times New Roman"/>
          <w:i/>
          <w:iCs/>
          <w:color w:val="000000" w:themeColor="text1"/>
        </w:rPr>
        <w:t>Salix</w:t>
      </w:r>
      <w:r>
        <w:rPr>
          <w:rFonts w:cs="Times New Roman"/>
          <w:i/>
          <w:iCs/>
          <w:color w:val="000000" w:themeColor="text1"/>
        </w:rPr>
        <w:t xml:space="preserve"> </w:t>
      </w:r>
      <w:r>
        <w:rPr>
          <w:rFonts w:cs="Times New Roman"/>
          <w:color w:val="000000" w:themeColor="text1"/>
        </w:rPr>
        <w:t xml:space="preserve">mitogenomes with five publicly available </w:t>
      </w:r>
      <w:r>
        <w:rPr>
          <w:rFonts w:cs="Times New Roman"/>
          <w:i/>
          <w:iCs/>
          <w:color w:val="000000" w:themeColor="text1"/>
        </w:rPr>
        <w:t xml:space="preserve">Salix </w:t>
      </w:r>
      <w:r>
        <w:rPr>
          <w:rFonts w:cs="Times New Roman"/>
          <w:color w:val="000000" w:themeColor="text1"/>
        </w:rPr>
        <w:t xml:space="preserve">and two </w:t>
      </w:r>
      <w:r>
        <w:rPr>
          <w:rFonts w:cs="Times New Roman"/>
          <w:i/>
          <w:iCs/>
          <w:color w:val="000000" w:themeColor="text1"/>
        </w:rPr>
        <w:t xml:space="preserve">Populus </w:t>
      </w:r>
      <w:r>
        <w:rPr>
          <w:rFonts w:cs="Times New Roman"/>
          <w:color w:val="000000" w:themeColor="text1"/>
        </w:rPr>
        <w:t xml:space="preserve">mitogenomes (Figure IV-2B, Table IV-S3,). Although gene content was similar within the 11 </w:t>
      </w:r>
      <w:r>
        <w:rPr>
          <w:rFonts w:cs="Times New Roman"/>
          <w:i/>
          <w:iCs/>
          <w:color w:val="000000" w:themeColor="text1"/>
        </w:rPr>
        <w:t xml:space="preserve">Salix </w:t>
      </w:r>
      <w:r>
        <w:rPr>
          <w:rFonts w:cs="Times New Roman"/>
          <w:color w:val="000000" w:themeColor="text1"/>
        </w:rPr>
        <w:t xml:space="preserve">genomes as nine out of the 11 genomes had 34 protein-coding genes both </w:t>
      </w:r>
      <w:r>
        <w:rPr>
          <w:rFonts w:cs="Times New Roman"/>
          <w:i/>
          <w:iCs/>
          <w:color w:val="000000" w:themeColor="text1"/>
        </w:rPr>
        <w:t xml:space="preserve">S. integra </w:t>
      </w:r>
      <w:r>
        <w:rPr>
          <w:rFonts w:cs="Times New Roman"/>
          <w:color w:val="000000" w:themeColor="text1"/>
        </w:rPr>
        <w:t xml:space="preserve">(P336) and </w:t>
      </w:r>
      <w:r>
        <w:rPr>
          <w:rFonts w:cs="Times New Roman"/>
          <w:i/>
          <w:iCs/>
          <w:color w:val="000000" w:themeColor="text1"/>
        </w:rPr>
        <w:t xml:space="preserve">S. </w:t>
      </w:r>
      <w:proofErr w:type="spellStart"/>
      <w:r>
        <w:rPr>
          <w:rFonts w:cs="Times New Roman"/>
          <w:i/>
          <w:iCs/>
          <w:color w:val="000000" w:themeColor="text1"/>
        </w:rPr>
        <w:t>viminalis</w:t>
      </w:r>
      <w:proofErr w:type="spellEnd"/>
      <w:r>
        <w:rPr>
          <w:rFonts w:cs="Times New Roman"/>
          <w:i/>
          <w:iCs/>
          <w:color w:val="000000" w:themeColor="text1"/>
        </w:rPr>
        <w:t xml:space="preserve"> </w:t>
      </w:r>
      <w:r>
        <w:rPr>
          <w:rFonts w:cs="Times New Roman"/>
          <w:color w:val="000000" w:themeColor="text1"/>
        </w:rPr>
        <w:t>(</w:t>
      </w:r>
      <w:proofErr w:type="spellStart"/>
      <w:r>
        <w:rPr>
          <w:rFonts w:cs="Times New Roman"/>
          <w:color w:val="000000" w:themeColor="text1"/>
        </w:rPr>
        <w:t>Jorr</w:t>
      </w:r>
      <w:proofErr w:type="spellEnd"/>
      <w:r>
        <w:rPr>
          <w:rFonts w:cs="Times New Roman"/>
          <w:color w:val="000000" w:themeColor="text1"/>
        </w:rPr>
        <w:t xml:space="preserve">) were missing the large subunit ribosomal protein </w:t>
      </w:r>
      <w:r w:rsidRPr="009076E9">
        <w:rPr>
          <w:rFonts w:cs="Times New Roman"/>
          <w:i/>
          <w:iCs/>
          <w:color w:val="000000" w:themeColor="text1"/>
        </w:rPr>
        <w:t>rpl10</w:t>
      </w:r>
      <w:r>
        <w:rPr>
          <w:rFonts w:cs="Times New Roman"/>
          <w:color w:val="000000" w:themeColor="text1"/>
        </w:rPr>
        <w:t xml:space="preserve"> gene and had 33 protein-coding genes. Interestingly, the mitogenome annotations of </w:t>
      </w:r>
      <w:r>
        <w:rPr>
          <w:rFonts w:cs="Times New Roman"/>
          <w:i/>
          <w:iCs/>
          <w:color w:val="000000" w:themeColor="text1"/>
        </w:rPr>
        <w:t xml:space="preserve">S. </w:t>
      </w:r>
      <w:proofErr w:type="spellStart"/>
      <w:r>
        <w:rPr>
          <w:rFonts w:cs="Times New Roman"/>
          <w:i/>
          <w:iCs/>
          <w:color w:val="000000" w:themeColor="text1"/>
        </w:rPr>
        <w:t>paraflabellaris</w:t>
      </w:r>
      <w:proofErr w:type="spellEnd"/>
      <w:r>
        <w:rPr>
          <w:rFonts w:cs="Times New Roman"/>
          <w:i/>
          <w:iCs/>
          <w:color w:val="000000" w:themeColor="text1"/>
        </w:rPr>
        <w:t xml:space="preserve"> </w:t>
      </w:r>
      <w:r>
        <w:rPr>
          <w:rFonts w:cs="Times New Roman"/>
          <w:color w:val="000000" w:themeColor="text1"/>
        </w:rPr>
        <w:t>(</w:t>
      </w:r>
      <w:r w:rsidRPr="00D36C67">
        <w:rPr>
          <w:rFonts w:cs="Times New Roman"/>
          <w:color w:val="000000" w:themeColor="text1"/>
        </w:rPr>
        <w:t>MK575518</w:t>
      </w:r>
      <w:r>
        <w:rPr>
          <w:rFonts w:cs="Times New Roman"/>
          <w:color w:val="000000" w:themeColor="text1"/>
        </w:rPr>
        <w:t xml:space="preserve">), </w:t>
      </w:r>
      <w:r>
        <w:rPr>
          <w:rFonts w:cs="Times New Roman"/>
          <w:i/>
          <w:iCs/>
          <w:color w:val="000000" w:themeColor="text1"/>
        </w:rPr>
        <w:t xml:space="preserve">S. </w:t>
      </w:r>
      <w:proofErr w:type="spellStart"/>
      <w:r>
        <w:rPr>
          <w:rFonts w:cs="Times New Roman"/>
          <w:i/>
          <w:iCs/>
          <w:color w:val="000000" w:themeColor="text1"/>
        </w:rPr>
        <w:t>cardiophylla</w:t>
      </w:r>
      <w:proofErr w:type="spellEnd"/>
      <w:r>
        <w:rPr>
          <w:rFonts w:cs="Times New Roman"/>
          <w:i/>
          <w:iCs/>
          <w:color w:val="000000" w:themeColor="text1"/>
        </w:rPr>
        <w:t xml:space="preserve"> </w:t>
      </w:r>
      <w:r>
        <w:rPr>
          <w:rFonts w:cs="Times New Roman"/>
          <w:color w:val="000000" w:themeColor="text1"/>
        </w:rPr>
        <w:t>(</w:t>
      </w:r>
      <w:r w:rsidRPr="00D36C67">
        <w:rPr>
          <w:rFonts w:cs="Times New Roman"/>
          <w:color w:val="000000" w:themeColor="text1"/>
        </w:rPr>
        <w:t>MT806745</w:t>
      </w:r>
      <w:r>
        <w:rPr>
          <w:rFonts w:cs="Times New Roman"/>
          <w:color w:val="000000" w:themeColor="text1"/>
        </w:rPr>
        <w:t xml:space="preserve">), and </w:t>
      </w:r>
      <w:r>
        <w:rPr>
          <w:rFonts w:cs="Times New Roman"/>
          <w:i/>
          <w:iCs/>
          <w:color w:val="000000" w:themeColor="text1"/>
        </w:rPr>
        <w:t xml:space="preserve">S. </w:t>
      </w:r>
      <w:proofErr w:type="spellStart"/>
      <w:r>
        <w:rPr>
          <w:rFonts w:cs="Times New Roman"/>
          <w:i/>
          <w:iCs/>
          <w:color w:val="000000" w:themeColor="text1"/>
        </w:rPr>
        <w:t>polaris</w:t>
      </w:r>
      <w:proofErr w:type="spellEnd"/>
      <w:r>
        <w:rPr>
          <w:rFonts w:cs="Times New Roman"/>
          <w:color w:val="000000" w:themeColor="text1"/>
        </w:rPr>
        <w:t xml:space="preserve"> (</w:t>
      </w:r>
      <w:r w:rsidRPr="00D36C67">
        <w:rPr>
          <w:rFonts w:cs="Times New Roman"/>
          <w:color w:val="000000" w:themeColor="text1"/>
        </w:rPr>
        <w:t>NC_052709</w:t>
      </w:r>
      <w:r>
        <w:rPr>
          <w:rFonts w:cs="Times New Roman"/>
          <w:color w:val="000000" w:themeColor="text1"/>
        </w:rPr>
        <w:t>)</w:t>
      </w:r>
      <w:r>
        <w:rPr>
          <w:rFonts w:cs="Times New Roman"/>
          <w:i/>
          <w:iCs/>
          <w:color w:val="000000" w:themeColor="text1"/>
        </w:rPr>
        <w:t xml:space="preserve"> </w:t>
      </w:r>
      <w:r>
        <w:rPr>
          <w:rFonts w:cs="Times New Roman"/>
          <w:color w:val="000000" w:themeColor="text1"/>
        </w:rPr>
        <w:t xml:space="preserve">also indicated the absence of </w:t>
      </w:r>
      <w:r w:rsidRPr="00595C43">
        <w:rPr>
          <w:rFonts w:cs="Times New Roman"/>
          <w:i/>
          <w:iCs/>
          <w:color w:val="000000" w:themeColor="text1"/>
        </w:rPr>
        <w:t>rpl10</w:t>
      </w:r>
      <w:r>
        <w:rPr>
          <w:rFonts w:cs="Times New Roman"/>
          <w:color w:val="000000" w:themeColor="text1"/>
        </w:rPr>
        <w:t xml:space="preserve">. After reannotation of these three genomes, it was apparent that </w:t>
      </w:r>
      <w:r w:rsidRPr="00485BA2">
        <w:rPr>
          <w:rFonts w:cs="Times New Roman"/>
          <w:i/>
          <w:iCs/>
          <w:color w:val="000000" w:themeColor="text1"/>
        </w:rPr>
        <w:t>rpl10</w:t>
      </w:r>
      <w:r>
        <w:rPr>
          <w:rFonts w:cs="Times New Roman"/>
          <w:color w:val="000000" w:themeColor="text1"/>
        </w:rPr>
        <w:t xml:space="preserve"> and the three trans-spliced NADH genes (</w:t>
      </w:r>
      <w:r w:rsidRPr="009076E9">
        <w:rPr>
          <w:rFonts w:cs="Times New Roman"/>
          <w:i/>
          <w:iCs/>
          <w:color w:val="000000" w:themeColor="text1"/>
        </w:rPr>
        <w:t>nad1</w:t>
      </w:r>
      <w:r>
        <w:rPr>
          <w:rFonts w:cs="Times New Roman"/>
          <w:color w:val="000000" w:themeColor="text1"/>
        </w:rPr>
        <w:t xml:space="preserve">, </w:t>
      </w:r>
      <w:r w:rsidRPr="009076E9">
        <w:rPr>
          <w:rFonts w:cs="Times New Roman"/>
          <w:i/>
          <w:iCs/>
          <w:color w:val="000000" w:themeColor="text1"/>
        </w:rPr>
        <w:t>nad2</w:t>
      </w:r>
      <w:r>
        <w:rPr>
          <w:rFonts w:cs="Times New Roman"/>
          <w:color w:val="000000" w:themeColor="text1"/>
        </w:rPr>
        <w:t xml:space="preserve">, </w:t>
      </w:r>
      <w:r w:rsidRPr="009076E9">
        <w:rPr>
          <w:rFonts w:cs="Times New Roman"/>
          <w:i/>
          <w:iCs/>
          <w:color w:val="000000" w:themeColor="text1"/>
        </w:rPr>
        <w:t>nad5</w:t>
      </w:r>
      <w:r>
        <w:rPr>
          <w:rFonts w:cs="Times New Roman"/>
          <w:color w:val="000000" w:themeColor="text1"/>
        </w:rPr>
        <w:t xml:space="preserve">) may be present in these genomes but were missing from the annotation (Table IV-S5). Furthermore, </w:t>
      </w:r>
      <w:r w:rsidRPr="009076E9">
        <w:rPr>
          <w:rFonts w:cs="Times New Roman"/>
          <w:i/>
          <w:iCs/>
          <w:color w:val="000000" w:themeColor="text1"/>
        </w:rPr>
        <w:t>rps14</w:t>
      </w:r>
      <w:r>
        <w:rPr>
          <w:rFonts w:cs="Times New Roman"/>
          <w:color w:val="000000" w:themeColor="text1"/>
        </w:rPr>
        <w:t xml:space="preserve"> was missing in all five publicly available </w:t>
      </w:r>
      <w:r>
        <w:rPr>
          <w:rFonts w:cs="Times New Roman"/>
          <w:i/>
          <w:iCs/>
          <w:color w:val="000000" w:themeColor="text1"/>
        </w:rPr>
        <w:t xml:space="preserve">Salix </w:t>
      </w:r>
      <w:r>
        <w:rPr>
          <w:rFonts w:cs="Times New Roman"/>
          <w:color w:val="000000" w:themeColor="text1"/>
        </w:rPr>
        <w:t xml:space="preserve">mitogenomes. We retained the </w:t>
      </w:r>
      <w:r w:rsidRPr="009076E9">
        <w:rPr>
          <w:rFonts w:cs="Times New Roman"/>
          <w:i/>
          <w:iCs/>
          <w:color w:val="000000" w:themeColor="text1"/>
        </w:rPr>
        <w:t>rps14</w:t>
      </w:r>
      <w:r>
        <w:rPr>
          <w:rFonts w:cs="Times New Roman"/>
          <w:color w:val="000000" w:themeColor="text1"/>
        </w:rPr>
        <w:t xml:space="preserve"> annotation in the 11 </w:t>
      </w:r>
      <w:r>
        <w:rPr>
          <w:rFonts w:cs="Times New Roman"/>
          <w:i/>
          <w:iCs/>
          <w:color w:val="000000" w:themeColor="text1"/>
        </w:rPr>
        <w:t xml:space="preserve">Salix </w:t>
      </w:r>
      <w:r>
        <w:rPr>
          <w:rFonts w:cs="Times New Roman"/>
          <w:color w:val="000000" w:themeColor="text1"/>
        </w:rPr>
        <w:t xml:space="preserve">mitogenome annotations as this gene had expression evidence based on RNA-Seq data from 8 different tissues (Figure IV-S3). RNA gene numbers were consistent for ribosomal RNAs as all genomes had three, however tRNA numbers were more variable as both </w:t>
      </w:r>
      <w:r>
        <w:rPr>
          <w:rFonts w:cs="Times New Roman"/>
          <w:i/>
          <w:iCs/>
          <w:color w:val="000000" w:themeColor="text1"/>
        </w:rPr>
        <w:t xml:space="preserve">S. purpurea </w:t>
      </w:r>
      <w:r>
        <w:rPr>
          <w:rFonts w:cs="Times New Roman"/>
          <w:color w:val="000000" w:themeColor="text1"/>
        </w:rPr>
        <w:t xml:space="preserve">(94006) and </w:t>
      </w:r>
      <w:r>
        <w:rPr>
          <w:rFonts w:cs="Times New Roman"/>
          <w:i/>
          <w:iCs/>
          <w:color w:val="000000" w:themeColor="text1"/>
        </w:rPr>
        <w:t xml:space="preserve">S. integra </w:t>
      </w:r>
      <w:r>
        <w:rPr>
          <w:rFonts w:cs="Times New Roman"/>
          <w:color w:val="000000" w:themeColor="text1"/>
        </w:rPr>
        <w:t>(P336)</w:t>
      </w:r>
      <w:r>
        <w:rPr>
          <w:rFonts w:cs="Times New Roman"/>
          <w:i/>
          <w:iCs/>
          <w:color w:val="000000" w:themeColor="text1"/>
        </w:rPr>
        <w:t xml:space="preserve"> </w:t>
      </w:r>
      <w:r>
        <w:rPr>
          <w:rFonts w:cs="Times New Roman"/>
          <w:color w:val="000000" w:themeColor="text1"/>
        </w:rPr>
        <w:t xml:space="preserve">were missing </w:t>
      </w:r>
      <w:proofErr w:type="spellStart"/>
      <w:r w:rsidRPr="00F942A3">
        <w:rPr>
          <w:rFonts w:cs="Times New Roman"/>
          <w:color w:val="000000" w:themeColor="text1"/>
        </w:rPr>
        <w:t>trnH</w:t>
      </w:r>
      <w:proofErr w:type="spellEnd"/>
      <w:r w:rsidRPr="00F942A3">
        <w:rPr>
          <w:rFonts w:cs="Times New Roman"/>
          <w:color w:val="000000" w:themeColor="text1"/>
        </w:rPr>
        <w:t>-AUG</w:t>
      </w:r>
      <w:r>
        <w:rPr>
          <w:rFonts w:cs="Times New Roman"/>
          <w:color w:val="000000" w:themeColor="text1"/>
        </w:rPr>
        <w:t>. All other mitogenomes had 21 tRNAs, and some differences in copy number were evident (Table IV-S5).</w:t>
      </w:r>
      <w:r w:rsidRPr="00F942A3">
        <w:rPr>
          <w:rFonts w:cs="Times New Roman"/>
          <w:color w:val="000000" w:themeColor="text1"/>
        </w:rPr>
        <w:t xml:space="preserve"> </w:t>
      </w:r>
    </w:p>
    <w:p w14:paraId="0946F1FB" w14:textId="77777777" w:rsidR="00973759" w:rsidRDefault="00973759" w:rsidP="002A18A2">
      <w:pPr>
        <w:tabs>
          <w:tab w:val="left" w:pos="360"/>
        </w:tabs>
        <w:spacing w:line="360" w:lineRule="auto"/>
        <w:rPr>
          <w:rFonts w:cs="Times New Roman"/>
          <w:color w:val="000000" w:themeColor="text1"/>
        </w:rPr>
      </w:pPr>
      <w:r>
        <w:rPr>
          <w:rFonts w:cs="Times New Roman"/>
          <w:color w:val="000000" w:themeColor="text1"/>
        </w:rPr>
        <w:tab/>
        <w:t xml:space="preserve">Although large amounts of variation were present in the 11 mitogenomes, two </w:t>
      </w:r>
      <w:r>
        <w:rPr>
          <w:rFonts w:cs="Times New Roman"/>
          <w:i/>
          <w:iCs/>
          <w:color w:val="000000" w:themeColor="text1"/>
        </w:rPr>
        <w:t xml:space="preserve">S. </w:t>
      </w:r>
      <w:proofErr w:type="spellStart"/>
      <w:r>
        <w:rPr>
          <w:rFonts w:cs="Times New Roman"/>
          <w:i/>
          <w:iCs/>
          <w:color w:val="000000" w:themeColor="text1"/>
        </w:rPr>
        <w:t>suchowensis</w:t>
      </w:r>
      <w:proofErr w:type="spellEnd"/>
      <w:r>
        <w:rPr>
          <w:rFonts w:cs="Times New Roman"/>
          <w:color w:val="000000" w:themeColor="text1"/>
        </w:rPr>
        <w:t xml:space="preserve"> (P294 and P295) mitogenome assemblies were highly homogenous which suggested they are siblings. They showed identical gene numbers, no gene rearrangements, and their genome structures consisted of one large circular </w:t>
      </w:r>
      <w:proofErr w:type="spellStart"/>
      <w:r>
        <w:rPr>
          <w:rFonts w:cs="Times New Roman"/>
          <w:color w:val="000000" w:themeColor="text1"/>
        </w:rPr>
        <w:t>subgenome</w:t>
      </w:r>
      <w:proofErr w:type="spellEnd"/>
      <w:r>
        <w:rPr>
          <w:rFonts w:cs="Times New Roman"/>
          <w:color w:val="000000" w:themeColor="text1"/>
        </w:rPr>
        <w:t xml:space="preserve"> (~556kb) and one smaller linear </w:t>
      </w:r>
      <w:proofErr w:type="spellStart"/>
      <w:r>
        <w:rPr>
          <w:rFonts w:cs="Times New Roman"/>
          <w:color w:val="000000" w:themeColor="text1"/>
        </w:rPr>
        <w:t>subgenome</w:t>
      </w:r>
      <w:proofErr w:type="spellEnd"/>
      <w:r>
        <w:rPr>
          <w:rFonts w:cs="Times New Roman"/>
          <w:color w:val="000000" w:themeColor="text1"/>
        </w:rPr>
        <w:t xml:space="preserve"> (~83 kb). Furthermore, whole genome alignment between these two genomes, also indicated no structural rearrangement (Figure IV-S2). Additionally, mitogenome conformation was conserved at the species level (Table IV-S1). For example, the </w:t>
      </w:r>
      <w:r>
        <w:rPr>
          <w:rFonts w:cs="Times New Roman"/>
          <w:i/>
          <w:iCs/>
          <w:color w:val="000000" w:themeColor="text1"/>
        </w:rPr>
        <w:t xml:space="preserve">S. purpurea </w:t>
      </w:r>
      <w:r>
        <w:rPr>
          <w:rFonts w:cs="Times New Roman"/>
          <w:color w:val="000000" w:themeColor="text1"/>
        </w:rPr>
        <w:t xml:space="preserve">(94001 and 94006) and </w:t>
      </w:r>
      <w:r>
        <w:rPr>
          <w:rFonts w:cs="Times New Roman"/>
          <w:i/>
          <w:iCs/>
          <w:color w:val="000000" w:themeColor="text1"/>
        </w:rPr>
        <w:t xml:space="preserve">S. </w:t>
      </w:r>
      <w:proofErr w:type="spellStart"/>
      <w:r>
        <w:rPr>
          <w:rFonts w:cs="Times New Roman"/>
          <w:i/>
          <w:iCs/>
          <w:color w:val="000000" w:themeColor="text1"/>
        </w:rPr>
        <w:t>koriyanagi</w:t>
      </w:r>
      <w:proofErr w:type="spellEnd"/>
      <w:r>
        <w:rPr>
          <w:rFonts w:cs="Times New Roman"/>
          <w:i/>
          <w:iCs/>
          <w:color w:val="000000" w:themeColor="text1"/>
        </w:rPr>
        <w:t xml:space="preserve"> </w:t>
      </w:r>
      <w:r>
        <w:rPr>
          <w:rFonts w:cs="Times New Roman"/>
          <w:color w:val="000000" w:themeColor="text1"/>
        </w:rPr>
        <w:t xml:space="preserve">(SH3 and 04-FF-016) mitogenomes assembled as single circles while the </w:t>
      </w:r>
      <w:r>
        <w:rPr>
          <w:rFonts w:cs="Times New Roman"/>
          <w:i/>
          <w:iCs/>
          <w:color w:val="000000" w:themeColor="text1"/>
        </w:rPr>
        <w:t xml:space="preserve">S. </w:t>
      </w:r>
      <w:proofErr w:type="spellStart"/>
      <w:r>
        <w:rPr>
          <w:rFonts w:cs="Times New Roman"/>
          <w:i/>
          <w:iCs/>
          <w:color w:val="000000" w:themeColor="text1"/>
        </w:rPr>
        <w:t>suchowensis</w:t>
      </w:r>
      <w:proofErr w:type="spellEnd"/>
      <w:r>
        <w:rPr>
          <w:rFonts w:cs="Times New Roman"/>
          <w:i/>
          <w:iCs/>
          <w:color w:val="000000" w:themeColor="text1"/>
        </w:rPr>
        <w:t xml:space="preserve"> </w:t>
      </w:r>
      <w:r>
        <w:rPr>
          <w:rFonts w:cs="Times New Roman"/>
          <w:color w:val="000000" w:themeColor="text1"/>
        </w:rPr>
        <w:t xml:space="preserve">mitogenomes (P294, P295, and P63) all had one </w:t>
      </w:r>
      <w:proofErr w:type="spellStart"/>
      <w:r>
        <w:rPr>
          <w:rFonts w:cs="Times New Roman"/>
          <w:color w:val="000000" w:themeColor="text1"/>
        </w:rPr>
        <w:t>subgenomic</w:t>
      </w:r>
      <w:proofErr w:type="spellEnd"/>
      <w:r>
        <w:rPr>
          <w:rFonts w:cs="Times New Roman"/>
          <w:color w:val="000000" w:themeColor="text1"/>
        </w:rPr>
        <w:t xml:space="preserve"> </w:t>
      </w:r>
      <w:r>
        <w:rPr>
          <w:rFonts w:cs="Times New Roman"/>
          <w:color w:val="000000" w:themeColor="text1"/>
        </w:rPr>
        <w:lastRenderedPageBreak/>
        <w:t xml:space="preserve">segment (Figure IV-2C). We also explored variation in mitogenome size among publicly available </w:t>
      </w:r>
      <w:r>
        <w:rPr>
          <w:rFonts w:cs="Times New Roman"/>
          <w:i/>
          <w:iCs/>
          <w:color w:val="000000" w:themeColor="text1"/>
        </w:rPr>
        <w:t xml:space="preserve">Salix </w:t>
      </w:r>
      <w:r>
        <w:rPr>
          <w:rFonts w:cs="Times New Roman"/>
          <w:color w:val="000000" w:themeColor="text1"/>
        </w:rPr>
        <w:t xml:space="preserve">mitogenomes and the 11 mitogenomes assembled here (Figure IV-2D). The average size based on 18 genomes is 635 kb, the species with the smallest mitogenome is </w:t>
      </w:r>
      <w:r>
        <w:rPr>
          <w:rFonts w:cs="Times New Roman"/>
          <w:i/>
          <w:iCs/>
          <w:color w:val="000000" w:themeColor="text1"/>
        </w:rPr>
        <w:t xml:space="preserve">S. </w:t>
      </w:r>
      <w:proofErr w:type="spellStart"/>
      <w:r>
        <w:rPr>
          <w:rFonts w:cs="Times New Roman"/>
          <w:i/>
          <w:iCs/>
          <w:color w:val="000000" w:themeColor="text1"/>
        </w:rPr>
        <w:t>polaris</w:t>
      </w:r>
      <w:proofErr w:type="spellEnd"/>
      <w:r>
        <w:rPr>
          <w:rFonts w:cs="Times New Roman"/>
          <w:color w:val="000000" w:themeColor="text1"/>
        </w:rPr>
        <w:t xml:space="preserve"> (562 kb) while the species with the largest mitogenome is </w:t>
      </w:r>
      <w:r>
        <w:rPr>
          <w:rFonts w:cs="Times New Roman"/>
          <w:i/>
          <w:iCs/>
          <w:color w:val="000000" w:themeColor="text1"/>
        </w:rPr>
        <w:t xml:space="preserve">S. </w:t>
      </w:r>
      <w:proofErr w:type="spellStart"/>
      <w:r>
        <w:rPr>
          <w:rFonts w:cs="Times New Roman"/>
          <w:i/>
          <w:iCs/>
          <w:color w:val="000000" w:themeColor="text1"/>
        </w:rPr>
        <w:t>cardiophylla</w:t>
      </w:r>
      <w:proofErr w:type="spellEnd"/>
      <w:r>
        <w:rPr>
          <w:rFonts w:cs="Times New Roman"/>
          <w:i/>
          <w:iCs/>
          <w:color w:val="000000" w:themeColor="text1"/>
        </w:rPr>
        <w:t xml:space="preserve"> </w:t>
      </w:r>
      <w:r>
        <w:rPr>
          <w:rFonts w:cs="Times New Roman"/>
          <w:color w:val="000000" w:themeColor="text1"/>
        </w:rPr>
        <w:t>(735 kb).</w:t>
      </w:r>
    </w:p>
    <w:p w14:paraId="01BDE169" w14:textId="77777777" w:rsidR="00973759" w:rsidRDefault="00973759" w:rsidP="002A18A2">
      <w:pPr>
        <w:tabs>
          <w:tab w:val="left" w:pos="360"/>
        </w:tabs>
        <w:spacing w:line="360" w:lineRule="auto"/>
        <w:rPr>
          <w:rFonts w:cs="Times New Roman"/>
          <w:color w:val="000000" w:themeColor="text1"/>
        </w:rPr>
      </w:pPr>
    </w:p>
    <w:p w14:paraId="6C7D2799" w14:textId="77777777" w:rsidR="00973759" w:rsidRDefault="00973759" w:rsidP="002A18A2">
      <w:pPr>
        <w:tabs>
          <w:tab w:val="left" w:pos="360"/>
        </w:tabs>
        <w:rPr>
          <w:rFonts w:cs="Times New Roman"/>
          <w:b/>
          <w:bCs/>
          <w:color w:val="000000" w:themeColor="text1"/>
        </w:rPr>
      </w:pPr>
      <w:r>
        <w:rPr>
          <w:rFonts w:cs="Times New Roman"/>
          <w:b/>
          <w:bCs/>
          <w:color w:val="000000" w:themeColor="text1"/>
        </w:rPr>
        <w:t xml:space="preserve">Repeat sequences in the 11 </w:t>
      </w:r>
      <w:r>
        <w:rPr>
          <w:rFonts w:cs="Times New Roman"/>
          <w:b/>
          <w:bCs/>
          <w:i/>
          <w:iCs/>
          <w:color w:val="000000" w:themeColor="text1"/>
        </w:rPr>
        <w:t xml:space="preserve">Salix </w:t>
      </w:r>
      <w:r>
        <w:rPr>
          <w:rFonts w:cs="Times New Roman"/>
          <w:b/>
          <w:bCs/>
          <w:color w:val="000000" w:themeColor="text1"/>
        </w:rPr>
        <w:t>chloroplast and mitogenomes</w:t>
      </w:r>
    </w:p>
    <w:p w14:paraId="18650A1A" w14:textId="77777777" w:rsidR="00973759" w:rsidRDefault="00973759" w:rsidP="002A18A2">
      <w:pPr>
        <w:tabs>
          <w:tab w:val="left" w:pos="360"/>
        </w:tabs>
        <w:rPr>
          <w:rFonts w:cs="Times New Roman"/>
          <w:b/>
          <w:bCs/>
          <w:color w:val="000000" w:themeColor="text1"/>
        </w:rPr>
      </w:pPr>
    </w:p>
    <w:p w14:paraId="7741590A" w14:textId="77777777" w:rsidR="00973759" w:rsidRDefault="00973759" w:rsidP="002A18A2">
      <w:pPr>
        <w:tabs>
          <w:tab w:val="left" w:pos="360"/>
        </w:tabs>
        <w:spacing w:line="360" w:lineRule="auto"/>
      </w:pPr>
      <w:r>
        <w:rPr>
          <w:rFonts w:cs="Times New Roman"/>
          <w:b/>
          <w:bCs/>
          <w:color w:val="000000" w:themeColor="text1"/>
        </w:rPr>
        <w:tab/>
      </w:r>
      <w:r>
        <w:rPr>
          <w:rFonts w:cs="Times New Roman"/>
          <w:color w:val="000000" w:themeColor="text1"/>
        </w:rPr>
        <w:t xml:space="preserve">We identified long repeats and simple sequence repeats (SSRs) in the 11 chloroplast and mitogenomes with </w:t>
      </w:r>
      <w:proofErr w:type="spellStart"/>
      <w:r>
        <w:t>REPuter</w:t>
      </w:r>
      <w:proofErr w:type="spellEnd"/>
      <w:r>
        <w:t xml:space="preserve"> and MISA, respectively </w:t>
      </w:r>
      <w:r>
        <w:fldChar w:fldCharType="begin" w:fldLock="1"/>
      </w:r>
      <w:r>
        <w:instrText>ADDIN CSL_CITATION {"citationItems":[{"id":"ITEM-1","itemData":{"DOI":"10.1093/nar/29.22.4633","ISSN":"03051048","PMID":"11713313","abstract":"The repetitive structure of genomic DNA holds many secrets to be discovered. A systematic study of repetitive DNA on a genomic or inter-genomic scale requires extensive algorithmic support. The REPuter program described herein was designed to serve as a fundamental tool in such studies. Efficient and complete detection of various types of repeats is provided together with an evaluation of significance and interactive visualization. This article circumscribes the wide scope of repeat analysis using applications in five different areas of sequence analysis: checking fragment assemblies, searching for low copy repeats, finding unique sequences, comparing gene structures and mapping of cDNA/EST sequences.","author":[{"dropping-particle":"","family":"Kurtz","given":"Stefan","non-dropping-particle":"","parse-names":false,"suffix":""},{"dropping-particle":"V.","family":"Choudhuri","given":"Jomuna","non-dropping-particle":"","parse-names":false,"suffix":""},{"dropping-particle":"","family":"Ohlebusch","given":"Enno","non-dropping-particle":"","parse-names":false,"suffix":""},{"dropping-particle":"","family":"Schleiermacher","given":"Chris","non-dropping-particle":"","parse-names":false,"suffix":""},{"dropping-particle":"","family":"Stoye","given":"Jens","non-dropping-particle":"","parse-names":false,"suffix":""},{"dropping-particle":"","family":"Giegerich","given":"Robert","non-dropping-particle":"","parse-names":false,"suffix":""}],"container-title":"Nucleic Acids Research","id":"ITEM-1","issue":"22","issued":{"date-parts":[["2001"]]},"page":"4633-4642","title":"REPuter: The manifold applications of repeat analysis on a genomic scale","type":"article-journal","volume":"29"},"uris":["http://www.mendeley.com/documents/?uuid=fd62e85a-0002-4322-859b-3091bb63ff55"]},{"id":"ITEM-2","itemData":{"DOI":"10.1093/bioinformatics/btx198","ISSN":"14602059","PMID":"28398459","abstract":"Motivation: Microsatellites are a widely-used marker system in plant genetics and forensics. The development of reliable microsatellite markers from resequencing data is challenging. Results: We extended MISA, a computational tool assisting the development of microsatellite markers, and reimplemented it as a web-based application. We improved compound microsatellite detection and added the possibility to display and export MISA results in GFF3 format for downstream analysis. Contact: scholz@ipk-gatersleben.de","author":[{"dropping-particle":"","family":"Beier","given":"Sebastian","non-dropping-particle":"","parse-names":false,"suffix":""},{"dropping-particle":"","family":"Thiel","given":"Thomas","non-dropping-particle":"","parse-names":false,"suffix":""},{"dropping-particle":"","family":"Münch","given":"Thomas","non-dropping-particle":"","parse-names":false,"suffix":""},{"dropping-particle":"","family":"Scholz","given":"Uwe","non-dropping-particle":"","parse-names":false,"suffix":""},{"dropping-particle":"","family":"Mascher","given":"Martin","non-dropping-particle":"","parse-names":false,"suffix":""}],"container-title":"Bioinformatics","id":"ITEM-2","issue":"16","issued":{"date-parts":[["2017"]]},"page":"2583-2585","title":"MISA-web: A web server for microsatellite prediction","type":"article-journal","volume":"33"},"uris":["http://www.mendeley.com/documents/?uuid=57a40c50-9d4a-4f01-a414-8f7c66222733"]}],"mendeley":{"formattedCitation":"(Beier, Thiel, Münch, Scholz, &amp; Mascher, 2017; Kurtz et al., 2001)","manualFormatting":"(Beier et al., 2017; Kurtz et al., 2001)","plainTextFormattedCitation":"(Beier, Thiel, Münch, Scholz, &amp; Mascher, 2017; Kurtz et al., 2001)","previouslyFormattedCitation":"(Kurtz et al. 2001; Beier et al. 2017)"},"properties":{"noteIndex":0},"schema":"https://github.com/citation-style-language/schema/raw/master/csl-citation.json"}</w:instrText>
      </w:r>
      <w:r>
        <w:fldChar w:fldCharType="separate"/>
      </w:r>
      <w:r w:rsidRPr="002E5BE6">
        <w:rPr>
          <w:noProof/>
        </w:rPr>
        <w:t>(Beier</w:t>
      </w:r>
      <w:r>
        <w:rPr>
          <w:noProof/>
        </w:rPr>
        <w:t xml:space="preserve"> et al.,</w:t>
      </w:r>
      <w:r w:rsidRPr="002E5BE6">
        <w:rPr>
          <w:noProof/>
        </w:rPr>
        <w:t xml:space="preserve"> 2017; Kurtz et al., 2001)</w:t>
      </w:r>
      <w:r>
        <w:fldChar w:fldCharType="end"/>
      </w:r>
      <w:r>
        <w:t xml:space="preserve">. Long or dispersed repeats are nucleotides sequences present in multiple instances at random positions in the genome </w:t>
      </w:r>
      <w:r>
        <w:fldChar w:fldCharType="begin" w:fldLock="1"/>
      </w:r>
      <w:r>
        <w:instrText>ADDIN CSL_CITATION {"citationItems":[{"id":"ITEM-1","itemData":{"DOI":"10.3389/fpls.2018.00689","ISSN":"1664462X","abstract":"In general, the chloroplast genomes of angiosperms are considered to be highly conserved and affected little by adaptive evolution. In this study, we tested this hypothesis based on sequence differentiation and adaptive variation in the plastid genomes in the order Dipsacales. We sequenced the plastid genomes of one Adoxaceae species and six Caprifoliaceae species, and together with seven previously released Dipsacales chloroplasts, we determined the sequence variations, evolutionary divergence of the plastid genomes, and phylogeny of Dipsacales species. The chloroplast genomes of Adoxaceae species ranged in size from 157,074 bp (Sinadoxa corydalifolia) to 158,305 bp (Sambucus williamsii), and the plastid genomes of Caprifoliaceae varied from 154,732 bp (Lonicera fragrantissima var. lancifolia) to 156,874 bp (Weigela florida). The differences in the number of genes in Caprifoliaceae and Adoxaceae species were largely due to the expansion and contraction of inverted repeat regions. In addition, we found that the number of dispersed repeats (Adoxaceae = 37; Caprifoliaceae = 384) was much higher than that of tandem repeats (Adoxaceae = 34; Caprifoliaceae = 291) in Dipsacales species. Interestingly, we determined 19 genes with positive selection sites, including three genes encoding ATP protein subunits (atpA, atpB, and atpI), four genes for ribosome protein small subunits (rps3, rps7, rps14, and rps15), four genes for photosystem protein subunits (psaA, psaJ, psbC, and pabK), two genes for ribosome protein large subunits (rpl22 and rpl32), and the clpP, infA, matK, rbcL, ycf1, and ycf2 genes. These gene regions may have played key roles in the adaptation of Dipsacales to diverse environments. In addition, phylogenetic analysis based on the plastid genomes strongly supported the division of 14 Dipsacales species into two previously recognized sections. The diversification of Adoxaceae and Caprifoliaceae was dated to the late Cretaceous and Tertiary periods. The availability of these chloroplast genomes provides useful genetic information for studying taxonomy, phylogeny, and species evolution in Dipsacales.","author":[{"dropping-particle":"","family":"Fan","given":"Wei Bing","non-dropping-particle":"","parse-names":false,"suffix":""},{"dropping-particle":"","family":"Wu","given":"Ying","non-dropping-particle":"","parse-names":false,"suffix":""},{"dropping-particle":"","family":"Yang","given":"Jiao","non-dropping-particle":"","parse-names":false,"suffix":""},{"dropping-particle":"","family":"Shahzad","given":"Khurram","non-dropping-particle":"","parse-names":false,"suffix":""},{"dropping-particle":"","family":"Li","given":"Zhong Hu","non-dropping-particle":"","parse-names":false,"suffix":""}],"container-title":"Frontiers in Plant Science","id":"ITEM-1","issue":"May","issued":{"date-parts":[["2018"]]},"page":"1-13","title":"Comparative chloroplast genomics of dipsacales species: Insights into sequence variation, adaptive evolution, and phylogenetic relationships","type":"article-journal","volume":"9"},"uris":["http://www.mendeley.com/documents/?uuid=53ba138e-cb60-4d13-b4cb-f4ef14e6d6ea"]}],"mendeley":{"formattedCitation":"(Fan et al., 2018)","plainTextFormattedCitation":"(Fan et al., 2018)","previouslyFormattedCitation":"(Fan et al. 2018)"},"properties":{"noteIndex":0},"schema":"https://github.com/citation-style-language/schema/raw/master/csl-citation.json"}</w:instrText>
      </w:r>
      <w:r>
        <w:fldChar w:fldCharType="separate"/>
      </w:r>
      <w:r w:rsidRPr="002A18A2">
        <w:rPr>
          <w:noProof/>
        </w:rPr>
        <w:t>(Fan et al., 2018)</w:t>
      </w:r>
      <w:r>
        <w:fldChar w:fldCharType="end"/>
      </w:r>
      <w:r>
        <w:t xml:space="preserve">. Recombination via dispersed repeats has been shown to be essential for organelle genome maintenance and is the primary mechanism underlying double-strand break repair in plant mitochondrial genomes </w:t>
      </w:r>
      <w:r>
        <w:fldChar w:fldCharType="begin" w:fldLock="1"/>
      </w:r>
      <w:r>
        <w:instrText>ADDIN CSL_CITATION {"citationItems":[{"id":"ITEM-1","itemData":{"DOI":"10.1146/annurev-arplant-043015-112232","ISSN":"15452123","PMID":"28226235","abstract":"The large mitochondrial genomes of angiosperms are unusually dynamic because of recombination activities involving repeated sequences. These activities generate subgenomic forms and extensive genomic variation even within the same species. Such changes in genome structure are responsible for the rapid evolution of plant mitochondrial DNA and for the variants associated with cytoplasmic male sterility and abnormal growth phenotypes. Nuclear genes modulate these processes, and over the past decade, several of these genes have been identified. They are involved mainly in pathways of DNA repair by homologous recombination and mismatch repair, which appear to be essential for the faithful replication of the mitogenome. Mutations leading to the loss of any of these activities release error-prone repair pathways, resulting in increased ectopic recombination, genome instability, and heteroplasmy. We review the present state of knowledge of the genes and pathways underlying mitochondrial genome stability.","author":[{"dropping-particle":"","family":"Gualberto","given":"José M.","non-dropping-particle":"","parse-names":false,"suffix":""},{"dropping-particle":"","family":"Newton","given":"Kathleen J.","non-dropping-particle":"","parse-names":false,"suffix":""}],"container-title":"Annual Review of Plant Biology","id":"ITEM-1","issued":{"date-parts":[["2017"]]},"page":"225-252","title":"Plant Mitochondrial Genomes: Dynamics and Mechanisms of Mutation","type":"article-journal","volume":"68"},"uris":["http://www.mendeley.com/documents/?uuid=85df16ec-9c42-4574-a530-86443c0a2f3b"]},{"id":"ITEM-2","itemData":{"DOI":"10.1093/gbe/evz263","ISSN":"17596653","PMID":"31774499","abstract":"Plant mitogenomes can be difficult to assemble because they are structurally dynamic and prone to intergenomic DNA transfers, leading to the unusual situation where an organelle genome is far outnumbered by its nuclear counterparts. As a result, comparative mitogenome studies are in their infancy and some key aspects of genome evolution are still known mainly from pregenomic, qualitative methods. To help address these limitations, we combined machine learning and in silico enrichment of mitochondrial-like long reads to assemble the bacterial-sized mitogenome of Norway spruce (Pinaceae: Picea abies). We conducted comparative analyses of repeat abundance, intergenomic transfers, substitution and rearrangement rates, and estimated repeat-by-repeat homologous recombination rates. Prompted by our discovery of highly recombinogenic small repeats in P. abies, we assessed the genomic support for the prevailing hypothesis that intramolecular recombination is predominantly driven by repeat length, with larger repeats facilitating DNA exchange more readily. Overall, we found mixed support for this view: Recombination dynamics were heterogeneous across vascular plants and highly active small repeats (ca. 200 bp) were present in about one-Third of studied mitogenomes. As in previous studies, we did not observe any robust relationships among commonly studied genome attributes, but we identify variation in recombination rates as a underinvestigated source of plant mitogenome diversity.","author":[{"dropping-particle":"","family":"Sullivan","given":"Alexis R.","non-dropping-particle":"","parse-names":false,"suffix":""},{"dropping-particle":"","family":"Eldfjell","given":"Yrin","non-dropping-particle":"","parse-names":false,"suffix":""},{"dropping-particle":"","family":"Schiffthaler","given":"Bastian","non-dropping-particle":"","parse-names":false,"suffix":""},{"dropping-particle":"","family":"Delhomme","given":"Nicolas","non-dropping-particle":"","parse-names":false,"suffix":""},{"dropping-particle":"","family":"Asp","given":"Torben","non-dropping-particle":"","parse-names":false,"suffix":""},{"dropping-particle":"","family":"Hebelstrup","given":"Kim H.","non-dropping-particle":"","parse-names":false,"suffix":""},{"dropping-particle":"","family":"Keech","given":"Olivier","non-dropping-particle":"","parse-names":false,"suffix":""},{"dropping-particle":"","family":"Öberg","given":"Lisa","non-dropping-particle":"","parse-names":false,"suffix":""},{"dropping-particle":"","family":"Møller","given":"Ian Max","non-dropping-particle":"","parse-names":false,"suffix":""},{"dropping-particle":"","family":"Arvestad","given":"Lars","non-dropping-particle":"","parse-names":false,"suffix":""},{"dropping-particle":"","family":"Street","given":"Nathaniel R.","non-dropping-particle":"","parse-names":false,"suffix":""},{"dropping-particle":"","family":"Wang","given":"Xiao Ru","non-dropping-particle":"","parse-names":false,"suffix":""}],"container-title":"Genome Biology and Evolution","id":"ITEM-2","issue":"1","issued":{"date-parts":[["2019"]]},"page":"3586-3598","title":"The Mitogenome of Norway Spruce and a Reappraisal of Mitochondrial Recombination in Plants","type":"article-journal","volume":"12"},"uris":["http://www.mendeley.com/documents/?uuid=87163e49-01a6-41b8-85aa-297cd2ece744"]}],"mendeley":{"formattedCitation":"(Gualberto &amp; Newton, 2017; Sullivan et al., 2019)","plainTextFormattedCitation":"(Gualberto &amp; Newton, 2017; Sullivan et al., 2019)","previouslyFormattedCitation":"(Gualberto &amp; Newton 2017; Sullivan et al. 2019)"},"properties":{"noteIndex":0},"schema":"https://github.com/citation-style-language/schema/raw/master/csl-citation.json"}</w:instrText>
      </w:r>
      <w:r>
        <w:fldChar w:fldCharType="separate"/>
      </w:r>
      <w:r w:rsidRPr="002A18A2">
        <w:rPr>
          <w:noProof/>
        </w:rPr>
        <w:t>(Gualberto &amp; Newton, 2017; Sullivan et al., 2019)</w:t>
      </w:r>
      <w:r>
        <w:fldChar w:fldCharType="end"/>
      </w:r>
      <w:r>
        <w:t xml:space="preserve">. Additionally, recombination via dispersed repeats in plant mitogenomes is an important driver of genome structural diversity and changes in conformations may have important phenotypic impacts </w:t>
      </w:r>
      <w:r>
        <w:fldChar w:fldCharType="begin" w:fldLock="1"/>
      </w:r>
      <w:r>
        <w:instrText>ADDIN CSL_CITATION {"citationItems":[{"id":"ITEM-1","itemData":{"DOI":"10.1093/jxb/erp361","ISSN":"00220957","PMID":"19995826","abstract":"Mitochondrial heteroplasmy is defined as the coexistence of divergent mitochondrial genotypes in a cell. The ratio of the alternative genomes may be variable, but in plants, the usually prevalent main genome is accompanied by sublimons-substoichiometric mitochondrial DNA (mtDNA) molecules. Plant mitochondrial heteroplasmy was originally viewed as being associated with pathological mutations or was found in non-natural plant populations. Currently, it is considered to be a common situation in plants. Recent years have changed the previous view on the role of homologous recombination, small-scale mutations, and paternal leakage of mtDNA in the generation of heteroplasmy. Newly developed sensitive techniques have allowed the precise estimation of mtDNA stoichiometry. Mechanisms of maintenance and transmission of heteroplasmic genomes, including DNA recombination and replication, as well as mitochondrial fusion and fission, have been studied. This review describes the high level of plant mitochondrial genome complication-the 'madness' resulting from the heteroplasmic state and explains the method hidden in this madness. Heteroplasmy is described as the evolutionary strategy of uniparentally inherited plant mitochondrial genomes which do not undergo sexual recombination. In order to compensate for this deficiency, alternative types of mtDNA are substoichiometrically accumulated as a reservoir of genetic variability and may undergo accelerated evolution. Occasionally, sublimons are selected and amplified in the process called substoichiometric shifting, to take over the role of the main genome. Alternative mitochondrial genomes may recombine, yielding new mtDNA variants, or segregate during plant growth resulting in plants with mosaic phenotypes. Two opposite roles of mitochondrial heteroplasmy with respect to acceleration or counteracting of mutation accumulation are also discussed. Finally, nuclear control of heteroplasmy and substoichiometric shifting is described.","author":[{"dropping-particle":"","family":"Woloszynska","given":"Magdalena","non-dropping-particle":"","parse-names":false,"suffix":""}],"container-title":"Journal of Experimental Botany","id":"ITEM-1","issue":"3","issued":{"date-parts":[["2010"]]},"page":"657-671","title":"Heteroplasmy and stoichiometric complexity of plant mitochondrial genomes-though this be madness, yet there's method in't","type":"article-journal","volume":"61"},"uris":["http://www.mendeley.com/documents/?uuid=2385f4e4-ed01-478e-a79d-94dfd3e7fa82"]},{"id":"ITEM-2","itemData":{"DOI":"10.1111/nph.12395","ISSN":"0028646X","PMID":"24712049","abstract":"The in vivo molecular structure of plant mitochondrial DNA (mtDNA) has been a long-standing source of intrigue and controversy. Recent deep sequencing analyses of mitochondrial genomes from numerous plant species have provided the opportunity to revisit this decades-old question from a novel perspective. Whole-genome sequencing approaches have yielded new lines of evidence that the 'master circle' is not the predominant form of plant mtDNA and have revealed striking structural variation both within and among species. Here, I review these recent studies, including the discovery that at least two independent angiosperm lineages have evolved multichromosomal mitochondrial genome structures. These findings raise fascinating questions regarding the mechanisms of plant mtDNA replication and inheritance. © 2013 New Phytologist Trust.","author":[{"dropping-particle":"","family":"Sloan","given":"Daniel B.","non-dropping-particle":"","parse-names":false,"suffix":""}],"container-title":"New Phytologist","id":"ITEM-2","issue":"4","issued":{"date-parts":[["2013"]]},"page":"978-985","title":"One ring to rule them all? Genome sequencing provides new insights into the 'master circle' model of plant mitochondrial DNA structure","type":"article-journal","volume":"200"},"uris":["http://www.mendeley.com/documents/?uuid=4fc66721-e397-4194-b27d-48584a986d51"]}],"mendeley":{"formattedCitation":"(Sloan, 2013; Woloszynska, 2010)","plainTextFormattedCitation":"(Sloan, 2013; Woloszynska, 2010)","previouslyFormattedCitation":"(Woloszynska 2010; Sloan 2013)"},"properties":{"noteIndex":0},"schema":"https://github.com/citation-style-language/schema/raw/master/csl-citation.json"}</w:instrText>
      </w:r>
      <w:r>
        <w:fldChar w:fldCharType="separate"/>
      </w:r>
      <w:r w:rsidRPr="002A18A2">
        <w:rPr>
          <w:noProof/>
        </w:rPr>
        <w:t>(Sloan, 2013; Woloszynska, 2010)</w:t>
      </w:r>
      <w:r>
        <w:fldChar w:fldCharType="end"/>
      </w:r>
      <w:r>
        <w:t xml:space="preserve">. </w:t>
      </w:r>
    </w:p>
    <w:p w14:paraId="2101CD6B" w14:textId="77777777" w:rsidR="00973759" w:rsidRDefault="00973759" w:rsidP="002A18A2">
      <w:pPr>
        <w:tabs>
          <w:tab w:val="left" w:pos="360"/>
        </w:tabs>
        <w:spacing w:line="360" w:lineRule="auto"/>
      </w:pPr>
      <w:r>
        <w:tab/>
        <w:t xml:space="preserve">Microsatellites or SSRs are tandemly repeated sequences with unit sizes from one to six (monomer to hexamer) </w:t>
      </w:r>
      <w:r>
        <w:fldChar w:fldCharType="begin" w:fldLock="1"/>
      </w:r>
      <w:r>
        <w:instrText>ADDIN CSL_CITATION {"citationItems":[{"id":"ITEM-1","itemData":{"author":[{"dropping-particle":"","family":"Powell","given":"Wayne","non-dropping-particle":"","parse-names":false,"suffix":""},{"dropping-particle":"","family":"Barkley","given":"Noelle","non-dropping-particle":"","parse-names":false,"suffix":""}],"id":"ITEM-1","issued":{"date-parts":[["1996"]]},"title":"Polymorphism revealed by simple sequence repeats Polymorphism revealed by simple sequence r e p e a t s w","type":"article-journal"},"uris":["http://www.mendeley.com/documents/?uuid=56c9c8eb-3d79-4b48-8d91-bc133a269447"]}],"mendeley":{"formattedCitation":"(Powell &amp; Barkley, 1996)","manualFormatting":"(Powell et al., 1996)","plainTextFormattedCitation":"(Powell &amp; Barkley, 1996)","previouslyFormattedCitation":"(Powell &amp; Barkley 1996)"},"properties":{"noteIndex":0},"schema":"https://github.com/citation-style-language/schema/raw/master/csl-citation.json"}</w:instrText>
      </w:r>
      <w:r>
        <w:fldChar w:fldCharType="separate"/>
      </w:r>
      <w:r w:rsidRPr="00905541">
        <w:rPr>
          <w:noProof/>
        </w:rPr>
        <w:t>(Powell</w:t>
      </w:r>
      <w:r>
        <w:rPr>
          <w:noProof/>
        </w:rPr>
        <w:t xml:space="preserve"> et al.</w:t>
      </w:r>
      <w:r w:rsidRPr="00905541">
        <w:rPr>
          <w:noProof/>
        </w:rPr>
        <w:t>, 1996)</w:t>
      </w:r>
      <w:r>
        <w:fldChar w:fldCharType="end"/>
      </w:r>
      <w:r>
        <w:t xml:space="preserve">. SSRs have been used as markers for marker assisted selection and for phylogenetic inference due to their high polymorphism within species </w:t>
      </w:r>
      <w:r>
        <w:fldChar w:fldCharType="begin" w:fldLock="1"/>
      </w:r>
      <w:r>
        <w:instrText>ADDIN CSL_CITATION {"citationItems":[{"id":"ITEM-1","itemData":{"DOI":"10.1007/s10681-010-0286-9","ISSN":"15735060","abstract":"In recent years, molecular markers have been utilized for a variety of applications including examination of genetic relationships between individuals, mapping of useful genes, construction of linkage maps, marker assisted selections and backcrosses, population genetics and phylogenetic studies. Among the available molecular markers, microsatellites or simple sequence repeats (SSRs) which are tandem repeats of one to six nucleotide long DNA motifs, have gained considerable importance in plant genetics and breeding owing to many desirable genetic attributes including hypervariability, multiallelic nature, codominant inheritance, reproducibility, relative abundance, extensive genome coverage including organellar genomes, chromosome specific location and amenability to automation and high throughput genotyping. High degree of allelic variation revealed by microsatellite markers results from variation in number of repeat-motifs at a locus caused by replication slippage and/or unequal crossing-over during meiosis. In spite of limited understanding of the functions of the SSR motifs within the plant genes, SSRs are being widely utilized in plant genome analysis. Microsatellites can be developed directly from genomic DNA libraries or from libraries enriched for specific microsatellites. Alternatively, microsatellites can also be found by searching public databases such as GenBank and EMBL or through cross-species transferability. At present, EST databases are an important source of candidate genes, as these can generate markers directly associated with a trait of interest and may be transferable in close relative genera. A large number of SSR based techniques have been developed and a quantum of literature has accumulated regarding the applicability of SSRs in plant genetics and genomics. In this review we discuss the recent developments (last 4-5 years) made in plant genetics using SSR markers. © 2010 Springer Science+Business Media B.V.","author":[{"dropping-particle":"","family":"Kalia","given":"Rajwant K.","non-dropping-particle":"","parse-names":false,"suffix":""},{"dropping-particle":"","family":"Rai","given":"Manoj K.","non-dropping-particle":"","parse-names":false,"suffix":""},{"dropping-particle":"","family":"Kalia","given":"Sanjay","non-dropping-particle":"","parse-names":false,"suffix":""},{"dropping-particle":"","family":"Singh","given":"Rohtas","non-dropping-particle":"","parse-names":false,"suffix":""},{"dropping-particle":"","family":"Dhawan","given":"A. K.","non-dropping-particle":"","parse-names":false,"suffix":""}],"container-title":"Euphytica","id":"ITEM-1","issue":"3","issued":{"date-parts":[["2011"]]},"page":"309-334","title":"Microsatellite markers: An overview of the recent progress in plants","type":"article-journal","volume":"177"},"uris":["http://www.mendeley.com/documents/?uuid=7639ffdf-3fbb-49c9-9d57-2ed2cf92b3bc"]}],"mendeley":{"formattedCitation":"(Kalia, Rai, Kalia, Singh, &amp; Dhawan, 2011)","manualFormatting":"(Kalia et al., 2011)","plainTextFormattedCitation":"(Kalia, Rai, Kalia, Singh, &amp; Dhawan, 2011)","previouslyFormattedCitation":"(Kalia et al. 2011)"},"properties":{"noteIndex":0},"schema":"https://github.com/citation-style-language/schema/raw/master/csl-citation.json"}</w:instrText>
      </w:r>
      <w:r>
        <w:fldChar w:fldCharType="separate"/>
      </w:r>
      <w:r w:rsidRPr="00475985">
        <w:rPr>
          <w:noProof/>
        </w:rPr>
        <w:t>(Kalia</w:t>
      </w:r>
      <w:r>
        <w:rPr>
          <w:noProof/>
        </w:rPr>
        <w:t xml:space="preserve"> et al.</w:t>
      </w:r>
      <w:r w:rsidRPr="00475985">
        <w:rPr>
          <w:noProof/>
        </w:rPr>
        <w:t>, 2011)</w:t>
      </w:r>
      <w:r>
        <w:fldChar w:fldCharType="end"/>
      </w:r>
      <w:r>
        <w:t>. Across the 11 chloroplast and mitogenomes total SSR numbers were consistent (Figure IV-3A). Average counts were 86 and 100 SSRs in the chloroplast and mitogenomes, respectively. SSR distribution was biased towards monomeric repeats which on average accounted for 93% and 77% of SSRs in the chloroplast and mitogenomes, respectively (Figure IV-3B, Table IV-S6). The second most common SSR class were dimers and pentamers in the chloroplast and mitochondria at 4.7% and 9.7%, respectively. Surprisingly, there were no detected SSRs which had a repeat length of three or 4 in the chloroplast genomes. Additionally, there were no pentamer or hexamer SSRs located in coding regions in either the chloroplast or mitogenomes. Coordinates for all SSRs are available in Table IV-S7.</w:t>
      </w:r>
    </w:p>
    <w:p w14:paraId="5D325437" w14:textId="77777777" w:rsidR="00973759" w:rsidRDefault="00973759" w:rsidP="002A18A2">
      <w:pPr>
        <w:tabs>
          <w:tab w:val="left" w:pos="360"/>
        </w:tabs>
        <w:spacing w:line="360" w:lineRule="auto"/>
      </w:pPr>
      <w:r>
        <w:tab/>
        <w:t xml:space="preserve">Dispersed repeats or long repeats were identified in forward, reverse, and palindromic contexts in the 11 chloroplast and mitogenomes (Figure IV-3C, Table IV-S8). Overall, forward (direct) repeats were most numerous in the chloroplast and mitogenomes except for four genotypes (94006, P63, P336, and 04-BN-051) where palindromic repeats were larger in </w:t>
      </w:r>
      <w:r>
        <w:lastRenderedPageBreak/>
        <w:t xml:space="preserve">quantity. The chloroplast genome of </w:t>
      </w:r>
      <w:r>
        <w:rPr>
          <w:i/>
          <w:iCs/>
        </w:rPr>
        <w:t xml:space="preserve">S. integra </w:t>
      </w:r>
      <w:r>
        <w:t xml:space="preserve">(P336) and the mitogenome of </w:t>
      </w:r>
      <w:r>
        <w:rPr>
          <w:i/>
          <w:iCs/>
        </w:rPr>
        <w:t xml:space="preserve">S. </w:t>
      </w:r>
      <w:proofErr w:type="spellStart"/>
      <w:r>
        <w:rPr>
          <w:i/>
          <w:iCs/>
        </w:rPr>
        <w:t>koriyanagi</w:t>
      </w:r>
      <w:proofErr w:type="spellEnd"/>
      <w:r>
        <w:rPr>
          <w:i/>
          <w:iCs/>
        </w:rPr>
        <w:t xml:space="preserve"> </w:t>
      </w:r>
      <w:r>
        <w:t>(SH3) had the largest percentage of repeats at 2.1% and 9.4%, respectively (Figure IV-S4). Additionally, mitogenome size was weakly correlated (</w:t>
      </w:r>
      <w:r w:rsidRPr="00285E7E">
        <w:rPr>
          <w:i/>
          <w:iCs/>
        </w:rPr>
        <w:t>r</w:t>
      </w:r>
      <w:r>
        <w:t xml:space="preserve"> = 0.26) with repeat content while chloroplast genome size was moderately correlated (</w:t>
      </w:r>
      <w:r w:rsidRPr="00B96AAD">
        <w:rPr>
          <w:i/>
          <w:iCs/>
        </w:rPr>
        <w:t>r</w:t>
      </w:r>
      <w:r>
        <w:t xml:space="preserve"> = 0.61). We examined repeats by size classes (35-50 bp, 51-70 bp, 71-90 bp, and &gt;90 bp) (Figure IV-S5). Repeats in the 35-50bp class had the largest number of counts and on average made up 89% and 75% of repeats in the chloroplast and mitogenomes, respectively. Large repeats were also variable in the 11 mitogenomes. There was some consistency at species level as both </w:t>
      </w:r>
      <w:r>
        <w:rPr>
          <w:i/>
          <w:iCs/>
        </w:rPr>
        <w:t xml:space="preserve">S. purpurea </w:t>
      </w:r>
      <w:r>
        <w:t xml:space="preserve">genotypes (94001 and 94006) and two of the </w:t>
      </w:r>
      <w:r>
        <w:rPr>
          <w:i/>
          <w:iCs/>
        </w:rPr>
        <w:t xml:space="preserve">S. </w:t>
      </w:r>
      <w:proofErr w:type="spellStart"/>
      <w:r>
        <w:rPr>
          <w:i/>
          <w:iCs/>
        </w:rPr>
        <w:t>suchowensis</w:t>
      </w:r>
      <w:proofErr w:type="spellEnd"/>
      <w:r>
        <w:rPr>
          <w:i/>
          <w:iCs/>
        </w:rPr>
        <w:t xml:space="preserve"> </w:t>
      </w:r>
      <w:r>
        <w:t>genotypes (P294 and P295) did not have repeats larger than 400 bp. However, the remaining genotypes had larger repeat sizes (Table IV-S8), the largest being</w:t>
      </w:r>
      <w:r>
        <w:rPr>
          <w:i/>
          <w:iCs/>
        </w:rPr>
        <w:t xml:space="preserve"> S. </w:t>
      </w:r>
      <w:proofErr w:type="spellStart"/>
      <w:r>
        <w:rPr>
          <w:i/>
          <w:iCs/>
        </w:rPr>
        <w:t>udensis</w:t>
      </w:r>
      <w:proofErr w:type="spellEnd"/>
      <w:r>
        <w:t xml:space="preserve"> (04-BN-051) which had an 11.1 kb repeat that was shared between its two </w:t>
      </w:r>
      <w:proofErr w:type="spellStart"/>
      <w:r>
        <w:t>subgenomes</w:t>
      </w:r>
      <w:proofErr w:type="spellEnd"/>
      <w:r>
        <w:t xml:space="preserve">.  Additionally, differences in maximum repeat length were evident between the two </w:t>
      </w:r>
      <w:r>
        <w:rPr>
          <w:i/>
          <w:iCs/>
        </w:rPr>
        <w:t xml:space="preserve">S. </w:t>
      </w:r>
      <w:proofErr w:type="spellStart"/>
      <w:r>
        <w:rPr>
          <w:i/>
          <w:iCs/>
        </w:rPr>
        <w:t>viminalis</w:t>
      </w:r>
      <w:proofErr w:type="spellEnd"/>
      <w:r>
        <w:rPr>
          <w:i/>
          <w:iCs/>
        </w:rPr>
        <w:t xml:space="preserve"> </w:t>
      </w:r>
      <w:r>
        <w:t xml:space="preserve">genotypes (07-MBG and </w:t>
      </w:r>
      <w:proofErr w:type="spellStart"/>
      <w:r>
        <w:t>Jorr</w:t>
      </w:r>
      <w:proofErr w:type="spellEnd"/>
      <w:r>
        <w:t xml:space="preserve">) which had repeat sizes of 1.5 kb and 7.4 kb, respectively. Also, three genotypes (P63, </w:t>
      </w:r>
      <w:proofErr w:type="spellStart"/>
      <w:r>
        <w:t>Jorr</w:t>
      </w:r>
      <w:proofErr w:type="spellEnd"/>
      <w:r>
        <w:t>, and P336) from three different species (</w:t>
      </w:r>
      <w:r>
        <w:rPr>
          <w:i/>
          <w:iCs/>
        </w:rPr>
        <w:t xml:space="preserve">S. </w:t>
      </w:r>
      <w:proofErr w:type="spellStart"/>
      <w:r>
        <w:rPr>
          <w:i/>
          <w:iCs/>
        </w:rPr>
        <w:t>suchowensis</w:t>
      </w:r>
      <w:proofErr w:type="spellEnd"/>
      <w:r>
        <w:rPr>
          <w:i/>
          <w:iCs/>
        </w:rPr>
        <w:t xml:space="preserve">, S. </w:t>
      </w:r>
      <w:proofErr w:type="spellStart"/>
      <w:r>
        <w:rPr>
          <w:i/>
          <w:iCs/>
        </w:rPr>
        <w:t>viminalis</w:t>
      </w:r>
      <w:proofErr w:type="spellEnd"/>
      <w:r>
        <w:rPr>
          <w:i/>
          <w:iCs/>
        </w:rPr>
        <w:t xml:space="preserve">, </w:t>
      </w:r>
      <w:r>
        <w:t xml:space="preserve">and </w:t>
      </w:r>
      <w:r>
        <w:rPr>
          <w:i/>
          <w:iCs/>
        </w:rPr>
        <w:t>S. integra</w:t>
      </w:r>
      <w:r>
        <w:t xml:space="preserve">) had 7 kb repeats. Based on pairwise alignment, these 7kb repeats were identical between P336 and </w:t>
      </w:r>
      <w:proofErr w:type="spellStart"/>
      <w:r>
        <w:t>Jorr</w:t>
      </w:r>
      <w:proofErr w:type="spellEnd"/>
      <w:r>
        <w:t xml:space="preserve"> and had 80% coverage (5.7 kb) in P63.</w:t>
      </w:r>
    </w:p>
    <w:p w14:paraId="6ED5B3B8" w14:textId="77777777" w:rsidR="00973759" w:rsidRDefault="00973759" w:rsidP="002A18A2">
      <w:pPr>
        <w:tabs>
          <w:tab w:val="left" w:pos="360"/>
        </w:tabs>
        <w:spacing w:line="360" w:lineRule="auto"/>
      </w:pPr>
    </w:p>
    <w:p w14:paraId="175C8FB5" w14:textId="77777777" w:rsidR="00973759" w:rsidRDefault="00973759" w:rsidP="002A18A2">
      <w:pPr>
        <w:tabs>
          <w:tab w:val="left" w:pos="360"/>
        </w:tabs>
        <w:rPr>
          <w:rFonts w:cs="Times New Roman"/>
          <w:b/>
          <w:bCs/>
        </w:rPr>
      </w:pPr>
      <w:r w:rsidRPr="00FF5DEF">
        <w:rPr>
          <w:rFonts w:cs="Times New Roman"/>
          <w:b/>
          <w:bCs/>
        </w:rPr>
        <w:t xml:space="preserve">Phylogenomic analysis </w:t>
      </w:r>
      <w:r>
        <w:rPr>
          <w:rFonts w:cs="Times New Roman"/>
          <w:b/>
          <w:bCs/>
        </w:rPr>
        <w:t xml:space="preserve">of the </w:t>
      </w:r>
      <w:r w:rsidRPr="00FF5DEF">
        <w:rPr>
          <w:rFonts w:cs="Times New Roman"/>
          <w:b/>
          <w:bCs/>
        </w:rPr>
        <w:t>11</w:t>
      </w:r>
      <w:r>
        <w:rPr>
          <w:rFonts w:cs="Times New Roman"/>
          <w:b/>
          <w:bCs/>
        </w:rPr>
        <w:t xml:space="preserve"> </w:t>
      </w:r>
      <w:r>
        <w:rPr>
          <w:rFonts w:cs="Times New Roman"/>
          <w:b/>
          <w:bCs/>
          <w:i/>
          <w:iCs/>
        </w:rPr>
        <w:t xml:space="preserve">Salix </w:t>
      </w:r>
      <w:r>
        <w:rPr>
          <w:rFonts w:cs="Times New Roman"/>
          <w:b/>
          <w:bCs/>
        </w:rPr>
        <w:t>chloroplast and mitogenomes with publicly available genomes</w:t>
      </w:r>
    </w:p>
    <w:p w14:paraId="5501E1F4" w14:textId="77777777" w:rsidR="00973759" w:rsidRDefault="00973759" w:rsidP="002A18A2">
      <w:pPr>
        <w:tabs>
          <w:tab w:val="left" w:pos="360"/>
        </w:tabs>
        <w:rPr>
          <w:rFonts w:cs="Times New Roman"/>
          <w:b/>
          <w:bCs/>
        </w:rPr>
      </w:pPr>
    </w:p>
    <w:p w14:paraId="44462741" w14:textId="77777777" w:rsidR="00973759" w:rsidRPr="001463B0" w:rsidRDefault="00973759" w:rsidP="002A18A2">
      <w:pPr>
        <w:tabs>
          <w:tab w:val="left" w:pos="360"/>
        </w:tabs>
        <w:spacing w:line="360" w:lineRule="auto"/>
        <w:rPr>
          <w:rFonts w:cs="Times New Roman"/>
          <w:color w:val="000000" w:themeColor="text1"/>
        </w:rPr>
      </w:pPr>
      <w:r>
        <w:rPr>
          <w:rFonts w:cs="Times New Roman"/>
          <w:color w:val="000000" w:themeColor="text1"/>
        </w:rPr>
        <w:tab/>
        <w:t xml:space="preserve">Chloroplast genomes have been frequently used for phylogenetic studies due their small size, conserved structure, and uniparental inheritance </w:t>
      </w:r>
      <w:r>
        <w:rPr>
          <w:rFonts w:cs="Times New Roman"/>
          <w:color w:val="000000" w:themeColor="text1"/>
        </w:rPr>
        <w:fldChar w:fldCharType="begin" w:fldLock="1"/>
      </w:r>
      <w:r>
        <w:rPr>
          <w:rFonts w:cs="Times New Roman"/>
          <w:color w:val="000000" w:themeColor="text1"/>
        </w:rPr>
        <w:instrText>ADDIN CSL_CITATION {"citationItems":[{"id":"ITEM-1","itemData":{"DOI":"10.1002/ajb2.1048","ISSN":"00029122","PMID":"29603143","abstract":"Premise of the Study: For the past one billion years, green plants (Viridiplantae) have dominated global ecosystems, yet many key branches in their evolutionary history remain poorly resolved. Using the largest analysis of Viridiplantae based on plastid genome sequences to date, we examined the phylogeny and implications for morphological evolution at key nodes. Methods: We analyzed amino acid sequences from protein-coding genes from complete (or nearly complete) plastomes for 1879 taxa, including representatives across all major clades of Viridiplantae. Much of the data used was derived from transcriptomes from the One Thousand Plants Project (1KP); other data were taken from GenBank. Key Results: Our results largely agree with previous plastid-based analyses. Noteworthy results include (1) the position of Zygnematophyceae as sister to land plants (Embryophyta), (2) a bryophyte clade (hornworts, mosses + liverworts), (3) Equisetum + Psilotaceae as sister to Marattiales + leptosporangiate ferns, (4) cycads + Ginkgo as sister to the remaining extant gymnosperms, within which Gnetophyta are placed within conifers as sister to non-Pinaceae (Gne-Cup hypothesis), and (5) Amborella, followed by water lilies (Nymphaeales), as successive sisters to all other extant angiosperms. Within angiosperms, there is support for Mesangiospermae, a clade that comprises magnoliids, Chloranthales, monocots, Ceratophyllum, and eudicots. The placements of Ceratophyllum and Dilleniaceae remain problematic. Within Pentapetalae, two major clades (superasterids and superrosids) are recovered. Conclusions: This plastid data set provides an important resource for elucidating morphological evolution, dating divergence times in Viridiplantae, comparisons with emerging nuclear phylogenies, and analyses of molecular evolutionary patterns and dynamics of the plastid genome.","author":[{"dropping-particle":"","family":"Gitzendanner","given":"Matthew A.","non-dropping-particle":"","parse-names":false,"suffix":""},{"dropping-particle":"","family":"Soltis","given":"Pamela S.","non-dropping-particle":"","parse-names":false,"suffix":""},{"dropping-particle":"","family":"Wong","given":"Gane K.S.","non-dropping-particle":"","parse-names":false,"suffix":""},{"dropping-particle":"","family":"Ruhfel","given":"Brad R.","non-dropping-particle":"","parse-names":false,"suffix":""},{"dropping-particle":"","family":"Soltis","given":"Douglas E.","non-dropping-particle":"","parse-names":false,"suffix":""}],"container-title":"American Journal of Botany","id":"ITEM-1","issue":"3","issued":{"date-parts":[["2018"]]},"page":"291-301","title":"Plastid phylogenomic analysis of green plants: A billion years of evolutionary history","type":"article-journal","volume":"105"},"uris":["http://www.mendeley.com/documents/?uuid=329ff5e0-3031-49cd-9aa8-df800254dd0f"]}],"mendeley":{"formattedCitation":"(Gitzendanner, Soltis, Wong, Ruhfel, &amp; Soltis, 2018)","manualFormatting":"(Gitzendanner et al., 2018)","plainTextFormattedCitation":"(Gitzendanner, Soltis, Wong, Ruhfel, &amp; Soltis, 2018)","previouslyFormattedCitation":"(Gitzendanner et al. 2018)"},"properties":{"noteIndex":0},"schema":"https://github.com/citation-style-language/schema/raw/master/csl-citation.json"}</w:instrText>
      </w:r>
      <w:r>
        <w:rPr>
          <w:rFonts w:cs="Times New Roman"/>
          <w:color w:val="000000" w:themeColor="text1"/>
        </w:rPr>
        <w:fldChar w:fldCharType="separate"/>
      </w:r>
      <w:r w:rsidRPr="00D16B2D">
        <w:rPr>
          <w:rFonts w:cs="Times New Roman"/>
          <w:noProof/>
          <w:color w:val="000000" w:themeColor="text1"/>
        </w:rPr>
        <w:t>(Gitzendanner</w:t>
      </w:r>
      <w:r>
        <w:rPr>
          <w:rFonts w:cs="Times New Roman"/>
          <w:noProof/>
          <w:color w:val="000000" w:themeColor="text1"/>
        </w:rPr>
        <w:t xml:space="preserve"> et al.</w:t>
      </w:r>
      <w:r w:rsidRPr="00D16B2D">
        <w:rPr>
          <w:rFonts w:cs="Times New Roman"/>
          <w:noProof/>
          <w:color w:val="000000" w:themeColor="text1"/>
        </w:rPr>
        <w:t>, 2018)</w:t>
      </w:r>
      <w:r>
        <w:rPr>
          <w:rFonts w:cs="Times New Roman"/>
          <w:color w:val="000000" w:themeColor="text1"/>
        </w:rPr>
        <w:fldChar w:fldCharType="end"/>
      </w:r>
      <w:r>
        <w:rPr>
          <w:rFonts w:cs="Times New Roman"/>
          <w:color w:val="000000" w:themeColor="text1"/>
        </w:rPr>
        <w:t xml:space="preserve">. To determine the phylogenetic relationships of the 11 genomes within the genus </w:t>
      </w:r>
      <w:r>
        <w:rPr>
          <w:rFonts w:cs="Times New Roman"/>
          <w:i/>
          <w:iCs/>
          <w:color w:val="000000" w:themeColor="text1"/>
        </w:rPr>
        <w:t>Salix</w:t>
      </w:r>
      <w:r>
        <w:rPr>
          <w:rFonts w:cs="Times New Roman"/>
          <w:color w:val="000000" w:themeColor="text1"/>
        </w:rPr>
        <w:t xml:space="preserve">, we constructed a phylogeny based on the alignment of whole chloroplast genomes (Figure IV-4A). This phylogenetic tree included the 11 chloroplast genomes assembled here and 61 publicly available </w:t>
      </w:r>
      <w:r>
        <w:rPr>
          <w:rFonts w:cs="Times New Roman"/>
          <w:i/>
          <w:iCs/>
          <w:color w:val="000000" w:themeColor="text1"/>
        </w:rPr>
        <w:t>Salix</w:t>
      </w:r>
      <w:r>
        <w:rPr>
          <w:rFonts w:cs="Times New Roman"/>
          <w:color w:val="000000" w:themeColor="text1"/>
        </w:rPr>
        <w:t xml:space="preserve"> chloroplast genomes</w:t>
      </w:r>
      <w:r>
        <w:rPr>
          <w:rFonts w:cs="Times New Roman"/>
          <w:i/>
          <w:iCs/>
          <w:color w:val="000000" w:themeColor="text1"/>
        </w:rPr>
        <w:t xml:space="preserve"> </w:t>
      </w:r>
      <w:r>
        <w:rPr>
          <w:rFonts w:cs="Times New Roman"/>
          <w:color w:val="000000" w:themeColor="text1"/>
        </w:rPr>
        <w:t xml:space="preserve">used in </w:t>
      </w:r>
      <w:r>
        <w:rPr>
          <w:rFonts w:cs="Times New Roman"/>
          <w:color w:val="000000" w:themeColor="text1"/>
        </w:rPr>
        <w:fldChar w:fldCharType="begin" w:fldLock="1"/>
      </w:r>
      <w:r>
        <w:rPr>
          <w:rFonts w:cs="Times New Roman"/>
          <w:color w:val="000000" w:themeColor="text1"/>
        </w:rPr>
        <w:instrText>ADDIN CSL_CITATION {"citationItems":[{"id":"ITEM-1","itemData":{"DOI":"10.3389/fpls.2021.662715","ISSN":"1664462X","abstract":"Plastome phylogenomics is used in a broad range of studies where single markers do not bear enough information. Phylogenetic reconstruction in the genus Salix is difficult due to the lack of informative characters and reticulate evolution. Here, we use a genome skimming approach to reconstruct 41 complete plastomes of 32 Eurasian and North American Salix species representing different lineages, different ploidy levels, and separate geographic regions. We combined our plastomes with published data from Genbank to build a comprehensive phylogeny of 61 samples (50 species) using RAxML (Randomized Axelerated Maximum Likelihood). Additionally, haplotype networks for two observed subclades were calculated, and 72 genes were tested to be under selection. The results revealed a highly conserved structure of the observed plastomes. Within the genus, we observed a variation of 1.68%, most of which separated subg. Salix from the subgeneric Chamaetia/Vetrix clade. Our data generally confirm previous plastid phylogenies, however, within Chamaetia/Vetrix phylogenetic results represented neither taxonomical classifications nor geographical regions. Non-coding DNA regions were responsible for most of the observed variation within subclades and 5.6% of the analyzed genes showed signals of diversifying selection. A comparison of nuclear restriction site associated DNA (RAD) sequencing and plastome data on a subset of 10 species showed discrepancies in topology and resolution. We assume that a combination of (i) a very low mutation rate due to efficient mechanisms preventing mutagenesis, (ii) reticulate evolution, including ancient and ongoing hybridization, and (iii) homoplasy has shaped plastome evolution in willows.","author":[{"dropping-particle":"","family":"Wagner","given":"Natascha D.","non-dropping-particle":"","parse-names":false,"suffix":""},{"dropping-particle":"","family":"Volf","given":"Martin","non-dropping-particle":"","parse-names":false,"suffix":""},{"dropping-particle":"","family":"Hörandl","given":"Elvira","non-dropping-particle":"","parse-names":false,"suffix":""}],"container-title":"Frontiers in Plant Science","id":"ITEM-1","issue":"September","issued":{"date-parts":[["2021"]]},"title":"Highly Diverse Shrub Willows (Salix L.) Share Highly Similar Plastomes","type":"article-journal","volume":"12"},"uris":["http://www.mendeley.com/documents/?uuid=99d45728-e884-44ed-8ace-453e034b6e0f"]}],"mendeley":{"formattedCitation":"(Wagner et al., 2021)","manualFormatting":"(Wagner et al., 2021)","plainTextFormattedCitation":"(Wagner et al., 2021)","previouslyFormattedCitation":"(Wagner et al. 2021)"},"properties":{"noteIndex":0},"schema":"https://github.com/citation-style-language/schema/raw/master/csl-citation.json"}</w:instrText>
      </w:r>
      <w:r>
        <w:rPr>
          <w:rFonts w:cs="Times New Roman"/>
          <w:color w:val="000000" w:themeColor="text1"/>
        </w:rPr>
        <w:fldChar w:fldCharType="separate"/>
      </w:r>
      <w:r w:rsidRPr="007B2977">
        <w:rPr>
          <w:rFonts w:cs="Times New Roman"/>
          <w:noProof/>
          <w:color w:val="000000" w:themeColor="text1"/>
        </w:rPr>
        <w:t>(Wagner</w:t>
      </w:r>
      <w:r>
        <w:rPr>
          <w:rFonts w:cs="Times New Roman"/>
          <w:noProof/>
          <w:color w:val="000000" w:themeColor="text1"/>
        </w:rPr>
        <w:t xml:space="preserve"> et al., </w:t>
      </w:r>
      <w:r w:rsidRPr="007B2977">
        <w:rPr>
          <w:rFonts w:cs="Times New Roman"/>
          <w:noProof/>
          <w:color w:val="000000" w:themeColor="text1"/>
        </w:rPr>
        <w:t>2021)</w:t>
      </w:r>
      <w:r>
        <w:rPr>
          <w:rFonts w:cs="Times New Roman"/>
          <w:color w:val="000000" w:themeColor="text1"/>
        </w:rPr>
        <w:fldChar w:fldCharType="end"/>
      </w:r>
      <w:r>
        <w:rPr>
          <w:rFonts w:cs="Times New Roman"/>
          <w:color w:val="000000" w:themeColor="text1"/>
        </w:rPr>
        <w:t xml:space="preserve"> (Table IV-S9). We observed similar tree topologies to those in Wagner et al., 2021 which included distinct clades for </w:t>
      </w:r>
      <w:r>
        <w:rPr>
          <w:rFonts w:cs="Times New Roman"/>
          <w:i/>
          <w:iCs/>
          <w:color w:val="000000" w:themeColor="text1"/>
        </w:rPr>
        <w:t xml:space="preserve">Salix </w:t>
      </w:r>
      <w:proofErr w:type="spellStart"/>
      <w:r>
        <w:rPr>
          <w:rFonts w:cs="Times New Roman"/>
          <w:color w:val="000000" w:themeColor="text1"/>
        </w:rPr>
        <w:t>s.l.</w:t>
      </w:r>
      <w:proofErr w:type="spellEnd"/>
      <w:r>
        <w:rPr>
          <w:rFonts w:cs="Times New Roman"/>
          <w:color w:val="000000" w:themeColor="text1"/>
        </w:rPr>
        <w:t xml:space="preserve"> (tree willows), </w:t>
      </w:r>
      <w:r w:rsidRPr="008D541A">
        <w:rPr>
          <w:rFonts w:ascii="Calibri" w:hAnsi="Calibri" w:cs="Calibri"/>
          <w:color w:val="000000" w:themeColor="text1"/>
        </w:rPr>
        <w:t>﻿</w:t>
      </w:r>
      <w:proofErr w:type="spellStart"/>
      <w:r w:rsidRPr="008D541A">
        <w:rPr>
          <w:rFonts w:cs="Times New Roman"/>
          <w:color w:val="000000" w:themeColor="text1"/>
        </w:rPr>
        <w:t>Amygdalinae</w:t>
      </w:r>
      <w:proofErr w:type="spellEnd"/>
      <w:r>
        <w:rPr>
          <w:rFonts w:cs="Times New Roman"/>
          <w:color w:val="000000" w:themeColor="text1"/>
        </w:rPr>
        <w:t xml:space="preserve">, and </w:t>
      </w:r>
      <w:proofErr w:type="spellStart"/>
      <w:r w:rsidRPr="008D541A">
        <w:rPr>
          <w:rFonts w:cs="Times New Roman"/>
          <w:i/>
          <w:iCs/>
          <w:color w:val="000000" w:themeColor="text1"/>
        </w:rPr>
        <w:t>Chamaetia</w:t>
      </w:r>
      <w:proofErr w:type="spellEnd"/>
      <w:r w:rsidRPr="008D541A">
        <w:rPr>
          <w:rFonts w:cs="Times New Roman"/>
          <w:i/>
          <w:iCs/>
          <w:color w:val="000000" w:themeColor="text1"/>
        </w:rPr>
        <w:t>/</w:t>
      </w:r>
      <w:proofErr w:type="spellStart"/>
      <w:r w:rsidRPr="008D541A">
        <w:rPr>
          <w:rFonts w:cs="Times New Roman"/>
          <w:i/>
          <w:iCs/>
          <w:color w:val="000000" w:themeColor="text1"/>
        </w:rPr>
        <w:t>Vetrix</w:t>
      </w:r>
      <w:proofErr w:type="spellEnd"/>
      <w:r>
        <w:rPr>
          <w:rFonts w:cs="Times New Roman"/>
          <w:color w:val="000000" w:themeColor="text1"/>
        </w:rPr>
        <w:t xml:space="preserve"> (shrub willows). As expected, the 11 </w:t>
      </w:r>
      <w:r>
        <w:rPr>
          <w:rFonts w:cs="Times New Roman"/>
          <w:i/>
          <w:iCs/>
          <w:color w:val="000000" w:themeColor="text1"/>
        </w:rPr>
        <w:t xml:space="preserve">Salix </w:t>
      </w:r>
      <w:r>
        <w:rPr>
          <w:rFonts w:cs="Times New Roman"/>
          <w:color w:val="000000" w:themeColor="text1"/>
        </w:rPr>
        <w:t xml:space="preserve">were part of the </w:t>
      </w:r>
      <w:proofErr w:type="spellStart"/>
      <w:r w:rsidRPr="008D541A">
        <w:rPr>
          <w:rFonts w:cs="Times New Roman"/>
          <w:i/>
          <w:iCs/>
          <w:color w:val="000000" w:themeColor="text1"/>
        </w:rPr>
        <w:t>Chamaetia</w:t>
      </w:r>
      <w:proofErr w:type="spellEnd"/>
      <w:r w:rsidRPr="008D541A">
        <w:rPr>
          <w:rFonts w:cs="Times New Roman"/>
          <w:i/>
          <w:iCs/>
          <w:color w:val="000000" w:themeColor="text1"/>
        </w:rPr>
        <w:t>/</w:t>
      </w:r>
      <w:proofErr w:type="spellStart"/>
      <w:r w:rsidRPr="008D541A">
        <w:rPr>
          <w:rFonts w:cs="Times New Roman"/>
          <w:i/>
          <w:iCs/>
          <w:color w:val="000000" w:themeColor="text1"/>
        </w:rPr>
        <w:t>Vetrix</w:t>
      </w:r>
      <w:proofErr w:type="spellEnd"/>
      <w:r>
        <w:rPr>
          <w:rFonts w:cs="Times New Roman"/>
          <w:color w:val="000000" w:themeColor="text1"/>
        </w:rPr>
        <w:t xml:space="preserve"> clade. Additionally, we observed short branch lengths in the </w:t>
      </w:r>
      <w:proofErr w:type="spellStart"/>
      <w:r w:rsidRPr="008D541A">
        <w:rPr>
          <w:rFonts w:cs="Times New Roman"/>
          <w:i/>
          <w:iCs/>
          <w:color w:val="000000" w:themeColor="text1"/>
        </w:rPr>
        <w:t>Chamaetia</w:t>
      </w:r>
      <w:proofErr w:type="spellEnd"/>
      <w:r w:rsidRPr="008D541A">
        <w:rPr>
          <w:rFonts w:cs="Times New Roman"/>
          <w:i/>
          <w:iCs/>
          <w:color w:val="000000" w:themeColor="text1"/>
        </w:rPr>
        <w:t>/</w:t>
      </w:r>
      <w:proofErr w:type="spellStart"/>
      <w:r w:rsidRPr="008D541A">
        <w:rPr>
          <w:rFonts w:cs="Times New Roman"/>
          <w:i/>
          <w:iCs/>
          <w:color w:val="000000" w:themeColor="text1"/>
        </w:rPr>
        <w:t>Vetrix</w:t>
      </w:r>
      <w:proofErr w:type="spellEnd"/>
      <w:r>
        <w:rPr>
          <w:rFonts w:cs="Times New Roman"/>
          <w:i/>
          <w:iCs/>
          <w:color w:val="000000" w:themeColor="text1"/>
        </w:rPr>
        <w:t xml:space="preserve"> </w:t>
      </w:r>
      <w:r>
        <w:rPr>
          <w:rFonts w:cs="Times New Roman"/>
          <w:color w:val="000000" w:themeColor="text1"/>
        </w:rPr>
        <w:t xml:space="preserve">clade and low percentages of variable sites. From the alignment of 72 whole </w:t>
      </w:r>
      <w:proofErr w:type="spellStart"/>
      <w:r>
        <w:rPr>
          <w:rFonts w:cs="Times New Roman"/>
          <w:color w:val="000000" w:themeColor="text1"/>
        </w:rPr>
        <w:t>plastome</w:t>
      </w:r>
      <w:proofErr w:type="spellEnd"/>
      <w:r>
        <w:rPr>
          <w:rFonts w:cs="Times New Roman"/>
          <w:color w:val="000000" w:themeColor="text1"/>
        </w:rPr>
        <w:t xml:space="preserve"> sequences there were 2.3% variable sites and in the </w:t>
      </w:r>
      <w:proofErr w:type="spellStart"/>
      <w:r w:rsidRPr="008D541A">
        <w:rPr>
          <w:rFonts w:cs="Times New Roman"/>
          <w:i/>
          <w:iCs/>
          <w:color w:val="000000" w:themeColor="text1"/>
        </w:rPr>
        <w:t>Chamaetia</w:t>
      </w:r>
      <w:proofErr w:type="spellEnd"/>
      <w:r w:rsidRPr="008D541A">
        <w:rPr>
          <w:rFonts w:cs="Times New Roman"/>
          <w:i/>
          <w:iCs/>
          <w:color w:val="000000" w:themeColor="text1"/>
        </w:rPr>
        <w:t>/</w:t>
      </w:r>
      <w:proofErr w:type="spellStart"/>
      <w:r w:rsidRPr="008D541A">
        <w:rPr>
          <w:rFonts w:cs="Times New Roman"/>
          <w:i/>
          <w:iCs/>
          <w:color w:val="000000" w:themeColor="text1"/>
        </w:rPr>
        <w:t>Vetrix</w:t>
      </w:r>
      <w:proofErr w:type="spellEnd"/>
      <w:r>
        <w:rPr>
          <w:rFonts w:cs="Times New Roman"/>
          <w:color w:val="000000" w:themeColor="text1"/>
        </w:rPr>
        <w:t xml:space="preserve"> clade (59 sequences) there were 0.59% variable sites. Overall, as was observed in Wagner et al., 2021, </w:t>
      </w:r>
      <w:r>
        <w:rPr>
          <w:rFonts w:cs="Times New Roman"/>
          <w:color w:val="000000" w:themeColor="text1"/>
        </w:rPr>
        <w:lastRenderedPageBreak/>
        <w:t xml:space="preserve">resolution in the </w:t>
      </w:r>
      <w:proofErr w:type="spellStart"/>
      <w:r w:rsidRPr="008D541A">
        <w:rPr>
          <w:rFonts w:cs="Times New Roman"/>
          <w:i/>
          <w:iCs/>
          <w:color w:val="000000" w:themeColor="text1"/>
        </w:rPr>
        <w:t>Chamaetia</w:t>
      </w:r>
      <w:proofErr w:type="spellEnd"/>
      <w:r w:rsidRPr="008D541A">
        <w:rPr>
          <w:rFonts w:cs="Times New Roman"/>
          <w:i/>
          <w:iCs/>
          <w:color w:val="000000" w:themeColor="text1"/>
        </w:rPr>
        <w:t>/</w:t>
      </w:r>
      <w:proofErr w:type="spellStart"/>
      <w:r w:rsidRPr="008D541A">
        <w:rPr>
          <w:rFonts w:cs="Times New Roman"/>
          <w:i/>
          <w:iCs/>
          <w:color w:val="000000" w:themeColor="text1"/>
        </w:rPr>
        <w:t>Vetrix</w:t>
      </w:r>
      <w:proofErr w:type="spellEnd"/>
      <w:r>
        <w:rPr>
          <w:rFonts w:cs="Times New Roman"/>
          <w:color w:val="000000" w:themeColor="text1"/>
        </w:rPr>
        <w:t xml:space="preserve"> clade</w:t>
      </w:r>
      <w:r>
        <w:rPr>
          <w:rFonts w:cs="Times New Roman"/>
          <w:i/>
          <w:iCs/>
          <w:color w:val="000000" w:themeColor="text1"/>
        </w:rPr>
        <w:t xml:space="preserve"> </w:t>
      </w:r>
      <w:r>
        <w:rPr>
          <w:rFonts w:cs="Times New Roman"/>
          <w:color w:val="000000" w:themeColor="text1"/>
        </w:rPr>
        <w:t xml:space="preserve">is poor and relationships at the species level in the 11 genomes are not accurate except for </w:t>
      </w:r>
      <w:r>
        <w:rPr>
          <w:rFonts w:cs="Times New Roman"/>
          <w:i/>
          <w:iCs/>
          <w:color w:val="000000" w:themeColor="text1"/>
        </w:rPr>
        <w:t xml:space="preserve">S. </w:t>
      </w:r>
      <w:proofErr w:type="spellStart"/>
      <w:r>
        <w:rPr>
          <w:rFonts w:cs="Times New Roman"/>
          <w:i/>
          <w:iCs/>
          <w:color w:val="000000" w:themeColor="text1"/>
        </w:rPr>
        <w:t>koriyanagi</w:t>
      </w:r>
      <w:proofErr w:type="spellEnd"/>
      <w:r>
        <w:rPr>
          <w:rFonts w:cs="Times New Roman"/>
          <w:color w:val="000000" w:themeColor="text1"/>
        </w:rPr>
        <w:t xml:space="preserve"> (SH3 and 04-FF-016) and </w:t>
      </w:r>
      <w:r>
        <w:rPr>
          <w:rFonts w:cs="Times New Roman"/>
          <w:i/>
          <w:iCs/>
          <w:color w:val="000000" w:themeColor="text1"/>
        </w:rPr>
        <w:t xml:space="preserve">S. </w:t>
      </w:r>
      <w:proofErr w:type="spellStart"/>
      <w:r>
        <w:rPr>
          <w:rFonts w:cs="Times New Roman"/>
          <w:i/>
          <w:iCs/>
          <w:color w:val="000000" w:themeColor="text1"/>
        </w:rPr>
        <w:t>suchowensis</w:t>
      </w:r>
      <w:proofErr w:type="spellEnd"/>
      <w:r>
        <w:rPr>
          <w:rFonts w:cs="Times New Roman"/>
          <w:i/>
          <w:iCs/>
          <w:color w:val="000000" w:themeColor="text1"/>
        </w:rPr>
        <w:t xml:space="preserve"> </w:t>
      </w:r>
      <w:r>
        <w:rPr>
          <w:rFonts w:cs="Times New Roman"/>
          <w:color w:val="000000" w:themeColor="text1"/>
        </w:rPr>
        <w:t>(P294 and P295).</w:t>
      </w:r>
    </w:p>
    <w:p w14:paraId="525CCBBE" w14:textId="77777777" w:rsidR="00973759" w:rsidRPr="001463B0" w:rsidRDefault="00973759" w:rsidP="002A18A2">
      <w:pPr>
        <w:tabs>
          <w:tab w:val="left" w:pos="360"/>
        </w:tabs>
        <w:spacing w:line="360" w:lineRule="auto"/>
      </w:pPr>
      <w:r>
        <w:rPr>
          <w:rFonts w:cs="Times New Roman"/>
          <w:color w:val="000000" w:themeColor="text1"/>
        </w:rPr>
        <w:tab/>
        <w:t xml:space="preserve">In comparison to chloroplast genomes, mitogenome based phylogenies are less commonly used for phylogenetic inference in plants. This is primarily due to their poor conservation and slower evolutionary rates compared to the nuclear and chloroplast genomes. However, there have been examples where mitogenome derived phylogenies are informative </w:t>
      </w:r>
      <w:r>
        <w:rPr>
          <w:rFonts w:cs="Times New Roman"/>
          <w:color w:val="000000" w:themeColor="text1"/>
        </w:rPr>
        <w:fldChar w:fldCharType="begin" w:fldLock="1"/>
      </w:r>
      <w:r>
        <w:rPr>
          <w:rFonts w:cs="Times New Roman"/>
          <w:color w:val="000000" w:themeColor="text1"/>
        </w:rPr>
        <w:instrText>ADDIN CSL_CITATION {"citationItems":[{"id":"ITEM-1","itemData":{"DOI":"10.3390/genes9110547","ISSN":"20734425","abstract":"Diversity in structure and organization is one of the main features of angiosperm mitochondrial genomes (mitogenomes). The ultra-long reads of Oxford Nanopore Technology (ONT) provide an opportunity to obtain a complete mitogenome and investigate the structural variation in unprecedented detail. In this study, we compared mitogenome assembly methods using Illumina and/or ONT sequencing data and obtained the complete mitogenome (208 kb) of Chrysanthemum nankingense based on the hybrid assembly method. The mitogenome encoded 19 transfer RNA genes, three ribosomal RNA genes, and 34 protein-coding genes with 21 group II introns disrupting eight intron-contained genes. A total of seven medium repeats were related to homologous recombination at different frequencies as supported by the long ONT reads. Subsequently, we investigated the variations in gene content and constitution of 28 near-complete mitogenomes from Asteraceae. A total of six protein-coding genes were missing in all Asteraceae mitogenomes, while four other genes were not detected in some lineages. The core fragments (~88 kb) of the Asteraceae mitogenomes had a higher GC content (~46.7%) than the variable and specific fragments. The phylogenetic topology based on the core fragments of the Asteraceae mitogenomes was highly consistent with the topologies obtained from the corresponding plastid datasets. Our results highlighted the advantages of the complete assembly of the C. nankingense mitogenome and the investigation of its structural variation based on ONT sequencing data. Moreover, the method based on local collinear blocks of the mitogenomes could achieve the alignment of highly rearrangeable and variable plant mitogenomes as well as construct a robust phylogenetic topology.","author":[{"dropping-particle":"","family":"Wang","given":"Shuaibin","non-dropping-particle":"","parse-names":false,"suffix":""},{"dropping-particle":"","family":"Song","given":"Qingwei","non-dropping-particle":"","parse-names":false,"suffix":""},{"dropping-particle":"","family":"Li","given":"Shanshan","non-dropping-particle":"","parse-names":false,"suffix":""},{"dropping-particle":"","family":"Hu","given":"Zhigang","non-dropping-particle":"","parse-names":false,"suffix":""},{"dropping-particle":"","family":"Dong","given":"Gangqiang","non-dropping-particle":"","parse-names":false,"suffix":""},{"dropping-particle":"","family":"Song","given":"Chi","non-dropping-particle":"","parse-names":false,"suffix":""},{"dropping-particle":"","family":"Huang","given":"Hongwen","non-dropping-particle":"","parse-names":false,"suffix":""},{"dropping-particle":"","family":"Liu","given":"Yifei","non-dropping-particle":"","parse-names":false,"suffix":""}],"container-title":"Genes","id":"ITEM-1","issue":"11","issued":{"date-parts":[["2018"]]},"title":"Assembly of a complete mitogenome of chrysanthemum nankingense using oxford nanopore long reads and the diversity and evolution of asteraceae mitogenomes","type":"article-journal","volume":"9"},"uris":["http://www.mendeley.com/documents/?uuid=4b6b606e-7371-4a77-91d5-82ada1d60541"]}],"mendeley":{"formattedCitation":"(S. Wang et al., 2018)","plainTextFormattedCitation":"(S. Wang et al., 2018)","previouslyFormattedCitation":"(Wang et al. 2018)"},"properties":{"noteIndex":0},"schema":"https://github.com/citation-style-language/schema/raw/master/csl-citation.json"}</w:instrText>
      </w:r>
      <w:r>
        <w:rPr>
          <w:rFonts w:cs="Times New Roman"/>
          <w:color w:val="000000" w:themeColor="text1"/>
        </w:rPr>
        <w:fldChar w:fldCharType="separate"/>
      </w:r>
      <w:r w:rsidRPr="002A18A2">
        <w:rPr>
          <w:rFonts w:cs="Times New Roman"/>
          <w:noProof/>
          <w:color w:val="000000" w:themeColor="text1"/>
        </w:rPr>
        <w:t>(S. Wang et al., 2018)</w:t>
      </w:r>
      <w:r>
        <w:rPr>
          <w:rFonts w:cs="Times New Roman"/>
          <w:color w:val="000000" w:themeColor="text1"/>
        </w:rPr>
        <w:fldChar w:fldCharType="end"/>
      </w:r>
      <w:r>
        <w:rPr>
          <w:rFonts w:cs="Times New Roman"/>
          <w:color w:val="000000" w:themeColor="text1"/>
        </w:rPr>
        <w:t xml:space="preserve"> Therefore, we constructed a phylogeny based on the whole genome alignment of locally collinear blocks (LCBs) of seven publicly available </w:t>
      </w:r>
      <w:r>
        <w:rPr>
          <w:rFonts w:cs="Times New Roman"/>
          <w:i/>
          <w:iCs/>
          <w:color w:val="000000" w:themeColor="text1"/>
        </w:rPr>
        <w:t>Salix</w:t>
      </w:r>
      <w:r>
        <w:rPr>
          <w:rFonts w:cs="Times New Roman"/>
          <w:color w:val="000000" w:themeColor="text1"/>
        </w:rPr>
        <w:t xml:space="preserve"> mitogenomes, the 11 </w:t>
      </w:r>
      <w:r>
        <w:rPr>
          <w:rFonts w:cs="Times New Roman"/>
          <w:i/>
          <w:iCs/>
          <w:color w:val="000000" w:themeColor="text1"/>
        </w:rPr>
        <w:t xml:space="preserve">Salix </w:t>
      </w:r>
      <w:r>
        <w:rPr>
          <w:rFonts w:cs="Times New Roman"/>
          <w:color w:val="000000" w:themeColor="text1"/>
        </w:rPr>
        <w:t xml:space="preserve">mitogenomes, and two </w:t>
      </w:r>
      <w:r>
        <w:rPr>
          <w:rFonts w:cs="Times New Roman"/>
          <w:i/>
          <w:iCs/>
          <w:color w:val="000000" w:themeColor="text1"/>
        </w:rPr>
        <w:t xml:space="preserve">Populus </w:t>
      </w:r>
      <w:r>
        <w:rPr>
          <w:rFonts w:cs="Times New Roman"/>
          <w:color w:val="000000" w:themeColor="text1"/>
        </w:rPr>
        <w:t xml:space="preserve">mitogenomes which were used as outgroups (Figure IV-4B, Table IV-S9). We observed two distinct </w:t>
      </w:r>
      <w:r>
        <w:rPr>
          <w:rFonts w:cs="Times New Roman"/>
          <w:i/>
          <w:iCs/>
          <w:color w:val="000000" w:themeColor="text1"/>
        </w:rPr>
        <w:t xml:space="preserve">Populus </w:t>
      </w:r>
      <w:r>
        <w:rPr>
          <w:rFonts w:cs="Times New Roman"/>
          <w:color w:val="000000" w:themeColor="text1"/>
        </w:rPr>
        <w:t xml:space="preserve">and </w:t>
      </w:r>
      <w:r>
        <w:rPr>
          <w:rFonts w:cs="Times New Roman"/>
          <w:i/>
          <w:iCs/>
          <w:color w:val="000000" w:themeColor="text1"/>
        </w:rPr>
        <w:t xml:space="preserve">Salix </w:t>
      </w:r>
      <w:r>
        <w:rPr>
          <w:rFonts w:cs="Times New Roman"/>
          <w:color w:val="000000" w:themeColor="text1"/>
        </w:rPr>
        <w:t xml:space="preserve">clades. As was observed in the chloroplast derived phylogeny, branch lengths were short and overall percentage of variable sites were low at 0.52% and when excluding the </w:t>
      </w:r>
      <w:r>
        <w:rPr>
          <w:rFonts w:cs="Times New Roman"/>
          <w:i/>
          <w:iCs/>
          <w:color w:val="000000" w:themeColor="text1"/>
        </w:rPr>
        <w:t xml:space="preserve">Populus </w:t>
      </w:r>
      <w:r>
        <w:rPr>
          <w:rFonts w:cs="Times New Roman"/>
          <w:color w:val="000000" w:themeColor="text1"/>
        </w:rPr>
        <w:t xml:space="preserve">genomes the percentage of variable sites were 0.34%. Phylogenetic relationships are not accurate in mitogenome derived phylogenetic tree for the 11 </w:t>
      </w:r>
      <w:r>
        <w:rPr>
          <w:rFonts w:cs="Times New Roman"/>
          <w:i/>
          <w:iCs/>
          <w:color w:val="000000" w:themeColor="text1"/>
        </w:rPr>
        <w:t xml:space="preserve">Salix </w:t>
      </w:r>
      <w:r>
        <w:rPr>
          <w:rFonts w:cs="Times New Roman"/>
          <w:color w:val="000000" w:themeColor="text1"/>
        </w:rPr>
        <w:t xml:space="preserve">genomes except for two </w:t>
      </w:r>
      <w:r>
        <w:rPr>
          <w:rFonts w:cs="Times New Roman"/>
          <w:i/>
          <w:iCs/>
          <w:color w:val="000000" w:themeColor="text1"/>
        </w:rPr>
        <w:t xml:space="preserve">S. </w:t>
      </w:r>
      <w:proofErr w:type="spellStart"/>
      <w:r>
        <w:rPr>
          <w:rFonts w:cs="Times New Roman"/>
          <w:i/>
          <w:iCs/>
          <w:color w:val="000000" w:themeColor="text1"/>
        </w:rPr>
        <w:t>suchowensis</w:t>
      </w:r>
      <w:proofErr w:type="spellEnd"/>
      <w:r>
        <w:rPr>
          <w:rFonts w:cs="Times New Roman"/>
          <w:i/>
          <w:iCs/>
          <w:color w:val="000000" w:themeColor="text1"/>
        </w:rPr>
        <w:t xml:space="preserve"> </w:t>
      </w:r>
      <w:r>
        <w:rPr>
          <w:rFonts w:cs="Times New Roman"/>
          <w:color w:val="000000" w:themeColor="text1"/>
        </w:rPr>
        <w:t>genotypes</w:t>
      </w:r>
      <w:r>
        <w:rPr>
          <w:rFonts w:cs="Times New Roman"/>
          <w:i/>
          <w:iCs/>
          <w:color w:val="000000" w:themeColor="text1"/>
        </w:rPr>
        <w:t xml:space="preserve"> </w:t>
      </w:r>
      <w:r>
        <w:rPr>
          <w:rFonts w:cs="Times New Roman"/>
          <w:color w:val="000000" w:themeColor="text1"/>
        </w:rPr>
        <w:t>(P294 and P295).</w:t>
      </w:r>
    </w:p>
    <w:p w14:paraId="4D011DC7" w14:textId="77777777" w:rsidR="00973759" w:rsidRDefault="00973759" w:rsidP="002A18A2">
      <w:pPr>
        <w:tabs>
          <w:tab w:val="left" w:pos="360"/>
        </w:tabs>
        <w:spacing w:line="360" w:lineRule="auto"/>
      </w:pPr>
    </w:p>
    <w:p w14:paraId="3EE02865" w14:textId="77777777" w:rsidR="00973759" w:rsidRDefault="00973759" w:rsidP="002A18A2">
      <w:pPr>
        <w:tabs>
          <w:tab w:val="left" w:pos="360"/>
        </w:tabs>
        <w:spacing w:line="360" w:lineRule="auto"/>
        <w:rPr>
          <w:b/>
          <w:bCs/>
        </w:rPr>
      </w:pPr>
      <w:r>
        <w:rPr>
          <w:b/>
          <w:bCs/>
        </w:rPr>
        <w:t>Chloroplast DNA transfer to the mitogenome in gene and intergenic contexts</w:t>
      </w:r>
    </w:p>
    <w:p w14:paraId="387A8102" w14:textId="77777777" w:rsidR="00973759" w:rsidRDefault="00973759" w:rsidP="002A18A2">
      <w:pPr>
        <w:tabs>
          <w:tab w:val="left" w:pos="360"/>
        </w:tabs>
        <w:spacing w:line="360" w:lineRule="auto"/>
        <w:rPr>
          <w:b/>
          <w:bCs/>
        </w:rPr>
      </w:pPr>
    </w:p>
    <w:p w14:paraId="4EB40D28" w14:textId="77777777" w:rsidR="00973759" w:rsidRDefault="00973759" w:rsidP="002A18A2">
      <w:pPr>
        <w:tabs>
          <w:tab w:val="left" w:pos="360"/>
        </w:tabs>
        <w:spacing w:line="360" w:lineRule="auto"/>
      </w:pPr>
      <w:r>
        <w:rPr>
          <w:b/>
          <w:bCs/>
        </w:rPr>
        <w:tab/>
      </w:r>
      <w:r>
        <w:t xml:space="preserve">Chloroplast DNA transfer to the 11 mitogenomes was identified with BLASTN. Each of the 11 chloroplast genomes were searched against their corresponding mitogenome and variation in chloroplast DNA transfer was apparent (Figure IV-5A). By total size, the </w:t>
      </w:r>
      <w:r>
        <w:rPr>
          <w:i/>
          <w:iCs/>
        </w:rPr>
        <w:t xml:space="preserve">S. </w:t>
      </w:r>
      <w:proofErr w:type="spellStart"/>
      <w:r>
        <w:rPr>
          <w:i/>
          <w:iCs/>
        </w:rPr>
        <w:t>koriyanagi</w:t>
      </w:r>
      <w:proofErr w:type="spellEnd"/>
      <w:r>
        <w:rPr>
          <w:i/>
          <w:iCs/>
        </w:rPr>
        <w:t xml:space="preserve"> </w:t>
      </w:r>
      <w:r>
        <w:t xml:space="preserve">SH3 mitogenome had the largest amount of chloroplast DNA at 17.3 kb. However, by percentage of mitogenome size </w:t>
      </w:r>
      <w:r>
        <w:rPr>
          <w:i/>
          <w:iCs/>
        </w:rPr>
        <w:t xml:space="preserve">S. purpurea </w:t>
      </w:r>
      <w:r>
        <w:t xml:space="preserve">94006 had the largest amount of chloroplast DNA at 2.86% (Figure IV-5B). Comparatively, </w:t>
      </w:r>
      <w:r>
        <w:rPr>
          <w:i/>
          <w:iCs/>
        </w:rPr>
        <w:t xml:space="preserve">S. </w:t>
      </w:r>
      <w:proofErr w:type="spellStart"/>
      <w:r>
        <w:rPr>
          <w:i/>
          <w:iCs/>
        </w:rPr>
        <w:t>udensis</w:t>
      </w:r>
      <w:proofErr w:type="spellEnd"/>
      <w:r>
        <w:rPr>
          <w:i/>
          <w:iCs/>
        </w:rPr>
        <w:t xml:space="preserve"> </w:t>
      </w:r>
      <w:r>
        <w:t xml:space="preserve">04-BN-051 had the lowest amount of chloroplast DNA by size and percentage at 12.2 kb and 1.85%, respectively. At the species level, transfer rates were consistent between two </w:t>
      </w:r>
      <w:r>
        <w:rPr>
          <w:i/>
          <w:iCs/>
        </w:rPr>
        <w:t xml:space="preserve">S. </w:t>
      </w:r>
      <w:proofErr w:type="spellStart"/>
      <w:r>
        <w:rPr>
          <w:i/>
          <w:iCs/>
        </w:rPr>
        <w:t>suchowensis</w:t>
      </w:r>
      <w:proofErr w:type="spellEnd"/>
      <w:r>
        <w:t xml:space="preserve"> genotypes</w:t>
      </w:r>
      <w:r>
        <w:rPr>
          <w:i/>
          <w:iCs/>
        </w:rPr>
        <w:t xml:space="preserve"> </w:t>
      </w:r>
      <w:r>
        <w:t xml:space="preserve">(P294 and P295) and the </w:t>
      </w:r>
      <w:r>
        <w:rPr>
          <w:i/>
          <w:iCs/>
        </w:rPr>
        <w:t xml:space="preserve">S. </w:t>
      </w:r>
      <w:proofErr w:type="spellStart"/>
      <w:r>
        <w:rPr>
          <w:i/>
          <w:iCs/>
        </w:rPr>
        <w:t>koriyangi</w:t>
      </w:r>
      <w:proofErr w:type="spellEnd"/>
      <w:r>
        <w:rPr>
          <w:i/>
          <w:iCs/>
        </w:rPr>
        <w:t xml:space="preserve"> </w:t>
      </w:r>
      <w:r>
        <w:t xml:space="preserve">genotypes (SH3 and 04-FF-016). Additionally, based on the comparison of query and subject alignment lengths all genotypes except for SH3 and 04-FF-016 had total chloroplast DNA transfer sizes which were smaller than the chloroplast progenitor sequence. In these genotypes this is likely due to indels in these regions after insertion. Interestingly, SH3 and 04-FF-016 both had 2.1 kb more total chloroplast DNA content. This was due to transfer from the </w:t>
      </w:r>
      <w:r>
        <w:lastRenderedPageBreak/>
        <w:t>same locus which occurred independently or duplication in the mitogenome after initial integration.</w:t>
      </w:r>
    </w:p>
    <w:p w14:paraId="6C6992CB" w14:textId="77777777" w:rsidR="00973759" w:rsidRDefault="00973759" w:rsidP="002A18A2">
      <w:pPr>
        <w:tabs>
          <w:tab w:val="left" w:pos="360"/>
        </w:tabs>
        <w:spacing w:line="360" w:lineRule="auto"/>
      </w:pPr>
      <w:r>
        <w:tab/>
        <w:t xml:space="preserve">Gene transfer from the chloroplast genome to the mitogenome was also determined for the 11 mitogenomes with BLASTN. Although, there was no functional protein-coding gene transfer, across all 11 genotypes 9 tRNA genes were transferred. These included </w:t>
      </w:r>
      <w:proofErr w:type="spellStart"/>
      <w:r w:rsidRPr="00117FF1">
        <w:t>trnD</w:t>
      </w:r>
      <w:proofErr w:type="spellEnd"/>
      <w:r w:rsidRPr="00117FF1">
        <w:t>-GUC,</w:t>
      </w:r>
      <w:r>
        <w:t xml:space="preserve"> </w:t>
      </w:r>
      <w:proofErr w:type="spellStart"/>
      <w:r w:rsidRPr="00117FF1">
        <w:t>trnH</w:t>
      </w:r>
      <w:proofErr w:type="spellEnd"/>
      <w:r w:rsidRPr="00117FF1">
        <w:t>-GUG-cp,</w:t>
      </w:r>
      <w:r>
        <w:t xml:space="preserve"> </w:t>
      </w:r>
      <w:proofErr w:type="spellStart"/>
      <w:r w:rsidRPr="00117FF1">
        <w:t>trnN</w:t>
      </w:r>
      <w:proofErr w:type="spellEnd"/>
      <w:r w:rsidRPr="00117FF1">
        <w:t>-GUU-cp,</w:t>
      </w:r>
      <w:r>
        <w:t xml:space="preserve"> </w:t>
      </w:r>
      <w:proofErr w:type="spellStart"/>
      <w:r w:rsidRPr="00117FF1">
        <w:t>trnC</w:t>
      </w:r>
      <w:proofErr w:type="spellEnd"/>
      <w:r w:rsidRPr="00117FF1">
        <w:t>-ACA,</w:t>
      </w:r>
      <w:r>
        <w:t xml:space="preserve"> </w:t>
      </w:r>
      <w:proofErr w:type="spellStart"/>
      <w:r w:rsidRPr="00117FF1">
        <w:t>trnS</w:t>
      </w:r>
      <w:proofErr w:type="spellEnd"/>
      <w:r w:rsidRPr="00117FF1">
        <w:t>-GGA-cp,</w:t>
      </w:r>
      <w:r>
        <w:t xml:space="preserve"> </w:t>
      </w:r>
      <w:proofErr w:type="spellStart"/>
      <w:r w:rsidRPr="00117FF1">
        <w:t>trnS</w:t>
      </w:r>
      <w:proofErr w:type="spellEnd"/>
      <w:r w:rsidRPr="00117FF1">
        <w:t>-GGA-cp,</w:t>
      </w:r>
      <w:r>
        <w:t xml:space="preserve"> </w:t>
      </w:r>
      <w:proofErr w:type="spellStart"/>
      <w:r w:rsidRPr="00117FF1">
        <w:t>trnS</w:t>
      </w:r>
      <w:proofErr w:type="spellEnd"/>
      <w:r w:rsidRPr="00117FF1">
        <w:t>-UGA</w:t>
      </w:r>
      <w:r>
        <w:t xml:space="preserve">, </w:t>
      </w:r>
      <w:proofErr w:type="spellStart"/>
      <w:r>
        <w:t>trnV</w:t>
      </w:r>
      <w:proofErr w:type="spellEnd"/>
      <w:r w:rsidRPr="00117FF1">
        <w:t>-GAC</w:t>
      </w:r>
      <w:r>
        <w:t xml:space="preserve"> and </w:t>
      </w:r>
      <w:proofErr w:type="spellStart"/>
      <w:r w:rsidRPr="00117FF1">
        <w:t>trnW</w:t>
      </w:r>
      <w:proofErr w:type="spellEnd"/>
      <w:r w:rsidRPr="00117FF1">
        <w:t>-CCA-cp</w:t>
      </w:r>
      <w:r>
        <w:t xml:space="preserve">. </w:t>
      </w:r>
    </w:p>
    <w:p w14:paraId="293158BA" w14:textId="77777777" w:rsidR="00973759" w:rsidRDefault="00973759" w:rsidP="002A18A2">
      <w:pPr>
        <w:tabs>
          <w:tab w:val="left" w:pos="360"/>
        </w:tabs>
        <w:spacing w:line="360" w:lineRule="auto"/>
      </w:pPr>
    </w:p>
    <w:p w14:paraId="6525AF76" w14:textId="77777777" w:rsidR="00973759" w:rsidRPr="00DD76D8" w:rsidRDefault="00973759" w:rsidP="002A18A2">
      <w:pPr>
        <w:tabs>
          <w:tab w:val="left" w:pos="360"/>
        </w:tabs>
        <w:spacing w:line="360" w:lineRule="auto"/>
      </w:pPr>
      <w:r w:rsidRPr="00FF5DEF">
        <w:rPr>
          <w:rFonts w:cs="Times New Roman"/>
          <w:b/>
          <w:bCs/>
          <w:color w:val="000000" w:themeColor="text1"/>
        </w:rPr>
        <w:t xml:space="preserve">Selection on protein-coding genes in the 11 </w:t>
      </w:r>
      <w:r w:rsidRPr="00FF5DEF">
        <w:rPr>
          <w:rFonts w:cs="Times New Roman"/>
          <w:b/>
          <w:bCs/>
          <w:i/>
          <w:iCs/>
          <w:color w:val="000000" w:themeColor="text1"/>
        </w:rPr>
        <w:t xml:space="preserve">Salix </w:t>
      </w:r>
      <w:r w:rsidRPr="00FF5DEF">
        <w:rPr>
          <w:rFonts w:cs="Times New Roman"/>
          <w:b/>
          <w:bCs/>
          <w:color w:val="000000" w:themeColor="text1"/>
        </w:rPr>
        <w:t>chloroplast and mitogenomes</w:t>
      </w:r>
    </w:p>
    <w:p w14:paraId="71C91E2D" w14:textId="77777777" w:rsidR="00973759" w:rsidRDefault="00973759" w:rsidP="002A18A2">
      <w:pPr>
        <w:tabs>
          <w:tab w:val="left" w:pos="360"/>
        </w:tabs>
        <w:rPr>
          <w:rFonts w:cs="Times New Roman"/>
          <w:b/>
          <w:bCs/>
          <w:color w:val="000000" w:themeColor="text1"/>
        </w:rPr>
      </w:pPr>
    </w:p>
    <w:p w14:paraId="4B979C28" w14:textId="77777777" w:rsidR="00973759" w:rsidRPr="0064680F" w:rsidRDefault="00973759" w:rsidP="002A18A2">
      <w:pPr>
        <w:tabs>
          <w:tab w:val="left" w:pos="360"/>
        </w:tabs>
        <w:spacing w:line="360" w:lineRule="auto"/>
        <w:rPr>
          <w:rFonts w:cs="Times New Roman"/>
          <w:color w:val="000000" w:themeColor="text1"/>
        </w:rPr>
      </w:pPr>
      <w:r>
        <w:rPr>
          <w:rFonts w:cs="Times New Roman"/>
          <w:color w:val="000000" w:themeColor="text1"/>
        </w:rPr>
        <w:tab/>
        <w:t xml:space="preserve">The ratio of nonsynonymous (Ka) to synonymous (Ks) mutation is a metric commonly used to detect selection in protein-coding genes and is an estimate of how much non-neutral evolution has occurred relative to neutral evolution. Ka/Ks values less than one indicate purifying or negative selection while values equal to one indicate neutral selection, and values greater than one indicate positive or diversifying selection. Selection on protein-coding genes in the 11 chloroplast and mitogenomes was estimated through comparison with protein-coding genes from species outside the </w:t>
      </w:r>
      <w:r>
        <w:rPr>
          <w:rFonts w:cs="Times New Roman"/>
          <w:i/>
          <w:iCs/>
          <w:color w:val="000000" w:themeColor="text1"/>
        </w:rPr>
        <w:t>Salicacea</w:t>
      </w:r>
      <w:r>
        <w:rPr>
          <w:rFonts w:cs="Times New Roman"/>
          <w:color w:val="000000" w:themeColor="text1"/>
        </w:rPr>
        <w:t xml:space="preserve">e family but within the order </w:t>
      </w:r>
      <w:proofErr w:type="spellStart"/>
      <w:r>
        <w:rPr>
          <w:rFonts w:cs="Times New Roman"/>
          <w:i/>
          <w:iCs/>
          <w:color w:val="000000" w:themeColor="text1"/>
        </w:rPr>
        <w:t>Malpighiales</w:t>
      </w:r>
      <w:proofErr w:type="spellEnd"/>
      <w:r>
        <w:rPr>
          <w:rFonts w:cs="Times New Roman"/>
          <w:color w:val="000000" w:themeColor="text1"/>
        </w:rPr>
        <w:t>.</w:t>
      </w:r>
      <w:r>
        <w:rPr>
          <w:rFonts w:cs="Times New Roman"/>
          <w:i/>
          <w:iCs/>
          <w:color w:val="000000" w:themeColor="text1"/>
        </w:rPr>
        <w:t xml:space="preserve"> </w:t>
      </w:r>
      <w:r>
        <w:rPr>
          <w:rFonts w:cs="Times New Roman"/>
          <w:color w:val="000000" w:themeColor="text1"/>
        </w:rPr>
        <w:t>Genes with evidence of positive selection are available in Table IV-S10.</w:t>
      </w:r>
    </w:p>
    <w:p w14:paraId="124E9575" w14:textId="77777777" w:rsidR="00973759" w:rsidRDefault="00973759" w:rsidP="002A18A2">
      <w:pPr>
        <w:tabs>
          <w:tab w:val="left" w:pos="360"/>
        </w:tabs>
        <w:spacing w:line="360" w:lineRule="auto"/>
        <w:rPr>
          <w:rFonts w:cs="Times New Roman"/>
          <w:color w:val="000000" w:themeColor="text1"/>
        </w:rPr>
      </w:pPr>
      <w:r>
        <w:rPr>
          <w:rFonts w:cs="Times New Roman"/>
          <w:color w:val="000000" w:themeColor="text1"/>
        </w:rPr>
        <w:tab/>
        <w:t xml:space="preserve">For the chloroplast genomes, the protein-coding genes from </w:t>
      </w:r>
      <w:r>
        <w:rPr>
          <w:rFonts w:cs="Times New Roman"/>
          <w:i/>
          <w:iCs/>
          <w:color w:val="000000" w:themeColor="text1"/>
        </w:rPr>
        <w:t xml:space="preserve">J. </w:t>
      </w:r>
      <w:proofErr w:type="spellStart"/>
      <w:r>
        <w:rPr>
          <w:rFonts w:cs="Times New Roman"/>
          <w:i/>
          <w:iCs/>
          <w:color w:val="000000" w:themeColor="text1"/>
        </w:rPr>
        <w:t>curcas</w:t>
      </w:r>
      <w:proofErr w:type="spellEnd"/>
      <w:r>
        <w:rPr>
          <w:rFonts w:cs="Times New Roman"/>
          <w:i/>
          <w:iCs/>
          <w:color w:val="000000" w:themeColor="text1"/>
        </w:rPr>
        <w:t xml:space="preserve"> </w:t>
      </w:r>
      <w:r>
        <w:rPr>
          <w:rFonts w:cs="Times New Roman"/>
          <w:color w:val="000000" w:themeColor="text1"/>
        </w:rPr>
        <w:t>(</w:t>
      </w:r>
      <w:r w:rsidRPr="00301848">
        <w:rPr>
          <w:rFonts w:cs="Times New Roman"/>
          <w:color w:val="000000" w:themeColor="text1"/>
        </w:rPr>
        <w:t>NC_012224.1</w:t>
      </w:r>
      <w:r>
        <w:rPr>
          <w:rFonts w:cs="Times New Roman"/>
          <w:color w:val="000000" w:themeColor="text1"/>
        </w:rPr>
        <w:t xml:space="preserve">), </w:t>
      </w:r>
      <w:r>
        <w:rPr>
          <w:rFonts w:cs="Times New Roman"/>
          <w:i/>
          <w:iCs/>
          <w:color w:val="000000" w:themeColor="text1"/>
        </w:rPr>
        <w:t xml:space="preserve">M. esculenta </w:t>
      </w:r>
      <w:r>
        <w:rPr>
          <w:rFonts w:cs="Times New Roman"/>
          <w:color w:val="000000" w:themeColor="text1"/>
        </w:rPr>
        <w:t>(</w:t>
      </w:r>
      <w:r w:rsidRPr="00301848">
        <w:rPr>
          <w:rFonts w:cs="Times New Roman"/>
          <w:color w:val="000000" w:themeColor="text1"/>
        </w:rPr>
        <w:t>NC_010433.1</w:t>
      </w:r>
      <w:r>
        <w:rPr>
          <w:rFonts w:cs="Times New Roman"/>
          <w:color w:val="000000" w:themeColor="text1"/>
        </w:rPr>
        <w:t xml:space="preserve">), and </w:t>
      </w:r>
      <w:r>
        <w:rPr>
          <w:rFonts w:cs="Times New Roman"/>
          <w:i/>
          <w:iCs/>
          <w:color w:val="000000" w:themeColor="text1"/>
        </w:rPr>
        <w:t>R. communis</w:t>
      </w:r>
      <w:r>
        <w:rPr>
          <w:rFonts w:cs="Times New Roman"/>
          <w:color w:val="000000" w:themeColor="text1"/>
        </w:rPr>
        <w:t xml:space="preserve"> (</w:t>
      </w:r>
      <w:r w:rsidRPr="00301848">
        <w:rPr>
          <w:rFonts w:cs="Times New Roman"/>
          <w:color w:val="000000" w:themeColor="text1"/>
        </w:rPr>
        <w:t>NC_016736.1</w:t>
      </w:r>
      <w:r>
        <w:rPr>
          <w:rFonts w:cs="Times New Roman"/>
          <w:color w:val="000000" w:themeColor="text1"/>
        </w:rPr>
        <w:t xml:space="preserve">) were used to assess selection on the protein-coding genes in the 11 chloroplast genomes (Figure IV-6A).  Although most genes were under purifying selection, </w:t>
      </w:r>
      <w:r w:rsidRPr="009076E9">
        <w:rPr>
          <w:rFonts w:cs="Times New Roman"/>
          <w:i/>
          <w:iCs/>
          <w:color w:val="000000" w:themeColor="text1"/>
        </w:rPr>
        <w:t>rpl23</w:t>
      </w:r>
      <w:r>
        <w:rPr>
          <w:rFonts w:cs="Times New Roman"/>
          <w:color w:val="000000" w:themeColor="text1"/>
        </w:rPr>
        <w:t xml:space="preserve"> and </w:t>
      </w:r>
      <w:r w:rsidRPr="009076E9">
        <w:rPr>
          <w:rFonts w:cs="Times New Roman"/>
          <w:i/>
          <w:iCs/>
          <w:color w:val="000000" w:themeColor="text1"/>
        </w:rPr>
        <w:t>rps7</w:t>
      </w:r>
      <w:r>
        <w:rPr>
          <w:rFonts w:cs="Times New Roman"/>
          <w:color w:val="000000" w:themeColor="text1"/>
        </w:rPr>
        <w:t>, both ribosomal proteins had average Ka/Ks values greater than one at 1.4 and 2.1, respectively. No genes showed evidence of neutral evolution. Levels of non-neutral (Ka) and neutral (Ks) evolution were also assessed across the chloroplast protein-coding genes (Figure IV-S6A). Notably,</w:t>
      </w:r>
      <w:r w:rsidRPr="007A381C">
        <w:rPr>
          <w:rFonts w:cs="Times New Roman"/>
          <w:i/>
          <w:iCs/>
          <w:color w:val="000000" w:themeColor="text1"/>
        </w:rPr>
        <w:t xml:space="preserve"> </w:t>
      </w:r>
      <w:proofErr w:type="spellStart"/>
      <w:r w:rsidRPr="007A381C">
        <w:rPr>
          <w:rFonts w:cs="Times New Roman"/>
          <w:i/>
          <w:iCs/>
          <w:color w:val="000000" w:themeColor="text1"/>
        </w:rPr>
        <w:t>ndhK</w:t>
      </w:r>
      <w:proofErr w:type="spellEnd"/>
      <w:r>
        <w:rPr>
          <w:rFonts w:cs="Times New Roman"/>
          <w:color w:val="000000" w:themeColor="text1"/>
        </w:rPr>
        <w:t xml:space="preserve"> had a very high Ks value suggesting this gene is highly constrained.</w:t>
      </w:r>
    </w:p>
    <w:p w14:paraId="6BC864B2" w14:textId="44431122" w:rsidR="00973759" w:rsidRDefault="00973759" w:rsidP="002A18A2">
      <w:pPr>
        <w:tabs>
          <w:tab w:val="left" w:pos="360"/>
        </w:tabs>
        <w:spacing w:line="360" w:lineRule="auto"/>
        <w:rPr>
          <w:rFonts w:cs="Times New Roman"/>
          <w:color w:val="000000" w:themeColor="text1"/>
        </w:rPr>
      </w:pPr>
      <w:r>
        <w:rPr>
          <w:rFonts w:cs="Times New Roman"/>
          <w:color w:val="000000" w:themeColor="text1"/>
        </w:rPr>
        <w:tab/>
        <w:t xml:space="preserve">For the mitogenomes, the protein-coding genes from </w:t>
      </w:r>
      <w:r>
        <w:rPr>
          <w:rFonts w:cs="Times New Roman"/>
          <w:i/>
          <w:iCs/>
          <w:color w:val="000000" w:themeColor="text1"/>
        </w:rPr>
        <w:t>M. esculenta</w:t>
      </w:r>
      <w:r>
        <w:rPr>
          <w:rFonts w:cs="Times New Roman"/>
          <w:color w:val="000000" w:themeColor="text1"/>
        </w:rPr>
        <w:t xml:space="preserve"> (</w:t>
      </w:r>
      <w:r w:rsidRPr="00336F0B">
        <w:rPr>
          <w:rFonts w:cs="Times New Roman"/>
          <w:color w:val="000000" w:themeColor="text1"/>
        </w:rPr>
        <w:t>NC_045136.1</w:t>
      </w:r>
      <w:r>
        <w:rPr>
          <w:rFonts w:cs="Times New Roman"/>
          <w:color w:val="000000" w:themeColor="text1"/>
        </w:rPr>
        <w:t xml:space="preserve">), </w:t>
      </w:r>
      <w:r>
        <w:rPr>
          <w:rFonts w:cs="Times New Roman"/>
          <w:i/>
          <w:iCs/>
          <w:color w:val="000000" w:themeColor="text1"/>
        </w:rPr>
        <w:t xml:space="preserve">P. edulis </w:t>
      </w:r>
      <w:r>
        <w:rPr>
          <w:rFonts w:cs="Times New Roman"/>
          <w:color w:val="000000" w:themeColor="text1"/>
        </w:rPr>
        <w:t>(</w:t>
      </w:r>
      <w:r w:rsidRPr="0001745B">
        <w:rPr>
          <w:rFonts w:cs="Times New Roman"/>
          <w:color w:val="000000" w:themeColor="text1"/>
        </w:rPr>
        <w:t>NC_050950.1</w:t>
      </w:r>
      <w:r>
        <w:rPr>
          <w:rFonts w:cs="Times New Roman"/>
          <w:color w:val="000000" w:themeColor="text1"/>
        </w:rPr>
        <w:t xml:space="preserve">), and </w:t>
      </w:r>
      <w:r>
        <w:rPr>
          <w:rFonts w:cs="Times New Roman"/>
          <w:i/>
          <w:iCs/>
          <w:color w:val="000000" w:themeColor="text1"/>
        </w:rPr>
        <w:t xml:space="preserve">R. communis </w:t>
      </w:r>
      <w:r>
        <w:rPr>
          <w:rFonts w:cs="Times New Roman"/>
          <w:color w:val="000000" w:themeColor="text1"/>
        </w:rPr>
        <w:t>(</w:t>
      </w:r>
      <w:r w:rsidRPr="0001745B">
        <w:rPr>
          <w:rFonts w:cs="Times New Roman"/>
          <w:color w:val="000000" w:themeColor="text1"/>
        </w:rPr>
        <w:t>NC_015141.1</w:t>
      </w:r>
      <w:r>
        <w:rPr>
          <w:rFonts w:cs="Times New Roman"/>
          <w:color w:val="000000" w:themeColor="text1"/>
        </w:rPr>
        <w:t>) were used to assess selection on protein-coding genes in the 11 mitogenomes (Figure IV-6B). There were six protein-coding genes (</w:t>
      </w:r>
      <w:r w:rsidRPr="009076E9">
        <w:rPr>
          <w:rFonts w:cs="Times New Roman"/>
          <w:i/>
          <w:iCs/>
          <w:color w:val="000000" w:themeColor="text1"/>
        </w:rPr>
        <w:t>atp4</w:t>
      </w:r>
      <w:r>
        <w:rPr>
          <w:rFonts w:cs="Times New Roman"/>
          <w:color w:val="000000" w:themeColor="text1"/>
        </w:rPr>
        <w:t xml:space="preserve">, </w:t>
      </w:r>
      <w:proofErr w:type="spellStart"/>
      <w:r w:rsidRPr="009076E9">
        <w:rPr>
          <w:rFonts w:cs="Times New Roman"/>
          <w:i/>
          <w:iCs/>
          <w:color w:val="000000" w:themeColor="text1"/>
        </w:rPr>
        <w:t>ccmB</w:t>
      </w:r>
      <w:proofErr w:type="spellEnd"/>
      <w:r>
        <w:rPr>
          <w:rFonts w:cs="Times New Roman"/>
          <w:color w:val="000000" w:themeColor="text1"/>
        </w:rPr>
        <w:t xml:space="preserve">, </w:t>
      </w:r>
      <w:r w:rsidRPr="009076E9">
        <w:rPr>
          <w:rFonts w:cs="Times New Roman"/>
          <w:i/>
          <w:iCs/>
          <w:color w:val="000000" w:themeColor="text1"/>
        </w:rPr>
        <w:t>nad3</w:t>
      </w:r>
      <w:r>
        <w:rPr>
          <w:rFonts w:cs="Times New Roman"/>
          <w:color w:val="000000" w:themeColor="text1"/>
        </w:rPr>
        <w:t xml:space="preserve">, </w:t>
      </w:r>
      <w:r w:rsidRPr="009076E9">
        <w:rPr>
          <w:rFonts w:cs="Times New Roman"/>
          <w:i/>
          <w:iCs/>
          <w:color w:val="000000" w:themeColor="text1"/>
        </w:rPr>
        <w:t>nad4</w:t>
      </w:r>
      <w:r w:rsidR="002D16A3">
        <w:rPr>
          <w:rFonts w:cs="Times New Roman"/>
          <w:color w:val="000000" w:themeColor="text1"/>
        </w:rPr>
        <w:t>,</w:t>
      </w:r>
      <w:r>
        <w:rPr>
          <w:rFonts w:cs="Times New Roman"/>
          <w:color w:val="000000" w:themeColor="text1"/>
        </w:rPr>
        <w:t xml:space="preserve"> </w:t>
      </w:r>
      <w:r w:rsidRPr="009076E9">
        <w:rPr>
          <w:rFonts w:cs="Times New Roman"/>
          <w:i/>
          <w:iCs/>
          <w:color w:val="000000" w:themeColor="text1"/>
        </w:rPr>
        <w:t>rps4</w:t>
      </w:r>
      <w:r>
        <w:rPr>
          <w:rFonts w:cs="Times New Roman"/>
          <w:color w:val="000000" w:themeColor="text1"/>
        </w:rPr>
        <w:t xml:space="preserve">, and </w:t>
      </w:r>
      <w:r w:rsidRPr="009076E9">
        <w:rPr>
          <w:rFonts w:cs="Times New Roman"/>
          <w:i/>
          <w:iCs/>
          <w:color w:val="000000" w:themeColor="text1"/>
        </w:rPr>
        <w:t>sdh4</w:t>
      </w:r>
      <w:r>
        <w:rPr>
          <w:rFonts w:cs="Times New Roman"/>
          <w:color w:val="000000" w:themeColor="text1"/>
        </w:rPr>
        <w:t xml:space="preserve">) which showed evidence of positive selection. In contrast, two genes that were under strong purifying selection were two ATP synthases, </w:t>
      </w:r>
      <w:r w:rsidRPr="009076E9">
        <w:rPr>
          <w:rFonts w:cs="Times New Roman"/>
          <w:i/>
          <w:iCs/>
          <w:color w:val="000000" w:themeColor="text1"/>
        </w:rPr>
        <w:t>atp1</w:t>
      </w:r>
      <w:r>
        <w:rPr>
          <w:rFonts w:cs="Times New Roman"/>
          <w:color w:val="000000" w:themeColor="text1"/>
        </w:rPr>
        <w:t xml:space="preserve"> and </w:t>
      </w:r>
      <w:r w:rsidRPr="009076E9">
        <w:rPr>
          <w:rFonts w:cs="Times New Roman"/>
          <w:i/>
          <w:iCs/>
          <w:color w:val="000000" w:themeColor="text1"/>
        </w:rPr>
        <w:t>atp9</w:t>
      </w:r>
      <w:r>
        <w:rPr>
          <w:rFonts w:cs="Times New Roman"/>
          <w:color w:val="000000" w:themeColor="text1"/>
        </w:rPr>
        <w:t xml:space="preserve">. </w:t>
      </w:r>
      <w:r>
        <w:rPr>
          <w:rFonts w:cs="Times New Roman"/>
          <w:color w:val="000000" w:themeColor="text1"/>
        </w:rPr>
        <w:lastRenderedPageBreak/>
        <w:t xml:space="preserve">Moreover, </w:t>
      </w:r>
      <w:r w:rsidRPr="009076E9">
        <w:rPr>
          <w:rFonts w:cs="Times New Roman"/>
          <w:i/>
          <w:iCs/>
          <w:color w:val="000000" w:themeColor="text1"/>
        </w:rPr>
        <w:t xml:space="preserve">atp9 </w:t>
      </w:r>
      <w:r>
        <w:rPr>
          <w:rFonts w:cs="Times New Roman"/>
          <w:color w:val="000000" w:themeColor="text1"/>
        </w:rPr>
        <w:t xml:space="preserve">had the highest average Ks value further which indicated strong constraint (Figure IV-S6B). </w:t>
      </w:r>
    </w:p>
    <w:p w14:paraId="01CBED8A" w14:textId="77777777" w:rsidR="00973759" w:rsidRPr="0001745B" w:rsidRDefault="00973759" w:rsidP="002A18A2">
      <w:pPr>
        <w:tabs>
          <w:tab w:val="left" w:pos="360"/>
        </w:tabs>
        <w:spacing w:line="360" w:lineRule="auto"/>
        <w:rPr>
          <w:rFonts w:cs="Times New Roman"/>
          <w:b/>
          <w:bCs/>
          <w:color w:val="000000" w:themeColor="text1"/>
        </w:rPr>
      </w:pPr>
      <w:r>
        <w:rPr>
          <w:rFonts w:cs="Times New Roman"/>
          <w:color w:val="000000" w:themeColor="text1"/>
        </w:rPr>
        <w:tab/>
        <w:t xml:space="preserve">Selection on protein-coding genes was in the chloroplast and mitogenomes was also explored by gene functional class of which there were ten and nine classes in the chloroplast and mitogenomes, respectively. In the chloroplast genomes all gene functional classes had median Ka/Ks values which were less than one (Figure IV-6C). However, some classes appear to be more constrained than others. The classes under very strong purifying selection based on median Ka/Ks value include ATP synthases, Cytochrome </w:t>
      </w:r>
      <w:proofErr w:type="spellStart"/>
      <w:r>
        <w:rPr>
          <w:rFonts w:cs="Times New Roman"/>
          <w:color w:val="000000" w:themeColor="text1"/>
        </w:rPr>
        <w:t>b/f</w:t>
      </w:r>
      <w:proofErr w:type="spellEnd"/>
      <w:r>
        <w:rPr>
          <w:rFonts w:cs="Times New Roman"/>
          <w:color w:val="000000" w:themeColor="text1"/>
        </w:rPr>
        <w:t xml:space="preserve"> complex, Photosystem I, Photosystem II, and the </w:t>
      </w:r>
      <w:proofErr w:type="spellStart"/>
      <w:r>
        <w:rPr>
          <w:rFonts w:cs="Times New Roman"/>
          <w:color w:val="000000" w:themeColor="text1"/>
        </w:rPr>
        <w:t>RubisCO</w:t>
      </w:r>
      <w:proofErr w:type="spellEnd"/>
      <w:r>
        <w:rPr>
          <w:rFonts w:cs="Times New Roman"/>
          <w:color w:val="000000" w:themeColor="text1"/>
        </w:rPr>
        <w:t xml:space="preserve"> large subunit. In contrast, the Ribosomal proteins appeared to be less constrained. In the mitogenome functional classes, Complex II (succinate dehydrogenase) had a median Ka/Ks value of 1.27. Additionally, Cytochrome C Biogenesis and small subunit ribosomal proteins had the next highest median Ka/Ks values at 0.78 and 0.77, respectively. In contrast, the gene functional class with the lowest median Ka/Ks value was the large subunit ribosomal proteins at 0.31.</w:t>
      </w:r>
    </w:p>
    <w:p w14:paraId="076477C4" w14:textId="77777777" w:rsidR="00973759" w:rsidRDefault="00973759" w:rsidP="002A18A2">
      <w:pPr>
        <w:tabs>
          <w:tab w:val="left" w:pos="360"/>
        </w:tabs>
        <w:rPr>
          <w:rFonts w:cs="Times New Roman"/>
          <w:b/>
          <w:bCs/>
          <w:color w:val="000000" w:themeColor="text1"/>
        </w:rPr>
      </w:pPr>
    </w:p>
    <w:p w14:paraId="34534943" w14:textId="77777777" w:rsidR="00973759" w:rsidRPr="00FF5DEF" w:rsidRDefault="00973759" w:rsidP="002A18A2">
      <w:pPr>
        <w:tabs>
          <w:tab w:val="left" w:pos="360"/>
        </w:tabs>
        <w:jc w:val="center"/>
        <w:rPr>
          <w:rFonts w:cs="Times New Roman"/>
          <w:b/>
          <w:bCs/>
          <w:color w:val="000000" w:themeColor="text1"/>
          <w:sz w:val="28"/>
          <w:szCs w:val="28"/>
        </w:rPr>
      </w:pPr>
      <w:r w:rsidRPr="00FF5DEF">
        <w:rPr>
          <w:rFonts w:cs="Times New Roman"/>
          <w:b/>
          <w:bCs/>
          <w:color w:val="000000" w:themeColor="text1"/>
          <w:sz w:val="28"/>
          <w:szCs w:val="28"/>
        </w:rPr>
        <w:t>Discussion and Conclusion</w:t>
      </w:r>
    </w:p>
    <w:p w14:paraId="7A2E5C81" w14:textId="3888A054" w:rsidR="00973759" w:rsidRDefault="00973759" w:rsidP="002A18A2"/>
    <w:p w14:paraId="6C7B8ACF" w14:textId="77777777" w:rsidR="00D75172" w:rsidRDefault="00D75172" w:rsidP="002A18A2"/>
    <w:p w14:paraId="5F9FB543" w14:textId="77777777" w:rsidR="00973759" w:rsidRDefault="00973759" w:rsidP="002A18A2">
      <w:pPr>
        <w:spacing w:line="360" w:lineRule="auto"/>
      </w:pPr>
      <w:r>
        <w:tab/>
        <w:t xml:space="preserve">Here, we provided 11 high quality chloroplast and mitogenome assemblies from six different </w:t>
      </w:r>
      <w:r>
        <w:rPr>
          <w:i/>
          <w:iCs/>
        </w:rPr>
        <w:t>Salix</w:t>
      </w:r>
      <w:r>
        <w:t xml:space="preserve"> species. Although there are large numbers of publicly available chloroplast genomes from a diverse set of </w:t>
      </w:r>
      <w:r>
        <w:rPr>
          <w:i/>
          <w:iCs/>
        </w:rPr>
        <w:t xml:space="preserve">Salix </w:t>
      </w:r>
      <w:r>
        <w:t xml:space="preserve">species, there are only seven publicly available </w:t>
      </w:r>
      <w:r>
        <w:rPr>
          <w:i/>
          <w:iCs/>
        </w:rPr>
        <w:t xml:space="preserve">Salix </w:t>
      </w:r>
      <w:r>
        <w:t xml:space="preserve">mitogenomes. Land plant mitogenomes are known be highly diverse even between closely related species </w:t>
      </w:r>
      <w:r>
        <w:fldChar w:fldCharType="begin" w:fldLock="1"/>
      </w:r>
      <w:r>
        <w:instrText>ADDIN CSL_CITATION {"citationItems":[{"id":"ITEM-1","itemData":{"DOI":"10.1016/j.mito.2020.06.002","ISSN":"18728278","PMID":"32535166","abstract":"The functional content of the mitochondrial genome (mitogenome) is highly diverse across eukaryotes. Among land plants, our understanding of the variation in mitochondrial gene and intron content is improving from concerted efforts to densely sample mitogenomes from diverse land plants. Here I review the current state of knowledge regarding the diversity in content of protein genes and introns in the mitogenomes of all major land plant lineages. Mitochondrial protein gene content is largely conserved among mosses and liverworts, but it varies substantially among and within other land plant lineages due to convergent losses of genes encoding ribosomal proteins and, to a lesser extent, genes for proteins involved in cytochrome c maturation and oxidative phosphorylation. Mitochondrial intron content is fairly stable within each major land plant lineage, but highly variable among lineages, resulting from occasional gains and many convergent losses over time. Trans-splicing has evolved dozens of times in various vascular plant lineages, particularly those with relatively higher rates of mitogenomic rearrangement. Across eukaryotes, mitochondrial protein gene and intron content has been shaped massive convergent evolution.","author":[{"dropping-particle":"","family":"Mower","given":"Jeffrey P.","non-dropping-particle":"","parse-names":false,"suffix":""}],"container-title":"Mitochondrion","id":"ITEM-1","issue":"May","issued":{"date-parts":[["2020"]]},"page":"203-213","title":"Variation in protein gene and intron content among land plant mitogenomes","type":"article-journal","volume":"53"},"uris":["http://www.mendeley.com/documents/?uuid=c436ca4f-e7eb-4079-86bf-f7d5891a6d93"]}],"mendeley":{"formattedCitation":"(Mower, 2020)","plainTextFormattedCitation":"(Mower, 2020)","previouslyFormattedCitation":"(Mower 2020)"},"properties":{"noteIndex":0},"schema":"https://github.com/citation-style-language/schema/raw/master/csl-citation.json"}</w:instrText>
      </w:r>
      <w:r>
        <w:fldChar w:fldCharType="separate"/>
      </w:r>
      <w:r w:rsidRPr="002A18A2">
        <w:rPr>
          <w:noProof/>
        </w:rPr>
        <w:t>(Mower, 2020)</w:t>
      </w:r>
      <w:r>
        <w:fldChar w:fldCharType="end"/>
      </w:r>
      <w:r>
        <w:t xml:space="preserve">. Therefore, the small number of publicly available </w:t>
      </w:r>
      <w:r>
        <w:rPr>
          <w:i/>
          <w:iCs/>
        </w:rPr>
        <w:t xml:space="preserve">Salix </w:t>
      </w:r>
      <w:r>
        <w:t xml:space="preserve">mitogenomes is a limiting factor prohibiting the understanding of mitogenome diversity within </w:t>
      </w:r>
      <w:r>
        <w:rPr>
          <w:i/>
          <w:iCs/>
        </w:rPr>
        <w:t>Salix</w:t>
      </w:r>
      <w:r>
        <w:t xml:space="preserve"> and land plants overall. Although the 11 mitogenome assemblies provided here may slightly increase the understanding of mitogenome diversity in </w:t>
      </w:r>
      <w:r>
        <w:rPr>
          <w:i/>
          <w:iCs/>
        </w:rPr>
        <w:t>Salix</w:t>
      </w:r>
      <w:r>
        <w:t xml:space="preserve">, due to the large numbers of species in </w:t>
      </w:r>
      <w:r>
        <w:rPr>
          <w:i/>
          <w:iCs/>
        </w:rPr>
        <w:t xml:space="preserve">Salix </w:t>
      </w:r>
      <w:r>
        <w:t>(400-500), there is still much to be done.</w:t>
      </w:r>
    </w:p>
    <w:p w14:paraId="0CF9BF42" w14:textId="77777777" w:rsidR="00973759" w:rsidRPr="00D02994" w:rsidRDefault="00973759" w:rsidP="002A18A2">
      <w:pPr>
        <w:spacing w:line="360" w:lineRule="auto"/>
      </w:pPr>
      <w:r>
        <w:tab/>
        <w:t>Major structural variation was non-existent among the 11 chloroplast genomes and pairwise identity values were very high. In contrast, structural variation and rearrangement were widespread among the mitogenome assemblies which showed great variation in size. For example, the largest assembly (</w:t>
      </w:r>
      <w:r>
        <w:rPr>
          <w:i/>
          <w:iCs/>
        </w:rPr>
        <w:t xml:space="preserve">S. </w:t>
      </w:r>
      <w:r w:rsidRPr="003F6F10">
        <w:t>udensis</w:t>
      </w:r>
      <w:r>
        <w:t xml:space="preserve">-04-BN-051) </w:t>
      </w:r>
      <w:r w:rsidRPr="003F6F10">
        <w:t>was</w:t>
      </w:r>
      <w:r>
        <w:t xml:space="preserve"> 655 </w:t>
      </w:r>
      <w:proofErr w:type="spellStart"/>
      <w:proofErr w:type="gramStart"/>
      <w:r>
        <w:t>Kb</w:t>
      </w:r>
      <w:proofErr w:type="spellEnd"/>
      <w:proofErr w:type="gramEnd"/>
      <w:r>
        <w:t xml:space="preserve"> and the smallest assembly (</w:t>
      </w:r>
      <w:r>
        <w:rPr>
          <w:i/>
          <w:iCs/>
        </w:rPr>
        <w:t xml:space="preserve">S. </w:t>
      </w:r>
      <w:r w:rsidRPr="00D02994">
        <w:rPr>
          <w:i/>
          <w:iCs/>
        </w:rPr>
        <w:t>purpurea</w:t>
      </w:r>
      <w:r>
        <w:t xml:space="preserve">-94006) </w:t>
      </w:r>
      <w:r w:rsidRPr="00D02994">
        <w:t>was</w:t>
      </w:r>
      <w:r>
        <w:t xml:space="preserve"> 599 </w:t>
      </w:r>
      <w:proofErr w:type="spellStart"/>
      <w:r>
        <w:t>Kb</w:t>
      </w:r>
      <w:proofErr w:type="spellEnd"/>
      <w:r>
        <w:t xml:space="preserve"> indicating that the </w:t>
      </w:r>
      <w:r>
        <w:rPr>
          <w:i/>
          <w:iCs/>
        </w:rPr>
        <w:t>S. purpurea-</w:t>
      </w:r>
      <w:r>
        <w:t xml:space="preserve">94006 mitogenome has lost 55 </w:t>
      </w:r>
      <w:proofErr w:type="spellStart"/>
      <w:r>
        <w:t>Kb</w:t>
      </w:r>
      <w:proofErr w:type="spellEnd"/>
      <w:r>
        <w:t xml:space="preserve"> </w:t>
      </w:r>
      <w:r>
        <w:lastRenderedPageBreak/>
        <w:t xml:space="preserve">of sequence since their divergence or duplication has occurred in </w:t>
      </w:r>
      <w:r>
        <w:rPr>
          <w:i/>
          <w:iCs/>
        </w:rPr>
        <w:t xml:space="preserve">S. </w:t>
      </w:r>
      <w:proofErr w:type="spellStart"/>
      <w:r>
        <w:rPr>
          <w:i/>
          <w:iCs/>
        </w:rPr>
        <w:t>udensis</w:t>
      </w:r>
      <w:proofErr w:type="spellEnd"/>
      <w:r>
        <w:t xml:space="preserve">. The extensive structural variation and rearrangement observed in plant mitogenomes is a product of recombination and non-homologous end joining which is the repair mechanism used in non-coding regions </w:t>
      </w:r>
      <w:r>
        <w:fldChar w:fldCharType="begin" w:fldLock="1"/>
      </w:r>
      <w:r>
        <w:instrText>ADDIN CSL_CITATION {"citationItems":[{"id":"ITEM-1","itemData":{"DOI":"10.1093/gbe/evt069","ISSN":"17596653","PMID":"23645599","abstract":"Plant mitochondrial genomes are notorious for their large and variable size, nonconserved open reading frames of unknown function, and high rates of rearrangement. Paradoxically, the mutation rates are very low. However, mutation rates can only be measured in sequences that can be aligned-a very small part of plant mitochondrial genomes. Comparison of the complete mitochondrial genome sequences of two ecotypes of Arabidopsis thaliana allows the alignment of noncoding as well as coding DNA and estimation of the mutation rates in both. A recent chimeric duplication is also analyzed. A hypothesis is proposed that the mechanisms of plant mitochondrial DNA repair account for these features and includes different mechanisms in transcribed and nontranscribed regions. Within genes, a bias toward gene conversion would keep measured mutation rates low, whereas in noncoding regions, break-induced replication (BIR) explains the expansion and rearrangements. Both processes are types of double-strand break repair, but enhanced second-strand capture in transcribed regions versus BIR in nontranscribed regions can explain the two seemingly contradictory features of plant mitochondrial genome evolution-the low mutation rates in genes and the striking expansions of noncoding sequences. © The Author(s) 2013.","author":[{"dropping-particle":"","family":"Christensen","given":"Alan C.","non-dropping-particle":"","parse-names":false,"suffix":""}],"container-title":"Genome Biology and Evolution","id":"ITEM-1","issue":"6","issued":{"date-parts":[["2013"]]},"page":"1079-1086","title":"Plant mitochondrial genome evolution can be explained by DNA repair mechanisms","type":"article-journal","volume":"5"},"uris":["http://www.mendeley.com/documents/?uuid=8057a9f3-126a-45ff-9c2b-761260b44500"]},{"id":"ITEM-2","itemData":{"author":[{"dropping-particle":"","family":"Christensen","given":"Alan C","non-dropping-particle":"","parse-names":false,"suffix":""}],"container-title":"Annual Plant Reviews","id":"ITEM-2","issued":{"date-parts":[["2017"]]},"page":"11-31","title":"Mitochondrial DNA repair and genome evolution","type":"article-journal","volume":"50"},"uris":["http://www.mendeley.com/documents/?uuid=1a7dfbf9-cb3a-42fd-8b42-2f3665bb76e9"]},{"id":"ITEM-3","itemData":{"DOI":"10.1093/gbe/evz263","ISSN":"17596653","PMID":"31774499","abstract":"Plant mitogenomes can be difficult to assemble because they are structurally dynamic and prone to intergenomic DNA transfers, leading to the unusual situation where an organelle genome is far outnumbered by its nuclear counterparts. As a result, comparative mitogenome studies are in their infancy and some key aspects of genome evolution are still known mainly from pregenomic, qualitative methods. To help address these limitations, we combined machine learning and in silico enrichment of mitochondrial-like long reads to assemble the bacterial-sized mitogenome of Norway spruce (Pinaceae: Picea abies). We conducted comparative analyses of repeat abundance, intergenomic transfers, substitution and rearrangement rates, and estimated repeat-by-repeat homologous recombination rates. Prompted by our discovery of highly recombinogenic small repeats in P. abies, we assessed the genomic support for the prevailing hypothesis that intramolecular recombination is predominantly driven by repeat length, with larger repeats facilitating DNA exchange more readily. Overall, we found mixed support for this view: Recombination dynamics were heterogeneous across vascular plants and highly active small repeats (ca. 200 bp) were present in about one-Third of studied mitogenomes. As in previous studies, we did not observe any robust relationships among commonly studied genome attributes, but we identify variation in recombination rates as a underinvestigated source of plant mitogenome diversity.","author":[{"dropping-particle":"","family":"Sullivan","given":"Alexis R.","non-dropping-particle":"","parse-names":false,"suffix":""},{"dropping-particle":"","family":"Eldfjell","given":"Yrin","non-dropping-particle":"","parse-names":false,"suffix":""},{"dropping-particle":"","family":"Schiffthaler","given":"Bastian","non-dropping-particle":"","parse-names":false,"suffix":""},{"dropping-particle":"","family":"Delhomme","given":"Nicolas","non-dropping-particle":"","parse-names":false,"suffix":""},{"dropping-particle":"","family":"Asp","given":"Torben","non-dropping-particle":"","parse-names":false,"suffix":""},{"dropping-particle":"","family":"Hebelstrup","given":"Kim H.","non-dropping-particle":"","parse-names":false,"suffix":""},{"dropping-particle":"","family":"Keech","given":"Olivier","non-dropping-particle":"","parse-names":false,"suffix":""},{"dropping-particle":"","family":"Öberg","given":"Lisa","non-dropping-particle":"","parse-names":false,"suffix":""},{"dropping-particle":"","family":"Møller","given":"Ian Max","non-dropping-particle":"","parse-names":false,"suffix":""},{"dropping-particle":"","family":"Arvestad","given":"Lars","non-dropping-particle":"","parse-names":false,"suffix":""},{"dropping-particle":"","family":"Street","given":"Nathaniel R.","non-dropping-particle":"","parse-names":false,"suffix":""},{"dropping-particle":"","family":"Wang","given":"Xiao Ru","non-dropping-particle":"","parse-names":false,"suffix":""}],"container-title":"Genome Biology and Evolution","id":"ITEM-3","issue":"1","issued":{"date-parts":[["2019"]]},"page":"3586-3598","title":"The Mitogenome of Norway Spruce and a Reappraisal of Mitochondrial Recombination in Plants","type":"article-journal","volume":"12"},"uris":["http://www.mendeley.com/documents/?uuid=87163e49-01a6-41b8-85aa-297cd2ece744"]}],"mendeley":{"formattedCitation":"(Christensen, 2013, 2017; Sullivan et al., 2019)","plainTextFormattedCitation":"(Christensen, 2013, 2017; Sullivan et al., 2019)","previouslyFormattedCitation":"(Christensen 2013, 2017; Sullivan et al. 2019)"},"properties":{"noteIndex":0},"schema":"https://github.com/citation-style-language/schema/raw/master/csl-citation.json"}</w:instrText>
      </w:r>
      <w:r>
        <w:fldChar w:fldCharType="separate"/>
      </w:r>
      <w:r w:rsidRPr="002A18A2">
        <w:rPr>
          <w:noProof/>
        </w:rPr>
        <w:t>(Christensen, 2013, 2017; Sullivan et al., 2019)</w:t>
      </w:r>
      <w:r>
        <w:fldChar w:fldCharType="end"/>
      </w:r>
      <w:r>
        <w:t xml:space="preserve">. </w:t>
      </w:r>
    </w:p>
    <w:p w14:paraId="642AFA60" w14:textId="77777777" w:rsidR="00973759" w:rsidRDefault="00973759" w:rsidP="002A18A2">
      <w:pPr>
        <w:spacing w:line="360" w:lineRule="auto"/>
      </w:pPr>
      <w:r>
        <w:tab/>
        <w:t xml:space="preserve">Gene content across the chloroplast and mitogenome assemblies was generally very conserved, especially in the chloroplast genomes. Initially, when gene content in the 11 mitogenomes were compared with other publicly available </w:t>
      </w:r>
      <w:r>
        <w:rPr>
          <w:i/>
          <w:iCs/>
        </w:rPr>
        <w:t xml:space="preserve">Salix </w:t>
      </w:r>
      <w:r>
        <w:t>mitogenomes, some variation in the presence and absence of NADH dehydrogenase genes was apparent. However, upon closer inspection, these genes (</w:t>
      </w:r>
      <w:r w:rsidRPr="001A6523">
        <w:rPr>
          <w:i/>
          <w:iCs/>
        </w:rPr>
        <w:t>nad1</w:t>
      </w:r>
      <w:r>
        <w:t xml:space="preserve">, </w:t>
      </w:r>
      <w:r w:rsidRPr="001A6523">
        <w:rPr>
          <w:i/>
          <w:iCs/>
        </w:rPr>
        <w:t>nad2</w:t>
      </w:r>
      <w:r>
        <w:t xml:space="preserve">, and </w:t>
      </w:r>
      <w:r w:rsidRPr="001A6523">
        <w:rPr>
          <w:i/>
          <w:iCs/>
        </w:rPr>
        <w:t>nad5</w:t>
      </w:r>
      <w:r>
        <w:t xml:space="preserve">) all of which undergo </w:t>
      </w:r>
      <w:r>
        <w:rPr>
          <w:i/>
          <w:iCs/>
        </w:rPr>
        <w:t>trans-</w:t>
      </w:r>
      <w:r>
        <w:t xml:space="preserve">splicing were incorrectly annotated. Interestingly, the large ribosomal subunit protein </w:t>
      </w:r>
      <w:r w:rsidRPr="001A6523">
        <w:rPr>
          <w:i/>
          <w:iCs/>
        </w:rPr>
        <w:t>rpl10</w:t>
      </w:r>
      <w:r>
        <w:t xml:space="preserve"> was missing from the </w:t>
      </w:r>
      <w:r>
        <w:rPr>
          <w:i/>
          <w:iCs/>
        </w:rPr>
        <w:t xml:space="preserve">S. integra </w:t>
      </w:r>
      <w:r>
        <w:t xml:space="preserve">(P336) and </w:t>
      </w:r>
      <w:r>
        <w:rPr>
          <w:i/>
          <w:iCs/>
        </w:rPr>
        <w:t xml:space="preserve">S. </w:t>
      </w:r>
      <w:proofErr w:type="spellStart"/>
      <w:r>
        <w:rPr>
          <w:i/>
          <w:iCs/>
        </w:rPr>
        <w:t>viminalis</w:t>
      </w:r>
      <w:proofErr w:type="spellEnd"/>
      <w:r>
        <w:rPr>
          <w:i/>
          <w:iCs/>
        </w:rPr>
        <w:t xml:space="preserve"> </w:t>
      </w:r>
      <w:r>
        <w:t>(</w:t>
      </w:r>
      <w:proofErr w:type="spellStart"/>
      <w:r>
        <w:t>Jorr</w:t>
      </w:r>
      <w:proofErr w:type="spellEnd"/>
      <w:r>
        <w:t xml:space="preserve">) mitogenome assemblies. Previously, </w:t>
      </w:r>
      <w:r w:rsidRPr="001A6523">
        <w:rPr>
          <w:i/>
          <w:iCs/>
        </w:rPr>
        <w:t>rpl10</w:t>
      </w:r>
      <w:r>
        <w:t xml:space="preserve"> has been shown to be absent from other mitogenome assemblies and ribosomal protein genes have been shown to be functionally transferred to the nuclear genome </w:t>
      </w:r>
      <w:r>
        <w:fldChar w:fldCharType="begin" w:fldLock="1"/>
      </w:r>
      <w:r>
        <w:instrText>ADDIN CSL_CITATION {"citationItems":[{"id":"ITEM-1","itemData":{"DOI":"10.1073/pnas.042694899","ISSN":"00278424","PMID":"12119382","abstract":"To study the tempo and pattern of mitochondrial gene loss in plants, DNAs from 280 genera of flowering plants were surveyed for the presence or absence of 40 mitochondrial protein genes by Southern blot hybridization. All 14 ribosomal protein genes and both sdh genes have been lost from the mitochondrial genome many times (6 to 42) during angiosperm evolution, whereas only two losses were detected among the other 24 genes. The gene losses have a very patchy phylogenetic distribution, with periods of stasis followed by bursts of loss in certain lineages. Most of the oldest groups of angiosperms are still mired in a prolonged stasis in mitochondrial gene content, containing nearly the same set of genes as their algal ancestors more than a billion years ago. In sharp contrast, other plants have rapidly lost many or all of their 16 mitochondrial ribosomal protein and sdh genes, thereby converging on a reduced gene content more like that of an animal or fungus than a typical plant. In these and many lineages with more modest numbers of losses, the rate of ribosomal protein and sdh gene loss exceeds, sometimes greatly, the rate of mitochondrial synonymous substitutions. Most of these mitochondrial gene losses are probably the consequence of gene transfer to the nucleus; thus, rates of functional gene transfer also may vary dramatically in angiosperms.","author":[{"dropping-particle":"","family":"Adams","given":"Keith L.","non-dropping-particle":"","parse-names":false,"suffix":""},{"dropping-particle":"","family":"Qiu","given":"Yin Long","non-dropping-particle":"","parse-names":false,"suffix":""},{"dropping-particle":"","family":"Stoutemyer","given":"Mark","non-dropping-particle":"","parse-names":false,"suffix":""},{"dropping-particle":"","family":"Palmer","given":"Jeffrey D.","non-dropping-particle":"","parse-names":false,"suffix":""}],"container-title":"Proceedings of the National Academy of Sciences of the United States of America","id":"ITEM-1","issue":"15","issued":{"date-parts":[["2002"]]},"page":"9905-9912","title":"Punctuated evolution of mitochondrial gene content: High and variable rates of mitochondrial gene loss and transfer to the nucleus during angiosperm evolution","type":"article-journal","volume":"99"},"uris":["http://www.mendeley.com/documents/?uuid=70c2eacc-2216-410e-9ea8-f41f02756930"]},{"id":"ITEM-2","itemData":{"DOI":"10.1371/journal.pone.0016404","ISSN":"19326203","PMID":"21283772","abstract":"The mitochondrial genomes of seed plants are exceptionally fluid in size, structure, and sequence content, with the accumulation and activity of repetitive sequences underlying much of this variation. We report the first fully sequenced mitochondrial genome of a legume, Vigna radiata (mung bean), and show that despite its unexceptional size (401,262 nt), the genome is unusually depauperate in repetitive DNA and \"promiscuous\" sequences from the chloroplast and nuclear genomes. Although Vigna lacks the large, recombinationally active repeats typical of most other seed plants, a PCR survey of its modest repertoire of short (38-297 nt) repeats nevertheless revealed evidence for recombination across all of them. A set of novel control assays showed, however, that these results could instead reflect, in part or entirely, artifacts of PCRmediated recombination. Consequently, we recommend that other methods, especially high-depth genome sequencing, be used instead of PCR to infer patterns of plant mitochondrial recombination. The average-sized but repeat- and feature-poor mitochondrial genome of Vigna makes it ever more difficult to generalize about the factors shaping the size and sequence content of plant mitochondrial genomes. © 2011 Alverson et al.","author":[{"dropping-particle":"","family":"Alverson","given":"Andrew J.","non-dropping-particle":"","parse-names":false,"suffix":""},{"dropping-particle":"","family":"Zhuo","given":"Shi","non-dropping-particle":"","parse-names":false,"suffix":""},{"dropping-particle":"","family":"Rice","given":"Danny W.","non-dropping-particle":"","parse-names":false,"suffix":""},{"dropping-particle":"","family":"Sloan","given":"Daniel B.","non-dropping-particle":"","parse-names":false,"suffix":""},{"dropping-particle":"","family":"Palmer","given":"Jeffrey D.","non-dropping-particle":"","parse-names":false,"suffix":""}],"container-title":"PLoS ONE","id":"ITEM-2","issue":"1","issued":{"date-parts":[["2011"]]},"title":"The mitochondrial genome of the legume vigna radiata and the analysis of recombination across short mitochondrial repeats","type":"article-journal","volume":"6"},"uris":["http://www.mendeley.com/documents/?uuid=7c7bf1f1-952a-477a-b732-317897c20417"]},{"id":"ITEM-3","itemData":{"DOI":"10.1093/dnares/dsp024","ISSN":"13402838","PMID":"19934175","abstract":"Mitochondrial genomes of plants are much larger than those of mammals and often contain conserved open reading frames (ORFs) of unknown function. Here, we show that one of these conserved ORFs is actually the gene for ribosomal protein L10 (rpl10) in plant. No rpl10 gene has heretofore been reported in any mitochondrial genome other than the exceptionally gene-rich genome of the protist Reclinomonas americana. Conserved ORFs corresponding to rpl10 are present in a wide diversity of land plant and green algal mitochondrial genomes. The mitochondrial rpl10 genes are transcribed in all nine land plants examined, with five seed plant genes subject to RNA editing. In addition, mitochondrial-rpl10-like cDNAs were identified in EST libraries from numerous land plants. In three lineages of angiosperms, rpl10 is either lost from the mitochondrial genome or a pseudogene. In two of them (Brassicaceae and monocots), no nuclear copy of mitochondrial rpl10 is identifiably present, and instead a second copy of nuclear-encoded chloroplast rpl10 is present. Transient assays using green fluorescent protein indicate that this duplicate gene is dual targeted to mitochondria and chloroplasts. We infer that mitochondrial rpl10 has been functionally replaced by duplicated chloroplast counterparts in Brassicaceae and monocots. © 2010 The Author.","author":[{"dropping-particle":"","family":"Kubo","given":"Nakao","non-dropping-particle":"","parse-names":false,"suffix":""},{"dropping-particle":"","family":"Arimura","given":"Shin Ichi","non-dropping-particle":"","parse-names":false,"suffix":""}],"container-title":"DNA Research","id":"ITEM-3","issue":"1","issued":{"date-parts":[["2010"]]},"page":"1-9","title":"Discovery of the rpl10 gene in diverse plant mitochondrial genomes and its probable replacement by the nuclear gene for chloroplast RPL10 in two lineages of angiosperms","type":"article-journal","volume":"17"},"uris":["http://www.mendeley.com/documents/?uuid=c2517c75-13ad-4351-baf5-86c3d02139bc"]}],"mendeley":{"formattedCitation":"(Adams, Qiu, Stoutemyer, &amp; Palmer, 2002; Alverson, Zhuo, Rice, Sloan, &amp; Palmer, 2011; Kubo &amp; Arimura, 2010)","manualFormatting":"(Adams et al., 2002; Alverson et al., 2011)","plainTextFormattedCitation":"(Adams, Qiu, Stoutemyer, &amp; Palmer, 2002; Alverson, Zhuo, Rice, Sloan, &amp; Palmer, 2011; Kubo &amp; Arimura, 2010)","previouslyFormattedCitation":"(Adams et al. 2002; Alverson et al. 2011; Kubo &amp; Arimura 2010)"},"properties":{"noteIndex":0},"schema":"https://github.com/citation-style-language/schema/raw/master/csl-citation.json"}</w:instrText>
      </w:r>
      <w:r>
        <w:fldChar w:fldCharType="separate"/>
      </w:r>
      <w:r w:rsidRPr="00572650">
        <w:rPr>
          <w:noProof/>
        </w:rPr>
        <w:t>(Adams</w:t>
      </w:r>
      <w:r>
        <w:rPr>
          <w:noProof/>
        </w:rPr>
        <w:t xml:space="preserve"> et al.</w:t>
      </w:r>
      <w:r w:rsidRPr="00572650">
        <w:rPr>
          <w:noProof/>
        </w:rPr>
        <w:t>, 2002; Alverson</w:t>
      </w:r>
      <w:r>
        <w:rPr>
          <w:noProof/>
        </w:rPr>
        <w:t xml:space="preserve"> et al.</w:t>
      </w:r>
      <w:r w:rsidRPr="00572650">
        <w:rPr>
          <w:noProof/>
        </w:rPr>
        <w:t>, 2011)</w:t>
      </w:r>
      <w:r>
        <w:fldChar w:fldCharType="end"/>
      </w:r>
      <w:r>
        <w:t xml:space="preserve">. Future nuclear genome assemblies of these genotypes could validate the functional transfer of </w:t>
      </w:r>
      <w:r w:rsidRPr="001A6523">
        <w:rPr>
          <w:i/>
          <w:iCs/>
        </w:rPr>
        <w:t xml:space="preserve">rpl10 </w:t>
      </w:r>
      <w:r>
        <w:t xml:space="preserve">in </w:t>
      </w:r>
      <w:r w:rsidRPr="00A7160F">
        <w:rPr>
          <w:i/>
          <w:iCs/>
        </w:rPr>
        <w:t>S</w:t>
      </w:r>
      <w:r>
        <w:rPr>
          <w:i/>
          <w:iCs/>
        </w:rPr>
        <w:t xml:space="preserve">. integra </w:t>
      </w:r>
      <w:r>
        <w:t xml:space="preserve">(P336) and </w:t>
      </w:r>
      <w:r>
        <w:rPr>
          <w:i/>
          <w:iCs/>
        </w:rPr>
        <w:t xml:space="preserve">S. </w:t>
      </w:r>
      <w:proofErr w:type="spellStart"/>
      <w:r>
        <w:rPr>
          <w:i/>
          <w:iCs/>
        </w:rPr>
        <w:t>viminalis</w:t>
      </w:r>
      <w:proofErr w:type="spellEnd"/>
      <w:r>
        <w:rPr>
          <w:i/>
          <w:iCs/>
        </w:rPr>
        <w:t xml:space="preserve"> </w:t>
      </w:r>
      <w:r>
        <w:t>(</w:t>
      </w:r>
      <w:proofErr w:type="spellStart"/>
      <w:r>
        <w:t>Jorr</w:t>
      </w:r>
      <w:proofErr w:type="spellEnd"/>
      <w:r>
        <w:t>).</w:t>
      </w:r>
    </w:p>
    <w:p w14:paraId="5FD425F1" w14:textId="77777777" w:rsidR="00973759" w:rsidRDefault="00973759" w:rsidP="002A18A2">
      <w:pPr>
        <w:spacing w:line="360" w:lineRule="auto"/>
      </w:pPr>
      <w:r>
        <w:tab/>
        <w:t xml:space="preserve">Repeat-mediated recombination plays an essential role in replication, repair, and stability of chloroplast and mitogenomes </w:t>
      </w:r>
      <w:r>
        <w:fldChar w:fldCharType="begin" w:fldLock="1"/>
      </w:r>
      <w:r>
        <w:instrText>ADDIN CSL_CITATION {"citationItems":[{"id":"ITEM-1","itemData":{"DOI":"10.1111/j.1469-8137.2010.03195.x","ISSN":"0028646X","PMID":"20180912","abstract":"Like their nuclear counterpart, the plastid and mitochondrial genomes of plants have to be faithfully replicated and repaired to ensure the normal functioning of the plant. Inability to maintain organelle genome stability results in plastid and / or mitochondrial defects, which can lead to potentially detrimental phenotypes. Fortunately, plant organelles have developed multiple strategies to maintain the integrity of their genetic material. Of particular importance among these processes is the extensive use of DNA recombination. In fact, recombination has been implicated in both the replication and the repair of organelle genomes. Revealingly, deregulation of recombination in organelles results in genomic instability, often accompanied by adverse consequences for plant fitness. The recent identification of four families of proteins that prevent aberrant recombination of organelle DNA sheds much needed mechanistic light on this important process. What comes out of these investigations is a partial portrait of the recombination surveillance machinery in which plants have co-opted some proteins of prokaryotic origin but have also evolved whole new factors to keep their organelle genomes intact. These new features presumably optimized the protection of plastid and mitochondrial genomes against the particular genotoxic stresses they face. © The Authors (2010). Journal compilation © New Phytologist Trust (2010).","author":[{"dropping-particle":"","family":"Maréchal","given":"Alexandre","non-dropping-particle":"","parse-names":false,"suffix":""},{"dropping-particle":"","family":"Brisson","given":"Normand","non-dropping-particle":"","parse-names":false,"suffix":""}],"container-title":"New Phytologist","id":"ITEM-1","issue":"2","issued":{"date-parts":[["2010"]]},"page":"299-317","title":"Recombination and the maintenance of plant organelle genome stability","type":"article-journal","volume":"186"},"uris":["http://www.mendeley.com/documents/?uuid=6ad9650d-c961-40eb-92ec-5b3ec522682d"]}],"mendeley":{"formattedCitation":"(Maréchal &amp; Brisson, 2010)","plainTextFormattedCitation":"(Maréchal &amp; Brisson, 2010)","previouslyFormattedCitation":"(Maréchal &amp; Brisson 2010)"},"properties":{"noteIndex":0},"schema":"https://github.com/citation-style-language/schema/raw/master/csl-citation.json"}</w:instrText>
      </w:r>
      <w:r>
        <w:fldChar w:fldCharType="separate"/>
      </w:r>
      <w:r w:rsidRPr="002A18A2">
        <w:rPr>
          <w:noProof/>
        </w:rPr>
        <w:t>(Maréchal &amp; Brisson, 2010)</w:t>
      </w:r>
      <w:r>
        <w:fldChar w:fldCharType="end"/>
      </w:r>
      <w:r>
        <w:t xml:space="preserve">. Dispersed repeat lengths were considerably smaller and less variable in size in the chloroplast genomes compared to repeats in the mitogenomes. Small numbers of repeats have been observed in plastid genomes as they have been shown to cause instability and are therefore likely selected against </w:t>
      </w:r>
      <w:r>
        <w:fldChar w:fldCharType="begin" w:fldLock="1"/>
      </w:r>
      <w:r>
        <w:instrText>ADDIN CSL_CITATION {"citationItems":[{"id":"ITEM-1","itemData":{"DOI":"10.1073/pnas.91.16.7468","ISSN":"00278424","PMID":"8052605","abstract":"The plastid genome of higher plants is a circular double-stranded DNA molecule which is present in multiple identical copies. We report here an 868-bp plastid DNA minicircle, NICE1, that formed in tobacco (Nicotiana tabacum) plastids during transformation, as an unexpected product of homologous recombination. Such extrachromosomal elements are normally absent in plastids of higher plants. We have constructed shuttle plasmids containing NICE1 sequences which are maintained extrachromosomally when reintroduced into plastids by particle bombardment. Furthermore, recombination between homologous sequences in the shuttle plasmids and the main plastid genome occurs. Recombination products were characterized after recovery of the shuttle plasmids in Escherichia coli and of recombinant plastid genomes in the progeny of transformed plants. Our findings indicate that shuttle plasmids can be used to engineer plastid genes without concomitant integration of foreign DNA and to recover plastid mutations in E. coli.","author":[{"dropping-particle":"","family":"Staub","given":"Jeffrey M.","non-dropping-particle":"","parse-names":false,"suffix":""},{"dropping-particle":"","family":"Maliga","given":"Pal","non-dropping-particle":"","parse-names":false,"suffix":""}],"container-title":"Proceedings of the National Academy of Sciences of the United States of America","id":"ITEM-1","issue":"16","issued":{"date-parts":[["1994"]]},"page":"7468-7472","title":"Extrachromosomal elements in tobacco plastids","type":"article-journal","volume":"91"},"uris":["http://www.mendeley.com/documents/?uuid=defe520c-8464-4d4e-8e56-389bf87f2b1f"]}],"mendeley":{"formattedCitation":"(Staub &amp; Maliga, 1994)","plainTextFormattedCitation":"(Staub &amp; Maliga, 1994)","previouslyFormattedCitation":"(Staub &amp; Maliga 1994)"},"properties":{"noteIndex":0},"schema":"https://github.com/citation-style-language/schema/raw/master/csl-citation.json"}</w:instrText>
      </w:r>
      <w:r>
        <w:fldChar w:fldCharType="separate"/>
      </w:r>
      <w:r w:rsidRPr="002A18A2">
        <w:rPr>
          <w:noProof/>
        </w:rPr>
        <w:t>(Staub &amp; Maliga, 1994)</w:t>
      </w:r>
      <w:r>
        <w:fldChar w:fldCharType="end"/>
      </w:r>
      <w:r>
        <w:t>. Although large repeats are present in the mitogenomes assembled here, future work will address if they are active in facilitating recombination.</w:t>
      </w:r>
    </w:p>
    <w:p w14:paraId="68C06C0F" w14:textId="77777777" w:rsidR="00973759" w:rsidRPr="002D0512" w:rsidRDefault="00973759" w:rsidP="002A18A2">
      <w:pPr>
        <w:spacing w:line="360" w:lineRule="auto"/>
      </w:pPr>
      <w:r>
        <w:tab/>
        <w:t xml:space="preserve">The percent of variable sites within the </w:t>
      </w:r>
      <w:proofErr w:type="spellStart"/>
      <w:r w:rsidRPr="0033073B">
        <w:rPr>
          <w:i/>
          <w:iCs/>
        </w:rPr>
        <w:t>Chamaetia</w:t>
      </w:r>
      <w:proofErr w:type="spellEnd"/>
      <w:r w:rsidRPr="0033073B">
        <w:rPr>
          <w:i/>
          <w:iCs/>
        </w:rPr>
        <w:t>/</w:t>
      </w:r>
      <w:proofErr w:type="spellStart"/>
      <w:r w:rsidRPr="0033073B">
        <w:rPr>
          <w:i/>
          <w:iCs/>
        </w:rPr>
        <w:t>Vetrix</w:t>
      </w:r>
      <w:proofErr w:type="spellEnd"/>
      <w:r>
        <w:t xml:space="preserve"> clade based on the alignment of whole </w:t>
      </w:r>
      <w:proofErr w:type="spellStart"/>
      <w:r>
        <w:t>plastomes</w:t>
      </w:r>
      <w:proofErr w:type="spellEnd"/>
      <w:r>
        <w:t xml:space="preserve"> were exceptionally low. Wagner et al., (2021) reported 0.4% variable sites and we determined similar levels of variable sites at 0.59%. In comparison, an alignment constructed from RAD sequencing data in Wagner et al., 2021 had 8.05% variable sites. Consequently, the low variability in the chloroplast genomes resulted in the poor resolution and incorrect phylogenetic assignment for some of 11 </w:t>
      </w:r>
      <w:r>
        <w:rPr>
          <w:i/>
          <w:iCs/>
        </w:rPr>
        <w:t xml:space="preserve">Salix </w:t>
      </w:r>
      <w:r>
        <w:t xml:space="preserve">species in the </w:t>
      </w:r>
      <w:proofErr w:type="spellStart"/>
      <w:r w:rsidRPr="0033073B">
        <w:rPr>
          <w:i/>
          <w:iCs/>
        </w:rPr>
        <w:t>Chamaetia</w:t>
      </w:r>
      <w:proofErr w:type="spellEnd"/>
      <w:r w:rsidRPr="0033073B">
        <w:rPr>
          <w:i/>
          <w:iCs/>
        </w:rPr>
        <w:t>/</w:t>
      </w:r>
      <w:proofErr w:type="spellStart"/>
      <w:r w:rsidRPr="0033073B">
        <w:rPr>
          <w:i/>
          <w:iCs/>
        </w:rPr>
        <w:t>Vetrix</w:t>
      </w:r>
      <w:proofErr w:type="spellEnd"/>
      <w:r>
        <w:t xml:space="preserve"> clade.  </w:t>
      </w:r>
      <w:r w:rsidRPr="00050F66">
        <w:t>Additionally</w:t>
      </w:r>
      <w:r>
        <w:t xml:space="preserve">, this same trend of low levels of variable sites were also observed in the mitogenome derived phylogeny. Land plant mitogenomes are not commonly used for phylogenetic inference due to their low rates of evolution relative to the chloroplast and </w:t>
      </w:r>
      <w:r>
        <w:lastRenderedPageBreak/>
        <w:t xml:space="preserve">mitogenomes. Even the use of a dedicated LCB alignment pipeline which should perform better than a phylogeny derived from the alignment of protein-coding genes resulted in short branch lengths and incorrect phylogenetic relationships. Future phylogenetic analyses in </w:t>
      </w:r>
      <w:r>
        <w:rPr>
          <w:i/>
          <w:iCs/>
        </w:rPr>
        <w:t xml:space="preserve">Salix </w:t>
      </w:r>
      <w:r>
        <w:t>should rely on data derived from the nuclear genomes.</w:t>
      </w:r>
    </w:p>
    <w:p w14:paraId="38FE6FAA" w14:textId="77777777" w:rsidR="00973759" w:rsidRDefault="00973759" w:rsidP="002A18A2">
      <w:pPr>
        <w:spacing w:line="360" w:lineRule="auto"/>
        <w:ind w:firstLine="720"/>
        <w:rPr>
          <w:rFonts w:cs="Times New Roman"/>
          <w:color w:val="000000" w:themeColor="text1"/>
        </w:rPr>
      </w:pPr>
      <w:r>
        <w:t xml:space="preserve">The majority of genes were under purifying selection in the </w:t>
      </w:r>
      <w:proofErr w:type="gramStart"/>
      <w:r>
        <w:t>11 chloroplast</w:t>
      </w:r>
      <w:proofErr w:type="gramEnd"/>
      <w:r>
        <w:t xml:space="preserve"> genome and only two ribosomal subunit genes (</w:t>
      </w:r>
      <w:r w:rsidRPr="001A6523">
        <w:rPr>
          <w:i/>
          <w:iCs/>
        </w:rPr>
        <w:t>rps7</w:t>
      </w:r>
      <w:r>
        <w:t xml:space="preserve"> and </w:t>
      </w:r>
      <w:r w:rsidRPr="001A6523">
        <w:rPr>
          <w:i/>
          <w:iCs/>
        </w:rPr>
        <w:t>rpl23</w:t>
      </w:r>
      <w:r>
        <w:t xml:space="preserve">) showed evidence in positive selection. The </w:t>
      </w:r>
      <w:r w:rsidRPr="002D16A3">
        <w:rPr>
          <w:i/>
          <w:iCs/>
        </w:rPr>
        <w:t>rps7</w:t>
      </w:r>
      <w:r>
        <w:t xml:space="preserve"> gene is located </w:t>
      </w:r>
      <w:r>
        <w:rPr>
          <w:rFonts w:cs="Times New Roman"/>
          <w:color w:val="000000" w:themeColor="text1"/>
        </w:rPr>
        <w:t xml:space="preserve">in the IR and has been previously shown to have high nucleotide diversity based on an analysis of 21 </w:t>
      </w:r>
      <w:r>
        <w:rPr>
          <w:rFonts w:cs="Times New Roman"/>
          <w:i/>
          <w:iCs/>
          <w:color w:val="000000" w:themeColor="text1"/>
        </w:rPr>
        <w:t xml:space="preserve">Salix </w:t>
      </w:r>
      <w:r>
        <w:rPr>
          <w:rFonts w:cs="Times New Roman"/>
          <w:color w:val="000000" w:themeColor="text1"/>
        </w:rPr>
        <w:t xml:space="preserve">chloroplast genomes and has been proposed as a potential molecular marker for species identification </w:t>
      </w:r>
      <w:r>
        <w:rPr>
          <w:rFonts w:cs="Times New Roman"/>
          <w:color w:val="000000" w:themeColor="text1"/>
        </w:rPr>
        <w:fldChar w:fldCharType="begin" w:fldLock="1"/>
      </w:r>
      <w:r>
        <w:rPr>
          <w:rFonts w:cs="Times New Roman"/>
          <w:color w:val="000000" w:themeColor="text1"/>
        </w:rPr>
        <w:instrText>ADDIN CSL_CITATION {"citationItems":[{"id":"ITEM-1","itemData":{"DOI":"10.1080/23802359.2021.1950055","ISSN":"23802359","abstract":"In this study, whole chloroplast genomes of five Salix species (S. argyracea, S. dasyclados, S. eriocephala, S. integra ‘Hakuro Nishiki’, and S. suchowensis) were sequenced. These chloroplast genomes were 155 ,605, 155, 763, 155, 552, 155, 538, and 155 ,550 bp in length, harboring 131 genes (77 unigenes), 37 tRNA genes, 8 rRNA genes, and 86 mRNA genes, respectively. The genes ycf1, psaI, ycf2-2, rpoC2, rpl22, atpF, and ndhF were under positive selection among the 21 Salix species. psaI, ycf2-2, atpF, and ycf1-2 were under positive selection between the tree willow and shrub willow, and rpoC2, rpl22, and ycf1-2 were positively selected among the shrub genomes. The gene rps7 was most variable among the genomes. Phylogenetic analysis of 21 Salix species and Chosenia arbutifolia provide evidence that the cp genome data partially support the relationship with traditional taxonomic concepts in the Flora of China. This chloroplast genome elucidates Salix taxonomy and provides evidence for evolutionary research.","author":[{"dropping-particle":"","family":"Zhou","given":"Jie","non-dropping-particle":"","parse-names":false,"suffix":""},{"dropping-particle":"","family":"Jiao","given":"Zhongyi","non-dropping-particle":"","parse-names":false,"suffix":""},{"dropping-particle":"","family":"Guo","given":"Jiahui","non-dropping-particle":"","parse-names":false,"suffix":""},{"dropping-particle":"","family":"Wang","given":"Bao song","non-dropping-particle":"","parse-names":false,"suffix":""},{"dropping-particle":"","family":"Zheng","given":"Jiwei","non-dropping-particle":"","parse-names":false,"suffix":""}],"container-title":"Mitochondrial DNA Part B: Resources","id":"ITEM-1","issue":"8","issued":{"date-parts":[["2021"]]},"page":"2348-2352","publisher":"Taylor &amp; Francis","title":"Complete chloroplast genome sequencing of five Salix species and its application in the phylogeny and taxonomy of the genus","type":"article-journal","volume":"6"},"uris":["http://www.mendeley.com/documents/?uuid=2d3fb428-7753-4a54-9f10-e856f39a2bae"]}],"mendeley":{"formattedCitation":"(Zhou et al., 2021)","plainTextFormattedCitation":"(Zhou et al., 2021)","previouslyFormattedCitation":"(Zhou et al. 2021)"},"properties":{"noteIndex":0},"schema":"https://github.com/citation-style-language/schema/raw/master/csl-citation.json"}</w:instrText>
      </w:r>
      <w:r>
        <w:rPr>
          <w:rFonts w:cs="Times New Roman"/>
          <w:color w:val="000000" w:themeColor="text1"/>
        </w:rPr>
        <w:fldChar w:fldCharType="separate"/>
      </w:r>
      <w:r w:rsidRPr="002A18A2">
        <w:rPr>
          <w:rFonts w:cs="Times New Roman"/>
          <w:noProof/>
          <w:color w:val="000000" w:themeColor="text1"/>
        </w:rPr>
        <w:t>(Zhou et al., 2021)</w:t>
      </w:r>
      <w:r>
        <w:rPr>
          <w:rFonts w:cs="Times New Roman"/>
          <w:color w:val="000000" w:themeColor="text1"/>
        </w:rPr>
        <w:fldChar w:fldCharType="end"/>
      </w:r>
      <w:r>
        <w:rPr>
          <w:rFonts w:cs="Times New Roman"/>
          <w:color w:val="000000" w:themeColor="text1"/>
        </w:rPr>
        <w:t xml:space="preserve">. Furthermore, </w:t>
      </w:r>
      <w:r>
        <w:rPr>
          <w:rFonts w:cs="Times New Roman"/>
          <w:i/>
          <w:iCs/>
          <w:color w:val="000000" w:themeColor="text1"/>
        </w:rPr>
        <w:t xml:space="preserve">rps7 </w:t>
      </w:r>
      <w:r>
        <w:rPr>
          <w:rFonts w:cs="Times New Roman"/>
          <w:color w:val="000000" w:themeColor="text1"/>
        </w:rPr>
        <w:t xml:space="preserve">has also been shown to be under positive selection in the </w:t>
      </w:r>
      <w:r>
        <w:rPr>
          <w:rFonts w:cs="Times New Roman"/>
          <w:i/>
          <w:iCs/>
          <w:color w:val="000000" w:themeColor="text1"/>
        </w:rPr>
        <w:t xml:space="preserve">Salicaceae </w:t>
      </w:r>
      <w:r>
        <w:rPr>
          <w:rFonts w:cs="Times New Roman"/>
          <w:color w:val="000000" w:themeColor="text1"/>
        </w:rPr>
        <w:fldChar w:fldCharType="begin" w:fldLock="1"/>
      </w:r>
      <w:r>
        <w:rPr>
          <w:rFonts w:cs="Times New Roman"/>
          <w:color w:val="000000" w:themeColor="text1"/>
        </w:rPr>
        <w:instrText>ADDIN CSL_CITATION {"citationItems":[{"id":"ITEM-1","itemData":{"DOI":"10.3389/fpls.2017.01050","ISSN":"1664462X","abstract":"Chloroplast genomes of plants are highly conserved in both gene order and gene content. Analysis of the whole chloroplast genome is known to provide much more informative DNA sites and thus generates high resolution for plant phylogenies. Here, we report the complete chloroplast genomes of three Salix species in family Salicaceae. Phylogeny of Salicaceae inferred from complete chloroplast genomes is generally consistent with previous studies but resolved with higher statistical support. Incongruences of phylogeny, however, are observed in genus Populus, which most likely results from homoplasy. By comparing three Salix chloroplast genomes with the published chloroplast genomes of other Salicaceae species, we demonstrate that the synteny and length of chloroplast genomes in Salicaceae are highly conserved but experienced dynamic evolution among species. We identify seven positively selected chloroplast genes in Salicaceae, which might be related to the adaptive evolution of Salicaceae species. Comparative chloroplast genome analysis within the family also indicates that some chloroplast genes are lost or became pseudogenes, infer that the chloroplast genes horizontally transferred to the nucleus genome. Based on the complete nucleus genome sequences from two Salicaceae species, we remarkably identify that the entire chloroplast genome is indeed transferred and integrated to the nucleus genome in the individual of the reference genome of P. trichocarpa at least once. This observation, along with presence of the large nuclear plastid DNA (NUPTs) and NUPTs-containing multiple chloroplast genes in their original order in the chloroplast genome, favors the DNA-mediated hypothesis of organelle to nucleus DNA transfer. Overall, the phylogenomic analysis using chloroplast complete genomes clearly elucidates the phylogeny of Salicaceae. The identification of positively selected chloroplast genes and dynamic chloroplast-to-nucleus gene transfers in Salicaceae provide resources to better understand the successful adaptation of Salicaceae species.","author":[{"dropping-particle":"","family":"Huang","given":"Yuan","non-dropping-particle":"","parse-names":false,"suffix":""},{"dropping-particle":"","family":"Wang","given":"Jun","non-dropping-particle":"","parse-names":false,"suffix":""},{"dropping-particle":"","family":"Yang","given":"Yongping","non-dropping-particle":"","parse-names":false,"suffix":""},{"dropping-particle":"","family":"Fan","given":"Chuanzhu","non-dropping-particle":"","parse-names":false,"suffix":""},{"dropping-particle":"","family":"Chen","given":"Jiahui","non-dropping-particle":"","parse-names":false,"suffix":""}],"container-title":"Frontiers in Plant Science","id":"ITEM-1","issue":"June","issued":{"date-parts":[["2017"]]},"page":"1-13","title":"Phylogenomic analysis and dynamic evolution of chloroplast genomes in salicaceae","type":"article-journal","volume":"8"},"uris":["http://www.mendeley.com/documents/?uuid=9ac21e2f-6e3f-4ac6-accc-519fbac0dffb"]}],"mendeley":{"formattedCitation":"(Huang et al., 2017)","plainTextFormattedCitation":"(Huang et al., 2017)","previouslyFormattedCitation":"(Huang et al. 2017)"},"properties":{"noteIndex":0},"schema":"https://github.com/citation-style-language/schema/raw/master/csl-citation.json"}</w:instrText>
      </w:r>
      <w:r>
        <w:rPr>
          <w:rFonts w:cs="Times New Roman"/>
          <w:color w:val="000000" w:themeColor="text1"/>
        </w:rPr>
        <w:fldChar w:fldCharType="separate"/>
      </w:r>
      <w:r w:rsidRPr="002A18A2">
        <w:rPr>
          <w:rFonts w:cs="Times New Roman"/>
          <w:noProof/>
          <w:color w:val="000000" w:themeColor="text1"/>
        </w:rPr>
        <w:t>(Huang et al., 2017)</w:t>
      </w:r>
      <w:r>
        <w:rPr>
          <w:rFonts w:cs="Times New Roman"/>
          <w:color w:val="000000" w:themeColor="text1"/>
        </w:rPr>
        <w:fldChar w:fldCharType="end"/>
      </w:r>
      <w:r>
        <w:rPr>
          <w:rFonts w:cs="Times New Roman"/>
          <w:color w:val="000000" w:themeColor="text1"/>
        </w:rPr>
        <w:t xml:space="preserve">. In </w:t>
      </w:r>
      <w:r>
        <w:rPr>
          <w:rFonts w:cs="Times New Roman"/>
          <w:i/>
          <w:iCs/>
          <w:color w:val="000000" w:themeColor="text1"/>
        </w:rPr>
        <w:t xml:space="preserve">P. </w:t>
      </w:r>
      <w:proofErr w:type="spellStart"/>
      <w:r>
        <w:rPr>
          <w:rFonts w:cs="Times New Roman"/>
          <w:i/>
          <w:iCs/>
          <w:color w:val="000000" w:themeColor="text1"/>
        </w:rPr>
        <w:t>trichocarpa</w:t>
      </w:r>
      <w:proofErr w:type="spellEnd"/>
      <w:r>
        <w:rPr>
          <w:rFonts w:cs="Times New Roman"/>
          <w:i/>
          <w:iCs/>
          <w:color w:val="000000" w:themeColor="text1"/>
        </w:rPr>
        <w:t xml:space="preserve">, </w:t>
      </w:r>
      <w:r>
        <w:rPr>
          <w:rFonts w:cs="Times New Roman"/>
          <w:color w:val="000000" w:themeColor="text1"/>
        </w:rPr>
        <w:t xml:space="preserve">there is functional copy of </w:t>
      </w:r>
      <w:r>
        <w:rPr>
          <w:rFonts w:cs="Times New Roman"/>
          <w:i/>
          <w:iCs/>
          <w:color w:val="000000" w:themeColor="text1"/>
        </w:rPr>
        <w:t xml:space="preserve">rps7 </w:t>
      </w:r>
      <w:r>
        <w:rPr>
          <w:rFonts w:cs="Times New Roman"/>
          <w:color w:val="000000" w:themeColor="text1"/>
        </w:rPr>
        <w:t xml:space="preserve">in the nuclear genome, which may explain the lack of constraint in the 11 </w:t>
      </w:r>
      <w:r>
        <w:rPr>
          <w:rFonts w:cs="Times New Roman"/>
          <w:i/>
          <w:iCs/>
          <w:color w:val="000000" w:themeColor="text1"/>
        </w:rPr>
        <w:t>Salix</w:t>
      </w:r>
      <w:r>
        <w:rPr>
          <w:rFonts w:cs="Times New Roman"/>
          <w:color w:val="000000" w:themeColor="text1"/>
        </w:rPr>
        <w:t xml:space="preserve"> chloroplast genomes. Future nuclear genome assemblies should assess whether functional transfer of </w:t>
      </w:r>
      <w:r>
        <w:rPr>
          <w:rFonts w:cs="Times New Roman"/>
          <w:i/>
          <w:iCs/>
          <w:color w:val="000000" w:themeColor="text1"/>
        </w:rPr>
        <w:t>rps7</w:t>
      </w:r>
      <w:r>
        <w:rPr>
          <w:rFonts w:cs="Times New Roman"/>
          <w:color w:val="000000" w:themeColor="text1"/>
        </w:rPr>
        <w:t xml:space="preserve"> has occurred. Positive selection on </w:t>
      </w:r>
      <w:r w:rsidRPr="007D3E95">
        <w:rPr>
          <w:rFonts w:cs="Times New Roman"/>
          <w:i/>
          <w:iCs/>
          <w:color w:val="000000" w:themeColor="text1"/>
        </w:rPr>
        <w:t>rpl23</w:t>
      </w:r>
      <w:r>
        <w:rPr>
          <w:rFonts w:cs="Times New Roman"/>
          <w:color w:val="000000" w:themeColor="text1"/>
        </w:rPr>
        <w:t xml:space="preserve"> has also been detected in the </w:t>
      </w:r>
      <w:proofErr w:type="spellStart"/>
      <w:r>
        <w:rPr>
          <w:rFonts w:cs="Times New Roman"/>
          <w:color w:val="000000" w:themeColor="text1"/>
        </w:rPr>
        <w:t>fabids</w:t>
      </w:r>
      <w:proofErr w:type="spellEnd"/>
      <w:r>
        <w:rPr>
          <w:rFonts w:cs="Times New Roman"/>
          <w:color w:val="000000" w:themeColor="text1"/>
        </w:rPr>
        <w:t xml:space="preserve">, which may suggest that it has also transferred successfully to the nuclear genome </w:t>
      </w:r>
      <w:r>
        <w:rPr>
          <w:rFonts w:cs="Times New Roman"/>
          <w:color w:val="000000" w:themeColor="text1"/>
        </w:rPr>
        <w:fldChar w:fldCharType="begin" w:fldLock="1"/>
      </w:r>
      <w:r>
        <w:rPr>
          <w:rFonts w:cs="Times New Roman"/>
          <w:color w:val="000000" w:themeColor="text1"/>
        </w:rPr>
        <w:instrText>ADDIN CSL_CITATION {"citationItems":[{"id":"ITEM-1","itemData":{"DOI":"10.1002/tpg2.20019","ISSN":"19403372","PMID":"33016609","abstract":"Mangroves is an umbrella term for plants located across the tropics and sub-tropics that live in the coastal region, between the sea and the land. All mangroves evolved from terrestrial plants, providing the opportunity to assess convergence, as well as the lineage-specific features, at the genetic level. In this study, we compared chloroplast genomes from 21 mangrove species, covering main phylogenetic clades. We demonstrate that chloroplast gene order, content, and genome size is largely conserved in mangroves. The exceptions are loss of the photosystem I gene psaZ in Acanthus ilicifolius and inversion of the ribosomal protein gene rpl23 in Avicennia germinans. The repeat content of mangrove chloroplast varied between species, but was conserved within species of the same order. Sequence diversity analysis revealed that the IR (invert repeat) region was highly conserved compared to the SC (single-copy) region in most phylogenetic clades, except clade core leptosporangiates (ferns). The ribosomal protein gene rps7 was under positive selection in Kandelia obovato, Rhizophora stylosa, Bruguiera sexangular and Rhizophora mangle, a monophyletic branch of clade fabids, while no evidence of positive selection was found in other mangrove lineages. Taken together, our data suggests that convergent evolutionary dynamics leaves no significant signal on the plastid genome of mangroves. The complete chloroplast genomes provided in this study shed light on the evolution of these important plastids and provides a valuable resource for further research efforts.","author":[{"dropping-particle":"","family":"Han","given":"Kai","non-dropping-particle":"","parse-names":false,"suffix":""},{"dropping-particle":"","family":"Shi","given":"Chengcheng","non-dropping-particle":"","parse-names":false,"suffix":""},{"dropping-particle":"","family":"Li","given":"Liangwei","non-dropping-particle":"","parse-names":false,"suffix":""},{"dropping-particle":"","family":"Seim","given":"Inge","non-dropping-particle":"","parse-names":false,"suffix":""},{"dropping-particle":"","family":"Lee","given":"Simon Ming Yuen","non-dropping-particle":"","parse-names":false,"suffix":""},{"dropping-particle":"","family":"Xu","given":"Xun","non-dropping-particle":"","parse-names":false,"suffix":""},{"dropping-particle":"","family":"Yang","given":"Huanming","non-dropping-particle":"","parse-names":false,"suffix":""},{"dropping-particle":"","family":"Fan","given":"Guangyi","non-dropping-particle":"","parse-names":false,"suffix":""},{"dropping-particle":"","family":"Liu","given":"Xin","non-dropping-particle":"","parse-names":false,"suffix":""}],"container-title":"Plant Genome","id":"ITEM-1","issue":"2","issued":{"date-parts":[["2020"]]},"page":"1-13","title":"Lineage-specific evolution of mangrove plastid genomes","type":"article-journal","volume":"13"},"uris":["http://www.mendeley.com/documents/?uuid=a8749d4c-6b13-4750-b1d1-b26441010a97"]}],"mendeley":{"formattedCitation":"(Han et al., 2020)","plainTextFormattedCitation":"(Han et al., 2020)","previouslyFormattedCitation":"(Han et al. 2020)"},"properties":{"noteIndex":0},"schema":"https://github.com/citation-style-language/schema/raw/master/csl-citation.json"}</w:instrText>
      </w:r>
      <w:r>
        <w:rPr>
          <w:rFonts w:cs="Times New Roman"/>
          <w:color w:val="000000" w:themeColor="text1"/>
        </w:rPr>
        <w:fldChar w:fldCharType="separate"/>
      </w:r>
      <w:r w:rsidRPr="002A18A2">
        <w:rPr>
          <w:rFonts w:cs="Times New Roman"/>
          <w:noProof/>
          <w:color w:val="000000" w:themeColor="text1"/>
        </w:rPr>
        <w:t>(Han et al., 2020)</w:t>
      </w:r>
      <w:r>
        <w:rPr>
          <w:rFonts w:cs="Times New Roman"/>
          <w:color w:val="000000" w:themeColor="text1"/>
        </w:rPr>
        <w:fldChar w:fldCharType="end"/>
      </w:r>
      <w:r>
        <w:rPr>
          <w:rFonts w:cs="Times New Roman"/>
          <w:color w:val="000000" w:themeColor="text1"/>
        </w:rPr>
        <w:t xml:space="preserve">. Protein-coding genes in the mitogenomes had larger numbers of genes under positive selection compared to the plastid genomes. Genes under positive selection were from functional classes such as ATP synthases, Cytochrome C Biogenesis, NADH dehydrogenases, succinate dehydrogenases, and small ribosomal subunit proteins. Although, the number of studies which have examine selection of mitogenome protein-coding genes in </w:t>
      </w:r>
      <w:r>
        <w:rPr>
          <w:rFonts w:cs="Times New Roman"/>
          <w:i/>
          <w:iCs/>
          <w:color w:val="000000" w:themeColor="text1"/>
        </w:rPr>
        <w:t xml:space="preserve">Salix </w:t>
      </w:r>
      <w:r>
        <w:rPr>
          <w:rFonts w:cs="Times New Roman"/>
          <w:color w:val="000000" w:themeColor="text1"/>
        </w:rPr>
        <w:t xml:space="preserve">is limited, one study which assembled the </w:t>
      </w:r>
      <w:r>
        <w:rPr>
          <w:rFonts w:cs="Times New Roman"/>
          <w:i/>
          <w:iCs/>
          <w:color w:val="000000" w:themeColor="text1"/>
        </w:rPr>
        <w:t xml:space="preserve">S. </w:t>
      </w:r>
      <w:proofErr w:type="spellStart"/>
      <w:r>
        <w:rPr>
          <w:rFonts w:cs="Times New Roman"/>
          <w:i/>
          <w:iCs/>
          <w:color w:val="000000" w:themeColor="text1"/>
        </w:rPr>
        <w:t>suchowensis</w:t>
      </w:r>
      <w:proofErr w:type="spellEnd"/>
      <w:r>
        <w:rPr>
          <w:rFonts w:cs="Times New Roman"/>
          <w:i/>
          <w:iCs/>
          <w:color w:val="000000" w:themeColor="text1"/>
        </w:rPr>
        <w:t xml:space="preserve"> </w:t>
      </w:r>
      <w:r>
        <w:rPr>
          <w:rFonts w:cs="Times New Roman"/>
          <w:color w:val="000000" w:themeColor="text1"/>
        </w:rPr>
        <w:t xml:space="preserve">mitogenome has identified </w:t>
      </w:r>
      <w:proofErr w:type="spellStart"/>
      <w:r>
        <w:rPr>
          <w:rFonts w:cs="Times New Roman"/>
          <w:i/>
          <w:iCs/>
          <w:color w:val="000000" w:themeColor="text1"/>
        </w:rPr>
        <w:t>ccmB</w:t>
      </w:r>
      <w:proofErr w:type="spellEnd"/>
      <w:r>
        <w:rPr>
          <w:rFonts w:cs="Times New Roman"/>
          <w:color w:val="000000" w:themeColor="text1"/>
        </w:rPr>
        <w:t xml:space="preserve"> with a Ka/Ks greater than 1 </w:t>
      </w:r>
      <w:r>
        <w:rPr>
          <w:rFonts w:cs="Times New Roman"/>
          <w:color w:val="000000" w:themeColor="text1"/>
        </w:rPr>
        <w:fldChar w:fldCharType="begin" w:fldLock="1"/>
      </w:r>
      <w:r>
        <w:rPr>
          <w:rFonts w:cs="Times New Roman"/>
          <w:color w:val="000000" w:themeColor="text1"/>
        </w:rPr>
        <w:instrText>ADDIN CSL_CITATION {"citationItems":[{"id":"ITEM-1","itemData":{"DOI":"10.7717/peerj.3148","ISSN":"21678359","abstract":"Willow is a widely used dioecious woody plant of Salicaceae family in China. Due to their high biomass yields, willows are promising sources for bioenergy crops. In this study, we assembled the complete mitochondrial (mt) genome sequence of S. suchowensis with the length of 644,437 bp using Roche-454 GS FLX Titanium sequencing technologies. Base composition of the S. suchowensis mt genome is A (27.43%), T (27.59%), C (22.34%), and G (22.64%), which shows a prevalent GC content with that of other angiosperms. This long circular mt genome encodes 58 unique genes (32 protein-coding genes, 23 tRNA genes and 3 rRNA genes), and 9 of the 32 protein-coding genes contain 17 introns. Through the phylogenetic analysis of 35 species based on 23 protein-coding genes, it is supported that Salix as a sister to Populus. With the detailed phylogenetic information and the identification of phylogenetic position, some ribosomal protein genes and succinate dehydrogenase genes are found usually lost during evolution. As a native shrub willow species, this worthwhile research of S. suchowensis mt genome will provide more desirable information for better understanding the genomic breeding and missing pieces of sex determination evolution in the future.","author":[{"dropping-particle":"","family":"Ye","given":"Ning","non-dropping-particle":"","parse-names":false,"suffix":""},{"dropping-particle":"","family":"Wang","given":"Xuelin","non-dropping-particle":"","parse-names":false,"suffix":""},{"dropping-particle":"","family":"Li","given":"Juan","non-dropping-particle":"","parse-names":false,"suffix":""},{"dropping-particle":"","family":"Bi","given":"Changwei","non-dropping-particle":"","parse-names":false,"suffix":""},{"dropping-particle":"","family":"Xu","given":"Yiqing","non-dropping-particle":"","parse-names":false,"suffix":""},{"dropping-particle":"","family":"Wu","given":"Dongyang","non-dropping-particle":"","parse-names":false,"suffix":""},{"dropping-particle":"","family":"Ye","given":"Qiaolin","non-dropping-particle":"","parse-names":false,"suffix":""}],"container-title":"PeerJ","id":"ITEM-1","issue":"3","issued":{"date-parts":[["2017"]]},"title":"Assembly and comparative analysis of complete mitochondrial genome sequence of an economic plant Salix suchowensis","type":"article-journal","volume":"2017"},"uris":["http://www.mendeley.com/documents/?uuid=30708d7a-fb21-45e1-8ec3-86d9a036b4f0"]}],"mendeley":{"formattedCitation":"(Ye et al., 2017)","plainTextFormattedCitation":"(Ye et al., 2017)","previouslyFormattedCitation":"(Ye et al. 2017)"},"properties":{"noteIndex":0},"schema":"https://github.com/citation-style-language/schema/raw/master/csl-citation.json"}</w:instrText>
      </w:r>
      <w:r>
        <w:rPr>
          <w:rFonts w:cs="Times New Roman"/>
          <w:color w:val="000000" w:themeColor="text1"/>
        </w:rPr>
        <w:fldChar w:fldCharType="separate"/>
      </w:r>
      <w:r w:rsidRPr="002A18A2">
        <w:rPr>
          <w:rFonts w:cs="Times New Roman"/>
          <w:noProof/>
          <w:color w:val="000000" w:themeColor="text1"/>
        </w:rPr>
        <w:t>(Ye et al., 2017)</w:t>
      </w:r>
      <w:r>
        <w:rPr>
          <w:rFonts w:cs="Times New Roman"/>
          <w:color w:val="000000" w:themeColor="text1"/>
        </w:rPr>
        <w:fldChar w:fldCharType="end"/>
      </w:r>
      <w:r>
        <w:rPr>
          <w:rFonts w:cs="Times New Roman"/>
          <w:color w:val="000000" w:themeColor="text1"/>
        </w:rPr>
        <w:t xml:space="preserve">. However, they did not identify </w:t>
      </w:r>
      <w:r w:rsidRPr="00600D16">
        <w:rPr>
          <w:rFonts w:cs="Times New Roman"/>
          <w:i/>
          <w:iCs/>
          <w:color w:val="000000" w:themeColor="text1"/>
        </w:rPr>
        <w:t>atp4</w:t>
      </w:r>
      <w:r>
        <w:rPr>
          <w:rFonts w:cs="Times New Roman"/>
          <w:color w:val="000000" w:themeColor="text1"/>
        </w:rPr>
        <w:t xml:space="preserve">, </w:t>
      </w:r>
      <w:r w:rsidRPr="00600D16">
        <w:rPr>
          <w:rFonts w:cs="Times New Roman"/>
          <w:i/>
          <w:iCs/>
          <w:color w:val="000000" w:themeColor="text1"/>
        </w:rPr>
        <w:t>nad3</w:t>
      </w:r>
      <w:r>
        <w:rPr>
          <w:rFonts w:cs="Times New Roman"/>
          <w:color w:val="000000" w:themeColor="text1"/>
        </w:rPr>
        <w:t xml:space="preserve">, </w:t>
      </w:r>
      <w:r w:rsidRPr="00600D16">
        <w:rPr>
          <w:rFonts w:cs="Times New Roman"/>
          <w:i/>
          <w:iCs/>
          <w:color w:val="000000" w:themeColor="text1"/>
        </w:rPr>
        <w:t>nad4</w:t>
      </w:r>
      <w:r>
        <w:rPr>
          <w:rFonts w:cs="Times New Roman"/>
          <w:color w:val="000000" w:themeColor="text1"/>
        </w:rPr>
        <w:t xml:space="preserve">, </w:t>
      </w:r>
      <w:r w:rsidRPr="00600D16">
        <w:rPr>
          <w:rFonts w:cs="Times New Roman"/>
          <w:i/>
          <w:iCs/>
          <w:color w:val="000000" w:themeColor="text1"/>
        </w:rPr>
        <w:t>rps3</w:t>
      </w:r>
      <w:r>
        <w:rPr>
          <w:rFonts w:cs="Times New Roman"/>
          <w:color w:val="000000" w:themeColor="text1"/>
        </w:rPr>
        <w:t xml:space="preserve">, or </w:t>
      </w:r>
      <w:r w:rsidRPr="00600D16">
        <w:rPr>
          <w:rFonts w:cs="Times New Roman"/>
          <w:i/>
          <w:iCs/>
          <w:color w:val="000000" w:themeColor="text1"/>
        </w:rPr>
        <w:t>sdh4</w:t>
      </w:r>
      <w:r>
        <w:rPr>
          <w:rFonts w:cs="Times New Roman"/>
          <w:color w:val="000000" w:themeColor="text1"/>
        </w:rPr>
        <w:t xml:space="preserve"> as under positive selection, although </w:t>
      </w:r>
      <w:r w:rsidRPr="00600D16">
        <w:rPr>
          <w:rFonts w:cs="Times New Roman"/>
          <w:i/>
          <w:iCs/>
          <w:color w:val="000000" w:themeColor="text1"/>
        </w:rPr>
        <w:t xml:space="preserve">atp4 </w:t>
      </w:r>
      <w:r>
        <w:rPr>
          <w:rFonts w:cs="Times New Roman"/>
          <w:color w:val="000000" w:themeColor="text1"/>
        </w:rPr>
        <w:t xml:space="preserve">and </w:t>
      </w:r>
      <w:r w:rsidRPr="00600D16">
        <w:rPr>
          <w:rFonts w:cs="Times New Roman"/>
          <w:i/>
          <w:iCs/>
          <w:color w:val="000000" w:themeColor="text1"/>
        </w:rPr>
        <w:t>sdh4</w:t>
      </w:r>
      <w:r>
        <w:rPr>
          <w:rFonts w:cs="Times New Roman"/>
          <w:color w:val="000000" w:themeColor="text1"/>
        </w:rPr>
        <w:t xml:space="preserve"> did have Ka/Ks values relatively close to 1.</w:t>
      </w:r>
    </w:p>
    <w:p w14:paraId="140E9C09" w14:textId="77777777" w:rsidR="00973759" w:rsidRPr="00600D16" w:rsidRDefault="00973759" w:rsidP="002A18A2">
      <w:pPr>
        <w:spacing w:line="360" w:lineRule="auto"/>
        <w:ind w:firstLine="720"/>
        <w:rPr>
          <w:rFonts w:cs="Times New Roman"/>
          <w:color w:val="000000" w:themeColor="text1"/>
        </w:rPr>
      </w:pPr>
      <w:r>
        <w:rPr>
          <w:rFonts w:cs="Times New Roman"/>
          <w:color w:val="000000" w:themeColor="text1"/>
        </w:rPr>
        <w:t xml:space="preserve">In this study, we provide novel high quality organelle genomic resources for 6 </w:t>
      </w:r>
      <w:r>
        <w:rPr>
          <w:rFonts w:cs="Times New Roman"/>
          <w:i/>
          <w:iCs/>
          <w:color w:val="000000" w:themeColor="text1"/>
        </w:rPr>
        <w:t xml:space="preserve">Salix </w:t>
      </w:r>
      <w:r>
        <w:rPr>
          <w:rFonts w:cs="Times New Roman"/>
          <w:color w:val="000000" w:themeColor="text1"/>
        </w:rPr>
        <w:t>species. Furthermore, we identified and characterized structural variation in these genomes in both coding and intergenic contexts. We also identified variable rates of chloroplast DNA transfer to the mitogenomes. Repeat content was highly variable in the mitogenomes and were generally homogenous in the chloroplast genomes. Additionally, we performed phylogenetic analyses which were reliable at the subgenera level. Lastly, we identified levels of selection on protein-coding genes and identified a subset which were under positive selection and may have functional copies in the nuclear genome.</w:t>
      </w:r>
    </w:p>
    <w:p w14:paraId="42097F18" w14:textId="77777777" w:rsidR="00CB6DEA" w:rsidRDefault="00CB6DEA" w:rsidP="00235B65">
      <w:pPr>
        <w:spacing w:line="360" w:lineRule="auto"/>
        <w:rPr>
          <w:b/>
          <w:bCs/>
          <w:sz w:val="28"/>
          <w:szCs w:val="26"/>
        </w:rPr>
      </w:pPr>
    </w:p>
    <w:p w14:paraId="3742B4BE" w14:textId="0653E43E" w:rsidR="00CB6DEA" w:rsidRDefault="00973759" w:rsidP="00D75172">
      <w:pPr>
        <w:spacing w:line="360" w:lineRule="auto"/>
        <w:jc w:val="center"/>
      </w:pPr>
      <w:r>
        <w:rPr>
          <w:b/>
          <w:bCs/>
          <w:sz w:val="28"/>
          <w:szCs w:val="26"/>
        </w:rPr>
        <w:lastRenderedPageBreak/>
        <w:t>Materials and Methods</w:t>
      </w:r>
    </w:p>
    <w:p w14:paraId="5B67CF4D" w14:textId="77777777" w:rsidR="00D75172" w:rsidRPr="007E0CBB" w:rsidRDefault="00D75172" w:rsidP="00D75172">
      <w:pPr>
        <w:spacing w:line="360" w:lineRule="auto"/>
        <w:jc w:val="center"/>
      </w:pPr>
    </w:p>
    <w:p w14:paraId="365B41A8" w14:textId="77777777" w:rsidR="00973759" w:rsidRDefault="00973759" w:rsidP="002A18A2">
      <w:pPr>
        <w:tabs>
          <w:tab w:val="left" w:pos="360"/>
        </w:tabs>
        <w:spacing w:line="360" w:lineRule="auto"/>
        <w:rPr>
          <w:rFonts w:cs="Times New Roman"/>
        </w:rPr>
      </w:pPr>
      <w:r w:rsidRPr="00FF7E71">
        <w:rPr>
          <w:rFonts w:cs="Times New Roman"/>
          <w:b/>
          <w:bCs/>
        </w:rPr>
        <w:t>DNA extraction and sequencing</w:t>
      </w:r>
      <w:r>
        <w:rPr>
          <w:rFonts w:cs="Times New Roman"/>
          <w:b/>
          <w:bCs/>
        </w:rPr>
        <w:t xml:space="preserve">: </w:t>
      </w:r>
      <w:r w:rsidRPr="005D1D88">
        <w:rPr>
          <w:rFonts w:cs="Times New Roman"/>
        </w:rPr>
        <w:t xml:space="preserve">Fresh young leaf tissue (approximately 100 mg) </w:t>
      </w:r>
      <w:r>
        <w:rPr>
          <w:rFonts w:cs="Times New Roman"/>
        </w:rPr>
        <w:t xml:space="preserve">for all 11 </w:t>
      </w:r>
      <w:r>
        <w:rPr>
          <w:rFonts w:cs="Times New Roman"/>
          <w:i/>
          <w:iCs/>
        </w:rPr>
        <w:t xml:space="preserve">Salix </w:t>
      </w:r>
      <w:r>
        <w:rPr>
          <w:rFonts w:cs="Times New Roman"/>
        </w:rPr>
        <w:t xml:space="preserve">genotypes </w:t>
      </w:r>
      <w:r w:rsidRPr="005D1D88">
        <w:rPr>
          <w:rFonts w:cs="Times New Roman"/>
        </w:rPr>
        <w:t xml:space="preserve">was collected and ground in liquid nitrogen using the Qiagen </w:t>
      </w:r>
      <w:proofErr w:type="spellStart"/>
      <w:r w:rsidRPr="005D1D88">
        <w:rPr>
          <w:rFonts w:cs="Times New Roman"/>
        </w:rPr>
        <w:t>TissueLyser</w:t>
      </w:r>
      <w:proofErr w:type="spellEnd"/>
      <w:r w:rsidRPr="005D1D88">
        <w:rPr>
          <w:rFonts w:cs="Times New Roman"/>
        </w:rPr>
        <w:t xml:space="preserve"> II with one 5mm stainless steel bead. DNA extraction was performed using a modified CTAB based protocol</w:t>
      </w:r>
      <w:r>
        <w:rPr>
          <w:rFonts w:cs="Times New Roman"/>
        </w:rPr>
        <w:t xml:space="preserve"> </w:t>
      </w:r>
      <w:r>
        <w:rPr>
          <w:rFonts w:cs="Times New Roman"/>
        </w:rPr>
        <w:fldChar w:fldCharType="begin" w:fldLock="1"/>
      </w:r>
      <w:r>
        <w:rPr>
          <w:rFonts w:cs="Times New Roman"/>
        </w:rPr>
        <w:instrText>ADDIN CSL_CITATION {"citationItems":[{"id":"ITEM-1","itemData":{"abstract":"Of the several rapid and inexpensive DNA isolation procedures that have been described recently, one of the most popular is that of Saghai-Maroof et ale (1984), a procedure using hexadecyltrimethylammonium bromide (CTAB) and lyophilized tissue.We here describe a simple modification of this procedure that has been found to be efficient for nucleic acid isolations from fresh leaf tissue, and which we have also used for dried herbarium specimens.","author":[{"dropping-particle":"","family":"Doyle","given":"J J","non-dropping-particle":"","parse-names":false,"suffix":""},{"dropping-particle":"","family":"Doyle","given":"J L","non-dropping-particle":"","parse-names":false,"suffix":""}],"container-title":"PHYTOCHEMICAL BULLETIN","id":"ITEM-1","issue":"RESEARCH","issued":{"date-parts":[["1987"]]},"publisher-place":"1987","title":"A rapid DNA isolation procedure for small quantities of fresh leaf tissue","type":"article-journal"},"uris":["http://www.mendeley.com/documents/?uuid=7a4a7f4c-f7cb-4084-bd73-8ef8a440af85"]}],"mendeley":{"formattedCitation":"(Doyle &amp; Doyle, 1987)","plainTextFormattedCitation":"(Doyle &amp; Doyle, 1987)","previouslyFormattedCitation":"(Doyle &amp; Doyle 1987)"},"properties":{"noteIndex":0},"schema":"https://github.com/citation-style-language/schema/raw/master/csl-citation.json"}</w:instrText>
      </w:r>
      <w:r>
        <w:rPr>
          <w:rFonts w:cs="Times New Roman"/>
        </w:rPr>
        <w:fldChar w:fldCharType="separate"/>
      </w:r>
      <w:r w:rsidRPr="002A18A2">
        <w:rPr>
          <w:rFonts w:cs="Times New Roman"/>
          <w:noProof/>
        </w:rPr>
        <w:t>(Doyle &amp; Doyle, 1987)</w:t>
      </w:r>
      <w:r>
        <w:rPr>
          <w:rFonts w:cs="Times New Roman"/>
        </w:rPr>
        <w:fldChar w:fldCharType="end"/>
      </w:r>
      <w:r w:rsidRPr="005D1D88">
        <w:rPr>
          <w:rFonts w:cs="Times New Roman"/>
        </w:rPr>
        <w:t xml:space="preserve">. Briefly, the organic and aqueous phase were extracted using </w:t>
      </w:r>
      <w:proofErr w:type="spellStart"/>
      <w:r w:rsidRPr="005D1D88">
        <w:rPr>
          <w:rFonts w:cs="Times New Roman"/>
        </w:rPr>
        <w:t>chloroform:isoamyl</w:t>
      </w:r>
      <w:proofErr w:type="spellEnd"/>
      <w:r w:rsidRPr="005D1D88">
        <w:rPr>
          <w:rFonts w:cs="Times New Roman"/>
        </w:rPr>
        <w:t xml:space="preserve"> alcohol 24:1. After separation, a SPRI bead solution was used to select for reads greater than 1kb</w:t>
      </w:r>
      <w:r>
        <w:rPr>
          <w:rFonts w:cs="Times New Roman"/>
        </w:rPr>
        <w:t xml:space="preserve"> </w:t>
      </w:r>
      <w:r>
        <w:rPr>
          <w:rFonts w:cs="Times New Roman"/>
        </w:rPr>
        <w:fldChar w:fldCharType="begin" w:fldLock="1"/>
      </w:r>
      <w:r>
        <w:rPr>
          <w:rFonts w:cs="Times New Roman"/>
        </w:rPr>
        <w:instrText>ADDIN CSL_CITATION {"citationItems":[{"id":"ITEM-1","itemData":{"DOI":"10.2144/000114460","ISSN":"19409818","PMID":"27712583","abstract":"De novo sequencing of complex genomes is one of the main challenges for researchers seeking high-quality reference sequences. Many de novo assemblies are based on short reads, producing fragmented genome sequences. Third-generation sequencing, with read lengths &gt;10 kb, will improve the assembly of complex genomes, but these techniques require high-molecular-weight genomic DNA (gDNA), and gDNA extraction protocols used for obtaining smaller fragments for short-read sequencing are not suitable for this purpose. Methods of preparing gDNA for bacterial artificial chromosome (BAC) libraries could be adapted, but these approaches are time-consuming, and commercial kits for these methods are expensive. Here, we present a protocol for rapid, inexpensive extraction of high-molecular-weight gDNA from bacteria, plants, and animals. Our technique was validated using sunflower leaf samples, producing a mean read length of 12.6 kb and a maximum read length of 80 kb.","author":[{"dropping-particle":"","family":"Mayjonade","given":"Baptiste","non-dropping-particle":"","parse-names":false,"suffix":""},{"dropping-particle":"","family":"Gouzy","given":"Jérôme","non-dropping-particle":"","parse-names":false,"suffix":""},{"dropping-particle":"","family":"Donnadieu","given":"Cécile","non-dropping-particle":"","parse-names":false,"suffix":""},{"dropping-particle":"","family":"Pouilly","given":"Nicolas","non-dropping-particle":"","parse-names":false,"suffix":""},{"dropping-particle":"","family":"Marande","given":"William","non-dropping-particle":"","parse-names":false,"suffix":""},{"dropping-particle":"","family":"Callot","given":"Caroline","non-dropping-particle":"","parse-names":false,"suffix":""},{"dropping-particle":"","family":"Langlade","given":"Nicolas","non-dropping-particle":"","parse-names":false,"suffix":""},{"dropping-particle":"","family":"Muños","given":"Stéphane","non-dropping-particle":"","parse-names":false,"suffix":""}],"container-title":"BioTechniques","id":"ITEM-1","issue":"4","issued":{"date-parts":[["2016"]]},"page":"203-205","title":"Extraction of high-molecular-weight genomic DNA for long-read sequencing of single molecules","type":"article-journal","volume":"61"},"uris":["http://www.mendeley.com/documents/?uuid=34ca6462-c3be-4cc0-b745-d7f270435413"]}],"mendeley":{"formattedCitation":"(Mayjonade et al., 2016)","plainTextFormattedCitation":"(Mayjonade et al., 2016)","previouslyFormattedCitation":"(Mayjonade et al. 2016)"},"properties":{"noteIndex":0},"schema":"https://github.com/citation-style-language/schema/raw/master/csl-citation.json"}</w:instrText>
      </w:r>
      <w:r>
        <w:rPr>
          <w:rFonts w:cs="Times New Roman"/>
        </w:rPr>
        <w:fldChar w:fldCharType="separate"/>
      </w:r>
      <w:r w:rsidRPr="002A18A2">
        <w:rPr>
          <w:rFonts w:cs="Times New Roman"/>
          <w:noProof/>
        </w:rPr>
        <w:t>(Mayjonade et al., 2016)</w:t>
      </w:r>
      <w:r>
        <w:rPr>
          <w:rFonts w:cs="Times New Roman"/>
        </w:rPr>
        <w:fldChar w:fldCharType="end"/>
      </w:r>
      <w:r w:rsidRPr="005D1D88">
        <w:rPr>
          <w:rFonts w:cs="Times New Roman"/>
        </w:rPr>
        <w:t xml:space="preserve">. </w:t>
      </w:r>
      <w:r>
        <w:rPr>
          <w:rFonts w:cs="Times New Roman"/>
        </w:rPr>
        <w:t>For long read sequencing</w:t>
      </w:r>
      <w:r w:rsidRPr="005D1D88">
        <w:rPr>
          <w:rFonts w:cs="Times New Roman"/>
        </w:rPr>
        <w:t>,</w:t>
      </w:r>
      <w:r>
        <w:rPr>
          <w:rFonts w:cs="Times New Roman"/>
        </w:rPr>
        <w:t xml:space="preserve"> </w:t>
      </w:r>
      <w:r w:rsidRPr="005D1D88">
        <w:rPr>
          <w:rFonts w:cs="Times New Roman"/>
        </w:rPr>
        <w:t>1 ug of DNA was used as input to Oxford Nanopore’s genomic DNA by ligation sequencing kit (SQK-LSK109)</w:t>
      </w:r>
      <w:r>
        <w:rPr>
          <w:rFonts w:cs="Times New Roman"/>
        </w:rPr>
        <w:t xml:space="preserve"> and the subsequent library was sequenced on a R.9.4.1 flow cell</w:t>
      </w:r>
      <w:r w:rsidRPr="005D1D88">
        <w:rPr>
          <w:rFonts w:cs="Times New Roman"/>
        </w:rPr>
        <w:t>.</w:t>
      </w:r>
      <w:r>
        <w:rPr>
          <w:rFonts w:cs="Times New Roman"/>
        </w:rPr>
        <w:t xml:space="preserve"> Short read sequencing of the same samples was performed on the </w:t>
      </w:r>
      <w:proofErr w:type="spellStart"/>
      <w:r>
        <w:rPr>
          <w:rFonts w:cs="Times New Roman"/>
        </w:rPr>
        <w:t>illumina</w:t>
      </w:r>
      <w:proofErr w:type="spellEnd"/>
      <w:r>
        <w:rPr>
          <w:rFonts w:cs="Times New Roman"/>
        </w:rPr>
        <w:t xml:space="preserve"> </w:t>
      </w:r>
      <w:proofErr w:type="spellStart"/>
      <w:r>
        <w:rPr>
          <w:rFonts w:cs="Times New Roman"/>
        </w:rPr>
        <w:t>HiSeq</w:t>
      </w:r>
      <w:proofErr w:type="spellEnd"/>
      <w:r>
        <w:rPr>
          <w:rFonts w:cs="Times New Roman"/>
        </w:rPr>
        <w:t xml:space="preserve"> X Ten platform. Raw sequencing data has been deposited at the NCBI and can be accessed with the </w:t>
      </w:r>
      <w:proofErr w:type="spellStart"/>
      <w:r>
        <w:rPr>
          <w:rFonts w:cs="Times New Roman"/>
        </w:rPr>
        <w:t>BioProject</w:t>
      </w:r>
      <w:proofErr w:type="spellEnd"/>
      <w:r>
        <w:rPr>
          <w:rFonts w:cs="Times New Roman"/>
        </w:rPr>
        <w:t xml:space="preserve"> ID </w:t>
      </w:r>
      <w:r w:rsidRPr="00C24FCA">
        <w:rPr>
          <w:rFonts w:cs="Times New Roman"/>
        </w:rPr>
        <w:t>PRJNA827350</w:t>
      </w:r>
      <w:r>
        <w:rPr>
          <w:rFonts w:cs="Times New Roman"/>
        </w:rPr>
        <w:t>.</w:t>
      </w:r>
    </w:p>
    <w:p w14:paraId="65F292B6" w14:textId="77777777" w:rsidR="00973759" w:rsidRPr="00FF7E71" w:rsidRDefault="00973759" w:rsidP="002A18A2">
      <w:pPr>
        <w:tabs>
          <w:tab w:val="left" w:pos="360"/>
        </w:tabs>
        <w:spacing w:line="360" w:lineRule="auto"/>
        <w:rPr>
          <w:rFonts w:cs="Times New Roman"/>
          <w:b/>
          <w:bCs/>
        </w:rPr>
      </w:pPr>
    </w:p>
    <w:p w14:paraId="25F3314D" w14:textId="5BF52D5A" w:rsidR="00973759" w:rsidRDefault="00973759" w:rsidP="002A18A2">
      <w:pPr>
        <w:tabs>
          <w:tab w:val="left" w:pos="360"/>
        </w:tabs>
        <w:spacing w:line="360" w:lineRule="auto"/>
        <w:rPr>
          <w:rFonts w:cs="Times New Roman"/>
        </w:rPr>
      </w:pPr>
      <w:r w:rsidRPr="00FF7E71">
        <w:rPr>
          <w:rFonts w:cs="Times New Roman"/>
          <w:b/>
          <w:bCs/>
        </w:rPr>
        <w:t>Organelle genome assembly and annotation</w:t>
      </w:r>
      <w:r>
        <w:rPr>
          <w:rFonts w:cs="Times New Roman"/>
          <w:b/>
          <w:bCs/>
        </w:rPr>
        <w:t xml:space="preserve">: </w:t>
      </w:r>
      <w:r>
        <w:t xml:space="preserve">The chloroplast genomes were assembled with </w:t>
      </w:r>
      <w:proofErr w:type="spellStart"/>
      <w:r>
        <w:t>GetOrganelle</w:t>
      </w:r>
      <w:proofErr w:type="spellEnd"/>
      <w:r>
        <w:t xml:space="preserve"> v1.7.5 using default parameters with </w:t>
      </w:r>
      <w:r>
        <w:rPr>
          <w:i/>
          <w:iCs/>
        </w:rPr>
        <w:t xml:space="preserve">S. purpurea </w:t>
      </w:r>
      <w:r>
        <w:t>as a bait genome (</w:t>
      </w:r>
      <w:r w:rsidRPr="00766C2B">
        <w:t>NC_026722</w:t>
      </w:r>
      <w:r>
        <w:t xml:space="preserve">) </w:t>
      </w:r>
      <w:r>
        <w:fldChar w:fldCharType="begin" w:fldLock="1"/>
      </w:r>
      <w:r>
        <w:instrText>ADDIN CSL_CITATION {"citationItems":[{"id":"ITEM-1","itemData":{"DOI":"10.1186/s13059-020-02154-5","ISSN":"1474760X","PMID":"32912315","abstract":"GetOrganelle is a state-of-the-art toolkit to accurately assemble organelle genomes from whole genome sequencing data. It recruits organelle-associated reads using a modified \"baiting and iterative mapping\"approach, conducts de novo assembly, filters and disentangles the assembly graph, and produces all possible configurations of circular organelle genomes. For 50 published plant datasets, we are able to reassemble the circular plastomes from 47 datasets using GetOrganelle. GetOrganelle assemblies are more accurate than published and/or NOVOPlasty-reassembled plastomes as assessed by mapping. We also assemble complete mitochondrial genomes using GetOrganelle. GetOrganelle is freely released under a GPL-3 license (https://github.com/Kinggerm/GetOrganelle).","author":[{"dropping-particle":"","family":"Jin","given":"Jian Jun","non-dropping-particle":"","parse-names":false,"suffix":""},{"dropping-particle":"Bin","family":"Yu","given":"Wen","non-dropping-particle":"","parse-names":false,"suffix":""},{"dropping-particle":"","family":"Yang","given":"Jun Bo","non-dropping-particle":"","parse-names":false,"suffix":""},{"dropping-particle":"","family":"Song","given":"Yu","non-dropping-particle":"","parse-names":false,"suffix":""},{"dropping-particle":"","family":"Depamphilis","given":"Claude W.","non-dropping-particle":"","parse-names":false,"suffix":""},{"dropping-particle":"","family":"Yi","given":"Ting Shuang","non-dropping-particle":"","parse-names":false,"suffix":""},{"dropping-particle":"","family":"Li","given":"De Zhu","non-dropping-particle":"","parse-names":false,"suffix":""}],"container-title":"Genome Biology","id":"ITEM-1","issue":"1","issued":{"date-parts":[["2020"]]},"page":"1-31","publisher":"Genome Biology","title":"GetOrganelle: A fast and versatile toolkit for accurate de novo assembly of organelle genomes","type":"article-journal","volume":"21"},"uris":["http://www.mendeley.com/documents/?uuid=7ebbdab2-fd16-4d6d-b102-f5b38395d0c9"]}],"mendeley":{"formattedCitation":"(Jin et al., 2020)","plainTextFormattedCitation":"(Jin et al., 2020)","previouslyFormattedCitation":"(Jin et al. 2020)"},"properties":{"noteIndex":0},"schema":"https://github.com/citation-style-language/schema/raw/master/csl-citation.json"}</w:instrText>
      </w:r>
      <w:r>
        <w:fldChar w:fldCharType="separate"/>
      </w:r>
      <w:r w:rsidRPr="002A18A2">
        <w:rPr>
          <w:noProof/>
        </w:rPr>
        <w:t>(Jin et al., 2020)</w:t>
      </w:r>
      <w:r>
        <w:fldChar w:fldCharType="end"/>
      </w:r>
      <w:r>
        <w:t xml:space="preserve">. The chloroplast genomes were annotated with </w:t>
      </w:r>
      <w:proofErr w:type="spellStart"/>
      <w:r>
        <w:t>GeSeq</w:t>
      </w:r>
      <w:proofErr w:type="spellEnd"/>
      <w:r>
        <w:t xml:space="preserve"> </w:t>
      </w:r>
      <w:r>
        <w:fldChar w:fldCharType="begin" w:fldLock="1"/>
      </w:r>
      <w:r>
        <w:instrText>ADDIN CSL_CITATION {"citationItems":[{"id":"ITEM-1","itemData":{"DOI":"10.1093/nar/gkx391","ISSN":"13624962","PMID":"28486635","abstract":"We have developed the web application GeSeq (https://chlorobox.mpimp-golm.mpg.de/geseq.html) for the rapid and accurate annotation of organellar genome sequences, in particular chloroplast genomes. In contrast to existing tools, GeSeq combines batch processing with a fully customizable reference sequence selection of organellar genome records from NCBI and/or references uploaded by the user. For the annotation of chloroplast genomes, the application additionally provides an integrated database of manually curated reference sequences. GeSeq identifies genes or other feature-encoding regions by BLAT-based homology searches and additionally, by profile HMM searches for protein and rRNA coding genes and two de novo predictors for tRNA genes. These unique features enable the user to conveniently compare the annotations of different state-of-the-art methods, thus supporting high-quality annotations. The main output of GeSeq is a GenBank file that usually requires only little curation and is instantly visualized by OGDRAW. GeSeq also offers a variety of optional additional outputs that facilitate downstream analyzes, for example comparative genomic or phylogenetic studies.","author":[{"dropping-particle":"","family":"Tillich","given":"Michael","non-dropping-particle":"","parse-names":false,"suffix":""},{"dropping-particle":"","family":"Lehwark","given":"Pascal","non-dropping-particle":"","parse-names":false,"suffix":""},{"dropping-particle":"","family":"Pellizzer","given":"Tommaso","non-dropping-particle":"","parse-names":false,"suffix":""},{"dropping-particle":"","family":"Ulbricht-Jones","given":"Elena S.","non-dropping-particle":"","parse-names":false,"suffix":""},{"dropping-particle":"","family":"Fischer","given":"Axel","non-dropping-particle":"","parse-names":false,"suffix":""},{"dropping-particle":"","family":"Bock","given":"Ralph","non-dropping-particle":"","parse-names":false,"suffix":""},{"dropping-particle":"","family":"Greiner","given":"Stephan","non-dropping-particle":"","parse-names":false,"suffix":""}],"container-title":"Nucleic Acids Research","id":"ITEM-1","issue":"W1","issued":{"date-parts":[["2017"]]},"page":"W6-W11","title":"GeSeq - Versatile and accurate annotation of organelle genomes","type":"article-journal","volume":"45"},"uris":["http://www.mendeley.com/documents/?uuid=f3ec87d4-862e-4f64-b7fb-99c9d2db7f60"]}],"mendeley":{"formattedCitation":"(Tillich et al., 2017)","plainTextFormattedCitation":"(Tillich et al., 2017)","previouslyFormattedCitation":"(Tillich et al. 2017)"},"properties":{"noteIndex":0},"schema":"https://github.com/citation-style-language/schema/raw/master/csl-citation.json"}</w:instrText>
      </w:r>
      <w:r>
        <w:fldChar w:fldCharType="separate"/>
      </w:r>
      <w:r w:rsidRPr="002A18A2">
        <w:rPr>
          <w:noProof/>
        </w:rPr>
        <w:t>(Tillich et al., 2017)</w:t>
      </w:r>
      <w:r>
        <w:fldChar w:fldCharType="end"/>
      </w:r>
      <w:r>
        <w:t xml:space="preserve">. Publicly available </w:t>
      </w:r>
      <w:r>
        <w:rPr>
          <w:i/>
          <w:iCs/>
        </w:rPr>
        <w:t xml:space="preserve">Salix </w:t>
      </w:r>
      <w:r>
        <w:t xml:space="preserve">chloroplast genomes (Table IV-S11) were used as references during annotation, and </w:t>
      </w:r>
      <w:r>
        <w:rPr>
          <w:rFonts w:cs="Times New Roman"/>
        </w:rPr>
        <w:t xml:space="preserve">BLAT search identity thresholds were set at 85% for protein, </w:t>
      </w:r>
      <w:r w:rsidRPr="00F56BC9">
        <w:rPr>
          <w:rFonts w:cs="Times New Roman"/>
        </w:rPr>
        <w:t>rRNA, tRNA,</w:t>
      </w:r>
      <w:r>
        <w:rPr>
          <w:rFonts w:cs="Times New Roman"/>
        </w:rPr>
        <w:t xml:space="preserve"> and</w:t>
      </w:r>
      <w:r w:rsidRPr="00F56BC9">
        <w:rPr>
          <w:rFonts w:cs="Times New Roman"/>
        </w:rPr>
        <w:t xml:space="preserve"> DNA</w:t>
      </w:r>
      <w:r>
        <w:rPr>
          <w:rFonts w:cs="Times New Roman"/>
        </w:rPr>
        <w:t xml:space="preserve">. The chloroplast genomes have been deposited at NCBI, refer to Table IV-S9 for accession numbers. To enrich for mitogenome derived reads from Oxford Nanopore data, long reads were mapped with </w:t>
      </w:r>
      <w:proofErr w:type="spellStart"/>
      <w:r>
        <w:rPr>
          <w:rFonts w:cs="Times New Roman"/>
        </w:rPr>
        <w:t>nucmer</w:t>
      </w:r>
      <w:proofErr w:type="spellEnd"/>
      <w:r>
        <w:rPr>
          <w:rFonts w:cs="Times New Roman"/>
        </w:rPr>
        <w:t xml:space="preserve"> v</w:t>
      </w:r>
      <w:r w:rsidRPr="005F0463">
        <w:rPr>
          <w:rFonts w:cs="Times New Roman"/>
        </w:rPr>
        <w:t>4.0.0rc1</w:t>
      </w:r>
      <w:r>
        <w:rPr>
          <w:rFonts w:cs="Times New Roman"/>
        </w:rPr>
        <w:t xml:space="preserve"> with an alignment length threshold of 1kb and the ‘</w:t>
      </w:r>
      <w:proofErr w:type="spellStart"/>
      <w:r>
        <w:rPr>
          <w:rFonts w:cs="Times New Roman"/>
        </w:rPr>
        <w:t>maxmatch</w:t>
      </w:r>
      <w:proofErr w:type="spellEnd"/>
      <w:r>
        <w:rPr>
          <w:rFonts w:cs="Times New Roman"/>
        </w:rPr>
        <w:t xml:space="preserve">’ flag against five doubled </w:t>
      </w:r>
      <w:r>
        <w:rPr>
          <w:rFonts w:cs="Times New Roman"/>
          <w:i/>
          <w:iCs/>
        </w:rPr>
        <w:t xml:space="preserve">Salix </w:t>
      </w:r>
      <w:r>
        <w:rPr>
          <w:rFonts w:cs="Times New Roman"/>
        </w:rPr>
        <w:t>mitogenomes (</w:t>
      </w:r>
      <w:r w:rsidRPr="004F19A7">
        <w:rPr>
          <w:rFonts w:cs="Times New Roman"/>
          <w:i/>
          <w:iCs/>
        </w:rPr>
        <w:t xml:space="preserve">Salix </w:t>
      </w:r>
      <w:proofErr w:type="spellStart"/>
      <w:r w:rsidRPr="004F19A7">
        <w:rPr>
          <w:rFonts w:cs="Times New Roman"/>
          <w:i/>
          <w:iCs/>
        </w:rPr>
        <w:t>cardiophylla</w:t>
      </w:r>
      <w:proofErr w:type="spellEnd"/>
      <w:r>
        <w:rPr>
          <w:rFonts w:cs="Times New Roman"/>
        </w:rPr>
        <w:t xml:space="preserve"> (</w:t>
      </w:r>
      <w:r w:rsidRPr="004F19A7">
        <w:rPr>
          <w:rFonts w:cs="Times New Roman"/>
        </w:rPr>
        <w:t>MT806745</w:t>
      </w:r>
      <w:r>
        <w:rPr>
          <w:rFonts w:cs="Times New Roman"/>
        </w:rPr>
        <w:t xml:space="preserve">), </w:t>
      </w:r>
      <w:r w:rsidRPr="004F19A7">
        <w:rPr>
          <w:rFonts w:cs="Times New Roman"/>
          <w:i/>
          <w:iCs/>
        </w:rPr>
        <w:t xml:space="preserve">Salix </w:t>
      </w:r>
      <w:proofErr w:type="spellStart"/>
      <w:r w:rsidRPr="004F19A7">
        <w:rPr>
          <w:rFonts w:cs="Times New Roman"/>
          <w:i/>
          <w:iCs/>
        </w:rPr>
        <w:t>paraflabellaris</w:t>
      </w:r>
      <w:proofErr w:type="spellEnd"/>
      <w:r>
        <w:rPr>
          <w:rFonts w:cs="Times New Roman"/>
        </w:rPr>
        <w:t xml:space="preserve"> (</w:t>
      </w:r>
      <w:r w:rsidRPr="004F19A7">
        <w:rPr>
          <w:rFonts w:cs="Times New Roman"/>
        </w:rPr>
        <w:t>MK575518</w:t>
      </w:r>
      <w:r>
        <w:rPr>
          <w:rFonts w:cs="Times New Roman"/>
        </w:rPr>
        <w:t xml:space="preserve">), </w:t>
      </w:r>
      <w:r w:rsidRPr="004F19A7">
        <w:rPr>
          <w:rFonts w:cs="Times New Roman"/>
          <w:i/>
          <w:iCs/>
        </w:rPr>
        <w:t xml:space="preserve">Salix </w:t>
      </w:r>
      <w:proofErr w:type="spellStart"/>
      <w:r w:rsidRPr="004F19A7">
        <w:rPr>
          <w:rFonts w:cs="Times New Roman"/>
          <w:i/>
          <w:iCs/>
        </w:rPr>
        <w:t>polaris</w:t>
      </w:r>
      <w:proofErr w:type="spellEnd"/>
      <w:r>
        <w:rPr>
          <w:rFonts w:cs="Times New Roman"/>
        </w:rPr>
        <w:t xml:space="preserve"> (</w:t>
      </w:r>
      <w:r w:rsidRPr="004F19A7">
        <w:rPr>
          <w:rFonts w:cs="Times New Roman"/>
        </w:rPr>
        <w:t>NC_052709</w:t>
      </w:r>
      <w:r>
        <w:rPr>
          <w:rFonts w:cs="Times New Roman"/>
        </w:rPr>
        <w:t xml:space="preserve">), </w:t>
      </w:r>
      <w:r w:rsidRPr="004F19A7">
        <w:rPr>
          <w:rFonts w:cs="Times New Roman"/>
          <w:i/>
          <w:iCs/>
        </w:rPr>
        <w:t>Salix purpurea</w:t>
      </w:r>
      <w:r>
        <w:rPr>
          <w:rFonts w:cs="Times New Roman"/>
        </w:rPr>
        <w:t xml:space="preserve"> (</w:t>
      </w:r>
      <w:r w:rsidRPr="004F19A7">
        <w:rPr>
          <w:rFonts w:cs="Times New Roman"/>
        </w:rPr>
        <w:t>NC_029693</w:t>
      </w:r>
      <w:r>
        <w:rPr>
          <w:rFonts w:cs="Times New Roman"/>
        </w:rPr>
        <w:t xml:space="preserve">), and </w:t>
      </w:r>
      <w:r w:rsidRPr="004F19A7">
        <w:rPr>
          <w:rFonts w:cs="Times New Roman"/>
          <w:i/>
          <w:iCs/>
        </w:rPr>
        <w:t xml:space="preserve">Salix </w:t>
      </w:r>
      <w:proofErr w:type="spellStart"/>
      <w:r w:rsidRPr="004F19A7">
        <w:rPr>
          <w:rFonts w:cs="Times New Roman"/>
          <w:i/>
          <w:iCs/>
        </w:rPr>
        <w:t>suchowensis</w:t>
      </w:r>
      <w:proofErr w:type="spellEnd"/>
      <w:r>
        <w:rPr>
          <w:rFonts w:cs="Times New Roman"/>
        </w:rPr>
        <w:t xml:space="preserve"> (</w:t>
      </w:r>
      <w:r w:rsidRPr="004F19A7">
        <w:rPr>
          <w:rFonts w:cs="Times New Roman"/>
        </w:rPr>
        <w:t>NC_029317</w:t>
      </w:r>
      <w:r>
        <w:rPr>
          <w:rFonts w:cs="Times New Roman"/>
        </w:rPr>
        <w:t xml:space="preserve">)). Doubled genomes were used to ensure reads mapped to the entire circular molecule. To enrich for organelle derived reads in </w:t>
      </w:r>
      <w:proofErr w:type="spellStart"/>
      <w:r>
        <w:rPr>
          <w:rFonts w:cs="Times New Roman"/>
        </w:rPr>
        <w:t>illumina</w:t>
      </w:r>
      <w:proofErr w:type="spellEnd"/>
      <w:r>
        <w:rPr>
          <w:rFonts w:cs="Times New Roman"/>
        </w:rPr>
        <w:t xml:space="preserve"> data, short reads were mapped with bowtie2 v2.4.2 against the same doubled organelle genomes </w:t>
      </w:r>
      <w:r>
        <w:rPr>
          <w:rFonts w:cs="Times New Roman"/>
        </w:rPr>
        <w:fldChar w:fldCharType="begin" w:fldLock="1"/>
      </w:r>
      <w:r>
        <w:rPr>
          <w:rFonts w:cs="Times New Roman"/>
        </w:rPr>
        <w:instrText>ADDIN CSL_CITATION {"citationItems":[{"id":"ITEM-1","itemData":{"DOI":"10.1038/nmeth.1923","ISSN":"15487091","PMID":"22388286","abstract":"As the rate of sequencing increases, greater throughput is demanded from read aligners. The full-text minute index is often used to make alignment very fast and memory-efficient, but the approach is ill-suited to finding longer, gapped alignments. Bowtie 2 combines the strengths of the full-text minute index with the flexibility and speed of hardware-accelerated dynamic programming algorithms to achieve a combination of high speed, sensitivity and accuracy. © 2012 Nature America, Inc. All rights reserved.","author":[{"dropping-particle":"","family":"Langmead","given":"Ben","non-dropping-particle":"","parse-names":false,"suffix":""},{"dropping-particle":"","family":"Salzberg","given":"Steven L.","non-dropping-particle":"","parse-names":false,"suffix":""}],"container-title":"Nature Methods","id":"ITEM-1","issue":"4","issued":{"date-parts":[["2012"]]},"page":"357-359","title":"Fast gapped-read alignment with Bowtie 2","type":"article-journal","volume":"9"},"uris":["http://www.mendeley.com/documents/?uuid=6d687424-8597-4e66-994b-f3bfb66ec2da"]}],"mendeley":{"formattedCitation":"(Langmead &amp; Salzberg, 2012)","plainTextFormattedCitation":"(Langmead &amp; Salzberg, 2012)","previouslyFormattedCitation":"(Langmead &amp; Salzberg 2012)"},"properties":{"noteIndex":0},"schema":"https://github.com/citation-style-language/schema/raw/master/csl-citation.json"}</w:instrText>
      </w:r>
      <w:r>
        <w:rPr>
          <w:rFonts w:cs="Times New Roman"/>
        </w:rPr>
        <w:fldChar w:fldCharType="separate"/>
      </w:r>
      <w:r w:rsidRPr="002A18A2">
        <w:rPr>
          <w:rFonts w:cs="Times New Roman"/>
          <w:noProof/>
        </w:rPr>
        <w:t>(Langmead &amp; Salzberg, 2012)</w:t>
      </w:r>
      <w:r>
        <w:rPr>
          <w:rFonts w:cs="Times New Roman"/>
        </w:rPr>
        <w:fldChar w:fldCharType="end"/>
      </w:r>
      <w:r>
        <w:rPr>
          <w:rFonts w:cs="Times New Roman"/>
        </w:rPr>
        <w:t xml:space="preserve">. Prior to assembly, both the long and short organelle enriched reads were randomly down sampled to 500X coverage. The mitogenomes were assembled with </w:t>
      </w:r>
      <w:proofErr w:type="spellStart"/>
      <w:r>
        <w:rPr>
          <w:rFonts w:cs="Times New Roman"/>
        </w:rPr>
        <w:t>Unicycler</w:t>
      </w:r>
      <w:proofErr w:type="spellEnd"/>
      <w:r>
        <w:rPr>
          <w:rFonts w:cs="Times New Roman"/>
        </w:rPr>
        <w:t xml:space="preserve"> v0.4.8 with default parameters using short </w:t>
      </w:r>
      <w:proofErr w:type="spellStart"/>
      <w:r>
        <w:rPr>
          <w:rFonts w:cs="Times New Roman"/>
        </w:rPr>
        <w:t>illumina</w:t>
      </w:r>
      <w:proofErr w:type="spellEnd"/>
      <w:r>
        <w:rPr>
          <w:rFonts w:cs="Times New Roman"/>
        </w:rPr>
        <w:t xml:space="preserve"> and long Oxford Nanopore reads </w:t>
      </w:r>
      <w:r>
        <w:rPr>
          <w:rFonts w:cs="Times New Roman"/>
        </w:rPr>
        <w:fldChar w:fldCharType="begin" w:fldLock="1"/>
      </w:r>
      <w:r>
        <w:rPr>
          <w:rFonts w:cs="Times New Roman"/>
        </w:rPr>
        <w:instrText>ADDIN CSL_CITATION {"citationItems":[{"id":"ITEM-1","itemData":{"DOI":"10.1371/journal.pcbi.1005595","ISBN":"1111111111","ISSN":"15537358","PMID":"28594827","abstract":"The Illumina DNA sequencing platform generates accurate but short reads, which can be used to produce accurate but fragmented genome assemblies. Pacific Biosciences and Oxford Nanopore Technologies DNA sequencing platforms generate long reads that can produce complete genome assemblies, but the sequencing is more expensive and error-prone. There is significant interest in combining data from these complementary sequencing technologies to generate more accurate “hybrid” assemblies. However, few tools exist that truly leverage the benefits of both types of data, namely the accuracy of short reads and the structural resolving power of long reads. Here we present Unicycler, a new tool for assembling bacterial genomes from a combination of short and long reads, which produces assemblies that are accurate, complete and cost-effective. Unicycler builds an initial assembly graph from short reads using the de novo assembler SPAdes and then simplifies the graph using information from short and long reads. Unicycler uses a novel semi-global aligner to align long reads to the assembly graph. Tests on both synthetic and real reads show Unicycler can assemble larger contigs with fewer misassemblies than other hybrid assemblers, even when long-read depth and accuracy are low. Unicycler is open source (GPLv3) and available at github.com/rrwick/Unicycler.","author":[{"dropping-particle":"","family":"Wick","given":"Ryan R.","non-dropping-particle":"","parse-names":false,"suffix":""},{"dropping-particle":"","family":"Judd","given":"Louise M.","non-dropping-particle":"","parse-names":false,"suffix":""},{"dropping-particle":"","family":"Gorrie","given":"Claire L.","non-dropping-particle":"","parse-names":false,"suffix":""},{"dropping-particle":"","family":"Holt","given":"Kathryn E.","non-dropping-particle":"","parse-names":false,"suffix":""}],"container-title":"PLoS Computational Biology","id":"ITEM-1","issue":"6","issued":{"date-parts":[["2017"]]},"page":"1-22","title":"Unicycler: Resolving bacterial genome assemblies from short and long sequencing reads","type":"article-journal","volume":"13"},"uris":["http://www.mendeley.com/documents/?uuid=9b3244c1-ea55-4111-a237-4b2f5b2910e4"]}],"mendeley":{"formattedCitation":"(Wick et al., 2017)","plainTextFormattedCitation":"(Wick et al., 2017)","previouslyFormattedCitation":"(Wick et al. 2017)"},"properties":{"noteIndex":0},"schema":"https://github.com/citation-style-language/schema/raw/master/csl-citation.json"}</w:instrText>
      </w:r>
      <w:r>
        <w:rPr>
          <w:rFonts w:cs="Times New Roman"/>
        </w:rPr>
        <w:fldChar w:fldCharType="separate"/>
      </w:r>
      <w:r w:rsidRPr="002A18A2">
        <w:rPr>
          <w:rFonts w:cs="Times New Roman"/>
          <w:noProof/>
        </w:rPr>
        <w:t>(Wick et al., 2017)</w:t>
      </w:r>
      <w:r>
        <w:rPr>
          <w:rFonts w:cs="Times New Roman"/>
        </w:rPr>
        <w:fldChar w:fldCharType="end"/>
      </w:r>
      <w:r>
        <w:rPr>
          <w:rFonts w:cs="Times New Roman"/>
        </w:rPr>
        <w:t xml:space="preserve">. The </w:t>
      </w:r>
      <w:r>
        <w:rPr>
          <w:rFonts w:cs="Times New Roman"/>
          <w:i/>
          <w:iCs/>
        </w:rPr>
        <w:t xml:space="preserve">Salix </w:t>
      </w:r>
      <w:r>
        <w:rPr>
          <w:rFonts w:cs="Times New Roman"/>
        </w:rPr>
        <w:t xml:space="preserve">mitogenomes were annotated with </w:t>
      </w:r>
      <w:proofErr w:type="spellStart"/>
      <w:r>
        <w:rPr>
          <w:rFonts w:cs="Times New Roman"/>
        </w:rPr>
        <w:t>Geneious</w:t>
      </w:r>
      <w:proofErr w:type="spellEnd"/>
      <w:r>
        <w:rPr>
          <w:rFonts w:cs="Times New Roman"/>
        </w:rPr>
        <w:t xml:space="preserve"> Prime </w:t>
      </w:r>
      <w:r w:rsidRPr="002F510C">
        <w:rPr>
          <w:rFonts w:cs="Times New Roman"/>
        </w:rPr>
        <w:t>2021.1.1</w:t>
      </w:r>
      <w:r>
        <w:rPr>
          <w:rFonts w:cs="Times New Roman"/>
        </w:rPr>
        <w:t xml:space="preserve"> by transferring the mitochondria annotations with an identity threshold of 85% from the five publicly available </w:t>
      </w:r>
      <w:r>
        <w:rPr>
          <w:rFonts w:cs="Times New Roman"/>
          <w:i/>
          <w:iCs/>
        </w:rPr>
        <w:lastRenderedPageBreak/>
        <w:t xml:space="preserve">Salix </w:t>
      </w:r>
      <w:r>
        <w:rPr>
          <w:rFonts w:cs="Times New Roman"/>
        </w:rPr>
        <w:t xml:space="preserve">mitogenomes used above </w:t>
      </w:r>
      <w:r>
        <w:rPr>
          <w:rFonts w:cs="Times New Roman"/>
        </w:rPr>
        <w:fldChar w:fldCharType="begin" w:fldLock="1"/>
      </w:r>
      <w:r>
        <w:rPr>
          <w:rFonts w:cs="Times New Roman"/>
        </w:rPr>
        <w:instrText>ADDIN CSL_CITATION {"citationItems":[{"id":"ITEM-1","itemData":{"DOI":"10.1093/bioinformatics/bts199","ISSN":"13674803","PMID":"22543367","abstract":"The two main functions of bioinformatics are the organization and analysis of biological data using computational resources. Geneious Basic has been designed to be an easy-to-use and flexible desktop software application framework for the organization and analysis of biological data, with a focus on molecular sequences and related data types. It integrates numerous industry-standard discovery analysis tools, with interactive visualizations to generate publication-ready images. One key contribution to researchers in the life sciences is the Geneious public application programming interface (API) that affords the ability to leverage the existing framework of the Geneious Basic software platform for virtually unlimited extension and customization. The result is an increase in the speed and quality of development of computation tools for the life sciences, due to the functionality and graphical user interface available to the developer through the public API. Geneious Basic represents an ideal platform for the bioinformatics community to leverage existing components and to integrate their own specific requirements for the discovery, analysis and visualization of biological data. © The Author(s) 2012. Published by Oxford University Press.","author":[{"dropping-particle":"","family":"Kearse","given":"Matthew","non-dropping-particle":"","parse-names":false,"suffix":""},{"dropping-particle":"","family":"Moir","given":"Richard","non-dropping-particle":"","parse-names":false,"suffix":""},{"dropping-particle":"","family":"Wilson","given":"Amy","non-dropping-particle":"","parse-names":false,"suffix":""},{"dropping-particle":"","family":"Stones-Havas","given":"Steven","non-dropping-particle":"","parse-names":false,"suffix":""},{"dropping-particle":"","family":"Cheung","given":"Matthew","non-dropping-particle":"","parse-names":false,"suffix":""},{"dropping-particle":"","family":"Sturrock","given":"Shane","non-dropping-particle":"","parse-names":false,"suffix":""},{"dropping-particle":"","family":"Buxton","given":"Simon","non-dropping-particle":"","parse-names":false,"suffix":""},{"dropping-particle":"","family":"Cooper","given":"Alex","non-dropping-particle":"","parse-names":false,"suffix":""},{"dropping-particle":"","family":"Markowitz","given":"Sidney","non-dropping-particle":"","parse-names":false,"suffix":""},{"dropping-particle":"","family":"Duran","given":"Chris","non-dropping-particle":"","parse-names":false,"suffix":""},{"dropping-particle":"","family":"Thierer","given":"Tobias","non-dropping-particle":"","parse-names":false,"suffix":""},{"dropping-particle":"","family":"Ashton","given":"Bruce","non-dropping-particle":"","parse-names":false,"suffix":""},{"dropping-particle":"","family":"Meintjes","given":"Peter","non-dropping-particle":"","parse-names":false,"suffix":""},{"dropping-particle":"","family":"Drummond","given":"Alexei","non-dropping-particle":"","parse-names":false,"suffix":""}],"container-title":"Bioinformatics","id":"ITEM-1","issue":"12","issued":{"date-parts":[["2012"]]},"page":"1647-1649","title":"Geneious Basic: An integrated and extendable desktop software platform for the organization and analysis of sequence data","type":"article-journal","volume":"28"},"uris":["http://www.mendeley.com/documents/?uuid=86a518d9-0c7b-49b5-a061-ffbd52209356"]}],"mendeley":{"formattedCitation":"(Kearse et al., 2012)","plainTextFormattedCitation":"(Kearse et al., 2012)","previouslyFormattedCitation":"(Kearse et al. 2012)"},"properties":{"noteIndex":0},"schema":"https://github.com/citation-style-language/schema/raw/master/csl-citation.json"}</w:instrText>
      </w:r>
      <w:r>
        <w:rPr>
          <w:rFonts w:cs="Times New Roman"/>
        </w:rPr>
        <w:fldChar w:fldCharType="separate"/>
      </w:r>
      <w:r w:rsidRPr="002A18A2">
        <w:rPr>
          <w:rFonts w:cs="Times New Roman"/>
          <w:noProof/>
        </w:rPr>
        <w:t>(Kearse et al., 2012)</w:t>
      </w:r>
      <w:r>
        <w:rPr>
          <w:rFonts w:cs="Times New Roman"/>
        </w:rPr>
        <w:fldChar w:fldCharType="end"/>
      </w:r>
      <w:r>
        <w:rPr>
          <w:rFonts w:cs="Times New Roman"/>
        </w:rPr>
        <w:t>. The annotations were also verified further with OGAP (</w:t>
      </w:r>
      <w:r w:rsidRPr="00601952">
        <w:rPr>
          <w:rFonts w:cs="Times New Roman"/>
        </w:rPr>
        <w:t>https://github.com/zhangrengang/OGAP</w:t>
      </w:r>
      <w:r>
        <w:rPr>
          <w:rFonts w:cs="Times New Roman"/>
        </w:rPr>
        <w:t>).The mitogenomes have been deposited at NCBI, refer to Table IV-S9 for accession numbers.</w:t>
      </w:r>
    </w:p>
    <w:p w14:paraId="67D9B407" w14:textId="77777777" w:rsidR="002D16A3" w:rsidRPr="0045742C" w:rsidRDefault="002D16A3" w:rsidP="002A18A2">
      <w:pPr>
        <w:tabs>
          <w:tab w:val="left" w:pos="360"/>
        </w:tabs>
        <w:spacing w:line="360" w:lineRule="auto"/>
        <w:rPr>
          <w:rFonts w:cs="Times New Roman"/>
        </w:rPr>
      </w:pPr>
    </w:p>
    <w:p w14:paraId="7DB72100" w14:textId="77777777" w:rsidR="00973759" w:rsidRPr="00006468" w:rsidRDefault="00973759" w:rsidP="002A18A2">
      <w:pPr>
        <w:tabs>
          <w:tab w:val="left" w:pos="360"/>
        </w:tabs>
        <w:spacing w:line="360" w:lineRule="auto"/>
        <w:rPr>
          <w:rFonts w:cs="Times New Roman"/>
        </w:rPr>
      </w:pPr>
      <w:r w:rsidRPr="00FF7E71">
        <w:rPr>
          <w:rFonts w:cs="Times New Roman"/>
          <w:b/>
          <w:bCs/>
        </w:rPr>
        <w:t>Phylogenomic analysis</w:t>
      </w:r>
      <w:r>
        <w:rPr>
          <w:rFonts w:cs="Times New Roman"/>
          <w:b/>
          <w:bCs/>
        </w:rPr>
        <w:t xml:space="preserve"> of 11 </w:t>
      </w:r>
      <w:r>
        <w:rPr>
          <w:rFonts w:cs="Times New Roman"/>
          <w:b/>
          <w:bCs/>
          <w:i/>
          <w:iCs/>
        </w:rPr>
        <w:t xml:space="preserve">Salix </w:t>
      </w:r>
      <w:r>
        <w:rPr>
          <w:rFonts w:cs="Times New Roman"/>
          <w:b/>
          <w:bCs/>
        </w:rPr>
        <w:t xml:space="preserve">chloroplast and mitogenomes: </w:t>
      </w:r>
      <w:r>
        <w:rPr>
          <w:rFonts w:cs="Times New Roman"/>
        </w:rPr>
        <w:t xml:space="preserve">61 publicly available </w:t>
      </w:r>
      <w:r>
        <w:rPr>
          <w:rFonts w:cs="Times New Roman"/>
          <w:i/>
          <w:iCs/>
        </w:rPr>
        <w:t xml:space="preserve">Salix </w:t>
      </w:r>
      <w:r>
        <w:rPr>
          <w:rFonts w:cs="Times New Roman"/>
        </w:rPr>
        <w:t xml:space="preserve">chloroplast genomes were downloaded from NCBI (Table IV-S9). These 61 genomes were concatenated with the 11 </w:t>
      </w:r>
      <w:r>
        <w:rPr>
          <w:rFonts w:cs="Times New Roman"/>
          <w:i/>
          <w:iCs/>
        </w:rPr>
        <w:t>Salix</w:t>
      </w:r>
      <w:r>
        <w:rPr>
          <w:rFonts w:cs="Times New Roman"/>
        </w:rPr>
        <w:t xml:space="preserve"> chloroplast</w:t>
      </w:r>
      <w:r>
        <w:rPr>
          <w:rFonts w:cs="Times New Roman"/>
          <w:i/>
          <w:iCs/>
        </w:rPr>
        <w:t xml:space="preserve"> </w:t>
      </w:r>
      <w:r>
        <w:rPr>
          <w:rFonts w:cs="Times New Roman"/>
        </w:rPr>
        <w:t xml:space="preserve">genomes, rotated to a uniform start point, the inverted repeat A (IRA) was removed, and then aligned with MAFFT v7.487 </w:t>
      </w:r>
      <w:r>
        <w:rPr>
          <w:rFonts w:cs="Times New Roman"/>
        </w:rPr>
        <w:fldChar w:fldCharType="begin" w:fldLock="1"/>
      </w:r>
      <w:r>
        <w:rPr>
          <w:rFonts w:cs="Times New Roman"/>
        </w:rPr>
        <w:instrText>ADDIN CSL_CITATION {"citationItems":[{"id":"ITEM-1","itemData":{"DOI":"10.1093/molbev/mst010","ISSN":"07374038","PMID":"23329690","abstract":"We report a major update of the MAFFT multiple sequence alignment program. This version has several new features, including options for adding unaligned sequences into an existing alignment, adjustment of direction in nucleotide alignment, constrained alignment and parallel processing, which were implemented after the previous major update. This report shows actual examples to explain how these features work, alone and in combination. Some examples incorrectly aligned by MAFFT are also shown to clarify its limitations. We discuss how to avoid misalignments, and our ongoing efforts to overcome such limitations. © 2013 The Author 2013. Published by Oxford University Press on behalf of the Society for Molecular Biology and Evolution.","author":[{"dropping-particle":"","family":"Katoh","given":"Kazutaka","non-dropping-particle":"","parse-names":false,"suffix":""},{"dropping-particle":"","family":"Standley","given":"Daron M.","non-dropping-particle":"","parse-names":false,"suffix":""}],"container-title":"Molecular Biology and Evolution","id":"ITEM-1","issue":"4","issued":{"date-parts":[["2013"]]},"page":"772-780","title":"MAFFT multiple sequence alignment software version 7: Improvements in performance and usability","type":"article-journal","volume":"30"},"uris":["http://www.mendeley.com/documents/?uuid=237ce605-ad22-403b-80aa-7d6a56c046ae"]}],"mendeley":{"formattedCitation":"(Katoh &amp; Standley, 2013)","plainTextFormattedCitation":"(Katoh &amp; Standley, 2013)","previouslyFormattedCitation":"(Katoh &amp; Standley 2013)"},"properties":{"noteIndex":0},"schema":"https://github.com/citation-style-language/schema/raw/master/csl-citation.json"}</w:instrText>
      </w:r>
      <w:r>
        <w:rPr>
          <w:rFonts w:cs="Times New Roman"/>
        </w:rPr>
        <w:fldChar w:fldCharType="separate"/>
      </w:r>
      <w:r w:rsidRPr="002A18A2">
        <w:rPr>
          <w:rFonts w:cs="Times New Roman"/>
          <w:noProof/>
        </w:rPr>
        <w:t>(Katoh &amp; Standley, 2013)</w:t>
      </w:r>
      <w:r>
        <w:rPr>
          <w:rFonts w:cs="Times New Roman"/>
        </w:rPr>
        <w:fldChar w:fldCharType="end"/>
      </w:r>
      <w:r>
        <w:rPr>
          <w:rFonts w:cs="Times New Roman"/>
        </w:rPr>
        <w:t xml:space="preserve">. The alignment was trimmed with </w:t>
      </w:r>
      <w:proofErr w:type="spellStart"/>
      <w:r>
        <w:rPr>
          <w:rFonts w:cs="Times New Roman"/>
        </w:rPr>
        <w:t>Gblocks</w:t>
      </w:r>
      <w:proofErr w:type="spellEnd"/>
      <w:r>
        <w:rPr>
          <w:rFonts w:cs="Times New Roman"/>
        </w:rPr>
        <w:t xml:space="preserve"> v0.91b, parameters used were ‘</w:t>
      </w:r>
      <w:r w:rsidRPr="0076034F">
        <w:rPr>
          <w:rFonts w:cs="Times New Roman"/>
        </w:rPr>
        <w:t>-b1 25 -b2 40 -b3 8</w:t>
      </w:r>
      <w:r>
        <w:rPr>
          <w:rFonts w:cs="Times New Roman"/>
        </w:rPr>
        <w:t xml:space="preserve">’. </w:t>
      </w:r>
      <w:r w:rsidRPr="004060C3">
        <w:rPr>
          <w:rFonts w:cs="Times New Roman"/>
        </w:rPr>
        <w:t>IQ-TREE</w:t>
      </w:r>
      <w:r>
        <w:rPr>
          <w:rFonts w:cs="Times New Roman"/>
        </w:rPr>
        <w:t xml:space="preserve"> v2.1.2 was then used to construct the Maximum Likelihood (ML) tree with 1000 bootstraps and visualized with </w:t>
      </w:r>
      <w:proofErr w:type="spellStart"/>
      <w:r>
        <w:rPr>
          <w:rFonts w:cs="Times New Roman"/>
        </w:rPr>
        <w:t>ggtree</w:t>
      </w:r>
      <w:proofErr w:type="spellEnd"/>
      <w:r>
        <w:rPr>
          <w:rFonts w:cs="Times New Roman"/>
        </w:rPr>
        <w:t xml:space="preserve"> v</w:t>
      </w:r>
      <w:r w:rsidRPr="00601952">
        <w:rPr>
          <w:rFonts w:cs="Times New Roman"/>
        </w:rPr>
        <w:t>3.0.4</w:t>
      </w:r>
      <w:r>
        <w:rPr>
          <w:rFonts w:cs="Times New Roman"/>
        </w:rPr>
        <w:t xml:space="preserve"> </w:t>
      </w:r>
      <w:r>
        <w:rPr>
          <w:rFonts w:cs="Times New Roman"/>
        </w:rPr>
        <w:fldChar w:fldCharType="begin" w:fldLock="1"/>
      </w:r>
      <w:r>
        <w:rPr>
          <w:rFonts w:cs="Times New Roman"/>
        </w:rPr>
        <w:instrText>ADDIN CSL_CITATION {"citationItems":[{"id":"ITEM-1","itemData":{"DOI":"10.1093/molbev/msaa015","ISSN":"15371719","PMID":"32011700","abstract":"IQ-TREE (http://www.iqtree.org, last accessed February 6, 2020) is a user-friendly and widely used software package for phylogenetic inference using maximum likelihood. Since the release of version 1 in 2014, we have continuously expanded IQ-TREE to integrate a plethora of new models of sequence evolution and efficient computational approaches of phylogenetic inference to deal with genomic data. Here, we describe notable features of IQ-TREE version 2 and highlight the key advantages over other software.","author":[{"dropping-particle":"","family":"Minh","given":"Bui Quang","non-dropping-particle":"","parse-names":false,"suffix":""},{"dropping-particle":"","family":"Schmidt","given":"Heiko A.","non-dropping-particle":"","parse-names":false,"suffix":""},{"dropping-particle":"","family":"Chernomor","given":"Olga","non-dropping-particle":"","parse-names":false,"suffix":""},{"dropping-particle":"","family":"Schrempf","given":"Dominik","non-dropping-particle":"","parse-names":false,"suffix":""},{"dropping-particle":"","family":"Woodhams","given":"Michael D.","non-dropping-particle":"","parse-names":false,"suffix":""},{"dropping-particle":"","family":"Haeseler","given":"Arndt","non-dropping-particle":"Von","parse-names":false,"suffix":""},{"dropping-particle":"","family":"Lanfear","given":"Robert","non-dropping-particle":"","parse-names":false,"suffix":""},{"dropping-particle":"","family":"Teeling","given":"Emma","non-dropping-particle":"","parse-names":false,"suffix":""}],"container-title":"Molecular Biology and Evolution","id":"ITEM-1","issue":"5","issued":{"date-parts":[["2020"]]},"page":"1530-1534","title":"IQ-TREE 2: New Models and Efficient Methods for Phylogenetic Inference in the Genomic Era","type":"article-journal","volume":"37"},"uris":["http://www.mendeley.com/documents/?uuid=7f16884b-3f6f-4d3b-a94f-1191a5128d9f"]},{"id":"ITEM-2","itemData":{"DOI":"10.1111/2041-210X.12628","ISSN":"2041210X","abstract":"We present an r package, ggtree, which provides programmable visualization and annotation of phylogenetic trees. ggtree can read more tree file formats than other softwares, including newick, nexus, NHX, phylip and jplace formats, and support visualization of phylo, multiphylo, phylo4, phylo4d, obkdata and phyloseq tree objects defined in other r packages. It can also extract the tree/branch/node-specific and other data from the analysis outputs of beast, epa, hyphy, paml, phylodog, pplacer, r8s, raxml and revbayes software, and allows using these data to annotate the tree. The package allows colouring and annotation of a tree by numerical/categorical node attributes, manipulating a tree by rotating, collapsing and zooming out clades, highlighting user selected clades or operational taxonomic units and exploration of a large tree by zooming into a selected portion. A two-dimensional tree can be drawn by scaling the tree width based on an attribute of the nodes. A tree can be annotated with an associated numerical matrix (as a heat map), multiple sequence alignment, subplots or silhouette images. The package ggtree is released under the artistic-2.0 license. The source code and documents are freely available through bioconductor (http://www.bioconductor.org/packages/ggtree).","author":[{"dropping-particle":"","family":"Yu","given":"Guangchuang","non-dropping-particle":"","parse-names":false,"suffix":""},{"dropping-particle":"","family":"Smith","given":"David K.","non-dropping-particle":"","parse-names":false,"suffix":""},{"dropping-particle":"","family":"Zhu","given":"Huachen","non-dropping-particle":"","parse-names":false,"suffix":""},{"dropping-particle":"","family":"Guan","given":"Yi","non-dropping-particle":"","parse-names":false,"suffix":""},{"dropping-particle":"","family":"Lam","given":"Tommy Tsan Yuk","non-dropping-particle":"","parse-names":false,"suffix":""}],"container-title":"Methods in Ecology and Evolution","id":"ITEM-2","issue":"1","issued":{"date-parts":[["2017"]]},"page":"28-36","title":"Ggtree: an R Package for Visualization and Annotation of Phylogenetic Trees With Their Covariates and Other Associated Data","type":"article-journal","volume":"8"},"uris":["http://www.mendeley.com/documents/?uuid=66b7a8ad-5fdd-4641-93a8-b17889391508"]}],"mendeley":{"formattedCitation":"(Minh et al., 2020; Yu, Smith, Zhu, Guan, &amp; Lam, 2017)","manualFormatting":"(Minh et al., 2020; Yu, et al., 2017)","plainTextFormattedCitation":"(Minh et al., 2020; Yu, Smith, Zhu, Guan, &amp; Lam, 2017)","previouslyFormattedCitation":"(Minh et al. 2020; Yu et al. 2017)"},"properties":{"noteIndex":0},"schema":"https://github.com/citation-style-language/schema/raw/master/csl-citation.json"}</w:instrText>
      </w:r>
      <w:r>
        <w:rPr>
          <w:rFonts w:cs="Times New Roman"/>
        </w:rPr>
        <w:fldChar w:fldCharType="separate"/>
      </w:r>
      <w:r w:rsidRPr="00217114">
        <w:rPr>
          <w:rFonts w:cs="Times New Roman"/>
          <w:noProof/>
        </w:rPr>
        <w:t xml:space="preserve">(Minh et al., 2020; Yu, </w:t>
      </w:r>
      <w:r>
        <w:rPr>
          <w:rFonts w:cs="Times New Roman"/>
          <w:noProof/>
        </w:rPr>
        <w:t>et al.,</w:t>
      </w:r>
      <w:r w:rsidRPr="00217114">
        <w:rPr>
          <w:rFonts w:cs="Times New Roman"/>
          <w:noProof/>
        </w:rPr>
        <w:t xml:space="preserve"> 2017)</w:t>
      </w:r>
      <w:r>
        <w:rPr>
          <w:rFonts w:cs="Times New Roman"/>
        </w:rPr>
        <w:fldChar w:fldCharType="end"/>
      </w:r>
      <w:r>
        <w:rPr>
          <w:rFonts w:cs="Times New Roman"/>
        </w:rPr>
        <w:t xml:space="preserve">. For the mitogenome phylogeny, seven publicly available </w:t>
      </w:r>
      <w:r>
        <w:rPr>
          <w:rFonts w:cs="Times New Roman"/>
          <w:i/>
          <w:iCs/>
        </w:rPr>
        <w:t xml:space="preserve">Salix </w:t>
      </w:r>
      <w:r>
        <w:rPr>
          <w:rFonts w:cs="Times New Roman"/>
        </w:rPr>
        <w:t xml:space="preserve">and two </w:t>
      </w:r>
      <w:r>
        <w:rPr>
          <w:rFonts w:cs="Times New Roman"/>
          <w:i/>
          <w:iCs/>
        </w:rPr>
        <w:t xml:space="preserve">Populus </w:t>
      </w:r>
      <w:r>
        <w:rPr>
          <w:rFonts w:cs="Times New Roman"/>
        </w:rPr>
        <w:t xml:space="preserve">mitochondrial genomes were downloaded from NCBI (Table IV-S9). Due to the extensive rearrangement of mitogenomes, the </w:t>
      </w:r>
      <w:proofErr w:type="spellStart"/>
      <w:r>
        <w:rPr>
          <w:rFonts w:cs="Times New Roman"/>
        </w:rPr>
        <w:t>HomBlocks</w:t>
      </w:r>
      <w:proofErr w:type="spellEnd"/>
      <w:r>
        <w:rPr>
          <w:rFonts w:cs="Times New Roman"/>
        </w:rPr>
        <w:t xml:space="preserve"> pipeline with default parameters was used to construct a multiple sequence alignment </w:t>
      </w:r>
      <w:r>
        <w:rPr>
          <w:rFonts w:cs="Times New Roman"/>
        </w:rPr>
        <w:fldChar w:fldCharType="begin" w:fldLock="1"/>
      </w:r>
      <w:r>
        <w:rPr>
          <w:rFonts w:cs="Times New Roman"/>
        </w:rPr>
        <w:instrText>ADDIN CSL_CITATION {"citationItems":[{"id":"ITEM-1","itemData":{"DOI":"10.1016/j.ygeno.2017.08.001","ISSN":"10898646","PMID":"28780378","abstract":"Organelle phylogenomic analysis requires precisely constructed multi-gene alignment matrices concatenated by pre-aligned single gene datasets. For non-bioinformaticians, it can take days to weeks to manually create high-quality multi-gene alignments comprising tens or hundreds of homologous genes. Here, we describe a new and highly efficient pipeline, HomBlocks, which uses a homologous block searching method to construct multiple sequence alignment. This approach can automatically recognize locally collinear blocks among organelle genomes and excavate phylogenetically informative regions to construct multiple sequence alignment in a few hours. In addition, HomBlocks supports organelle genomes without annotation and makes adjustment to different taxon datasets, thereby enabling the inclusion of as many common genes as possible. Topology comparison of trees built by conventional multi-gene and HomBlocks alignments implemented in different taxon categories shows that the same efficiency can be achieved by HomBlocks as when using the traditional method. The availability of Homblocks makes organelle phylogenetic analyses more accessible to non-bioinformaticians, thereby promising to lead to a better understanding of phylogenic relationships at an organelle genome level. Availability and implementation HomBlocks is implemented in Perl and is supported by Unix-like operative systems, including Linux and macOS. The Perl source code is freely available for download from https://github.com/fenghen360/HomBlocks.git, and documentation and tutorials are available at https://github.com/fenghen360/HomBlocks. Contact: yxmao@ouc.edu.cn or fenghen360@126.com","author":[{"dropping-particle":"","family":"Bi","given":"Guiqi","non-dropping-particle":"","parse-names":false,"suffix":""},{"dropping-particle":"","family":"Mao","given":"Yunxiang","non-dropping-particle":"","parse-names":false,"suffix":""},{"dropping-particle":"","family":"Xing","given":"Qikun","non-dropping-particle":"","parse-names":false,"suffix":""},{"dropping-particle":"","family":"Cao","given":"Min","non-dropping-particle":"","parse-names":false,"suffix":""}],"container-title":"Genomics","id":"ITEM-1","issue":"1","issued":{"date-parts":[["2018"]]},"page":"18-22","publisher":"Elsevier","title":"HomBlocks: A multiple-alignment construction pipeline for organelle phylogenomics based on locally collinear block searching","type":"article-journal","volume":"110"},"uris":["http://www.mendeley.com/documents/?uuid=f220468a-993a-4b7a-b243-ec589934e18f"]}],"mendeley":{"formattedCitation":"(Bi, Mao, Xing, &amp; Cao, 2018)","manualFormatting":"(Bi et al. 2018)","plainTextFormattedCitation":"(Bi, Mao, Xing, &amp; Cao, 2018)","previouslyFormattedCitation":"(Bi et al. 2018)"},"properties":{"noteIndex":0},"schema":"https://github.com/citation-style-language/schema/raw/master/csl-citation.json"}</w:instrText>
      </w:r>
      <w:r>
        <w:rPr>
          <w:rFonts w:cs="Times New Roman"/>
        </w:rPr>
        <w:fldChar w:fldCharType="separate"/>
      </w:r>
      <w:r w:rsidRPr="00ED0812">
        <w:rPr>
          <w:rFonts w:cs="Times New Roman"/>
          <w:noProof/>
        </w:rPr>
        <w:t>(Bi</w:t>
      </w:r>
      <w:r>
        <w:rPr>
          <w:rFonts w:cs="Times New Roman"/>
          <w:noProof/>
        </w:rPr>
        <w:t xml:space="preserve"> et al. </w:t>
      </w:r>
      <w:r w:rsidRPr="00ED0812">
        <w:rPr>
          <w:rFonts w:cs="Times New Roman"/>
          <w:noProof/>
        </w:rPr>
        <w:t>2018)</w:t>
      </w:r>
      <w:r>
        <w:rPr>
          <w:rFonts w:cs="Times New Roman"/>
        </w:rPr>
        <w:fldChar w:fldCharType="end"/>
      </w:r>
      <w:r>
        <w:rPr>
          <w:rFonts w:cs="Times New Roman"/>
        </w:rPr>
        <w:t xml:space="preserve">  This alignment was used to construct a Maximum Likelihood tree was constructed with IQ-Tree v</w:t>
      </w:r>
      <w:r w:rsidRPr="004F7161">
        <w:rPr>
          <w:rFonts w:cs="Times New Roman"/>
        </w:rPr>
        <w:t>2.1.2</w:t>
      </w:r>
      <w:r>
        <w:rPr>
          <w:rFonts w:cs="Times New Roman"/>
        </w:rPr>
        <w:t xml:space="preserve"> with 1000 bootstraps and visualized with </w:t>
      </w:r>
      <w:proofErr w:type="spellStart"/>
      <w:r>
        <w:rPr>
          <w:rFonts w:cs="Times New Roman"/>
        </w:rPr>
        <w:t>ggtree</w:t>
      </w:r>
      <w:proofErr w:type="spellEnd"/>
      <w:r>
        <w:rPr>
          <w:rFonts w:cs="Times New Roman"/>
        </w:rPr>
        <w:t xml:space="preserve"> v</w:t>
      </w:r>
      <w:r w:rsidRPr="00601952">
        <w:rPr>
          <w:rFonts w:cs="Times New Roman"/>
        </w:rPr>
        <w:t>3.0.4</w:t>
      </w:r>
      <w:r>
        <w:rPr>
          <w:rFonts w:cs="Times New Roman"/>
        </w:rPr>
        <w:t xml:space="preserve"> </w:t>
      </w:r>
      <w:r>
        <w:rPr>
          <w:rFonts w:cs="Times New Roman"/>
        </w:rPr>
        <w:fldChar w:fldCharType="begin" w:fldLock="1"/>
      </w:r>
      <w:r>
        <w:rPr>
          <w:rFonts w:cs="Times New Roman"/>
        </w:rPr>
        <w:instrText>ADDIN CSL_CITATION {"citationItems":[{"id":"ITEM-1","itemData":{"DOI":"10.1093/molbev/msaa015","ISSN":"15371719","PMID":"32011700","abstract":"IQ-TREE (http://www.iqtree.org, last accessed February 6, 2020) is a user-friendly and widely used software package for phylogenetic inference using maximum likelihood. Since the release of version 1 in 2014, we have continuously expanded IQ-TREE to integrate a plethora of new models of sequence evolution and efficient computational approaches of phylogenetic inference to deal with genomic data. Here, we describe notable features of IQ-TREE version 2 and highlight the key advantages over other software.","author":[{"dropping-particle":"","family":"Minh","given":"Bui Quang","non-dropping-particle":"","parse-names":false,"suffix":""},{"dropping-particle":"","family":"Schmidt","given":"Heiko A.","non-dropping-particle":"","parse-names":false,"suffix":""},{"dropping-particle":"","family":"Chernomor","given":"Olga","non-dropping-particle":"","parse-names":false,"suffix":""},{"dropping-particle":"","family":"Schrempf","given":"Dominik","non-dropping-particle":"","parse-names":false,"suffix":""},{"dropping-particle":"","family":"Woodhams","given":"Michael D.","non-dropping-particle":"","parse-names":false,"suffix":""},{"dropping-particle":"","family":"Haeseler","given":"Arndt","non-dropping-particle":"Von","parse-names":false,"suffix":""},{"dropping-particle":"","family":"Lanfear","given":"Robert","non-dropping-particle":"","parse-names":false,"suffix":""},{"dropping-particle":"","family":"Teeling","given":"Emma","non-dropping-particle":"","parse-names":false,"suffix":""}],"container-title":"Molecular Biology and Evolution","id":"ITEM-1","issue":"5","issued":{"date-parts":[["2020"]]},"page":"1530-1534","title":"IQ-TREE 2: New Models and Efficient Methods for Phylogenetic Inference in the Genomic Era","type":"article-journal","volume":"37"},"uris":["http://www.mendeley.com/documents/?uuid=7f16884b-3f6f-4d3b-a94f-1191a5128d9f"]},{"id":"ITEM-2","itemData":{"DOI":"10.1111/2041-210X.12628","ISSN":"2041210X","abstract":"We present an r package, ggtree, which provides programmable visualization and annotation of phylogenetic trees. ggtree can read more tree file formats than other softwares, including newick, nexus, NHX, phylip and jplace formats, and support visualization of phylo, multiphylo, phylo4, phylo4d, obkdata and phyloseq tree objects defined in other r packages. It can also extract the tree/branch/node-specific and other data from the analysis outputs of beast, epa, hyphy, paml, phylodog, pplacer, r8s, raxml and revbayes software, and allows using these data to annotate the tree. The package allows colouring and annotation of a tree by numerical/categorical node attributes, manipulating a tree by rotating, collapsing and zooming out clades, highlighting user selected clades or operational taxonomic units and exploration of a large tree by zooming into a selected portion. A two-dimensional tree can be drawn by scaling the tree width based on an attribute of the nodes. A tree can be annotated with an associated numerical matrix (as a heat map), multiple sequence alignment, subplots or silhouette images. The package ggtree is released under the artistic-2.0 license. The source code and documents are freely available through bioconductor (http://www.bioconductor.org/packages/ggtree).","author":[{"dropping-particle":"","family":"Yu","given":"Guangchuang","non-dropping-particle":"","parse-names":false,"suffix":""},{"dropping-particle":"","family":"Smith","given":"David K.","non-dropping-particle":"","parse-names":false,"suffix":""},{"dropping-particle":"","family":"Zhu","given":"Huachen","non-dropping-particle":"","parse-names":false,"suffix":""},{"dropping-particle":"","family":"Guan","given":"Yi","non-dropping-particle":"","parse-names":false,"suffix":""},{"dropping-particle":"","family":"Lam","given":"Tommy Tsan Yuk","non-dropping-particle":"","parse-names":false,"suffix":""}],"container-title":"Methods in Ecology and Evolution","id":"ITEM-2","issue":"1","issued":{"date-parts":[["2017"]]},"page":"28-36","title":"Ggtree: an R Package for Visualization and Annotation of Phylogenetic Trees With Their Covariates and Other Associated Data","type":"article-journal","volume":"8"},"uris":["http://www.mendeley.com/documents/?uuid=66b7a8ad-5fdd-4641-93a8-b17889391508"]}],"mendeley":{"formattedCitation":"(Minh et al., 2020; Yu et al., 2017)","plainTextFormattedCitation":"(Minh et al., 2020; Yu et al., 2017)","previouslyFormattedCitation":"(Minh et al. 2020; Yu et al. 2017)"},"properties":{"noteIndex":0},"schema":"https://github.com/citation-style-language/schema/raw/master/csl-citation.json"}</w:instrText>
      </w:r>
      <w:r>
        <w:rPr>
          <w:rFonts w:cs="Times New Roman"/>
        </w:rPr>
        <w:fldChar w:fldCharType="separate"/>
      </w:r>
      <w:r w:rsidRPr="002A18A2">
        <w:rPr>
          <w:rFonts w:cs="Times New Roman"/>
          <w:noProof/>
        </w:rPr>
        <w:t>(Minh et al., 2020; Yu et al., 2017)</w:t>
      </w:r>
      <w:r>
        <w:rPr>
          <w:rFonts w:cs="Times New Roman"/>
        </w:rPr>
        <w:fldChar w:fldCharType="end"/>
      </w:r>
      <w:r>
        <w:rPr>
          <w:rFonts w:cs="Times New Roman"/>
        </w:rPr>
        <w:t>.</w:t>
      </w:r>
    </w:p>
    <w:p w14:paraId="7579E885" w14:textId="77777777" w:rsidR="00973759" w:rsidRDefault="00973759" w:rsidP="002A18A2">
      <w:pPr>
        <w:tabs>
          <w:tab w:val="left" w:pos="360"/>
        </w:tabs>
        <w:spacing w:line="360" w:lineRule="auto"/>
        <w:rPr>
          <w:rFonts w:cs="Times New Roman"/>
          <w:b/>
          <w:bCs/>
        </w:rPr>
      </w:pPr>
    </w:p>
    <w:p w14:paraId="60DA2954" w14:textId="77777777" w:rsidR="00973759" w:rsidRPr="000F0AB1" w:rsidRDefault="00973759" w:rsidP="002A18A2">
      <w:pPr>
        <w:tabs>
          <w:tab w:val="left" w:pos="360"/>
        </w:tabs>
        <w:spacing w:line="360" w:lineRule="auto"/>
        <w:rPr>
          <w:rFonts w:cs="Times New Roman"/>
        </w:rPr>
      </w:pPr>
      <w:r w:rsidRPr="00FF7E71">
        <w:rPr>
          <w:rFonts w:cs="Times New Roman"/>
          <w:b/>
          <w:bCs/>
        </w:rPr>
        <w:t>Structural variation analysis</w:t>
      </w:r>
      <w:r>
        <w:rPr>
          <w:rFonts w:cs="Times New Roman"/>
          <w:b/>
          <w:bCs/>
        </w:rPr>
        <w:t xml:space="preserve">: </w:t>
      </w:r>
      <w:r>
        <w:rPr>
          <w:rFonts w:cs="Times New Roman"/>
        </w:rPr>
        <w:t xml:space="preserve">The LAGAN mode of </w:t>
      </w:r>
      <w:proofErr w:type="spellStart"/>
      <w:r>
        <w:rPr>
          <w:rFonts w:cs="Times New Roman"/>
        </w:rPr>
        <w:t>mVista</w:t>
      </w:r>
      <w:proofErr w:type="spellEnd"/>
      <w:r>
        <w:rPr>
          <w:rFonts w:cs="Times New Roman"/>
        </w:rPr>
        <w:t xml:space="preserve"> was used to compare the 11 </w:t>
      </w:r>
      <w:r>
        <w:rPr>
          <w:rFonts w:cs="Times New Roman"/>
          <w:i/>
          <w:iCs/>
        </w:rPr>
        <w:t>Salix</w:t>
      </w:r>
      <w:r>
        <w:rPr>
          <w:rFonts w:cs="Times New Roman"/>
        </w:rPr>
        <w:t xml:space="preserve"> chloroplast genomes and visualize differences in structural variation </w:t>
      </w:r>
      <w:r>
        <w:rPr>
          <w:rFonts w:cs="Times New Roman"/>
        </w:rPr>
        <w:fldChar w:fldCharType="begin" w:fldLock="1"/>
      </w:r>
      <w:r>
        <w:rPr>
          <w:rFonts w:cs="Times New Roman"/>
        </w:rPr>
        <w:instrText>ADDIN CSL_CITATION {"citationItems":[{"id":"ITEM-1","itemData":{"DOI":"10.1093/bioinformatics/btg1005","ISSN":"13674803","PMID":"12855437","abstract":"Motivation: To compare entire genomes from different species, biologists increasingly need alignment methods that are efficient enough to handle long sequences, and accurate enough to correctly align the conserved biological features between distant species. The two main classes of pain/vise alignments are global alignment, where one string is transformed into the other, and local alignment, where all locations of similarity between the two strings are returned. Global alignments are less prone to demonstrating false homology as each letter of one sequence is constrained to being aligned to only one letter of the other. Local alignments, on the other hand, can cope with rearrangements between non-syntenic, orthologous sequences by identifying similar regions in sequences; this, however, comes at the expense of a higher false positive rate due to the inability of local aligners to take into account overall conservation maps. Results: In this paper we introduce the notion of glocal alignment, a combination of global and local methods, where one creates a map that transforms one sequence into the other while allowing for rearrangement events. We present Shuffle-LAGAN, a glocal alignment algorithm that is based on the CHAOS local alignment algorithm and the LAGAN global aligner, and is able to align long genomic sequences. To test Shuffle-LAGAN we split the mouse genome into BAC-sized pieces, and aligned these pieces to the human genome. We demonstrate that Shuffle-LAGAN compares favorably in terms of sensitivity and specificity with standard local and global aligners. From the alignments we conclude that about 9% of human/mouse homology may be attributed to small rearrangements, 63% of which are duplications. Availability: Our systems, supplemental information, and the alignment of the human and mouse genomes using Shuffle-LAGAN are available at http://lagan.stanford.edu/glocal. © Oxford University Press 2003; all rights reserved.","author":[{"dropping-particle":"","family":"Brudno","given":"Michael","non-dropping-particle":"","parse-names":false,"suffix":""},{"dropping-particle":"","family":"Malde","given":"Sanket","non-dropping-particle":"","parse-names":false,"suffix":""},{"dropping-particle":"","family":"Poliakov","given":"Alexander","non-dropping-particle":"","parse-names":false,"suffix":""},{"dropping-particle":"","family":"Do","given":"Chuong B.","non-dropping-particle":"","parse-names":false,"suffix":""},{"dropping-particle":"","family":"Couronne","given":"Olivier","non-dropping-particle":"","parse-names":false,"suffix":""},{"dropping-particle":"","family":"Dubchak","given":"Inna","non-dropping-particle":"","parse-names":false,"suffix":""},{"dropping-particle":"","family":"Batzoglou","given":"Serafim","non-dropping-particle":"","parse-names":false,"suffix":""}],"container-title":"Bioinformatics","id":"ITEM-1","issue":"SUPPL. 1","issued":{"date-parts":[["2003"]]},"title":"Glocal alignment: Finding rearrangements during alignment","type":"article-journal","volume":"19"},"uris":["http://www.mendeley.com/documents/?uuid=ba774ce1-9435-464d-ae91-1ff2ebaad99c"]},{"id":"ITEM-2","itemData":{"DOI":"10.1093/nar/gkh458","ISSN":"03051048","PMID":"15215394","abstract":"Comparison of DNA sequences from different species is a fundamental method for identifying functional elements in genomes. Here, we describe the VISTA family of tools created to assist biologists in carrying out this task. Our first VISTA server at http://www-gsd.Ibl.gov/vista/ was launched in the summer of 2000 and was designed to align long genomic sequences and visualize these alignments with associated functional annotations. Currently the VISTA site includes multiple comparative genomics tools and provides users with rich capabilities to browse pre-computed whole-genome alignments of large vertebrate genomes and other groups of organisms with VISTA Browser, to submit their own sequences of interest to several VISTA servers for various types of comparative analysis and to obtain detailed comparative analysis results for a set of cardiovascular genes. We illustrate capabilities of the VISTA site by the analysis of a 180 kb interval on human chromosome 5 that encodes for the kinesin family member 3A (KIF3A) protein. © Oxford University Press 2004; all rights reserved.","author":[{"dropping-particle":"","family":"Frazer","given":"Kelly A.","non-dropping-particle":"","parse-names":false,"suffix":""},{"dropping-particle":"","family":"Pachter","given":"Lior","non-dropping-particle":"","parse-names":false,"suffix":""},{"dropping-particle":"","family":"Poliakov","given":"Alexander","non-dropping-particle":"","parse-names":false,"suffix":""},{"dropping-particle":"","family":"Rubin","given":"Edward M.","non-dropping-particle":"","parse-names":false,"suffix":""},{"dropping-particle":"","family":"Dubchak","given":"Inna","non-dropping-particle":"","parse-names":false,"suffix":""}],"container-title":"Nucleic Acids Research","id":"ITEM-2","issue":"WEB SERVER ISS.","issued":{"date-parts":[["2004"]]},"page":"273-279","title":"VISTA: Computational tools for comparative genomics","type":"article-journal","volume":"32"},"uris":["http://www.mendeley.com/documents/?uuid=8f3de573-85be-4ef3-8038-1592188bf2e1"]}],"mendeley":{"formattedCitation":"(Brudno et al., 2003; Frazer, Pachter, Poliakov, Rubin, &amp; Dubchak, 2004)","manualFormatting":"(Brudno et al., 2003; Frazer et al., 2004)","plainTextFormattedCitation":"(Brudno et al., 2003; Frazer, Pachter, Poliakov, Rubin, &amp; Dubchak, 2004)","previouslyFormattedCitation":"(Brudno et al. 2003; Frazer et al. 2004)"},"properties":{"noteIndex":0},"schema":"https://github.com/citation-style-language/schema/raw/master/csl-citation.json"}</w:instrText>
      </w:r>
      <w:r>
        <w:rPr>
          <w:rFonts w:cs="Times New Roman"/>
        </w:rPr>
        <w:fldChar w:fldCharType="separate"/>
      </w:r>
      <w:r w:rsidRPr="00AC1738">
        <w:rPr>
          <w:rFonts w:cs="Times New Roman"/>
          <w:noProof/>
        </w:rPr>
        <w:t>(Brudno et al., 2003; Frazer</w:t>
      </w:r>
      <w:r>
        <w:rPr>
          <w:rFonts w:cs="Times New Roman"/>
          <w:noProof/>
        </w:rPr>
        <w:t xml:space="preserve"> et al.</w:t>
      </w:r>
      <w:r w:rsidRPr="00AC1738">
        <w:rPr>
          <w:rFonts w:cs="Times New Roman"/>
          <w:noProof/>
        </w:rPr>
        <w:t>, 2004)</w:t>
      </w:r>
      <w:r>
        <w:rPr>
          <w:rFonts w:cs="Times New Roman"/>
        </w:rPr>
        <w:fldChar w:fldCharType="end"/>
      </w:r>
      <w:r>
        <w:rPr>
          <w:rFonts w:cs="Times New Roman"/>
        </w:rPr>
        <w:t xml:space="preserve">. Structural variation at the chloroplast genome inverted repeats was identified and visualized with </w:t>
      </w:r>
      <w:proofErr w:type="spellStart"/>
      <w:r>
        <w:rPr>
          <w:rFonts w:cs="Times New Roman"/>
        </w:rPr>
        <w:t>IRscope</w:t>
      </w:r>
      <w:proofErr w:type="spellEnd"/>
      <w:r>
        <w:rPr>
          <w:rFonts w:cs="Times New Roman"/>
        </w:rPr>
        <w:t xml:space="preserve"> </w:t>
      </w:r>
      <w:r>
        <w:rPr>
          <w:rFonts w:cs="Times New Roman"/>
        </w:rPr>
        <w:fldChar w:fldCharType="begin" w:fldLock="1"/>
      </w:r>
      <w:r>
        <w:rPr>
          <w:rFonts w:cs="Times New Roman"/>
        </w:rPr>
        <w:instrText>ADDIN CSL_CITATION {"citationItems":[{"id":"ITEM-1","itemData":{"DOI":"10.1093/bioinformatics/bty220","ISSN":"13674811","PMID":"29659705","abstract":"Motivation: Genome plotting is performed using a wide range of visualizations tools each with emphasis on a different informative dimension of the genome. These tools can provide a deeper insight into the genomic structure of the organism. Results: Here, we announce a new visualization tool that is specifically designed for chloroplast genomes. It allows the users to depict the genetic architecture of up to ten chloroplast genomes in the vicinity of the sites connecting the inverted repeats to the short and long single copy regions. The software and its dependent libraries are fully coded in R and the reflected plot is scaled up to realistic size of nucleotide base pairs in the vicinity of the junction sites. We introduce a website for easier use of the program and R source code of the software to be used in case of preferences to be changed and integrated into personal pipelines. The input of the program is an annotation GenBank (.gb) file, the accession or GI number of the sequence or a DOGMA output file. The software was tested using over a 100 embryophyte chloroplast genomes and in all cases a reliable output was obtained. Availability and implementation: Source codes and the online suit available at https://irscope.shinyapps.io/irapp/ or https://github.com/Limpfrog/irscope.","author":[{"dropping-particle":"","family":"Amiryousefi","given":"Ali","non-dropping-particle":"","parse-names":false,"suffix":""},{"dropping-particle":"","family":"Hyvönen","given":"Jaakko","non-dropping-particle":"","parse-names":false,"suffix":""},{"dropping-particle":"","family":"Poczai","given":"Peter","non-dropping-particle":"","parse-names":false,"suffix":""}],"container-title":"Bioinformatics (Oxford, England)","id":"ITEM-1","issue":"17","issued":{"date-parts":[["2018"]]},"page":"3030-3031","title":"IRscope: an online program to visualize the junction sites of chloroplast genomes","type":"article-journal","volume":"34"},"uris":["http://www.mendeley.com/documents/?uuid=90bfcd4d-c911-4fcb-8045-c42c639f06ff"]}],"mendeley":{"formattedCitation":"(Amiryousefi, Hyvönen, &amp; Poczai, 2018)","manualFormatting":"(Amiryousefi et al., 2018)","plainTextFormattedCitation":"(Amiryousefi, Hyvönen, &amp; Poczai, 2018)","previouslyFormattedCitation":"(Amiryousefi et al. 2018)"},"properties":{"noteIndex":0},"schema":"https://github.com/citation-style-language/schema/raw/master/csl-citation.json"}</w:instrText>
      </w:r>
      <w:r>
        <w:rPr>
          <w:rFonts w:cs="Times New Roman"/>
        </w:rPr>
        <w:fldChar w:fldCharType="separate"/>
      </w:r>
      <w:r w:rsidRPr="00AC1738">
        <w:rPr>
          <w:rFonts w:cs="Times New Roman"/>
          <w:noProof/>
        </w:rPr>
        <w:t>(Amiryousefi</w:t>
      </w:r>
      <w:r>
        <w:rPr>
          <w:rFonts w:cs="Times New Roman"/>
          <w:noProof/>
        </w:rPr>
        <w:t xml:space="preserve"> et al., </w:t>
      </w:r>
      <w:r w:rsidRPr="00AC1738">
        <w:rPr>
          <w:rFonts w:cs="Times New Roman"/>
          <w:noProof/>
        </w:rPr>
        <w:t>2018)</w:t>
      </w:r>
      <w:r>
        <w:rPr>
          <w:rFonts w:cs="Times New Roman"/>
        </w:rPr>
        <w:fldChar w:fldCharType="end"/>
      </w:r>
      <w:r>
        <w:rPr>
          <w:rFonts w:cs="Times New Roman"/>
        </w:rPr>
        <w:t xml:space="preserve">. Structural variation in the 11 </w:t>
      </w:r>
      <w:r>
        <w:rPr>
          <w:rFonts w:cs="Times New Roman"/>
          <w:i/>
          <w:iCs/>
        </w:rPr>
        <w:t xml:space="preserve">Salix </w:t>
      </w:r>
      <w:r>
        <w:rPr>
          <w:rFonts w:cs="Times New Roman"/>
        </w:rPr>
        <w:t xml:space="preserve">mitogenomes was assessed and visualized with </w:t>
      </w:r>
      <w:proofErr w:type="spellStart"/>
      <w:r>
        <w:rPr>
          <w:rFonts w:cs="Times New Roman"/>
        </w:rPr>
        <w:t>progressiveMauve</w:t>
      </w:r>
      <w:proofErr w:type="spellEnd"/>
      <w:r>
        <w:rPr>
          <w:rFonts w:cs="Times New Roman"/>
        </w:rPr>
        <w:t xml:space="preserve"> with default parameters </w:t>
      </w:r>
      <w:r>
        <w:rPr>
          <w:rFonts w:cs="Times New Roman"/>
        </w:rPr>
        <w:fldChar w:fldCharType="begin" w:fldLock="1"/>
      </w:r>
      <w:r>
        <w:rPr>
          <w:rFonts w:cs="Times New Roman"/>
        </w:rPr>
        <w:instrText>ADDIN CSL_CITATION {"citationItems":[{"id":"ITEM-1","itemData":{"DOI":"10.1371/journal.pone.0011147","ISSN":"19326203","PMID":"20593022","abstract":"Background Multiple genome alignment remains a challenging problem. Effects of recombination including rearrangement, segmental duplication, gain, and loss can create a mosaic pattern of homology even among closely related organisms. Methodology/Principal Findings We describe a new method to align two or more genomes that have undergone rearrangements due to recombination and substantial amounts of segmental gain and loss (flux). We demonstrate that the new method can accurately align regions conserved in some, but not all, of the genomes, an important case not handled by our previous work. The method uses a novel alignment objective score called a sum-of-pairs breakpoint score, which facilitates accurate detection of rearrangement breakpoints when genomes have unequal gene content. We also apply a probabilistic alignment filtering method to remove erroneous alignments of unrelated sequences, which are commonly observed in other genome alignment methods. We describe new metrics for quantifying genome alignment accuracy which measure the quality of rearrangement breakpoint predictions and indel predictions. The new genome alignment algorithm demonstrates high accuracy in situations where genomes have undergone biologically feasible amounts of genome rearrangement, segmental gain and loss. We apply the new algorithm to a set of 23 genomes from the genera Escherichia, Shigella, and Salmonella. Analysis of whole-genome multiple alignments allows us to extend the previously defined concepts of core- and pan-genomes to include not only annotated genes, but also non-coding regions with potential regulatory roles. The 23 enterobacteria have an estimated core-genome of 2.46Mbp conserved among all taxa and a pan-genome of 15.2Mbp. We document substantial population-level variability among these organisms driven by segmental gain and loss. Interestingly, much variability lies in intergenic regions, suggesting that the Enterobacteriacae may exhibit regulatory divergence.Conclusions The multiple genome alignments generated by our software provide a platform for comparative genomic and population genomic studies. Free, open-source software implementing the described genome alignment approach is available from http://gel.ahabs.wisc.edu/mauve.© 2010.","author":[{"dropping-particle":"","family":"Darling","given":"Aaron E.","non-dropping-particle":"","parse-names":false,"suffix":""},{"dropping-particle":"","family":"Mau","given":"Bob","non-dropping-particle":"","parse-names":false,"suffix":""},{"dropping-particle":"","family":"Perna","given":"Nicole T.","non-dropping-particle":"","parse-names":false,"suffix":""}],"container-title":"PLoS ONE","id":"ITEM-1","issue":"6","issued":{"date-parts":[["2010"]]},"title":"Progressivemauve: Multiple genome alignment with gene gain, loss and rearrangement","type":"article-journal","volume":"5"},"uris":["http://www.mendeley.com/documents/?uuid=2e3dd84d-6a47-475c-ad51-378a0357b37f"]}],"mendeley":{"formattedCitation":"(Darling, Mau, &amp; Perna, 2010)","manualFormatting":"(Darling et al., 2010)","plainTextFormattedCitation":"(Darling, Mau, &amp; Perna, 2010)","previouslyFormattedCitation":"(Darling et al. 2010)"},"properties":{"noteIndex":0},"schema":"https://github.com/citation-style-language/schema/raw/master/csl-citation.json"}</w:instrText>
      </w:r>
      <w:r>
        <w:rPr>
          <w:rFonts w:cs="Times New Roman"/>
        </w:rPr>
        <w:fldChar w:fldCharType="separate"/>
      </w:r>
      <w:r w:rsidRPr="00AC1738">
        <w:rPr>
          <w:rFonts w:cs="Times New Roman"/>
          <w:noProof/>
        </w:rPr>
        <w:t>(Darling</w:t>
      </w:r>
      <w:r>
        <w:rPr>
          <w:rFonts w:cs="Times New Roman"/>
          <w:noProof/>
        </w:rPr>
        <w:t xml:space="preserve"> et al.</w:t>
      </w:r>
      <w:r w:rsidRPr="00AC1738">
        <w:rPr>
          <w:rFonts w:cs="Times New Roman"/>
          <w:noProof/>
        </w:rPr>
        <w:t>, 2010)</w:t>
      </w:r>
      <w:r>
        <w:rPr>
          <w:rFonts w:cs="Times New Roman"/>
        </w:rPr>
        <w:fldChar w:fldCharType="end"/>
      </w:r>
      <w:r>
        <w:rPr>
          <w:rFonts w:cs="Times New Roman"/>
        </w:rPr>
        <w:t xml:space="preserve">. </w:t>
      </w:r>
    </w:p>
    <w:p w14:paraId="2C7074D3" w14:textId="77777777" w:rsidR="00973759" w:rsidRDefault="00973759" w:rsidP="002A18A2">
      <w:pPr>
        <w:tabs>
          <w:tab w:val="left" w:pos="360"/>
        </w:tabs>
        <w:spacing w:line="360" w:lineRule="auto"/>
        <w:rPr>
          <w:rFonts w:cs="Times New Roman"/>
        </w:rPr>
      </w:pPr>
    </w:p>
    <w:p w14:paraId="713E9F69" w14:textId="77777777" w:rsidR="00973759" w:rsidRDefault="00973759" w:rsidP="002A18A2">
      <w:pPr>
        <w:tabs>
          <w:tab w:val="left" w:pos="360"/>
        </w:tabs>
        <w:spacing w:line="360" w:lineRule="auto"/>
        <w:rPr>
          <w:rFonts w:cs="Times New Roman"/>
        </w:rPr>
      </w:pPr>
      <w:r>
        <w:rPr>
          <w:rFonts w:cs="Times New Roman"/>
          <w:b/>
          <w:bCs/>
        </w:rPr>
        <w:t xml:space="preserve">Plastid-derived content in the </w:t>
      </w:r>
      <w:r>
        <w:rPr>
          <w:rFonts w:cs="Times New Roman"/>
          <w:b/>
          <w:bCs/>
          <w:i/>
          <w:iCs/>
        </w:rPr>
        <w:t xml:space="preserve">Salix </w:t>
      </w:r>
      <w:r>
        <w:rPr>
          <w:rFonts w:cs="Times New Roman"/>
          <w:b/>
          <w:bCs/>
        </w:rPr>
        <w:t xml:space="preserve">mitogenomes: </w:t>
      </w:r>
      <w:r>
        <w:rPr>
          <w:rFonts w:cs="Times New Roman"/>
        </w:rPr>
        <w:t xml:space="preserve">BLASTN 2.11.0+  with word size of 11, e-value less than 1E-5, percent identity greater than or equal to 75%, and minimum alignment length of 100 bp was used to detect plastid-derived content in the </w:t>
      </w:r>
      <w:r>
        <w:rPr>
          <w:rFonts w:cs="Times New Roman"/>
          <w:i/>
          <w:iCs/>
        </w:rPr>
        <w:t xml:space="preserve">Salix </w:t>
      </w:r>
      <w:r>
        <w:rPr>
          <w:rFonts w:cs="Times New Roman"/>
        </w:rPr>
        <w:t xml:space="preserve">mitogenomes </w:t>
      </w:r>
      <w:r>
        <w:rPr>
          <w:rFonts w:cs="Times New Roman"/>
        </w:rPr>
        <w:fldChar w:fldCharType="begin" w:fldLock="1"/>
      </w:r>
      <w:r>
        <w:rPr>
          <w:rFonts w:cs="Times New Roman"/>
        </w:rPr>
        <w:instrText>ADDIN CSL_CITATION {"citationItems":[{"id":"ITEM-1","itemData":{"ISSN":"0305-1048","author":[{"dropping-particle":"","family":"Altschul","given":"S","non-dropping-particle":"","parse-names":false,"suffix":""}],"container-title":"Nucleic acids research.","id":"ITEM-1","issue":"17","issued":{"date-parts":[["1977"]]},"page":"3389-3402","publisher":"Oxford University Press","publisher-place":"Oxford :","title":"Gapped BLAST and PSI-BLAST: a new generation of protein database search programs","type":"article-journal","volume":"25"},"uris":["http://www.mendeley.com/documents/?uuid=fb874f9c-cc6a-4d70-bea3-575a4ec9fcc2"]}],"mendeley":{"formattedCitation":"(Altschul, 1977)","plainTextFormattedCitation":"(Altschul, 1977)","previouslyFormattedCitation":"(Altschul 1977)"},"properties":{"noteIndex":0},"schema":"https://github.com/citation-style-language/schema/raw/master/csl-citation.json"}</w:instrText>
      </w:r>
      <w:r>
        <w:rPr>
          <w:rFonts w:cs="Times New Roman"/>
        </w:rPr>
        <w:fldChar w:fldCharType="separate"/>
      </w:r>
      <w:r w:rsidRPr="002A18A2">
        <w:rPr>
          <w:rFonts w:cs="Times New Roman"/>
          <w:noProof/>
        </w:rPr>
        <w:t>(Altschul, 1977)</w:t>
      </w:r>
      <w:r>
        <w:rPr>
          <w:rFonts w:cs="Times New Roman"/>
        </w:rPr>
        <w:fldChar w:fldCharType="end"/>
      </w:r>
      <w:r>
        <w:rPr>
          <w:rFonts w:cs="Times New Roman"/>
        </w:rPr>
        <w:t xml:space="preserve">. The whole chloroplast genome minus one inverted repeat were used. Protein-coding and tRNA gene transfer were identified with BLASTN 2.11.0+ with a word size of 11, e-value less </w:t>
      </w:r>
      <w:r>
        <w:rPr>
          <w:rFonts w:cs="Times New Roman"/>
        </w:rPr>
        <w:lastRenderedPageBreak/>
        <w:t>than 1E-5, percent identity greater than or equal to 90%, and subject coverage of greater than or equal to 90%.</w:t>
      </w:r>
    </w:p>
    <w:p w14:paraId="0A767A68" w14:textId="77777777" w:rsidR="00973759" w:rsidRPr="00440BEE" w:rsidRDefault="00973759" w:rsidP="002A18A2">
      <w:pPr>
        <w:tabs>
          <w:tab w:val="left" w:pos="360"/>
        </w:tabs>
        <w:spacing w:line="360" w:lineRule="auto"/>
        <w:rPr>
          <w:rFonts w:cs="Times New Roman"/>
        </w:rPr>
      </w:pPr>
    </w:p>
    <w:p w14:paraId="7E42939C" w14:textId="77777777" w:rsidR="00973759" w:rsidRPr="001A6619" w:rsidRDefault="00973759" w:rsidP="002A18A2">
      <w:pPr>
        <w:spacing w:line="360" w:lineRule="auto"/>
      </w:pPr>
      <w:r w:rsidRPr="00FF7E71">
        <w:rPr>
          <w:rFonts w:cs="Times New Roman"/>
          <w:b/>
          <w:bCs/>
        </w:rPr>
        <w:t>Repeat analysis</w:t>
      </w:r>
      <w:r>
        <w:rPr>
          <w:rFonts w:cs="Times New Roman"/>
          <w:b/>
          <w:bCs/>
        </w:rPr>
        <w:t xml:space="preserve">: </w:t>
      </w:r>
      <w:r w:rsidRPr="0060146F">
        <w:t>Forward, palindromic, complement, and reverse repeats</w:t>
      </w:r>
      <w:r>
        <w:t xml:space="preserve"> were identified with </w:t>
      </w:r>
      <w:proofErr w:type="spellStart"/>
      <w:r>
        <w:t>REPuter</w:t>
      </w:r>
      <w:proofErr w:type="spellEnd"/>
      <w:r>
        <w:t xml:space="preserve"> </w:t>
      </w:r>
      <w:r>
        <w:fldChar w:fldCharType="begin" w:fldLock="1"/>
      </w:r>
      <w:r>
        <w:instrText>ADDIN CSL_CITATION {"citationItems":[{"id":"ITEM-1","itemData":{"DOI":"10.1093/nar/29.22.4633","ISSN":"03051048","PMID":"11713313","abstract":"The repetitive structure of genomic DNA holds many secrets to be discovered. A systematic study of repetitive DNA on a genomic or inter-genomic scale requires extensive algorithmic support. The REPuter program described herein was designed to serve as a fundamental tool in such studies. Efficient and complete detection of various types of repeats is provided together with an evaluation of significance and interactive visualization. This article circumscribes the wide scope of repeat analysis using applications in five different areas of sequence analysis: checking fragment assemblies, searching for low copy repeats, finding unique sequences, comparing gene structures and mapping of cDNA/EST sequences.","author":[{"dropping-particle":"","family":"Kurtz","given":"Stefan","non-dropping-particle":"","parse-names":false,"suffix":""},{"dropping-particle":"V.","family":"Choudhuri","given":"Jomuna","non-dropping-particle":"","parse-names":false,"suffix":""},{"dropping-particle":"","family":"Ohlebusch","given":"Enno","non-dropping-particle":"","parse-names":false,"suffix":""},{"dropping-particle":"","family":"Schleiermacher","given":"Chris","non-dropping-particle":"","parse-names":false,"suffix":""},{"dropping-particle":"","family":"Stoye","given":"Jens","non-dropping-particle":"","parse-names":false,"suffix":""},{"dropping-particle":"","family":"Giegerich","given":"Robert","non-dropping-particle":"","parse-names":false,"suffix":""}],"container-title":"Nucleic Acids Research","id":"ITEM-1","issue":"22","issued":{"date-parts":[["2001"]]},"page":"4633-4642","title":"REPuter: The manifold applications of repeat analysis on a genomic scale","type":"article-journal","volume":"29"},"uris":["http://www.mendeley.com/documents/?uuid=fd62e85a-0002-4322-859b-3091bb63ff55"]}],"mendeley":{"formattedCitation":"(Kurtz et al., 2001)","plainTextFormattedCitation":"(Kurtz et al., 2001)","previouslyFormattedCitation":"(Kurtz et al. 2001)"},"properties":{"noteIndex":0},"schema":"https://github.com/citation-style-language/schema/raw/master/csl-citation.json"}</w:instrText>
      </w:r>
      <w:r>
        <w:fldChar w:fldCharType="separate"/>
      </w:r>
      <w:r w:rsidRPr="002A18A2">
        <w:rPr>
          <w:noProof/>
        </w:rPr>
        <w:t>(Kurtz et al., 2001)</w:t>
      </w:r>
      <w:r>
        <w:fldChar w:fldCharType="end"/>
      </w:r>
      <w:r>
        <w:t xml:space="preserve">. Repeats with a minimum length of 30, an </w:t>
      </w:r>
      <w:proofErr w:type="spellStart"/>
      <w:r>
        <w:t>evalue</w:t>
      </w:r>
      <w:proofErr w:type="spellEnd"/>
      <w:r>
        <w:t xml:space="preserve"> of less than or equal to 1e-5, and a hamming distance of 3 were retained. Simple sequence repeats (SSRs) were identified with MISA </w:t>
      </w:r>
      <w:r>
        <w:fldChar w:fldCharType="begin" w:fldLock="1"/>
      </w:r>
      <w:r>
        <w:instrText>ADDIN CSL_CITATION {"citationItems":[{"id":"ITEM-1","itemData":{"DOI":"10.1007/s00122-002-1031-0","ISSN":"00405752","PMID":"12589540","abstract":"A software tool was developed for the identification of simple sequence repeats (SSRs) in a barley (Hordeum vulgare L.) EST (expressed sequence tag) database comprising 24,595 sequences. In total, 1,856 SSR-containing sequences were identified. Trimeric SSR repeat motifs appeared to be the most abundant type. A subset of 311 primer pairs flanking SSR loci have been used for screening polymorphisms among six barley cultivars, being parents of three mapping populations. As a result, 76 EST-derived SSR-markers were integrated into a barley genetic consensus map. A correlation between polymorphism and the number of repeats was observed for SSRs built of dimeric up to tetrameric units. 3′-ESTs yielded a higher portion of polymorphic SSRs (64%) than 5′-ESTs did. The estimated PIC (polymorphic information content) value was 0.45 ± 0.03. Approximately 80% of the SSR-markers amplified DNA fragments in Hordeum bulbosum, followed by rye, wheat (both about 60%) and rice (40%). A subset of 38 EST-derived SSR-markers comprising 114 alleles were used to investigate genetic diversity among 54 barley cultivars. In accordance with a previous, RFLP-based, study, spring and winter cultivars, as well as two- and six-rowed barleys, formed separate clades upon PCoA analysis. The results show that: (1) with the software tool developed, EST databases can be efficiently exploited for the development of cDNA-SSRs, (2) EST-derived SSRs are significantly less polymorphic than those derived from genomic regions, (3) a considerable portion of the developed SSRs can be transferred to related species, and (4) compared to RFLP-markers, cDNA-SSRs yield similar patterns of genetic diversity.","author":[{"dropping-particle":"","family":"Thiel","given":"T.","non-dropping-particle":"","parse-names":false,"suffix":""},{"dropping-particle":"","family":"Michalek","given":"W.","non-dropping-particle":"","parse-names":false,"suffix":""},{"dropping-particle":"","family":"Varshney","given":"R. K.","non-dropping-particle":"","parse-names":false,"suffix":""},{"dropping-particle":"","family":"Graner","given":"A.","non-dropping-particle":"","parse-names":false,"suffix":""}],"container-title":"Theoretical and Applied Genetics","id":"ITEM-1","issue":"3","issued":{"date-parts":[["2003"]]},"page":"411-422","title":"Exploiting EST databases for the development and characterization of gene-derived SSR-markers in barley (Hordeum vulgare L.)","type":"article-journal","volume":"106"},"uris":["http://www.mendeley.com/documents/?uuid=f2980aaa-f054-436d-8c37-4e3d064f1702"]},{"id":"ITEM-2","itemData":{"DOI":"10.1093/bioinformatics/btx198","ISSN":"14602059","PMID":"28398459","abstract":"Motivation: Microsatellites are a widely-used marker system in plant genetics and forensics. The development of reliable microsatellite markers from resequencing data is challenging. Results: We extended MISA, a computational tool assisting the development of microsatellite markers, and reimplemented it as a web-based application. We improved compound microsatellite detection and added the possibility to display and export MISA results in GFF3 format for downstream analysis. Contact: scholz@ipk-gatersleben.de","author":[{"dropping-particle":"","family":"Beier","given":"Sebastian","non-dropping-particle":"","parse-names":false,"suffix":""},{"dropping-particle":"","family":"Thiel","given":"Thomas","non-dropping-particle":"","parse-names":false,"suffix":""},{"dropping-particle":"","family":"Münch","given":"Thomas","non-dropping-particle":"","parse-names":false,"suffix":""},{"dropping-particle":"","family":"Scholz","given":"Uwe","non-dropping-particle":"","parse-names":false,"suffix":""},{"dropping-particle":"","family":"Mascher","given":"Martin","non-dropping-particle":"","parse-names":false,"suffix":""}],"container-title":"Bioinformatics","id":"ITEM-2","issue":"16","issued":{"date-parts":[["2017"]]},"page":"2583-2585","title":"MISA-web: A web server for microsatellite prediction","type":"article-journal","volume":"33"},"uris":["http://www.mendeley.com/documents/?uuid=57a40c50-9d4a-4f01-a414-8f7c66222733"]}],"mendeley":{"formattedCitation":"(Beier et al., 2017; Thiel, Michalek, Varshney, &amp; Graner, 2003)","manualFormatting":"(Beier et al., 2017; Thiel et al., 2003)","plainTextFormattedCitation":"(Beier et al., 2017; Thiel, Michalek, Varshney, &amp; Graner, 2003)","previouslyFormattedCitation":"(Thiel et al. 2003; Beier et al. 2017)"},"properties":{"noteIndex":0},"schema":"https://github.com/citation-style-language/schema/raw/master/csl-citation.json"}</w:instrText>
      </w:r>
      <w:r>
        <w:fldChar w:fldCharType="separate"/>
      </w:r>
      <w:r w:rsidRPr="001A6619">
        <w:rPr>
          <w:noProof/>
        </w:rPr>
        <w:t>(Beier</w:t>
      </w:r>
      <w:r>
        <w:rPr>
          <w:noProof/>
        </w:rPr>
        <w:t xml:space="preserve"> et al.,</w:t>
      </w:r>
      <w:r w:rsidRPr="001A6619">
        <w:rPr>
          <w:noProof/>
        </w:rPr>
        <w:t xml:space="preserve"> 2017; Thiel</w:t>
      </w:r>
      <w:r>
        <w:rPr>
          <w:noProof/>
        </w:rPr>
        <w:t xml:space="preserve"> et al.</w:t>
      </w:r>
      <w:r w:rsidRPr="001A6619">
        <w:rPr>
          <w:noProof/>
        </w:rPr>
        <w:t>, 2003)</w:t>
      </w:r>
      <w:r>
        <w:fldChar w:fldCharType="end"/>
      </w:r>
      <w:r>
        <w:t xml:space="preserve">. Unit size of repeat by minimum repeat number were required as follows: monomer – 10, dimer – 6, trimer – 5, tetramer – 4, pentamer – 3, and hexamer – 3. </w:t>
      </w:r>
    </w:p>
    <w:p w14:paraId="5B25D1D7" w14:textId="77777777" w:rsidR="00973759" w:rsidRDefault="00973759" w:rsidP="002A18A2">
      <w:pPr>
        <w:rPr>
          <w:rFonts w:cs="Times New Roman"/>
          <w:b/>
          <w:bCs/>
        </w:rPr>
      </w:pPr>
    </w:p>
    <w:p w14:paraId="54EFFCD8" w14:textId="77777777" w:rsidR="00973759" w:rsidRDefault="00973759" w:rsidP="002A18A2">
      <w:pPr>
        <w:spacing w:line="360" w:lineRule="auto"/>
      </w:pPr>
      <w:r w:rsidRPr="00FF7E71">
        <w:rPr>
          <w:rFonts w:cs="Times New Roman"/>
          <w:b/>
          <w:bCs/>
        </w:rPr>
        <w:t>Selection analysis</w:t>
      </w:r>
      <w:r>
        <w:rPr>
          <w:rFonts w:cs="Times New Roman"/>
          <w:b/>
          <w:bCs/>
        </w:rPr>
        <w:t xml:space="preserve">: </w:t>
      </w:r>
      <w:r>
        <w:rPr>
          <w:rFonts w:cs="Times New Roman"/>
        </w:rPr>
        <w:t xml:space="preserve">Selection was assessed on protein-coding genes in between the 11 </w:t>
      </w:r>
      <w:r>
        <w:rPr>
          <w:rFonts w:cs="Times New Roman"/>
          <w:i/>
          <w:iCs/>
        </w:rPr>
        <w:t xml:space="preserve">Salix </w:t>
      </w:r>
      <w:r>
        <w:rPr>
          <w:rFonts w:cs="Times New Roman"/>
        </w:rPr>
        <w:t xml:space="preserve">chloroplast genomes and </w:t>
      </w:r>
      <w:r>
        <w:rPr>
          <w:rFonts w:cs="Times New Roman"/>
          <w:i/>
          <w:iCs/>
          <w:color w:val="000000" w:themeColor="text1"/>
        </w:rPr>
        <w:t xml:space="preserve">J. </w:t>
      </w:r>
      <w:proofErr w:type="spellStart"/>
      <w:r>
        <w:rPr>
          <w:rFonts w:cs="Times New Roman"/>
          <w:i/>
          <w:iCs/>
          <w:color w:val="000000" w:themeColor="text1"/>
        </w:rPr>
        <w:t>curcas</w:t>
      </w:r>
      <w:proofErr w:type="spellEnd"/>
      <w:r>
        <w:rPr>
          <w:rFonts w:cs="Times New Roman"/>
          <w:i/>
          <w:iCs/>
          <w:color w:val="000000" w:themeColor="text1"/>
        </w:rPr>
        <w:t xml:space="preserve"> </w:t>
      </w:r>
      <w:r>
        <w:rPr>
          <w:rFonts w:cs="Times New Roman"/>
          <w:color w:val="000000" w:themeColor="text1"/>
        </w:rPr>
        <w:t>(</w:t>
      </w:r>
      <w:r w:rsidRPr="00301848">
        <w:rPr>
          <w:rFonts w:cs="Times New Roman"/>
          <w:color w:val="000000" w:themeColor="text1"/>
        </w:rPr>
        <w:t>NC_012224.1</w:t>
      </w:r>
      <w:r>
        <w:rPr>
          <w:rFonts w:cs="Times New Roman"/>
          <w:color w:val="000000" w:themeColor="text1"/>
        </w:rPr>
        <w:t xml:space="preserve">), </w:t>
      </w:r>
      <w:r>
        <w:rPr>
          <w:rFonts w:cs="Times New Roman"/>
          <w:i/>
          <w:iCs/>
          <w:color w:val="000000" w:themeColor="text1"/>
        </w:rPr>
        <w:t xml:space="preserve">M. esculenta </w:t>
      </w:r>
      <w:r>
        <w:rPr>
          <w:rFonts w:cs="Times New Roman"/>
          <w:color w:val="000000" w:themeColor="text1"/>
        </w:rPr>
        <w:t>(</w:t>
      </w:r>
      <w:r w:rsidRPr="00301848">
        <w:rPr>
          <w:rFonts w:cs="Times New Roman"/>
          <w:color w:val="000000" w:themeColor="text1"/>
        </w:rPr>
        <w:t>NC_010433.1</w:t>
      </w:r>
      <w:r>
        <w:rPr>
          <w:rFonts w:cs="Times New Roman"/>
          <w:color w:val="000000" w:themeColor="text1"/>
        </w:rPr>
        <w:t xml:space="preserve">), and </w:t>
      </w:r>
      <w:r>
        <w:rPr>
          <w:rFonts w:cs="Times New Roman"/>
          <w:i/>
          <w:iCs/>
          <w:color w:val="000000" w:themeColor="text1"/>
        </w:rPr>
        <w:t>R. communis</w:t>
      </w:r>
      <w:r>
        <w:rPr>
          <w:rFonts w:cs="Times New Roman"/>
          <w:color w:val="000000" w:themeColor="text1"/>
        </w:rPr>
        <w:t xml:space="preserve"> (</w:t>
      </w:r>
      <w:r w:rsidRPr="00301848">
        <w:rPr>
          <w:rFonts w:cs="Times New Roman"/>
          <w:color w:val="000000" w:themeColor="text1"/>
        </w:rPr>
        <w:t>NC_016736.1</w:t>
      </w:r>
      <w:r>
        <w:rPr>
          <w:rFonts w:cs="Times New Roman"/>
          <w:color w:val="000000" w:themeColor="text1"/>
        </w:rPr>
        <w:t xml:space="preserve">). </w:t>
      </w:r>
      <w:r>
        <w:rPr>
          <w:rFonts w:cs="Times New Roman"/>
        </w:rPr>
        <w:t xml:space="preserve">In the 11 </w:t>
      </w:r>
      <w:r w:rsidRPr="00BF2D46">
        <w:rPr>
          <w:rFonts w:cs="Times New Roman"/>
        </w:rPr>
        <w:t>mitogenomes</w:t>
      </w:r>
      <w:r>
        <w:rPr>
          <w:rFonts w:cs="Times New Roman"/>
        </w:rPr>
        <w:t xml:space="preserve">, selection was assessed on protein-coding genes in between </w:t>
      </w:r>
      <w:r>
        <w:rPr>
          <w:rFonts w:cs="Times New Roman"/>
          <w:i/>
          <w:iCs/>
          <w:color w:val="000000" w:themeColor="text1"/>
        </w:rPr>
        <w:t>M. esculenta</w:t>
      </w:r>
      <w:r>
        <w:rPr>
          <w:rFonts w:cs="Times New Roman"/>
          <w:color w:val="000000" w:themeColor="text1"/>
        </w:rPr>
        <w:t xml:space="preserve"> (</w:t>
      </w:r>
      <w:r w:rsidRPr="00336F0B">
        <w:rPr>
          <w:rFonts w:cs="Times New Roman"/>
          <w:color w:val="000000" w:themeColor="text1"/>
        </w:rPr>
        <w:t>NC_045136.1</w:t>
      </w:r>
      <w:r>
        <w:rPr>
          <w:rFonts w:cs="Times New Roman"/>
          <w:color w:val="000000" w:themeColor="text1"/>
        </w:rPr>
        <w:t xml:space="preserve">), </w:t>
      </w:r>
      <w:r>
        <w:rPr>
          <w:rFonts w:cs="Times New Roman"/>
          <w:i/>
          <w:iCs/>
          <w:color w:val="000000" w:themeColor="text1"/>
        </w:rPr>
        <w:t xml:space="preserve">P. edulis </w:t>
      </w:r>
      <w:r>
        <w:rPr>
          <w:rFonts w:cs="Times New Roman"/>
          <w:color w:val="000000" w:themeColor="text1"/>
        </w:rPr>
        <w:t>(</w:t>
      </w:r>
      <w:r w:rsidRPr="0001745B">
        <w:rPr>
          <w:rFonts w:cs="Times New Roman"/>
          <w:color w:val="000000" w:themeColor="text1"/>
        </w:rPr>
        <w:t>NC_050950.1</w:t>
      </w:r>
      <w:r>
        <w:rPr>
          <w:rFonts w:cs="Times New Roman"/>
          <w:color w:val="000000" w:themeColor="text1"/>
        </w:rPr>
        <w:t xml:space="preserve">), and </w:t>
      </w:r>
      <w:r>
        <w:rPr>
          <w:rFonts w:cs="Times New Roman"/>
          <w:i/>
          <w:iCs/>
          <w:color w:val="000000" w:themeColor="text1"/>
        </w:rPr>
        <w:t xml:space="preserve">R. communis </w:t>
      </w:r>
      <w:r>
        <w:rPr>
          <w:rFonts w:cs="Times New Roman"/>
          <w:color w:val="000000" w:themeColor="text1"/>
        </w:rPr>
        <w:t>(</w:t>
      </w:r>
      <w:r w:rsidRPr="0001745B">
        <w:rPr>
          <w:rFonts w:cs="Times New Roman"/>
          <w:color w:val="000000" w:themeColor="text1"/>
        </w:rPr>
        <w:t>NC_015141.1</w:t>
      </w:r>
      <w:r>
        <w:rPr>
          <w:rFonts w:cs="Times New Roman"/>
          <w:color w:val="000000" w:themeColor="text1"/>
        </w:rPr>
        <w:t>).</w:t>
      </w:r>
      <w:r>
        <w:rPr>
          <w:rFonts w:cs="Times New Roman"/>
        </w:rPr>
        <w:t xml:space="preserve"> Protein alignments were first constructed with MAFFT v7.487 which was then converted into a codon alignment with pal2nal v14 with the ‘-</w:t>
      </w:r>
      <w:proofErr w:type="spellStart"/>
      <w:r>
        <w:rPr>
          <w:rFonts w:cs="Times New Roman"/>
        </w:rPr>
        <w:t>nogap</w:t>
      </w:r>
      <w:proofErr w:type="spellEnd"/>
      <w:r>
        <w:rPr>
          <w:rFonts w:cs="Times New Roman"/>
        </w:rPr>
        <w:t xml:space="preserve">’ flag </w:t>
      </w:r>
      <w:r>
        <w:rPr>
          <w:rFonts w:cs="Times New Roman"/>
        </w:rPr>
        <w:fldChar w:fldCharType="begin" w:fldLock="1"/>
      </w:r>
      <w:r>
        <w:rPr>
          <w:rFonts w:cs="Times New Roman"/>
        </w:rPr>
        <w:instrText>ADDIN CSL_CITATION {"citationItems":[{"id":"ITEM-1","itemData":{"DOI":"10.1093/molbev/mst010","ISSN":"07374038","PMID":"23329690","abstract":"We report a major update of the MAFFT multiple sequence alignment program. This version has several new features, including options for adding unaligned sequences into an existing alignment, adjustment of direction in nucleotide alignment, constrained alignment and parallel processing, which were implemented after the previous major update. This report shows actual examples to explain how these features work, alone and in combination. Some examples incorrectly aligned by MAFFT are also shown to clarify its limitations. We discuss how to avoid misalignments, and our ongoing efforts to overcome such limitations. © 2013 The Author 2013. Published by Oxford University Press on behalf of the Society for Molecular Biology and Evolution.","author":[{"dropping-particle":"","family":"Katoh","given":"Kazutaka","non-dropping-particle":"","parse-names":false,"suffix":""},{"dropping-particle":"","family":"Standley","given":"Daron M.","non-dropping-particle":"","parse-names":false,"suffix":""}],"container-title":"Molecular Biology and Evolution","id":"ITEM-1","issue":"4","issued":{"date-parts":[["2013"]]},"page":"772-780","title":"MAFFT multiple sequence alignment software version 7: Improvements in performance and usability","type":"article-journal","volume":"30"},"uris":["http://www.mendeley.com/documents/?uuid=237ce605-ad22-403b-80aa-7d6a56c046ae"]},{"id":"ITEM-2","itemData":{"DOI":"10.1093/nar/gkl315","ISSN":"03051048","PMID":"16845082","abstract":"PAL2NAL is a web server that constructs a multiple codon alignment from the corresponding aligned protein sequences. Such codon alignments can be used to evaluate the type and rate of nucleotide substitutions in coding DNA for a wide range of evolutionary analyses, such as the identification of levels of selective constraint acting on genes, or to perform DNA-based phylogenetic studies. The server takes a protein sequence alignment and the corresponding DNA sequences as input. In contrast to other existing applications, this server is able to construct codon alignments even if the input DNA sequence has mismatches with the input protein sequence, or contains untranslated regions and polyA tails. The server can also deal with frame shifts and inframe stop codons in the input models, and is thus suitable for the analysis of pseudogenes. Another distinct feature is that the user can specify a subregion of the input alignment in order to specifically analyze functional domains or exons of interest. The PAL2NAL server is available at http://www.bork.embl.de/pal2nal. © The Author 2006. Published by Oxford University Press. All rights reserved.","author":[{"dropping-particle":"","family":"Suyama","given":"Mikita","non-dropping-particle":"","parse-names":false,"suffix":""},{"dropping-particle":"","family":"Torrents","given":"David","non-dropping-particle":"","parse-names":false,"suffix":""},{"dropping-particle":"","family":"Bork","given":"Peer","non-dropping-particle":"","parse-names":false,"suffix":""}],"container-title":"Nucleic Acids Research","id":"ITEM-2","issue":"WEB. SERV. ISS.","issued":{"date-parts":[["2006"]]},"page":"609-612","title":"PAL2NAL: Robust conversion of protein sequence alignments into the corresponding codon alignments","type":"article-journal","volume":"34"},"uris":["http://www.mendeley.com/documents/?uuid=f289bd49-830d-49df-bc21-46299a64bc60"]}],"mendeley":{"formattedCitation":"(Katoh &amp; Standley, 2013; Suyama, Torrents, &amp; Bork, 2006)","manualFormatting":"(Katoh &amp; Standley, 2013; Suyama et al., 2006)","plainTextFormattedCitation":"(Katoh &amp; Standley, 2013; Suyama, Torrents, &amp; Bork, 2006)","previouslyFormattedCitation":"(Katoh &amp; Standley 2013; Suyama et al. 2006)"},"properties":{"noteIndex":0},"schema":"https://github.com/citation-style-language/schema/raw/master/csl-citation.json"}</w:instrText>
      </w:r>
      <w:r>
        <w:rPr>
          <w:rFonts w:cs="Times New Roman"/>
        </w:rPr>
        <w:fldChar w:fldCharType="separate"/>
      </w:r>
      <w:r w:rsidRPr="00A81D5C">
        <w:rPr>
          <w:rFonts w:cs="Times New Roman"/>
          <w:noProof/>
        </w:rPr>
        <w:t>(Katoh &amp; Standley, 2013; Suyama</w:t>
      </w:r>
      <w:r>
        <w:rPr>
          <w:rFonts w:cs="Times New Roman"/>
          <w:noProof/>
        </w:rPr>
        <w:t xml:space="preserve"> et al.</w:t>
      </w:r>
      <w:r w:rsidRPr="00A81D5C">
        <w:rPr>
          <w:rFonts w:cs="Times New Roman"/>
          <w:noProof/>
        </w:rPr>
        <w:t>, 2006)</w:t>
      </w:r>
      <w:r>
        <w:rPr>
          <w:rFonts w:cs="Times New Roman"/>
        </w:rPr>
        <w:fldChar w:fldCharType="end"/>
      </w:r>
      <w:r>
        <w:rPr>
          <w:rFonts w:cs="Times New Roman"/>
        </w:rPr>
        <w:t xml:space="preserve">.  </w:t>
      </w:r>
      <w:proofErr w:type="spellStart"/>
      <w:r w:rsidRPr="009F50FC">
        <w:t>KaKs_Calculator</w:t>
      </w:r>
      <w:proofErr w:type="spellEnd"/>
      <w:r w:rsidRPr="009F50FC">
        <w:t xml:space="preserve"> 2.0</w:t>
      </w:r>
      <w:r>
        <w:t xml:space="preserve"> was used to calculate Ka/Ks with the ‘NG’ model</w:t>
      </w:r>
      <w:r>
        <w:rPr>
          <w:vertAlign w:val="subscript"/>
        </w:rPr>
        <w:t xml:space="preserve"> </w:t>
      </w:r>
      <w:r>
        <w:rPr>
          <w:vertAlign w:val="subscript"/>
        </w:rPr>
        <w:fldChar w:fldCharType="begin" w:fldLock="1"/>
      </w:r>
      <w:r>
        <w:rPr>
          <w:vertAlign w:val="subscript"/>
        </w:rPr>
        <w:instrText>ADDIN CSL_CITATION {"citationItems":[{"id":"ITEM-1","itemData":{"DOI":"10.1016/S1672-0229(10)60008-3","ISSN":"16720229","PMID":"20451164","abstract":"We present an integrated stand-alone software package named KaKs_Calculator 2.0 as an updated version. It incorporates 17 methods for the calculation of nonsynonymous and synonymous substitution rates; among them, we added our modified versions of several widely used methods as the gamma series including γ-NG, γ-LWL, γ-MLWL, γ-LPB, γ-MLPB, γ-YN and γ-MYN, which have been demonstrated to perform better under certain conditions than their original forms and are not implemented in the previous version. The package is readily used for the identification of positively selected sites based on a sliding window across the sequences of interests in 5' to 3' direction of protein-coding sequences, and have improved the overall performance on sequence analysis for evolution studies. A toolbox, including C++ and Java source code and executable files on both Windows and Linux platforms together with a user instruction, is downloadable from the website for academic purpose at https://sourceforge.net/projects/kakscalculator2/. © 2010 Beijing Genomics Institute.","author":[{"dropping-particle":"","family":"Wang","given":"Dapeng","non-dropping-particle":"","parse-names":false,"suffix":""},{"dropping-particle":"","family":"Zhang","given":"Yubin","non-dropping-particle":"","parse-names":false,"suffix":""},{"dropping-particle":"","family":"Zhang","given":"Zhang","non-dropping-particle":"","parse-names":false,"suffix":""},{"dropping-particle":"","family":"Zhu","given":"Jiang","non-dropping-particle":"","parse-names":false,"suffix":""},{"dropping-particle":"","family":"Yu","given":"Jun","non-dropping-particle":"","parse-names":false,"suffix":""}],"container-title":"Genomics, Proteomics and Bioinformatics","id":"ITEM-1","issue":"1","issued":{"date-parts":[["2010"]]},"page":"77-80","publisher":"Beijing Institute of Genomics","title":"KaKs_Calculator 2.0: A Toolkit Incorporating Gamma-Series Methods and Sliding Window Strategies","type":"article-journal","volume":"8"},"uris":["http://www.mendeley.com/documents/?uuid=6e62b0c4-4c7c-49a8-91f5-9349ac2f7eb7"]}],"mendeley":{"formattedCitation":"(D. Wang, Zhang, Zhang, Zhu, &amp; Yu, 2010)","manualFormatting":"(Wang et al., 2010)","plainTextFormattedCitation":"(D. Wang, Zhang, Zhang, Zhu, &amp; Yu, 2010)","previouslyFormattedCitation":"(Wang et al. 2010)"},"properties":{"noteIndex":0},"schema":"https://github.com/citation-style-language/schema/raw/master/csl-citation.json"}</w:instrText>
      </w:r>
      <w:r>
        <w:rPr>
          <w:vertAlign w:val="subscript"/>
        </w:rPr>
        <w:fldChar w:fldCharType="separate"/>
      </w:r>
      <w:r w:rsidRPr="001A6619">
        <w:rPr>
          <w:noProof/>
        </w:rPr>
        <w:t>(Wang</w:t>
      </w:r>
      <w:r>
        <w:rPr>
          <w:noProof/>
        </w:rPr>
        <w:t xml:space="preserve"> et al.,</w:t>
      </w:r>
      <w:r w:rsidRPr="001A6619">
        <w:rPr>
          <w:noProof/>
        </w:rPr>
        <w:t xml:space="preserve"> 2010)</w:t>
      </w:r>
      <w:r>
        <w:rPr>
          <w:vertAlign w:val="subscript"/>
        </w:rPr>
        <w:fldChar w:fldCharType="end"/>
      </w:r>
      <w:r>
        <w:t>.</w:t>
      </w:r>
    </w:p>
    <w:p w14:paraId="15C3DF36" w14:textId="77777777" w:rsidR="00973759" w:rsidRDefault="00973759" w:rsidP="002A18A2">
      <w:pPr>
        <w:spacing w:line="360" w:lineRule="auto"/>
      </w:pPr>
    </w:p>
    <w:p w14:paraId="1656CDF2" w14:textId="77777777" w:rsidR="00973759" w:rsidRPr="00527517" w:rsidRDefault="00973759" w:rsidP="002A18A2">
      <w:pPr>
        <w:spacing w:line="360" w:lineRule="auto"/>
        <w:rPr>
          <w:sz w:val="28"/>
          <w:szCs w:val="26"/>
        </w:rPr>
      </w:pPr>
      <w:r w:rsidRPr="008578EE">
        <w:rPr>
          <w:b/>
          <w:bCs/>
        </w:rPr>
        <w:t>RNA-Seq analysis:</w:t>
      </w:r>
      <w:r>
        <w:rPr>
          <w:b/>
          <w:bCs/>
        </w:rPr>
        <w:t xml:space="preserve"> </w:t>
      </w:r>
      <w:r>
        <w:t xml:space="preserve">RNA was extracted from 8 </w:t>
      </w:r>
      <w:r>
        <w:rPr>
          <w:i/>
          <w:iCs/>
        </w:rPr>
        <w:t xml:space="preserve">Salix </w:t>
      </w:r>
      <w:r>
        <w:t xml:space="preserve">tissues for all 11 genotypes (Table IV-S12) following the protocol described in </w:t>
      </w:r>
      <w:r>
        <w:fldChar w:fldCharType="begin" w:fldLock="1"/>
      </w:r>
      <w:r>
        <w:instrText>ADDIN CSL_CITATION {"citationItems":[{"id":"ITEM-1","itemData":{"DOI":"10.1111/nph.15297","ISSN":"14698137","abstract":"3-O-caffeoylquinic acid, also known as chlorogenic acid (CGA), functions as an intermediate in lignin biosynthesis in the phenylpropanoid pathway. It is widely distributed among numerous plant species and acts as an antioxidant in both plants and animals. Using GC-MS, we discovered consistent and extreme variation in CGA content across a population of 739 4-yr-old Populus trichocarpa accessions. We performed genome-wide association studies (GWAS) from 917 P. trichocarpa accessions and expression-based quantitative trait loci (eQTL) analyses to identify key regulators. The GWAS and eQTL analyses resolved an overlapped interval encompassing a hydroxycinnamoyl-CoA:shikimate hydroxycinnamoyl transferase 2 (PtHCT2) that was significantly associated with CGA and partially characterized metabolite abundances. PtHCT2 leaf expression was significantly correlated with CGA abundance and it was regulated by cis-eQTLs containing W-box for WRKY binding. Among all nine PtHCT homologs, PtHCT2 is the only one that responds to infection by the fungal pathogen Sphaerulina musiva (a Populus pathogen). Validation using protoplast-based transient expression system suggests that PtHCT2 is regulated by the defense-responsive WRKY. These results are consistent with reports of CGA functioning as an antioxidant in response to biotic stress. This study provides insights into data-driven and omics-based inference of gene function in woody species.","author":[{"dropping-particle":"","family":"Zhang","given":"Jin","non-dropping-particle":"","parse-names":false,"suffix":""},{"dropping-particle":"","family":"Yang","given":"Yongil","non-dropping-particle":"","parse-names":false,"suffix":""},{"dropping-particle":"","family":"Zheng","given":"Kaijie","non-dropping-particle":"","parse-names":false,"suffix":""},{"dropping-particle":"","family":"Xie","given":"Meng","non-dropping-particle":"","parse-names":false,"suffix":""},{"dropping-particle":"","family":"Feng","given":"Kai","non-dropping-particle":"","parse-names":false,"suffix":""},{"dropping-particle":"","family":"Jawdy","given":"Sara S.","non-dropping-particle":"","parse-names":false,"suffix":""},{"dropping-particle":"","family":"Gunter","given":"Lee E.","non-dropping-particle":"","parse-names":false,"suffix":""},{"dropping-particle":"","family":"Ranjan","given":"Priya","non-dropping-particle":"","parse-names":false,"suffix":""},{"dropping-particle":"","family":"Singan","given":"Vasanth R.","non-dropping-particle":"","parse-names":false,"suffix":""},{"dropping-particle":"","family":"Engle","given":"Nancy","non-dropping-particle":"","parse-names":false,"suffix":""},{"dropping-particle":"","family":"Lindquist","given":"Erika","non-dropping-particle":"","parse-names":false,"suffix":""},{"dropping-particle":"","family":"Barry","given":"Kerrie","non-dropping-particle":"","parse-names":false,"suffix":""},{"dropping-particle":"","family":"Schmutz","given":"Jeremy","non-dropping-particle":"","parse-names":false,"suffix":""},{"dropping-particle":"","family":"Zhao","given":"Nan","non-dropping-particle":"","parse-names":false,"suffix":""},{"dropping-particle":"","family":"Tschaplinski","given":"Timothy J.","non-dropping-particle":"","parse-names":false,"suffix":""},{"dropping-particle":"","family":"LeBoldus","given":"Jared","non-dropping-particle":"","parse-names":false,"suffix":""},{"dropping-particle":"","family":"Tuskan","given":"Gerald A.","non-dropping-particle":"","parse-names":false,"suffix":""},{"dropping-particle":"","family":"Chen","given":"Jin Gui","non-dropping-particle":"","parse-names":false,"suffix":""},{"dropping-particle":"","family":"Muchero","given":"Wellington","non-dropping-particle":"","parse-names":false,"suffix":""}],"container-title":"New Phytologist","id":"ITEM-1","issue":"2","issued":{"date-parts":[["2018"]]},"page":"502-516","title":"Genome-wide association studies and expression-based quantitative trait loci analyses reveal roles of HCT2 in caffeoylquinic acid biosynthesis and its regulation by defense-responsive transcription factors in Populus","type":"article-journal","volume":"220"},"uris":["http://www.mendeley.com/documents/?uuid=cc70ae7f-f80e-4bb3-9483-cb80d2aa93d4"]}],"mendeley":{"formattedCitation":"(Zhang et al., 2018)","plainTextFormattedCitation":"(Zhang et al., 2018)","previouslyFormattedCitation":"(Zhang et al. 2018)"},"properties":{"noteIndex":0},"schema":"https://github.com/citation-style-language/schema/raw/master/csl-citation.json"}</w:instrText>
      </w:r>
      <w:r>
        <w:fldChar w:fldCharType="separate"/>
      </w:r>
      <w:r w:rsidRPr="002A18A2">
        <w:rPr>
          <w:noProof/>
        </w:rPr>
        <w:t>(Zhang et al., 2018)</w:t>
      </w:r>
      <w:r>
        <w:fldChar w:fldCharType="end"/>
      </w:r>
      <w:r>
        <w:t xml:space="preserve">. Strand-specific RNA-Seq libraries were prepared by BGI and sequenced on the DNB-Seq platform which generated 150 bp reads. The raw RNA-Seq data has been uploaded to NCBI and can be accessed </w:t>
      </w:r>
      <w:r>
        <w:rPr>
          <w:rFonts w:cs="Times New Roman"/>
        </w:rPr>
        <w:t xml:space="preserve">with the </w:t>
      </w:r>
      <w:proofErr w:type="spellStart"/>
      <w:r>
        <w:rPr>
          <w:rFonts w:cs="Times New Roman"/>
        </w:rPr>
        <w:t>BioProject</w:t>
      </w:r>
      <w:proofErr w:type="spellEnd"/>
      <w:r>
        <w:rPr>
          <w:rFonts w:cs="Times New Roman"/>
        </w:rPr>
        <w:t xml:space="preserve"> ID </w:t>
      </w:r>
      <w:r w:rsidRPr="00C24FCA">
        <w:rPr>
          <w:rFonts w:cs="Times New Roman"/>
        </w:rPr>
        <w:t>PRJNA827350</w:t>
      </w:r>
      <w:r>
        <w:rPr>
          <w:rFonts w:cs="Times New Roman"/>
        </w:rPr>
        <w:t>.</w:t>
      </w:r>
      <w:r>
        <w:t xml:space="preserve"> RNA-Seq reads were mapped to a composite chloroplast and mitogenome of the same genotype with STAR v</w:t>
      </w:r>
      <w:r w:rsidRPr="00142063">
        <w:t>2.7.10a</w:t>
      </w:r>
      <w:r>
        <w:t xml:space="preserve"> </w:t>
      </w:r>
      <w:r>
        <w:fldChar w:fldCharType="begin" w:fldLock="1"/>
      </w:r>
      <w:r>
        <w:instrText>ADDIN CSL_CITATION {"citationItems":[{"id":"ITEM-1","itemData":{"DOI":"10.1093/bioinformatics/bts635","ISSN":"13674803","PMID":"23104886","abstract":"Motivation: Accurate alignment of high-throughput RNA-seq data is a challenging and yet unsolved problem because of the non-contiguous transcript structure, relatively short read lengths and constantly increasing throughput of the sequencing technologies. Currently available RNA-seq aligners suffer from high mapping error rates, low mapping speed, read length limitation and mapping biases.Results: To align our large (&gt;80 billon reads) ENCODE Transcriptome RNA-seq dataset, we developed the Spliced Transcripts Alignment to a Reference (STAR) software based on a previously undescribed RNA-seq alignment algorithm that uses sequential maximum mappable seed search in uncompressed suffix arrays followed by seed clustering and stitching procedure. STAR outperforms other aligners by a factor of &gt;50 in mapping speed, aligning to the human genome 550 million 2 × 76 bp paired-end reads per hour on a modest 12-core server, while at the same time improving alignment sensitivity and precision. In addition to unbiased de novo detection of canonical junctions, STAR can discover non-canonical splices and chimeric (fusion) transcripts, and is also capable of mapping full-length RNA sequences. Using Roche 454 sequencing of reverse transcription polymerase chain reaction amplicons, we experimentally validated 1960 novel intergenic splice junctions with an 80-90% success rate, corroborating the high precision of the STAR mapping strategy. © The Author(s) 2012. Published by Oxford University Press.","author":[{"dropping-particle":"","family":"Dobin","given":"Alexander","non-dropping-particle":"","parse-names":false,"suffix":""},{"dropping-particle":"","family":"Davis","given":"Carrie A.","non-dropping-particle":"","parse-names":false,"suffix":""},{"dropping-particle":"","family":"Schlesinger","given":"Felix","non-dropping-particle":"","parse-names":false,"suffix":""},{"dropping-particle":"","family":"Drenkow","given":"Jorg","non-dropping-particle":"","parse-names":false,"suffix":""},{"dropping-particle":"","family":"Zaleski","given":"Chris","non-dropping-particle":"","parse-names":false,"suffix":""},{"dropping-particle":"","family":"Jha","given":"Sonali","non-dropping-particle":"","parse-names":false,"suffix":""},{"dropping-particle":"","family":"Batut","given":"Philippe","non-dropping-particle":"","parse-names":false,"suffix":""},{"dropping-particle":"","family":"Chaisson","given":"Mark","non-dropping-particle":"","parse-names":false,"suffix":""},{"dropping-particle":"","family":"Gingeras","given":"Thomas R.","non-dropping-particle":"","parse-names":false,"suffix":""}],"container-title":"Bioinformatics","id":"ITEM-1","issue":"1","issued":{"date-parts":[["2013"]]},"page":"15-21","title":"STAR: Ultrafast universal RNA-seq aligner","type":"article-journal","volume":"29"},"uris":["http://www.mendeley.com/documents/?uuid=4a07335c-282b-42ce-ba54-cbe408cdcb5a"]}],"mendeley":{"formattedCitation":"(Dobin et al., 2013)","plainTextFormattedCitation":"(Dobin et al., 2013)","previouslyFormattedCitation":"(Dobin et al. 2013)"},"properties":{"noteIndex":0},"schema":"https://github.com/citation-style-language/schema/raw/master/csl-citation.json"}</w:instrText>
      </w:r>
      <w:r>
        <w:fldChar w:fldCharType="separate"/>
      </w:r>
      <w:r w:rsidRPr="002A18A2">
        <w:rPr>
          <w:noProof/>
        </w:rPr>
        <w:t>(Dobin et al., 2013)</w:t>
      </w:r>
      <w:r>
        <w:fldChar w:fldCharType="end"/>
      </w:r>
      <w:r>
        <w:t xml:space="preserve">. Expression levels (FPKM) of protein-coding genes in the chloroplast and mitogenomes were calculated with </w:t>
      </w:r>
      <w:proofErr w:type="spellStart"/>
      <w:r>
        <w:t>StringTie</w:t>
      </w:r>
      <w:proofErr w:type="spellEnd"/>
      <w:r>
        <w:t xml:space="preserve"> v</w:t>
      </w:r>
      <w:r w:rsidRPr="00883C9B">
        <w:t xml:space="preserve">2.2.1 </w:t>
      </w:r>
      <w:r>
        <w:fldChar w:fldCharType="begin" w:fldLock="1"/>
      </w:r>
      <w:r>
        <w:instrText>ADDIN CSL_CITATION {"citationItems":[{"id":"ITEM-1","itemData":{"DOI":"10.1038/nbt.3122","ISSN":"15461696","PMID":"25690850","abstract":"Methods used to sequence the transcriptome often produce more than 200 million short sequences. We introduce StringTie, a computational method that applies a network flow algorithm originally developed in optimization theory, together with optional de novo assembly, to assemble these complex data sets into transcripts. When used to analyze both simulated and real data sets, StringTie produces more complete and accurate reconstructions of genes and better estimates of expression levels, compared with other leading transcript assembly programs including Cufflinks, IsoLasso, Scripture and Traph. For example, on 90 million reads from human blood, StringTie correctly assembled 10,990 transcripts, whereas the next best assembly was of 7,187 transcripts by Cufflinks, which is a 53% increase in transcripts assembled. On a simulated data set, StringTie correctly assembled 7,559 transcripts, which is 20% more than the 6,310 assembled by Cufflinks. As well as producing a more complete transcriptome assembly, StringTie runs faster on all data sets tested to date compared with other assembly software, including Cufflinks.","author":[{"dropping-particle":"","family":"Pertea","given":"Mihaela","non-dropping-particle":"","parse-names":false,"suffix":""},{"dropping-particle":"","family":"Pertea","given":"Geo M.","non-dropping-particle":"","parse-names":false,"suffix":""},{"dropping-particle":"","family":"Antonescu","given":"Corina M.","non-dropping-particle":"","parse-names":false,"suffix":""},{"dropping-particle":"","family":"Chang","given":"Tsung Cheng","non-dropping-particle":"","parse-names":false,"suffix":""},{"dropping-particle":"","family":"Mendell","given":"Joshua T.","non-dropping-particle":"","parse-names":false,"suffix":""},{"dropping-particle":"","family":"Salzberg","given":"Steven L.","non-dropping-particle":"","parse-names":false,"suffix":""}],"container-title":"Nature Biotechnology","id":"ITEM-1","issue":"3","issued":{"date-parts":[["2015"]]},"page":"290-295","title":"StringTie enables improved reconstruction of a transcriptome from RNA-seq reads","type":"article-journal","volume":"33"},"uris":["http://www.mendeley.com/documents/?uuid=21735b6a-e87b-4436-887e-602eb30acdf7"]}],"mendeley":{"formattedCitation":"(Pertea et al., 2015)","plainTextFormattedCitation":"(Pertea et al., 2015)","previouslyFormattedCitation":"(Pertea et al. 2015)"},"properties":{"noteIndex":0},"schema":"https://github.com/citation-style-language/schema/raw/master/csl-citation.json"}</w:instrText>
      </w:r>
      <w:r>
        <w:fldChar w:fldCharType="separate"/>
      </w:r>
      <w:r w:rsidRPr="002A18A2">
        <w:rPr>
          <w:noProof/>
        </w:rPr>
        <w:t>(Pertea et al., 2015)</w:t>
      </w:r>
      <w:r>
        <w:fldChar w:fldCharType="end"/>
      </w:r>
      <w:r>
        <w:t xml:space="preserve">. </w:t>
      </w:r>
    </w:p>
    <w:p w14:paraId="1B2780A7" w14:textId="77777777" w:rsidR="00973759" w:rsidRDefault="00973759"/>
    <w:p w14:paraId="557F41EF" w14:textId="77777777" w:rsidR="00973759" w:rsidRDefault="00973759"/>
    <w:p w14:paraId="0E1161AB" w14:textId="77777777" w:rsidR="00973759" w:rsidRDefault="00973759"/>
    <w:p w14:paraId="4BDC898E" w14:textId="77777777" w:rsidR="00973759" w:rsidRDefault="00973759"/>
    <w:p w14:paraId="6695DB69" w14:textId="77777777" w:rsidR="00973759" w:rsidRDefault="00973759"/>
    <w:p w14:paraId="6165C22F" w14:textId="77777777" w:rsidR="00973759" w:rsidRDefault="00973759" w:rsidP="002A18A2">
      <w:pPr>
        <w:jc w:val="center"/>
        <w:rPr>
          <w:b/>
          <w:bCs/>
          <w:sz w:val="28"/>
          <w:szCs w:val="26"/>
        </w:rPr>
      </w:pPr>
    </w:p>
    <w:p w14:paraId="17D76BA7" w14:textId="77777777" w:rsidR="00973759" w:rsidRDefault="00973759" w:rsidP="002A18A2">
      <w:pPr>
        <w:jc w:val="center"/>
        <w:rPr>
          <w:b/>
          <w:bCs/>
          <w:sz w:val="28"/>
          <w:szCs w:val="26"/>
        </w:rPr>
      </w:pPr>
      <w:r w:rsidRPr="002A18A2">
        <w:rPr>
          <w:b/>
          <w:bCs/>
          <w:sz w:val="28"/>
          <w:szCs w:val="26"/>
        </w:rPr>
        <w:lastRenderedPageBreak/>
        <w:t>References</w:t>
      </w:r>
    </w:p>
    <w:p w14:paraId="3E49B2B2" w14:textId="77777777" w:rsidR="00973759" w:rsidRPr="002A18A2" w:rsidRDefault="00973759" w:rsidP="002A18A2">
      <w:pPr>
        <w:widowControl w:val="0"/>
        <w:autoSpaceDE w:val="0"/>
        <w:autoSpaceDN w:val="0"/>
        <w:adjustRightInd w:val="0"/>
        <w:ind w:left="480" w:hanging="480"/>
        <w:rPr>
          <w:rFonts w:cs="Times New Roman"/>
          <w:noProof/>
          <w:szCs w:val="22"/>
        </w:rPr>
      </w:pPr>
      <w:r w:rsidRPr="002A18A2">
        <w:rPr>
          <w:b/>
          <w:bCs/>
        </w:rPr>
        <w:fldChar w:fldCharType="begin" w:fldLock="1"/>
      </w:r>
      <w:r w:rsidRPr="002A18A2">
        <w:rPr>
          <w:b/>
          <w:bCs/>
        </w:rPr>
        <w:instrText xml:space="preserve">ADDIN Mendeley Bibliography CSL_BIBLIOGRAPHY </w:instrText>
      </w:r>
      <w:r w:rsidRPr="002A18A2">
        <w:rPr>
          <w:b/>
          <w:bCs/>
        </w:rPr>
        <w:fldChar w:fldCharType="separate"/>
      </w:r>
      <w:r w:rsidRPr="002A18A2">
        <w:rPr>
          <w:rFonts w:cs="Times New Roman"/>
          <w:noProof/>
          <w:szCs w:val="22"/>
        </w:rPr>
        <w:t xml:space="preserve">Adams, K. L., &amp; Palmer, J. D. (2003). Evolution of mitochondrial gene content: Gene loss and transfer to the nucleus. </w:t>
      </w:r>
      <w:r w:rsidRPr="002A18A2">
        <w:rPr>
          <w:rFonts w:cs="Times New Roman"/>
          <w:i/>
          <w:iCs/>
          <w:noProof/>
          <w:szCs w:val="22"/>
        </w:rPr>
        <w:t>Molecular Phylogenetics and Evolution</w:t>
      </w:r>
      <w:r w:rsidRPr="002A18A2">
        <w:rPr>
          <w:rFonts w:cs="Times New Roman"/>
          <w:noProof/>
          <w:szCs w:val="22"/>
        </w:rPr>
        <w:t xml:space="preserve">, </w:t>
      </w:r>
      <w:r w:rsidRPr="002A18A2">
        <w:rPr>
          <w:rFonts w:cs="Times New Roman"/>
          <w:i/>
          <w:iCs/>
          <w:noProof/>
          <w:szCs w:val="22"/>
        </w:rPr>
        <w:t>29</w:t>
      </w:r>
      <w:r w:rsidRPr="002A18A2">
        <w:rPr>
          <w:rFonts w:cs="Times New Roman"/>
          <w:noProof/>
          <w:szCs w:val="22"/>
        </w:rPr>
        <w:t>(3), 380–395. https://doi.org/10.1016/S1055-7903(03)00194-5</w:t>
      </w:r>
    </w:p>
    <w:p w14:paraId="2C592604" w14:textId="77777777" w:rsidR="00973759" w:rsidRPr="002A18A2" w:rsidRDefault="00973759" w:rsidP="002A18A2">
      <w:pPr>
        <w:widowControl w:val="0"/>
        <w:autoSpaceDE w:val="0"/>
        <w:autoSpaceDN w:val="0"/>
        <w:adjustRightInd w:val="0"/>
        <w:ind w:left="480" w:hanging="480"/>
        <w:rPr>
          <w:rFonts w:cs="Times New Roman"/>
          <w:noProof/>
          <w:szCs w:val="22"/>
        </w:rPr>
      </w:pPr>
      <w:r w:rsidRPr="002A18A2">
        <w:rPr>
          <w:rFonts w:cs="Times New Roman"/>
          <w:noProof/>
          <w:szCs w:val="22"/>
        </w:rPr>
        <w:t xml:space="preserve">Adams, K. L., Qiu, Y. L., Stoutemyer, M., &amp; Palmer, J. D. (2002). Punctuated evolution of mitochondrial gene content: High and variable rates of mitochondrial gene loss and transfer to the nucleus during angiosperm evolution. </w:t>
      </w:r>
      <w:r w:rsidRPr="002A18A2">
        <w:rPr>
          <w:rFonts w:cs="Times New Roman"/>
          <w:i/>
          <w:iCs/>
          <w:noProof/>
          <w:szCs w:val="22"/>
        </w:rPr>
        <w:t>Proceedings of the National Academy of Sciences of the United States of America</w:t>
      </w:r>
      <w:r w:rsidRPr="002A18A2">
        <w:rPr>
          <w:rFonts w:cs="Times New Roman"/>
          <w:noProof/>
          <w:szCs w:val="22"/>
        </w:rPr>
        <w:t xml:space="preserve">, </w:t>
      </w:r>
      <w:r w:rsidRPr="002A18A2">
        <w:rPr>
          <w:rFonts w:cs="Times New Roman"/>
          <w:i/>
          <w:iCs/>
          <w:noProof/>
          <w:szCs w:val="22"/>
        </w:rPr>
        <w:t>99</w:t>
      </w:r>
      <w:r w:rsidRPr="002A18A2">
        <w:rPr>
          <w:rFonts w:cs="Times New Roman"/>
          <w:noProof/>
          <w:szCs w:val="22"/>
        </w:rPr>
        <w:t>(15), 9905–9912. https://doi.org/10.1073/pnas.042694899</w:t>
      </w:r>
    </w:p>
    <w:p w14:paraId="731428A3" w14:textId="77777777" w:rsidR="00973759" w:rsidRPr="002A18A2" w:rsidRDefault="00973759" w:rsidP="002A18A2">
      <w:pPr>
        <w:widowControl w:val="0"/>
        <w:autoSpaceDE w:val="0"/>
        <w:autoSpaceDN w:val="0"/>
        <w:adjustRightInd w:val="0"/>
        <w:ind w:left="480" w:hanging="480"/>
        <w:rPr>
          <w:rFonts w:cs="Times New Roman"/>
          <w:noProof/>
          <w:szCs w:val="22"/>
        </w:rPr>
      </w:pPr>
      <w:r w:rsidRPr="002A18A2">
        <w:rPr>
          <w:rFonts w:cs="Times New Roman"/>
          <w:noProof/>
          <w:szCs w:val="22"/>
        </w:rPr>
        <w:t xml:space="preserve">Altschul, S. (1977). Gapped BLAST and PSI-BLAST: a new generation of protein database search programs. </w:t>
      </w:r>
      <w:r w:rsidRPr="002A18A2">
        <w:rPr>
          <w:rFonts w:cs="Times New Roman"/>
          <w:i/>
          <w:iCs/>
          <w:noProof/>
          <w:szCs w:val="22"/>
        </w:rPr>
        <w:t>Nucleic Acids Research.</w:t>
      </w:r>
      <w:r w:rsidRPr="002A18A2">
        <w:rPr>
          <w:rFonts w:cs="Times New Roman"/>
          <w:noProof/>
          <w:szCs w:val="22"/>
        </w:rPr>
        <w:t xml:space="preserve">, </w:t>
      </w:r>
      <w:r w:rsidRPr="002A18A2">
        <w:rPr>
          <w:rFonts w:cs="Times New Roman"/>
          <w:i/>
          <w:iCs/>
          <w:noProof/>
          <w:szCs w:val="22"/>
        </w:rPr>
        <w:t>25</w:t>
      </w:r>
      <w:r w:rsidRPr="002A18A2">
        <w:rPr>
          <w:rFonts w:cs="Times New Roman"/>
          <w:noProof/>
          <w:szCs w:val="22"/>
        </w:rPr>
        <w:t>(17), 3389–3402.</w:t>
      </w:r>
    </w:p>
    <w:p w14:paraId="6767F677" w14:textId="77777777" w:rsidR="00973759" w:rsidRPr="002A18A2" w:rsidRDefault="00973759" w:rsidP="002A18A2">
      <w:pPr>
        <w:widowControl w:val="0"/>
        <w:autoSpaceDE w:val="0"/>
        <w:autoSpaceDN w:val="0"/>
        <w:adjustRightInd w:val="0"/>
        <w:ind w:left="480" w:hanging="480"/>
        <w:rPr>
          <w:rFonts w:cs="Times New Roman"/>
          <w:noProof/>
          <w:szCs w:val="22"/>
        </w:rPr>
      </w:pPr>
      <w:r w:rsidRPr="002A18A2">
        <w:rPr>
          <w:rFonts w:cs="Times New Roman"/>
          <w:noProof/>
          <w:szCs w:val="22"/>
        </w:rPr>
        <w:t xml:space="preserve">Alverson, A. J., Zhuo, S., Rice, D. W., Sloan, D. B., &amp; Palmer, J. D. (2011). The mitochondrial genome of the legume vigna radiata and the analysis of recombination across short mitochondrial repeats. </w:t>
      </w:r>
      <w:r w:rsidRPr="002A18A2">
        <w:rPr>
          <w:rFonts w:cs="Times New Roman"/>
          <w:i/>
          <w:iCs/>
          <w:noProof/>
          <w:szCs w:val="22"/>
        </w:rPr>
        <w:t>PLoS ONE</w:t>
      </w:r>
      <w:r w:rsidRPr="002A18A2">
        <w:rPr>
          <w:rFonts w:cs="Times New Roman"/>
          <w:noProof/>
          <w:szCs w:val="22"/>
        </w:rPr>
        <w:t xml:space="preserve">, </w:t>
      </w:r>
      <w:r w:rsidRPr="002A18A2">
        <w:rPr>
          <w:rFonts w:cs="Times New Roman"/>
          <w:i/>
          <w:iCs/>
          <w:noProof/>
          <w:szCs w:val="22"/>
        </w:rPr>
        <w:t>6</w:t>
      </w:r>
      <w:r w:rsidRPr="002A18A2">
        <w:rPr>
          <w:rFonts w:cs="Times New Roman"/>
          <w:noProof/>
          <w:szCs w:val="22"/>
        </w:rPr>
        <w:t>(1). https://doi.org/10.1371/journal.pone.0016404</w:t>
      </w:r>
    </w:p>
    <w:p w14:paraId="1A6719CF" w14:textId="77777777" w:rsidR="00973759" w:rsidRPr="002A18A2" w:rsidRDefault="00973759" w:rsidP="002A18A2">
      <w:pPr>
        <w:widowControl w:val="0"/>
        <w:autoSpaceDE w:val="0"/>
        <w:autoSpaceDN w:val="0"/>
        <w:adjustRightInd w:val="0"/>
        <w:ind w:left="480" w:hanging="480"/>
        <w:rPr>
          <w:rFonts w:cs="Times New Roman"/>
          <w:noProof/>
          <w:szCs w:val="22"/>
        </w:rPr>
      </w:pPr>
      <w:r w:rsidRPr="002A18A2">
        <w:rPr>
          <w:rFonts w:cs="Times New Roman"/>
          <w:noProof/>
          <w:szCs w:val="22"/>
        </w:rPr>
        <w:t xml:space="preserve">Amiryousefi, A., Hyvönen, J., &amp; Poczai, P. (2018). IRscope: an online program to visualize the junction sites of chloroplast genomes. </w:t>
      </w:r>
      <w:r w:rsidRPr="002A18A2">
        <w:rPr>
          <w:rFonts w:cs="Times New Roman"/>
          <w:i/>
          <w:iCs/>
          <w:noProof/>
          <w:szCs w:val="22"/>
        </w:rPr>
        <w:t>Bioinformatics (Oxford, England)</w:t>
      </w:r>
      <w:r w:rsidRPr="002A18A2">
        <w:rPr>
          <w:rFonts w:cs="Times New Roman"/>
          <w:noProof/>
          <w:szCs w:val="22"/>
        </w:rPr>
        <w:t xml:space="preserve">, </w:t>
      </w:r>
      <w:r w:rsidRPr="002A18A2">
        <w:rPr>
          <w:rFonts w:cs="Times New Roman"/>
          <w:i/>
          <w:iCs/>
          <w:noProof/>
          <w:szCs w:val="22"/>
        </w:rPr>
        <w:t>34</w:t>
      </w:r>
      <w:r w:rsidRPr="002A18A2">
        <w:rPr>
          <w:rFonts w:cs="Times New Roman"/>
          <w:noProof/>
          <w:szCs w:val="22"/>
        </w:rPr>
        <w:t>(17), 3030–3031. https://doi.org/10.1093/bioinformatics/bty220</w:t>
      </w:r>
    </w:p>
    <w:p w14:paraId="0055E73B" w14:textId="77777777" w:rsidR="00973759" w:rsidRPr="002A18A2" w:rsidRDefault="00973759" w:rsidP="002A18A2">
      <w:pPr>
        <w:widowControl w:val="0"/>
        <w:autoSpaceDE w:val="0"/>
        <w:autoSpaceDN w:val="0"/>
        <w:adjustRightInd w:val="0"/>
        <w:ind w:left="480" w:hanging="480"/>
        <w:rPr>
          <w:rFonts w:cs="Times New Roman"/>
          <w:noProof/>
          <w:szCs w:val="22"/>
        </w:rPr>
      </w:pPr>
      <w:r w:rsidRPr="002A18A2">
        <w:rPr>
          <w:rFonts w:cs="Times New Roman"/>
          <w:noProof/>
          <w:szCs w:val="22"/>
        </w:rPr>
        <w:t>Argus, G. W. (2010). Flora of North America, Volume 7. Magnoliophyta: Salicaceae to Brassicaceae. Oxford University Press, New York, NY and Oxford, UK.</w:t>
      </w:r>
    </w:p>
    <w:p w14:paraId="7A946B6B" w14:textId="77777777" w:rsidR="00973759" w:rsidRPr="002A18A2" w:rsidRDefault="00973759" w:rsidP="002A18A2">
      <w:pPr>
        <w:widowControl w:val="0"/>
        <w:autoSpaceDE w:val="0"/>
        <w:autoSpaceDN w:val="0"/>
        <w:adjustRightInd w:val="0"/>
        <w:ind w:left="480" w:hanging="480"/>
        <w:rPr>
          <w:rFonts w:cs="Times New Roman"/>
          <w:noProof/>
          <w:szCs w:val="22"/>
        </w:rPr>
      </w:pPr>
      <w:r w:rsidRPr="002A18A2">
        <w:rPr>
          <w:rFonts w:cs="Times New Roman"/>
          <w:noProof/>
          <w:szCs w:val="22"/>
        </w:rPr>
        <w:t xml:space="preserve">Argus, George W. (1997). Infrageneric Classification of Salix (Salicaceae) in the New World. </w:t>
      </w:r>
      <w:r w:rsidRPr="002A18A2">
        <w:rPr>
          <w:rFonts w:cs="Times New Roman"/>
          <w:i/>
          <w:iCs/>
          <w:noProof/>
          <w:szCs w:val="22"/>
        </w:rPr>
        <w:t>Systematic Botany Monographs</w:t>
      </w:r>
      <w:r w:rsidRPr="002A18A2">
        <w:rPr>
          <w:rFonts w:cs="Times New Roman"/>
          <w:noProof/>
          <w:szCs w:val="22"/>
        </w:rPr>
        <w:t xml:space="preserve">, </w:t>
      </w:r>
      <w:r w:rsidRPr="002A18A2">
        <w:rPr>
          <w:rFonts w:cs="Times New Roman"/>
          <w:i/>
          <w:iCs/>
          <w:noProof/>
          <w:szCs w:val="22"/>
        </w:rPr>
        <w:t>52</w:t>
      </w:r>
      <w:r w:rsidRPr="002A18A2">
        <w:rPr>
          <w:rFonts w:cs="Times New Roman"/>
          <w:noProof/>
          <w:szCs w:val="22"/>
        </w:rPr>
        <w:t>, 1–121.</w:t>
      </w:r>
    </w:p>
    <w:p w14:paraId="2AE9CF6D" w14:textId="77777777" w:rsidR="00973759" w:rsidRPr="002A18A2" w:rsidRDefault="00973759" w:rsidP="002A18A2">
      <w:pPr>
        <w:widowControl w:val="0"/>
        <w:autoSpaceDE w:val="0"/>
        <w:autoSpaceDN w:val="0"/>
        <w:adjustRightInd w:val="0"/>
        <w:ind w:left="480" w:hanging="480"/>
        <w:rPr>
          <w:rFonts w:cs="Times New Roman"/>
          <w:noProof/>
          <w:szCs w:val="22"/>
        </w:rPr>
      </w:pPr>
      <w:r w:rsidRPr="002A18A2">
        <w:rPr>
          <w:rFonts w:cs="Times New Roman"/>
          <w:noProof/>
          <w:szCs w:val="22"/>
        </w:rPr>
        <w:t xml:space="preserve">Beier, S., Thiel, T., Münch, T., Scholz, U., &amp; Mascher, M. (2017). MISA-web: A web server for microsatellite prediction. </w:t>
      </w:r>
      <w:r w:rsidRPr="002A18A2">
        <w:rPr>
          <w:rFonts w:cs="Times New Roman"/>
          <w:i/>
          <w:iCs/>
          <w:noProof/>
          <w:szCs w:val="22"/>
        </w:rPr>
        <w:t>Bioinformatics</w:t>
      </w:r>
      <w:r w:rsidRPr="002A18A2">
        <w:rPr>
          <w:rFonts w:cs="Times New Roman"/>
          <w:noProof/>
          <w:szCs w:val="22"/>
        </w:rPr>
        <w:t xml:space="preserve">, </w:t>
      </w:r>
      <w:r w:rsidRPr="002A18A2">
        <w:rPr>
          <w:rFonts w:cs="Times New Roman"/>
          <w:i/>
          <w:iCs/>
          <w:noProof/>
          <w:szCs w:val="22"/>
        </w:rPr>
        <w:t>33</w:t>
      </w:r>
      <w:r w:rsidRPr="002A18A2">
        <w:rPr>
          <w:rFonts w:cs="Times New Roman"/>
          <w:noProof/>
          <w:szCs w:val="22"/>
        </w:rPr>
        <w:t>(16), 2583–2585. https://doi.org/10.1093/bioinformatics/btx198</w:t>
      </w:r>
    </w:p>
    <w:p w14:paraId="66C74B82" w14:textId="77777777" w:rsidR="00973759" w:rsidRPr="002A18A2" w:rsidRDefault="00973759" w:rsidP="002A18A2">
      <w:pPr>
        <w:widowControl w:val="0"/>
        <w:autoSpaceDE w:val="0"/>
        <w:autoSpaceDN w:val="0"/>
        <w:adjustRightInd w:val="0"/>
        <w:ind w:left="480" w:hanging="480"/>
        <w:rPr>
          <w:rFonts w:cs="Times New Roman"/>
          <w:noProof/>
          <w:szCs w:val="22"/>
        </w:rPr>
      </w:pPr>
      <w:r w:rsidRPr="002A18A2">
        <w:rPr>
          <w:rFonts w:cs="Times New Roman"/>
          <w:noProof/>
          <w:szCs w:val="22"/>
        </w:rPr>
        <w:t xml:space="preserve">Bi, G., Mao, Y., Xing, Q., &amp; Cao, M. (2018). HomBlocks: A multiple-alignment construction pipeline for organelle phylogenomics based on locally collinear block searching. </w:t>
      </w:r>
      <w:r w:rsidRPr="002A18A2">
        <w:rPr>
          <w:rFonts w:cs="Times New Roman"/>
          <w:i/>
          <w:iCs/>
          <w:noProof/>
          <w:szCs w:val="22"/>
        </w:rPr>
        <w:t>Genomics</w:t>
      </w:r>
      <w:r w:rsidRPr="002A18A2">
        <w:rPr>
          <w:rFonts w:cs="Times New Roman"/>
          <w:noProof/>
          <w:szCs w:val="22"/>
        </w:rPr>
        <w:t xml:space="preserve">, </w:t>
      </w:r>
      <w:r w:rsidRPr="002A18A2">
        <w:rPr>
          <w:rFonts w:cs="Times New Roman"/>
          <w:i/>
          <w:iCs/>
          <w:noProof/>
          <w:szCs w:val="22"/>
        </w:rPr>
        <w:t>110</w:t>
      </w:r>
      <w:r w:rsidRPr="002A18A2">
        <w:rPr>
          <w:rFonts w:cs="Times New Roman"/>
          <w:noProof/>
          <w:szCs w:val="22"/>
        </w:rPr>
        <w:t>(1), 18–22. https://doi.org/10.1016/j.ygeno.2017.08.001</w:t>
      </w:r>
    </w:p>
    <w:p w14:paraId="06A89BF0" w14:textId="77777777" w:rsidR="00973759" w:rsidRPr="002A18A2" w:rsidRDefault="00973759" w:rsidP="002A18A2">
      <w:pPr>
        <w:widowControl w:val="0"/>
        <w:autoSpaceDE w:val="0"/>
        <w:autoSpaceDN w:val="0"/>
        <w:adjustRightInd w:val="0"/>
        <w:ind w:left="480" w:hanging="480"/>
        <w:rPr>
          <w:rFonts w:cs="Times New Roman"/>
          <w:noProof/>
          <w:szCs w:val="22"/>
        </w:rPr>
      </w:pPr>
      <w:r w:rsidRPr="002A18A2">
        <w:rPr>
          <w:rFonts w:cs="Times New Roman"/>
          <w:noProof/>
          <w:szCs w:val="22"/>
        </w:rPr>
        <w:t xml:space="preserve">Brudno, M., Malde, S., Poliakov, A., Do, C. B., Couronne, O., Dubchak, I., &amp; Batzoglou, S. (2003). Glocal alignment: Finding rearrangements during alignment. </w:t>
      </w:r>
      <w:r w:rsidRPr="002A18A2">
        <w:rPr>
          <w:rFonts w:cs="Times New Roman"/>
          <w:i/>
          <w:iCs/>
          <w:noProof/>
          <w:szCs w:val="22"/>
        </w:rPr>
        <w:t>Bioinformatics</w:t>
      </w:r>
      <w:r w:rsidRPr="002A18A2">
        <w:rPr>
          <w:rFonts w:cs="Times New Roman"/>
          <w:noProof/>
          <w:szCs w:val="22"/>
        </w:rPr>
        <w:t xml:space="preserve">, </w:t>
      </w:r>
      <w:r w:rsidRPr="002A18A2">
        <w:rPr>
          <w:rFonts w:cs="Times New Roman"/>
          <w:i/>
          <w:iCs/>
          <w:noProof/>
          <w:szCs w:val="22"/>
        </w:rPr>
        <w:t>19</w:t>
      </w:r>
      <w:r w:rsidRPr="002A18A2">
        <w:rPr>
          <w:rFonts w:cs="Times New Roman"/>
          <w:noProof/>
          <w:szCs w:val="22"/>
        </w:rPr>
        <w:t>(SUPPL. 1). https://doi.org/10.1093/bioinformatics/btg1005</w:t>
      </w:r>
    </w:p>
    <w:p w14:paraId="0D72F446" w14:textId="77777777" w:rsidR="00973759" w:rsidRPr="002A18A2" w:rsidRDefault="00973759" w:rsidP="002A18A2">
      <w:pPr>
        <w:widowControl w:val="0"/>
        <w:autoSpaceDE w:val="0"/>
        <w:autoSpaceDN w:val="0"/>
        <w:adjustRightInd w:val="0"/>
        <w:ind w:left="480" w:hanging="480"/>
        <w:rPr>
          <w:rFonts w:cs="Times New Roman"/>
          <w:noProof/>
          <w:szCs w:val="22"/>
        </w:rPr>
      </w:pPr>
      <w:r w:rsidRPr="002A18A2">
        <w:rPr>
          <w:rFonts w:cs="Times New Roman"/>
          <w:noProof/>
          <w:szCs w:val="22"/>
        </w:rPr>
        <w:t xml:space="preserve">Chen, X., Zhang, L., Huang, Y., &amp; Zhao, F. (2020). Mitochondrial genome of Salix cardiophylla and its implications for infrageneric division of the genus of Salix. </w:t>
      </w:r>
      <w:r w:rsidRPr="002A18A2">
        <w:rPr>
          <w:rFonts w:cs="Times New Roman"/>
          <w:i/>
          <w:iCs/>
          <w:noProof/>
          <w:szCs w:val="22"/>
        </w:rPr>
        <w:t>Mitochondrial DNA Part B: Resources</w:t>
      </w:r>
      <w:r w:rsidRPr="002A18A2">
        <w:rPr>
          <w:rFonts w:cs="Times New Roman"/>
          <w:noProof/>
          <w:szCs w:val="22"/>
        </w:rPr>
        <w:t xml:space="preserve">, </w:t>
      </w:r>
      <w:r w:rsidRPr="002A18A2">
        <w:rPr>
          <w:rFonts w:cs="Times New Roman"/>
          <w:i/>
          <w:iCs/>
          <w:noProof/>
          <w:szCs w:val="22"/>
        </w:rPr>
        <w:t>5</w:t>
      </w:r>
      <w:r w:rsidRPr="002A18A2">
        <w:rPr>
          <w:rFonts w:cs="Times New Roman"/>
          <w:noProof/>
          <w:szCs w:val="22"/>
        </w:rPr>
        <w:t>(3), 3503–3504. https://doi.org/10.1080/23802359.2020.1827065</w:t>
      </w:r>
    </w:p>
    <w:p w14:paraId="0E11C9BF" w14:textId="77777777" w:rsidR="00973759" w:rsidRPr="002A18A2" w:rsidRDefault="00973759" w:rsidP="002A18A2">
      <w:pPr>
        <w:widowControl w:val="0"/>
        <w:autoSpaceDE w:val="0"/>
        <w:autoSpaceDN w:val="0"/>
        <w:adjustRightInd w:val="0"/>
        <w:ind w:left="480" w:hanging="480"/>
        <w:rPr>
          <w:rFonts w:cs="Times New Roman"/>
          <w:noProof/>
          <w:szCs w:val="22"/>
        </w:rPr>
      </w:pPr>
      <w:r w:rsidRPr="002A18A2">
        <w:rPr>
          <w:rFonts w:cs="Times New Roman"/>
          <w:noProof/>
          <w:szCs w:val="22"/>
        </w:rPr>
        <w:t xml:space="preserve">Christensen, A. C. (2013). Plant mitochondrial genome evolution can be explained by DNA repair mechanisms. </w:t>
      </w:r>
      <w:r w:rsidRPr="002A18A2">
        <w:rPr>
          <w:rFonts w:cs="Times New Roman"/>
          <w:i/>
          <w:iCs/>
          <w:noProof/>
          <w:szCs w:val="22"/>
        </w:rPr>
        <w:t>Genome Biology and Evolution</w:t>
      </w:r>
      <w:r w:rsidRPr="002A18A2">
        <w:rPr>
          <w:rFonts w:cs="Times New Roman"/>
          <w:noProof/>
          <w:szCs w:val="22"/>
        </w:rPr>
        <w:t xml:space="preserve">, </w:t>
      </w:r>
      <w:r w:rsidRPr="002A18A2">
        <w:rPr>
          <w:rFonts w:cs="Times New Roman"/>
          <w:i/>
          <w:iCs/>
          <w:noProof/>
          <w:szCs w:val="22"/>
        </w:rPr>
        <w:t>5</w:t>
      </w:r>
      <w:r w:rsidRPr="002A18A2">
        <w:rPr>
          <w:rFonts w:cs="Times New Roman"/>
          <w:noProof/>
          <w:szCs w:val="22"/>
        </w:rPr>
        <w:t>(6), 1079–1086. https://doi.org/10.1093/gbe/evt069</w:t>
      </w:r>
    </w:p>
    <w:p w14:paraId="5B754D39" w14:textId="77777777" w:rsidR="00973759" w:rsidRPr="002A18A2" w:rsidRDefault="00973759" w:rsidP="002A18A2">
      <w:pPr>
        <w:widowControl w:val="0"/>
        <w:autoSpaceDE w:val="0"/>
        <w:autoSpaceDN w:val="0"/>
        <w:adjustRightInd w:val="0"/>
        <w:ind w:left="480" w:hanging="480"/>
        <w:rPr>
          <w:rFonts w:cs="Times New Roman"/>
          <w:noProof/>
          <w:szCs w:val="22"/>
        </w:rPr>
      </w:pPr>
      <w:r w:rsidRPr="002A18A2">
        <w:rPr>
          <w:rFonts w:cs="Times New Roman"/>
          <w:noProof/>
          <w:szCs w:val="22"/>
        </w:rPr>
        <w:t xml:space="preserve">Christensen, A. C. (2017). Mitochondrial DNA repair and genome evolution. </w:t>
      </w:r>
      <w:r w:rsidRPr="002A18A2">
        <w:rPr>
          <w:rFonts w:cs="Times New Roman"/>
          <w:i/>
          <w:iCs/>
          <w:noProof/>
          <w:szCs w:val="22"/>
        </w:rPr>
        <w:t>Annual Plant Reviews</w:t>
      </w:r>
      <w:r w:rsidRPr="002A18A2">
        <w:rPr>
          <w:rFonts w:cs="Times New Roman"/>
          <w:noProof/>
          <w:szCs w:val="22"/>
        </w:rPr>
        <w:t xml:space="preserve">, </w:t>
      </w:r>
      <w:r w:rsidRPr="002A18A2">
        <w:rPr>
          <w:rFonts w:cs="Times New Roman"/>
          <w:i/>
          <w:iCs/>
          <w:noProof/>
          <w:szCs w:val="22"/>
        </w:rPr>
        <w:t>50</w:t>
      </w:r>
      <w:r w:rsidRPr="002A18A2">
        <w:rPr>
          <w:rFonts w:cs="Times New Roman"/>
          <w:noProof/>
          <w:szCs w:val="22"/>
        </w:rPr>
        <w:t>, 11–31.</w:t>
      </w:r>
    </w:p>
    <w:p w14:paraId="3E205D52" w14:textId="77777777" w:rsidR="00973759" w:rsidRPr="002A18A2" w:rsidRDefault="00973759" w:rsidP="002A18A2">
      <w:pPr>
        <w:widowControl w:val="0"/>
        <w:autoSpaceDE w:val="0"/>
        <w:autoSpaceDN w:val="0"/>
        <w:adjustRightInd w:val="0"/>
        <w:ind w:left="480" w:hanging="480"/>
        <w:rPr>
          <w:rFonts w:cs="Times New Roman"/>
          <w:noProof/>
          <w:szCs w:val="22"/>
        </w:rPr>
      </w:pPr>
      <w:r w:rsidRPr="002A18A2">
        <w:rPr>
          <w:rFonts w:cs="Times New Roman"/>
          <w:noProof/>
          <w:szCs w:val="22"/>
        </w:rPr>
        <w:t xml:space="preserve">Cole, L. W., Guo, W., Mower, J. P., &amp; Palmer, J. D. (2018). High and Variable Rates of Repeat-Mediated Mitochondrial Genome Rearrangement in a Genus of Plants. </w:t>
      </w:r>
      <w:r w:rsidRPr="002A18A2">
        <w:rPr>
          <w:rFonts w:cs="Times New Roman"/>
          <w:i/>
          <w:iCs/>
          <w:noProof/>
          <w:szCs w:val="22"/>
        </w:rPr>
        <w:t>Molecular Biology and Evolution</w:t>
      </w:r>
      <w:r w:rsidRPr="002A18A2">
        <w:rPr>
          <w:rFonts w:cs="Times New Roman"/>
          <w:noProof/>
          <w:szCs w:val="22"/>
        </w:rPr>
        <w:t xml:space="preserve">, </w:t>
      </w:r>
      <w:r w:rsidRPr="002A18A2">
        <w:rPr>
          <w:rFonts w:cs="Times New Roman"/>
          <w:i/>
          <w:iCs/>
          <w:noProof/>
          <w:szCs w:val="22"/>
        </w:rPr>
        <w:t>35</w:t>
      </w:r>
      <w:r w:rsidRPr="002A18A2">
        <w:rPr>
          <w:rFonts w:cs="Times New Roman"/>
          <w:noProof/>
          <w:szCs w:val="22"/>
        </w:rPr>
        <w:t>(11), 2773–2785. https://doi.org/10.1093/molbev/msy176</w:t>
      </w:r>
    </w:p>
    <w:p w14:paraId="7AA8F5EA" w14:textId="77777777" w:rsidR="00973759" w:rsidRPr="002A18A2" w:rsidRDefault="00973759" w:rsidP="002A18A2">
      <w:pPr>
        <w:widowControl w:val="0"/>
        <w:autoSpaceDE w:val="0"/>
        <w:autoSpaceDN w:val="0"/>
        <w:adjustRightInd w:val="0"/>
        <w:ind w:left="480" w:hanging="480"/>
        <w:rPr>
          <w:rFonts w:cs="Times New Roman"/>
          <w:noProof/>
          <w:szCs w:val="22"/>
        </w:rPr>
      </w:pPr>
      <w:r w:rsidRPr="002A18A2">
        <w:rPr>
          <w:rFonts w:cs="Times New Roman"/>
          <w:noProof/>
          <w:szCs w:val="22"/>
        </w:rPr>
        <w:t xml:space="preserve">Dai, X., Hu, Q., Cai, Q., Feng, K., Ye, N., Tuskan, G. A., … Yin, T. (2014). The willow genome and divergent evolution from poplar after the common genome duplication. </w:t>
      </w:r>
      <w:r w:rsidRPr="002A18A2">
        <w:rPr>
          <w:rFonts w:cs="Times New Roman"/>
          <w:i/>
          <w:iCs/>
          <w:noProof/>
          <w:szCs w:val="22"/>
        </w:rPr>
        <w:t>Cell Research</w:t>
      </w:r>
      <w:r w:rsidRPr="002A18A2">
        <w:rPr>
          <w:rFonts w:cs="Times New Roman"/>
          <w:noProof/>
          <w:szCs w:val="22"/>
        </w:rPr>
        <w:t xml:space="preserve">, </w:t>
      </w:r>
      <w:r w:rsidRPr="002A18A2">
        <w:rPr>
          <w:rFonts w:cs="Times New Roman"/>
          <w:i/>
          <w:iCs/>
          <w:noProof/>
          <w:szCs w:val="22"/>
        </w:rPr>
        <w:t>24</w:t>
      </w:r>
      <w:r w:rsidRPr="002A18A2">
        <w:rPr>
          <w:rFonts w:cs="Times New Roman"/>
          <w:noProof/>
          <w:szCs w:val="22"/>
        </w:rPr>
        <w:t>(10), 1274–1277. https://doi.org/10.1038/cr.2014.83</w:t>
      </w:r>
    </w:p>
    <w:p w14:paraId="3EEF1E20" w14:textId="77777777" w:rsidR="00973759" w:rsidRPr="002A18A2" w:rsidRDefault="00973759" w:rsidP="002A18A2">
      <w:pPr>
        <w:widowControl w:val="0"/>
        <w:autoSpaceDE w:val="0"/>
        <w:autoSpaceDN w:val="0"/>
        <w:adjustRightInd w:val="0"/>
        <w:ind w:left="480" w:hanging="480"/>
        <w:rPr>
          <w:rFonts w:cs="Times New Roman"/>
          <w:noProof/>
          <w:szCs w:val="22"/>
        </w:rPr>
      </w:pPr>
      <w:r w:rsidRPr="002A18A2">
        <w:rPr>
          <w:rFonts w:cs="Times New Roman"/>
          <w:noProof/>
          <w:szCs w:val="22"/>
        </w:rPr>
        <w:t xml:space="preserve">Darling, A. E., Mau, B., &amp; Perna, N. T. (2010). Progressivemauve: Multiple genome alignment with gene gain, loss and rearrangement. </w:t>
      </w:r>
      <w:r w:rsidRPr="002A18A2">
        <w:rPr>
          <w:rFonts w:cs="Times New Roman"/>
          <w:i/>
          <w:iCs/>
          <w:noProof/>
          <w:szCs w:val="22"/>
        </w:rPr>
        <w:t>PLoS ONE</w:t>
      </w:r>
      <w:r w:rsidRPr="002A18A2">
        <w:rPr>
          <w:rFonts w:cs="Times New Roman"/>
          <w:noProof/>
          <w:szCs w:val="22"/>
        </w:rPr>
        <w:t xml:space="preserve">, </w:t>
      </w:r>
      <w:r w:rsidRPr="002A18A2">
        <w:rPr>
          <w:rFonts w:cs="Times New Roman"/>
          <w:i/>
          <w:iCs/>
          <w:noProof/>
          <w:szCs w:val="22"/>
        </w:rPr>
        <w:t>5</w:t>
      </w:r>
      <w:r w:rsidRPr="002A18A2">
        <w:rPr>
          <w:rFonts w:cs="Times New Roman"/>
          <w:noProof/>
          <w:szCs w:val="22"/>
        </w:rPr>
        <w:t xml:space="preserve">(6). </w:t>
      </w:r>
      <w:r w:rsidRPr="002A18A2">
        <w:rPr>
          <w:rFonts w:cs="Times New Roman"/>
          <w:noProof/>
          <w:szCs w:val="22"/>
        </w:rPr>
        <w:lastRenderedPageBreak/>
        <w:t>https://doi.org/10.1371/journal.pone.0011147</w:t>
      </w:r>
    </w:p>
    <w:p w14:paraId="76637EE0" w14:textId="77777777" w:rsidR="00973759" w:rsidRPr="002A18A2" w:rsidRDefault="00973759" w:rsidP="002A18A2">
      <w:pPr>
        <w:widowControl w:val="0"/>
        <w:autoSpaceDE w:val="0"/>
        <w:autoSpaceDN w:val="0"/>
        <w:adjustRightInd w:val="0"/>
        <w:ind w:left="480" w:hanging="480"/>
        <w:rPr>
          <w:rFonts w:cs="Times New Roman"/>
          <w:noProof/>
          <w:szCs w:val="22"/>
        </w:rPr>
      </w:pPr>
      <w:r w:rsidRPr="002A18A2">
        <w:rPr>
          <w:rFonts w:cs="Times New Roman"/>
          <w:noProof/>
          <w:szCs w:val="22"/>
        </w:rPr>
        <w:t xml:space="preserve">Dobin, A., Davis, C. A., Schlesinger, F., Drenkow, J., Zaleski, C., Jha, S., … Gingeras, T. R. (2013). STAR: Ultrafast universal RNA-seq aligner. </w:t>
      </w:r>
      <w:r w:rsidRPr="002A18A2">
        <w:rPr>
          <w:rFonts w:cs="Times New Roman"/>
          <w:i/>
          <w:iCs/>
          <w:noProof/>
          <w:szCs w:val="22"/>
        </w:rPr>
        <w:t>Bioinformatics</w:t>
      </w:r>
      <w:r w:rsidRPr="002A18A2">
        <w:rPr>
          <w:rFonts w:cs="Times New Roman"/>
          <w:noProof/>
          <w:szCs w:val="22"/>
        </w:rPr>
        <w:t xml:space="preserve">, </w:t>
      </w:r>
      <w:r w:rsidRPr="002A18A2">
        <w:rPr>
          <w:rFonts w:cs="Times New Roman"/>
          <w:i/>
          <w:iCs/>
          <w:noProof/>
          <w:szCs w:val="22"/>
        </w:rPr>
        <w:t>29</w:t>
      </w:r>
      <w:r w:rsidRPr="002A18A2">
        <w:rPr>
          <w:rFonts w:cs="Times New Roman"/>
          <w:noProof/>
          <w:szCs w:val="22"/>
        </w:rPr>
        <w:t>(1), 15–21. https://doi.org/10.1093/bioinformatics/bts635</w:t>
      </w:r>
    </w:p>
    <w:p w14:paraId="62073BA1" w14:textId="77777777" w:rsidR="00973759" w:rsidRPr="002A18A2" w:rsidRDefault="00973759" w:rsidP="002A18A2">
      <w:pPr>
        <w:widowControl w:val="0"/>
        <w:autoSpaceDE w:val="0"/>
        <w:autoSpaceDN w:val="0"/>
        <w:adjustRightInd w:val="0"/>
        <w:ind w:left="480" w:hanging="480"/>
        <w:rPr>
          <w:rFonts w:cs="Times New Roman"/>
          <w:noProof/>
          <w:szCs w:val="22"/>
        </w:rPr>
      </w:pPr>
      <w:r w:rsidRPr="002A18A2">
        <w:rPr>
          <w:rFonts w:cs="Times New Roman"/>
          <w:noProof/>
          <w:szCs w:val="22"/>
        </w:rPr>
        <w:t xml:space="preserve">Doyle, J. J., &amp; Doyle, J. L. (1987). A rapid DNA isolation procedure for small quantities of fresh leaf tissue. </w:t>
      </w:r>
      <w:r w:rsidRPr="002A18A2">
        <w:rPr>
          <w:rFonts w:cs="Times New Roman"/>
          <w:i/>
          <w:iCs/>
          <w:noProof/>
          <w:szCs w:val="22"/>
        </w:rPr>
        <w:t>PHYTOCHEMICAL BULLETIN</w:t>
      </w:r>
      <w:r w:rsidRPr="002A18A2">
        <w:rPr>
          <w:rFonts w:cs="Times New Roman"/>
          <w:noProof/>
          <w:szCs w:val="22"/>
        </w:rPr>
        <w:t>, (RESEARCH). Retrieved from http://worldveg.tind.io/record/33886</w:t>
      </w:r>
    </w:p>
    <w:p w14:paraId="4A876AD3" w14:textId="77777777" w:rsidR="00973759" w:rsidRPr="002A18A2" w:rsidRDefault="00973759" w:rsidP="002A18A2">
      <w:pPr>
        <w:widowControl w:val="0"/>
        <w:autoSpaceDE w:val="0"/>
        <w:autoSpaceDN w:val="0"/>
        <w:adjustRightInd w:val="0"/>
        <w:ind w:left="480" w:hanging="480"/>
        <w:rPr>
          <w:rFonts w:cs="Times New Roman"/>
          <w:noProof/>
          <w:szCs w:val="22"/>
        </w:rPr>
      </w:pPr>
      <w:r w:rsidRPr="002A18A2">
        <w:rPr>
          <w:rFonts w:cs="Times New Roman"/>
          <w:noProof/>
          <w:szCs w:val="22"/>
        </w:rPr>
        <w:t xml:space="preserve">Fan, W. B., Wu, Y., Yang, J., Shahzad, K., &amp; Li, Z. H. (2018). Comparative chloroplast genomics of dipsacales species: Insights into sequence variation, adaptive evolution, and phylogenetic relationships. </w:t>
      </w:r>
      <w:r w:rsidRPr="002A18A2">
        <w:rPr>
          <w:rFonts w:cs="Times New Roman"/>
          <w:i/>
          <w:iCs/>
          <w:noProof/>
          <w:szCs w:val="22"/>
        </w:rPr>
        <w:t>Frontiers in Plant Science</w:t>
      </w:r>
      <w:r w:rsidRPr="002A18A2">
        <w:rPr>
          <w:rFonts w:cs="Times New Roman"/>
          <w:noProof/>
          <w:szCs w:val="22"/>
        </w:rPr>
        <w:t xml:space="preserve">, </w:t>
      </w:r>
      <w:r w:rsidRPr="002A18A2">
        <w:rPr>
          <w:rFonts w:cs="Times New Roman"/>
          <w:i/>
          <w:iCs/>
          <w:noProof/>
          <w:szCs w:val="22"/>
        </w:rPr>
        <w:t>9</w:t>
      </w:r>
      <w:r w:rsidRPr="002A18A2">
        <w:rPr>
          <w:rFonts w:cs="Times New Roman"/>
          <w:noProof/>
          <w:szCs w:val="22"/>
        </w:rPr>
        <w:t>(May), 1–13. https://doi.org/10.3389/fpls.2018.00689</w:t>
      </w:r>
    </w:p>
    <w:p w14:paraId="481A0A9A" w14:textId="77777777" w:rsidR="00973759" w:rsidRPr="002A18A2" w:rsidRDefault="00973759" w:rsidP="002A18A2">
      <w:pPr>
        <w:widowControl w:val="0"/>
        <w:autoSpaceDE w:val="0"/>
        <w:autoSpaceDN w:val="0"/>
        <w:adjustRightInd w:val="0"/>
        <w:ind w:left="480" w:hanging="480"/>
        <w:rPr>
          <w:rFonts w:cs="Times New Roman"/>
          <w:noProof/>
          <w:szCs w:val="22"/>
        </w:rPr>
      </w:pPr>
      <w:r w:rsidRPr="002A18A2">
        <w:rPr>
          <w:rFonts w:cs="Times New Roman"/>
          <w:noProof/>
          <w:szCs w:val="22"/>
        </w:rPr>
        <w:t xml:space="preserve">Frazer, K. A., Pachter, L., Poliakov, A., Rubin, E. M., &amp; Dubchak, I. (2004). VISTA: Computational tools for comparative genomics. </w:t>
      </w:r>
      <w:r w:rsidRPr="002A18A2">
        <w:rPr>
          <w:rFonts w:cs="Times New Roman"/>
          <w:i/>
          <w:iCs/>
          <w:noProof/>
          <w:szCs w:val="22"/>
        </w:rPr>
        <w:t>Nucleic Acids Research</w:t>
      </w:r>
      <w:r w:rsidRPr="002A18A2">
        <w:rPr>
          <w:rFonts w:cs="Times New Roman"/>
          <w:noProof/>
          <w:szCs w:val="22"/>
        </w:rPr>
        <w:t xml:space="preserve">, </w:t>
      </w:r>
      <w:r w:rsidRPr="002A18A2">
        <w:rPr>
          <w:rFonts w:cs="Times New Roman"/>
          <w:i/>
          <w:iCs/>
          <w:noProof/>
          <w:szCs w:val="22"/>
        </w:rPr>
        <w:t>32</w:t>
      </w:r>
      <w:r w:rsidRPr="002A18A2">
        <w:rPr>
          <w:rFonts w:cs="Times New Roman"/>
          <w:noProof/>
          <w:szCs w:val="22"/>
        </w:rPr>
        <w:t>(WEB SERVER ISS.), 273–279. https://doi.org/10.1093/nar/gkh458</w:t>
      </w:r>
    </w:p>
    <w:p w14:paraId="2A1589A4" w14:textId="77777777" w:rsidR="00973759" w:rsidRPr="002A18A2" w:rsidRDefault="00973759" w:rsidP="002A18A2">
      <w:pPr>
        <w:widowControl w:val="0"/>
        <w:autoSpaceDE w:val="0"/>
        <w:autoSpaceDN w:val="0"/>
        <w:adjustRightInd w:val="0"/>
        <w:ind w:left="480" w:hanging="480"/>
        <w:rPr>
          <w:rFonts w:cs="Times New Roman"/>
          <w:noProof/>
          <w:szCs w:val="22"/>
        </w:rPr>
      </w:pPr>
      <w:r w:rsidRPr="002A18A2">
        <w:rPr>
          <w:rFonts w:cs="Times New Roman"/>
          <w:noProof/>
          <w:szCs w:val="22"/>
        </w:rPr>
        <w:t xml:space="preserve">Gitzendanner, M. A., Soltis, P. S., Wong, G. K. S., Ruhfel, B. R., &amp; Soltis, D. E. (2018). Plastid phylogenomic analysis of green plants: A billion years of evolutionary history. </w:t>
      </w:r>
      <w:r w:rsidRPr="002A18A2">
        <w:rPr>
          <w:rFonts w:cs="Times New Roman"/>
          <w:i/>
          <w:iCs/>
          <w:noProof/>
          <w:szCs w:val="22"/>
        </w:rPr>
        <w:t>American Journal of Botany</w:t>
      </w:r>
      <w:r w:rsidRPr="002A18A2">
        <w:rPr>
          <w:rFonts w:cs="Times New Roman"/>
          <w:noProof/>
          <w:szCs w:val="22"/>
        </w:rPr>
        <w:t xml:space="preserve">, </w:t>
      </w:r>
      <w:r w:rsidRPr="002A18A2">
        <w:rPr>
          <w:rFonts w:cs="Times New Roman"/>
          <w:i/>
          <w:iCs/>
          <w:noProof/>
          <w:szCs w:val="22"/>
        </w:rPr>
        <w:t>105</w:t>
      </w:r>
      <w:r w:rsidRPr="002A18A2">
        <w:rPr>
          <w:rFonts w:cs="Times New Roman"/>
          <w:noProof/>
          <w:szCs w:val="22"/>
        </w:rPr>
        <w:t>(3), 291–301. https://doi.org/10.1002/ajb2.1048</w:t>
      </w:r>
    </w:p>
    <w:p w14:paraId="174E2E4D" w14:textId="77777777" w:rsidR="00973759" w:rsidRPr="002A18A2" w:rsidRDefault="00973759" w:rsidP="002A18A2">
      <w:pPr>
        <w:widowControl w:val="0"/>
        <w:autoSpaceDE w:val="0"/>
        <w:autoSpaceDN w:val="0"/>
        <w:adjustRightInd w:val="0"/>
        <w:ind w:left="480" w:hanging="480"/>
        <w:rPr>
          <w:rFonts w:cs="Times New Roman"/>
          <w:noProof/>
          <w:szCs w:val="22"/>
        </w:rPr>
      </w:pPr>
      <w:r w:rsidRPr="002A18A2">
        <w:rPr>
          <w:rFonts w:cs="Times New Roman"/>
          <w:noProof/>
          <w:szCs w:val="22"/>
        </w:rPr>
        <w:t xml:space="preserve">Gualberto, J. M., &amp; Newton, K. J. (2017). Plant Mitochondrial Genomes: Dynamics and Mechanisms of Mutation. </w:t>
      </w:r>
      <w:r w:rsidRPr="002A18A2">
        <w:rPr>
          <w:rFonts w:cs="Times New Roman"/>
          <w:i/>
          <w:iCs/>
          <w:noProof/>
          <w:szCs w:val="22"/>
        </w:rPr>
        <w:t>Annual Review of Plant Biology</w:t>
      </w:r>
      <w:r w:rsidRPr="002A18A2">
        <w:rPr>
          <w:rFonts w:cs="Times New Roman"/>
          <w:noProof/>
          <w:szCs w:val="22"/>
        </w:rPr>
        <w:t xml:space="preserve">, </w:t>
      </w:r>
      <w:r w:rsidRPr="002A18A2">
        <w:rPr>
          <w:rFonts w:cs="Times New Roman"/>
          <w:i/>
          <w:iCs/>
          <w:noProof/>
          <w:szCs w:val="22"/>
        </w:rPr>
        <w:t>68</w:t>
      </w:r>
      <w:r w:rsidRPr="002A18A2">
        <w:rPr>
          <w:rFonts w:cs="Times New Roman"/>
          <w:noProof/>
          <w:szCs w:val="22"/>
        </w:rPr>
        <w:t>, 225–252. https://doi.org/10.1146/annurev-arplant-043015-112232</w:t>
      </w:r>
    </w:p>
    <w:p w14:paraId="2D52EBA8" w14:textId="77777777" w:rsidR="00973759" w:rsidRPr="002A18A2" w:rsidRDefault="00973759" w:rsidP="002A18A2">
      <w:pPr>
        <w:widowControl w:val="0"/>
        <w:autoSpaceDE w:val="0"/>
        <w:autoSpaceDN w:val="0"/>
        <w:adjustRightInd w:val="0"/>
        <w:ind w:left="480" w:hanging="480"/>
        <w:rPr>
          <w:rFonts w:cs="Times New Roman"/>
          <w:noProof/>
          <w:szCs w:val="22"/>
        </w:rPr>
      </w:pPr>
      <w:r w:rsidRPr="002A18A2">
        <w:rPr>
          <w:rFonts w:cs="Times New Roman"/>
          <w:noProof/>
          <w:szCs w:val="22"/>
        </w:rPr>
        <w:t xml:space="preserve">Han, K., Shi, C., Li, L., Seim, I., Lee, S. M. Y., Xu, X., … Liu, X. (2020). Lineage-specific evolution of mangrove plastid genomes. </w:t>
      </w:r>
      <w:r w:rsidRPr="002A18A2">
        <w:rPr>
          <w:rFonts w:cs="Times New Roman"/>
          <w:i/>
          <w:iCs/>
          <w:noProof/>
          <w:szCs w:val="22"/>
        </w:rPr>
        <w:t>Plant Genome</w:t>
      </w:r>
      <w:r w:rsidRPr="002A18A2">
        <w:rPr>
          <w:rFonts w:cs="Times New Roman"/>
          <w:noProof/>
          <w:szCs w:val="22"/>
        </w:rPr>
        <w:t xml:space="preserve">, </w:t>
      </w:r>
      <w:r w:rsidRPr="002A18A2">
        <w:rPr>
          <w:rFonts w:cs="Times New Roman"/>
          <w:i/>
          <w:iCs/>
          <w:noProof/>
          <w:szCs w:val="22"/>
        </w:rPr>
        <w:t>13</w:t>
      </w:r>
      <w:r w:rsidRPr="002A18A2">
        <w:rPr>
          <w:rFonts w:cs="Times New Roman"/>
          <w:noProof/>
          <w:szCs w:val="22"/>
        </w:rPr>
        <w:t>(2), 1–13. https://doi.org/10.1002/tpg2.20019</w:t>
      </w:r>
    </w:p>
    <w:p w14:paraId="612761E6" w14:textId="77777777" w:rsidR="00973759" w:rsidRPr="002A18A2" w:rsidRDefault="00973759" w:rsidP="002A18A2">
      <w:pPr>
        <w:widowControl w:val="0"/>
        <w:autoSpaceDE w:val="0"/>
        <w:autoSpaceDN w:val="0"/>
        <w:adjustRightInd w:val="0"/>
        <w:ind w:left="480" w:hanging="480"/>
        <w:rPr>
          <w:rFonts w:cs="Times New Roman"/>
          <w:noProof/>
          <w:szCs w:val="22"/>
        </w:rPr>
      </w:pPr>
      <w:r w:rsidRPr="002A18A2">
        <w:rPr>
          <w:rFonts w:cs="Times New Roman"/>
          <w:noProof/>
          <w:szCs w:val="22"/>
        </w:rPr>
        <w:t xml:space="preserve">Huang, Y., Wang, J., Yang, Y., Fan, C., &amp; Chen, J. (2017). Phylogenomic analysis and dynamic evolution of chloroplast genomes in salicaceae. </w:t>
      </w:r>
      <w:r w:rsidRPr="002A18A2">
        <w:rPr>
          <w:rFonts w:cs="Times New Roman"/>
          <w:i/>
          <w:iCs/>
          <w:noProof/>
          <w:szCs w:val="22"/>
        </w:rPr>
        <w:t>Frontiers in Plant Science</w:t>
      </w:r>
      <w:r w:rsidRPr="002A18A2">
        <w:rPr>
          <w:rFonts w:cs="Times New Roman"/>
          <w:noProof/>
          <w:szCs w:val="22"/>
        </w:rPr>
        <w:t xml:space="preserve">, </w:t>
      </w:r>
      <w:r w:rsidRPr="002A18A2">
        <w:rPr>
          <w:rFonts w:cs="Times New Roman"/>
          <w:i/>
          <w:iCs/>
          <w:noProof/>
          <w:szCs w:val="22"/>
        </w:rPr>
        <w:t>8</w:t>
      </w:r>
      <w:r w:rsidRPr="002A18A2">
        <w:rPr>
          <w:rFonts w:cs="Times New Roman"/>
          <w:noProof/>
          <w:szCs w:val="22"/>
        </w:rPr>
        <w:t>(June), 1–13. https://doi.org/10.3389/fpls.2017.01050</w:t>
      </w:r>
    </w:p>
    <w:p w14:paraId="3EE3948A" w14:textId="77777777" w:rsidR="00973759" w:rsidRPr="002A18A2" w:rsidRDefault="00973759" w:rsidP="002A18A2">
      <w:pPr>
        <w:widowControl w:val="0"/>
        <w:autoSpaceDE w:val="0"/>
        <w:autoSpaceDN w:val="0"/>
        <w:adjustRightInd w:val="0"/>
        <w:ind w:left="480" w:hanging="480"/>
        <w:rPr>
          <w:rFonts w:cs="Times New Roman"/>
          <w:noProof/>
          <w:szCs w:val="22"/>
        </w:rPr>
      </w:pPr>
      <w:r w:rsidRPr="002A18A2">
        <w:rPr>
          <w:rFonts w:cs="Times New Roman"/>
          <w:noProof/>
          <w:szCs w:val="22"/>
        </w:rPr>
        <w:t xml:space="preserve">Jackman, S. D., Coombe, L., Warren, R. L., Kirk, H., Trinh, E., MacLeod, T., … Birol, I. (2020). Complete Mitochondrial Genome of a Gymnosperm, Sitka Spruce (Picea sitchensis), Indicates a Complex Physical Structure. </w:t>
      </w:r>
      <w:r w:rsidRPr="002A18A2">
        <w:rPr>
          <w:rFonts w:cs="Times New Roman"/>
          <w:i/>
          <w:iCs/>
          <w:noProof/>
          <w:szCs w:val="22"/>
        </w:rPr>
        <w:t>Genome Biology and Evolution</w:t>
      </w:r>
      <w:r w:rsidRPr="002A18A2">
        <w:rPr>
          <w:rFonts w:cs="Times New Roman"/>
          <w:noProof/>
          <w:szCs w:val="22"/>
        </w:rPr>
        <w:t xml:space="preserve">, </w:t>
      </w:r>
      <w:r w:rsidRPr="002A18A2">
        <w:rPr>
          <w:rFonts w:cs="Times New Roman"/>
          <w:i/>
          <w:iCs/>
          <w:noProof/>
          <w:szCs w:val="22"/>
        </w:rPr>
        <w:t>12</w:t>
      </w:r>
      <w:r w:rsidRPr="002A18A2">
        <w:rPr>
          <w:rFonts w:cs="Times New Roman"/>
          <w:noProof/>
          <w:szCs w:val="22"/>
        </w:rPr>
        <w:t>(7), 1174–1179. https://doi.org/10.1093/gbe/evaa108</w:t>
      </w:r>
    </w:p>
    <w:p w14:paraId="3BC63FC2" w14:textId="77777777" w:rsidR="00973759" w:rsidRPr="002A18A2" w:rsidRDefault="00973759" w:rsidP="002A18A2">
      <w:pPr>
        <w:widowControl w:val="0"/>
        <w:autoSpaceDE w:val="0"/>
        <w:autoSpaceDN w:val="0"/>
        <w:adjustRightInd w:val="0"/>
        <w:ind w:left="480" w:hanging="480"/>
        <w:rPr>
          <w:rFonts w:cs="Times New Roman"/>
          <w:noProof/>
          <w:szCs w:val="22"/>
        </w:rPr>
      </w:pPr>
      <w:r w:rsidRPr="002A18A2">
        <w:rPr>
          <w:rFonts w:cs="Times New Roman"/>
          <w:noProof/>
          <w:szCs w:val="22"/>
        </w:rPr>
        <w:t xml:space="preserve">Jin, J. J., Yu, W. Bin, Yang, J. B., Song, Y., Depamphilis, C. W., Yi, T. S., &amp; Li, D. Z. (2020). GetOrganelle: A fast and versatile toolkit for accurate de novo assembly of organelle genomes. </w:t>
      </w:r>
      <w:r w:rsidRPr="002A18A2">
        <w:rPr>
          <w:rFonts w:cs="Times New Roman"/>
          <w:i/>
          <w:iCs/>
          <w:noProof/>
          <w:szCs w:val="22"/>
        </w:rPr>
        <w:t>Genome Biology</w:t>
      </w:r>
      <w:r w:rsidRPr="002A18A2">
        <w:rPr>
          <w:rFonts w:cs="Times New Roman"/>
          <w:noProof/>
          <w:szCs w:val="22"/>
        </w:rPr>
        <w:t xml:space="preserve">, </w:t>
      </w:r>
      <w:r w:rsidRPr="002A18A2">
        <w:rPr>
          <w:rFonts w:cs="Times New Roman"/>
          <w:i/>
          <w:iCs/>
          <w:noProof/>
          <w:szCs w:val="22"/>
        </w:rPr>
        <w:t>21</w:t>
      </w:r>
      <w:r w:rsidRPr="002A18A2">
        <w:rPr>
          <w:rFonts w:cs="Times New Roman"/>
          <w:noProof/>
          <w:szCs w:val="22"/>
        </w:rPr>
        <w:t>(1), 1–31. https://doi.org/10.1186/s13059-020-02154-5</w:t>
      </w:r>
    </w:p>
    <w:p w14:paraId="3F88D636" w14:textId="77777777" w:rsidR="00973759" w:rsidRPr="002A18A2" w:rsidRDefault="00973759" w:rsidP="002A18A2">
      <w:pPr>
        <w:widowControl w:val="0"/>
        <w:autoSpaceDE w:val="0"/>
        <w:autoSpaceDN w:val="0"/>
        <w:adjustRightInd w:val="0"/>
        <w:ind w:left="480" w:hanging="480"/>
        <w:rPr>
          <w:rFonts w:cs="Times New Roman"/>
          <w:noProof/>
          <w:szCs w:val="22"/>
        </w:rPr>
      </w:pPr>
      <w:r w:rsidRPr="002A18A2">
        <w:rPr>
          <w:rFonts w:cs="Times New Roman"/>
          <w:noProof/>
          <w:szCs w:val="22"/>
        </w:rPr>
        <w:t xml:space="preserve">Kalia, R. K., Rai, M. K., Kalia, S., Singh, R., &amp; Dhawan, A. K. (2011). Microsatellite markers: An overview of the recent progress in plants. </w:t>
      </w:r>
      <w:r w:rsidRPr="002A18A2">
        <w:rPr>
          <w:rFonts w:cs="Times New Roman"/>
          <w:i/>
          <w:iCs/>
          <w:noProof/>
          <w:szCs w:val="22"/>
        </w:rPr>
        <w:t>Euphytica</w:t>
      </w:r>
      <w:r w:rsidRPr="002A18A2">
        <w:rPr>
          <w:rFonts w:cs="Times New Roman"/>
          <w:noProof/>
          <w:szCs w:val="22"/>
        </w:rPr>
        <w:t xml:space="preserve">, </w:t>
      </w:r>
      <w:r w:rsidRPr="002A18A2">
        <w:rPr>
          <w:rFonts w:cs="Times New Roman"/>
          <w:i/>
          <w:iCs/>
          <w:noProof/>
          <w:szCs w:val="22"/>
        </w:rPr>
        <w:t>177</w:t>
      </w:r>
      <w:r w:rsidRPr="002A18A2">
        <w:rPr>
          <w:rFonts w:cs="Times New Roman"/>
          <w:noProof/>
          <w:szCs w:val="22"/>
        </w:rPr>
        <w:t>(3), 309–334. https://doi.org/10.1007/s10681-010-0286-9</w:t>
      </w:r>
    </w:p>
    <w:p w14:paraId="7F8E9C32" w14:textId="77777777" w:rsidR="00973759" w:rsidRPr="002A18A2" w:rsidRDefault="00973759" w:rsidP="002A18A2">
      <w:pPr>
        <w:widowControl w:val="0"/>
        <w:autoSpaceDE w:val="0"/>
        <w:autoSpaceDN w:val="0"/>
        <w:adjustRightInd w:val="0"/>
        <w:ind w:left="480" w:hanging="480"/>
        <w:rPr>
          <w:rFonts w:cs="Times New Roman"/>
          <w:noProof/>
          <w:szCs w:val="22"/>
        </w:rPr>
      </w:pPr>
      <w:r w:rsidRPr="002A18A2">
        <w:rPr>
          <w:rFonts w:cs="Times New Roman"/>
          <w:noProof/>
          <w:szCs w:val="22"/>
        </w:rPr>
        <w:t xml:space="preserve">Katoh, K., &amp; Standley, D. M. (2013). MAFFT multiple sequence alignment software version 7: Improvements in performance and usability. </w:t>
      </w:r>
      <w:r w:rsidRPr="002A18A2">
        <w:rPr>
          <w:rFonts w:cs="Times New Roman"/>
          <w:i/>
          <w:iCs/>
          <w:noProof/>
          <w:szCs w:val="22"/>
        </w:rPr>
        <w:t>Molecular Biology and Evolution</w:t>
      </w:r>
      <w:r w:rsidRPr="002A18A2">
        <w:rPr>
          <w:rFonts w:cs="Times New Roman"/>
          <w:noProof/>
          <w:szCs w:val="22"/>
        </w:rPr>
        <w:t xml:space="preserve">, </w:t>
      </w:r>
      <w:r w:rsidRPr="002A18A2">
        <w:rPr>
          <w:rFonts w:cs="Times New Roman"/>
          <w:i/>
          <w:iCs/>
          <w:noProof/>
          <w:szCs w:val="22"/>
        </w:rPr>
        <w:t>30</w:t>
      </w:r>
      <w:r w:rsidRPr="002A18A2">
        <w:rPr>
          <w:rFonts w:cs="Times New Roman"/>
          <w:noProof/>
          <w:szCs w:val="22"/>
        </w:rPr>
        <w:t>(4), 772–780. https://doi.org/10.1093/molbev/mst010</w:t>
      </w:r>
    </w:p>
    <w:p w14:paraId="1D0B2E6A" w14:textId="77777777" w:rsidR="00973759" w:rsidRPr="002A18A2" w:rsidRDefault="00973759" w:rsidP="002A18A2">
      <w:pPr>
        <w:widowControl w:val="0"/>
        <w:autoSpaceDE w:val="0"/>
        <w:autoSpaceDN w:val="0"/>
        <w:adjustRightInd w:val="0"/>
        <w:ind w:left="480" w:hanging="480"/>
        <w:rPr>
          <w:rFonts w:cs="Times New Roman"/>
          <w:noProof/>
          <w:szCs w:val="22"/>
        </w:rPr>
      </w:pPr>
      <w:r w:rsidRPr="002A18A2">
        <w:rPr>
          <w:rFonts w:cs="Times New Roman"/>
          <w:noProof/>
          <w:szCs w:val="22"/>
        </w:rPr>
        <w:t xml:space="preserve">Kearse, M., Moir, R., Wilson, A., Stones-Havas, S., Cheung, M., Sturrock, S., … Drummond, A. (2012). Geneious Basic: An integrated and extendable desktop software platform for the organization and analysis of sequence data. </w:t>
      </w:r>
      <w:r w:rsidRPr="002A18A2">
        <w:rPr>
          <w:rFonts w:cs="Times New Roman"/>
          <w:i/>
          <w:iCs/>
          <w:noProof/>
          <w:szCs w:val="22"/>
        </w:rPr>
        <w:t>Bioinformatics</w:t>
      </w:r>
      <w:r w:rsidRPr="002A18A2">
        <w:rPr>
          <w:rFonts w:cs="Times New Roman"/>
          <w:noProof/>
          <w:szCs w:val="22"/>
        </w:rPr>
        <w:t xml:space="preserve">, </w:t>
      </w:r>
      <w:r w:rsidRPr="002A18A2">
        <w:rPr>
          <w:rFonts w:cs="Times New Roman"/>
          <w:i/>
          <w:iCs/>
          <w:noProof/>
          <w:szCs w:val="22"/>
        </w:rPr>
        <w:t>28</w:t>
      </w:r>
      <w:r w:rsidRPr="002A18A2">
        <w:rPr>
          <w:rFonts w:cs="Times New Roman"/>
          <w:noProof/>
          <w:szCs w:val="22"/>
        </w:rPr>
        <w:t>(12), 1647–1649. https://doi.org/10.1093/bioinformatics/bts199</w:t>
      </w:r>
    </w:p>
    <w:p w14:paraId="510062E9" w14:textId="77777777" w:rsidR="00973759" w:rsidRPr="002A18A2" w:rsidRDefault="00973759" w:rsidP="002A18A2">
      <w:pPr>
        <w:widowControl w:val="0"/>
        <w:autoSpaceDE w:val="0"/>
        <w:autoSpaceDN w:val="0"/>
        <w:adjustRightInd w:val="0"/>
        <w:ind w:left="480" w:hanging="480"/>
        <w:rPr>
          <w:rFonts w:cs="Times New Roman"/>
          <w:noProof/>
          <w:szCs w:val="22"/>
        </w:rPr>
      </w:pPr>
      <w:r w:rsidRPr="002A18A2">
        <w:rPr>
          <w:rFonts w:cs="Times New Roman"/>
          <w:noProof/>
          <w:szCs w:val="22"/>
        </w:rPr>
        <w:t xml:space="preserve">Kubo, N., &amp; Arimura, S. I. (2010). Discovery of the rpl10 gene in diverse plant mitochondrial genomes and its probable replacement by the nuclear gene for chloroplast RPL10 in two lineages of angiosperms. </w:t>
      </w:r>
      <w:r w:rsidRPr="002A18A2">
        <w:rPr>
          <w:rFonts w:cs="Times New Roman"/>
          <w:i/>
          <w:iCs/>
          <w:noProof/>
          <w:szCs w:val="22"/>
        </w:rPr>
        <w:t>DNA Research</w:t>
      </w:r>
      <w:r w:rsidRPr="002A18A2">
        <w:rPr>
          <w:rFonts w:cs="Times New Roman"/>
          <w:noProof/>
          <w:szCs w:val="22"/>
        </w:rPr>
        <w:t xml:space="preserve">, </w:t>
      </w:r>
      <w:r w:rsidRPr="002A18A2">
        <w:rPr>
          <w:rFonts w:cs="Times New Roman"/>
          <w:i/>
          <w:iCs/>
          <w:noProof/>
          <w:szCs w:val="22"/>
        </w:rPr>
        <w:t>17</w:t>
      </w:r>
      <w:r w:rsidRPr="002A18A2">
        <w:rPr>
          <w:rFonts w:cs="Times New Roman"/>
          <w:noProof/>
          <w:szCs w:val="22"/>
        </w:rPr>
        <w:t>(1), 1–9. https://doi.org/10.1093/dnares/dsp024</w:t>
      </w:r>
    </w:p>
    <w:p w14:paraId="16DF6CA6" w14:textId="77777777" w:rsidR="00973759" w:rsidRPr="002A18A2" w:rsidRDefault="00973759" w:rsidP="002A18A2">
      <w:pPr>
        <w:widowControl w:val="0"/>
        <w:autoSpaceDE w:val="0"/>
        <w:autoSpaceDN w:val="0"/>
        <w:adjustRightInd w:val="0"/>
        <w:ind w:left="480" w:hanging="480"/>
        <w:rPr>
          <w:rFonts w:cs="Times New Roman"/>
          <w:noProof/>
          <w:szCs w:val="22"/>
        </w:rPr>
      </w:pPr>
      <w:r w:rsidRPr="002A18A2">
        <w:rPr>
          <w:rFonts w:cs="Times New Roman"/>
          <w:noProof/>
          <w:szCs w:val="22"/>
        </w:rPr>
        <w:lastRenderedPageBreak/>
        <w:t xml:space="preserve">Kurtz, S., Choudhuri, J. V., Ohlebusch, E., Schleiermacher, C., Stoye, J., &amp; Giegerich, R. (2001). REPuter: The manifold applications of repeat analysis on a genomic scale. </w:t>
      </w:r>
      <w:r w:rsidRPr="002A18A2">
        <w:rPr>
          <w:rFonts w:cs="Times New Roman"/>
          <w:i/>
          <w:iCs/>
          <w:noProof/>
          <w:szCs w:val="22"/>
        </w:rPr>
        <w:t>Nucleic Acids Research</w:t>
      </w:r>
      <w:r w:rsidRPr="002A18A2">
        <w:rPr>
          <w:rFonts w:cs="Times New Roman"/>
          <w:noProof/>
          <w:szCs w:val="22"/>
        </w:rPr>
        <w:t xml:space="preserve">, </w:t>
      </w:r>
      <w:r w:rsidRPr="002A18A2">
        <w:rPr>
          <w:rFonts w:cs="Times New Roman"/>
          <w:i/>
          <w:iCs/>
          <w:noProof/>
          <w:szCs w:val="22"/>
        </w:rPr>
        <w:t>29</w:t>
      </w:r>
      <w:r w:rsidRPr="002A18A2">
        <w:rPr>
          <w:rFonts w:cs="Times New Roman"/>
          <w:noProof/>
          <w:szCs w:val="22"/>
        </w:rPr>
        <w:t>(22), 4633–4642. https://doi.org/10.1093/nar/29.22.4633</w:t>
      </w:r>
    </w:p>
    <w:p w14:paraId="1457D447" w14:textId="77777777" w:rsidR="00973759" w:rsidRPr="002A18A2" w:rsidRDefault="00973759" w:rsidP="002A18A2">
      <w:pPr>
        <w:widowControl w:val="0"/>
        <w:autoSpaceDE w:val="0"/>
        <w:autoSpaceDN w:val="0"/>
        <w:adjustRightInd w:val="0"/>
        <w:ind w:left="480" w:hanging="480"/>
        <w:rPr>
          <w:rFonts w:cs="Times New Roman"/>
          <w:noProof/>
          <w:szCs w:val="22"/>
        </w:rPr>
      </w:pPr>
      <w:r w:rsidRPr="002A18A2">
        <w:rPr>
          <w:rFonts w:cs="Times New Roman"/>
          <w:noProof/>
          <w:szCs w:val="22"/>
        </w:rPr>
        <w:t xml:space="preserve">Langmead, B., &amp; Salzberg, S. L. (2012). Fast gapped-read alignment with Bowtie 2. </w:t>
      </w:r>
      <w:r w:rsidRPr="002A18A2">
        <w:rPr>
          <w:rFonts w:cs="Times New Roman"/>
          <w:i/>
          <w:iCs/>
          <w:noProof/>
          <w:szCs w:val="22"/>
        </w:rPr>
        <w:t>Nature Methods</w:t>
      </w:r>
      <w:r w:rsidRPr="002A18A2">
        <w:rPr>
          <w:rFonts w:cs="Times New Roman"/>
          <w:noProof/>
          <w:szCs w:val="22"/>
        </w:rPr>
        <w:t xml:space="preserve">, </w:t>
      </w:r>
      <w:r w:rsidRPr="002A18A2">
        <w:rPr>
          <w:rFonts w:cs="Times New Roman"/>
          <w:i/>
          <w:iCs/>
          <w:noProof/>
          <w:szCs w:val="22"/>
        </w:rPr>
        <w:t>9</w:t>
      </w:r>
      <w:r w:rsidRPr="002A18A2">
        <w:rPr>
          <w:rFonts w:cs="Times New Roman"/>
          <w:noProof/>
          <w:szCs w:val="22"/>
        </w:rPr>
        <w:t>(4), 357–359. https://doi.org/10.1038/nmeth.1923</w:t>
      </w:r>
    </w:p>
    <w:p w14:paraId="08777592" w14:textId="77777777" w:rsidR="00973759" w:rsidRPr="002A18A2" w:rsidRDefault="00973759" w:rsidP="002A18A2">
      <w:pPr>
        <w:widowControl w:val="0"/>
        <w:autoSpaceDE w:val="0"/>
        <w:autoSpaceDN w:val="0"/>
        <w:adjustRightInd w:val="0"/>
        <w:ind w:left="480" w:hanging="480"/>
        <w:rPr>
          <w:rFonts w:cs="Times New Roman"/>
          <w:noProof/>
          <w:szCs w:val="22"/>
        </w:rPr>
      </w:pPr>
      <w:r w:rsidRPr="002A18A2">
        <w:rPr>
          <w:rFonts w:cs="Times New Roman"/>
          <w:noProof/>
          <w:szCs w:val="22"/>
        </w:rPr>
        <w:t xml:space="preserve">Li, J., Xu, Y., Shan, Y., Pei, X., Yong, S., Liu, C., &amp; Yu, J. (2021). Assembly of the complete mitochondrial genome of an endemic plant, Scutellaria tsinyunensis, revealed the existence of two conformations generated by a repeat-mediated recombination. </w:t>
      </w:r>
      <w:r w:rsidRPr="002A18A2">
        <w:rPr>
          <w:rFonts w:cs="Times New Roman"/>
          <w:i/>
          <w:iCs/>
          <w:noProof/>
          <w:szCs w:val="22"/>
        </w:rPr>
        <w:t>Planta</w:t>
      </w:r>
      <w:r w:rsidRPr="002A18A2">
        <w:rPr>
          <w:rFonts w:cs="Times New Roman"/>
          <w:noProof/>
          <w:szCs w:val="22"/>
        </w:rPr>
        <w:t xml:space="preserve">, </w:t>
      </w:r>
      <w:r w:rsidRPr="002A18A2">
        <w:rPr>
          <w:rFonts w:cs="Times New Roman"/>
          <w:i/>
          <w:iCs/>
          <w:noProof/>
          <w:szCs w:val="22"/>
        </w:rPr>
        <w:t>254</w:t>
      </w:r>
      <w:r w:rsidRPr="002A18A2">
        <w:rPr>
          <w:rFonts w:cs="Times New Roman"/>
          <w:noProof/>
          <w:szCs w:val="22"/>
        </w:rPr>
        <w:t>(2), 1–16. https://doi.org/10.1007/s00425-021-03684-3</w:t>
      </w:r>
    </w:p>
    <w:p w14:paraId="69E62A58" w14:textId="77777777" w:rsidR="00973759" w:rsidRPr="002A18A2" w:rsidRDefault="00973759" w:rsidP="002A18A2">
      <w:pPr>
        <w:widowControl w:val="0"/>
        <w:autoSpaceDE w:val="0"/>
        <w:autoSpaceDN w:val="0"/>
        <w:adjustRightInd w:val="0"/>
        <w:ind w:left="480" w:hanging="480"/>
        <w:rPr>
          <w:rFonts w:cs="Times New Roman"/>
          <w:noProof/>
          <w:szCs w:val="22"/>
        </w:rPr>
      </w:pPr>
      <w:r w:rsidRPr="002A18A2">
        <w:rPr>
          <w:rFonts w:cs="Times New Roman"/>
          <w:noProof/>
          <w:szCs w:val="22"/>
        </w:rPr>
        <w:t xml:space="preserve">Maréchal, A., &amp; Brisson, N. (2010). Recombination and the maintenance of plant organelle genome stability. </w:t>
      </w:r>
      <w:r w:rsidRPr="002A18A2">
        <w:rPr>
          <w:rFonts w:cs="Times New Roman"/>
          <w:i/>
          <w:iCs/>
          <w:noProof/>
          <w:szCs w:val="22"/>
        </w:rPr>
        <w:t>New Phytologist</w:t>
      </w:r>
      <w:r w:rsidRPr="002A18A2">
        <w:rPr>
          <w:rFonts w:cs="Times New Roman"/>
          <w:noProof/>
          <w:szCs w:val="22"/>
        </w:rPr>
        <w:t xml:space="preserve">, </w:t>
      </w:r>
      <w:r w:rsidRPr="002A18A2">
        <w:rPr>
          <w:rFonts w:cs="Times New Roman"/>
          <w:i/>
          <w:iCs/>
          <w:noProof/>
          <w:szCs w:val="22"/>
        </w:rPr>
        <w:t>186</w:t>
      </w:r>
      <w:r w:rsidRPr="002A18A2">
        <w:rPr>
          <w:rFonts w:cs="Times New Roman"/>
          <w:noProof/>
          <w:szCs w:val="22"/>
        </w:rPr>
        <w:t>(2), 299–317. https://doi.org/10.1111/j.1469-8137.2010.03195.x</w:t>
      </w:r>
    </w:p>
    <w:p w14:paraId="3DF356AC" w14:textId="77777777" w:rsidR="00973759" w:rsidRPr="002A18A2" w:rsidRDefault="00973759" w:rsidP="002A18A2">
      <w:pPr>
        <w:widowControl w:val="0"/>
        <w:autoSpaceDE w:val="0"/>
        <w:autoSpaceDN w:val="0"/>
        <w:adjustRightInd w:val="0"/>
        <w:ind w:left="480" w:hanging="480"/>
        <w:rPr>
          <w:rFonts w:cs="Times New Roman"/>
          <w:noProof/>
          <w:szCs w:val="22"/>
        </w:rPr>
      </w:pPr>
      <w:r w:rsidRPr="002A18A2">
        <w:rPr>
          <w:rFonts w:cs="Times New Roman"/>
          <w:noProof/>
          <w:szCs w:val="22"/>
        </w:rPr>
        <w:t xml:space="preserve">Mayjonade, B., Gouzy, J., Donnadieu, C., Pouilly, N., Marande, W., Callot, C., … Muños, S. (2016). Extraction of high-molecular-weight genomic DNA for long-read sequencing of single molecules. </w:t>
      </w:r>
      <w:r w:rsidRPr="002A18A2">
        <w:rPr>
          <w:rFonts w:cs="Times New Roman"/>
          <w:i/>
          <w:iCs/>
          <w:noProof/>
          <w:szCs w:val="22"/>
        </w:rPr>
        <w:t>BioTechniques</w:t>
      </w:r>
      <w:r w:rsidRPr="002A18A2">
        <w:rPr>
          <w:rFonts w:cs="Times New Roman"/>
          <w:noProof/>
          <w:szCs w:val="22"/>
        </w:rPr>
        <w:t xml:space="preserve">, </w:t>
      </w:r>
      <w:r w:rsidRPr="002A18A2">
        <w:rPr>
          <w:rFonts w:cs="Times New Roman"/>
          <w:i/>
          <w:iCs/>
          <w:noProof/>
          <w:szCs w:val="22"/>
        </w:rPr>
        <w:t>61</w:t>
      </w:r>
      <w:r w:rsidRPr="002A18A2">
        <w:rPr>
          <w:rFonts w:cs="Times New Roman"/>
          <w:noProof/>
          <w:szCs w:val="22"/>
        </w:rPr>
        <w:t>(4), 203–205. https://doi.org/10.2144/000114460</w:t>
      </w:r>
    </w:p>
    <w:p w14:paraId="3B50E31F" w14:textId="77777777" w:rsidR="00973759" w:rsidRPr="002A18A2" w:rsidRDefault="00973759" w:rsidP="002A18A2">
      <w:pPr>
        <w:widowControl w:val="0"/>
        <w:autoSpaceDE w:val="0"/>
        <w:autoSpaceDN w:val="0"/>
        <w:adjustRightInd w:val="0"/>
        <w:ind w:left="480" w:hanging="480"/>
        <w:rPr>
          <w:rFonts w:cs="Times New Roman"/>
          <w:noProof/>
          <w:szCs w:val="22"/>
        </w:rPr>
      </w:pPr>
      <w:r w:rsidRPr="002A18A2">
        <w:rPr>
          <w:rFonts w:cs="Times New Roman"/>
          <w:noProof/>
          <w:szCs w:val="22"/>
        </w:rPr>
        <w:t xml:space="preserve">Minh, B. Q., Schmidt, H. A., Chernomor, O., Schrempf, D., Woodhams, M. D., Von Haeseler, A., … Teeling, E. (2020). IQ-TREE 2: New Models and Efficient Methods for Phylogenetic Inference in the Genomic Era. </w:t>
      </w:r>
      <w:r w:rsidRPr="002A18A2">
        <w:rPr>
          <w:rFonts w:cs="Times New Roman"/>
          <w:i/>
          <w:iCs/>
          <w:noProof/>
          <w:szCs w:val="22"/>
        </w:rPr>
        <w:t>Molecular Biology and Evolution</w:t>
      </w:r>
      <w:r w:rsidRPr="002A18A2">
        <w:rPr>
          <w:rFonts w:cs="Times New Roman"/>
          <w:noProof/>
          <w:szCs w:val="22"/>
        </w:rPr>
        <w:t xml:space="preserve">, </w:t>
      </w:r>
      <w:r w:rsidRPr="002A18A2">
        <w:rPr>
          <w:rFonts w:cs="Times New Roman"/>
          <w:i/>
          <w:iCs/>
          <w:noProof/>
          <w:szCs w:val="22"/>
        </w:rPr>
        <w:t>37</w:t>
      </w:r>
      <w:r w:rsidRPr="002A18A2">
        <w:rPr>
          <w:rFonts w:cs="Times New Roman"/>
          <w:noProof/>
          <w:szCs w:val="22"/>
        </w:rPr>
        <w:t>(5), 1530–1534. https://doi.org/10.1093/molbev/msaa015</w:t>
      </w:r>
    </w:p>
    <w:p w14:paraId="2925DF8D" w14:textId="77777777" w:rsidR="00973759" w:rsidRPr="002A18A2" w:rsidRDefault="00973759" w:rsidP="002A18A2">
      <w:pPr>
        <w:widowControl w:val="0"/>
        <w:autoSpaceDE w:val="0"/>
        <w:autoSpaceDN w:val="0"/>
        <w:adjustRightInd w:val="0"/>
        <w:ind w:left="480" w:hanging="480"/>
        <w:rPr>
          <w:rFonts w:cs="Times New Roman"/>
          <w:noProof/>
          <w:szCs w:val="22"/>
        </w:rPr>
      </w:pPr>
      <w:r w:rsidRPr="002A18A2">
        <w:rPr>
          <w:rFonts w:cs="Times New Roman"/>
          <w:noProof/>
          <w:szCs w:val="22"/>
        </w:rPr>
        <w:t xml:space="preserve">Mower, J. P. (2020). Variation in protein gene and intron content among land plant mitogenomes. </w:t>
      </w:r>
      <w:r w:rsidRPr="002A18A2">
        <w:rPr>
          <w:rFonts w:cs="Times New Roman"/>
          <w:i/>
          <w:iCs/>
          <w:noProof/>
          <w:szCs w:val="22"/>
        </w:rPr>
        <w:t>Mitochondrion</w:t>
      </w:r>
      <w:r w:rsidRPr="002A18A2">
        <w:rPr>
          <w:rFonts w:cs="Times New Roman"/>
          <w:noProof/>
          <w:szCs w:val="22"/>
        </w:rPr>
        <w:t xml:space="preserve">, </w:t>
      </w:r>
      <w:r w:rsidRPr="002A18A2">
        <w:rPr>
          <w:rFonts w:cs="Times New Roman"/>
          <w:i/>
          <w:iCs/>
          <w:noProof/>
          <w:szCs w:val="22"/>
        </w:rPr>
        <w:t>53</w:t>
      </w:r>
      <w:r w:rsidRPr="002A18A2">
        <w:rPr>
          <w:rFonts w:cs="Times New Roman"/>
          <w:noProof/>
          <w:szCs w:val="22"/>
        </w:rPr>
        <w:t>(May), 203–213. https://doi.org/10.1016/j.mito.2020.06.002</w:t>
      </w:r>
    </w:p>
    <w:p w14:paraId="2CFDDC0C" w14:textId="77777777" w:rsidR="00973759" w:rsidRPr="002A18A2" w:rsidRDefault="00973759" w:rsidP="002A18A2">
      <w:pPr>
        <w:widowControl w:val="0"/>
        <w:autoSpaceDE w:val="0"/>
        <w:autoSpaceDN w:val="0"/>
        <w:adjustRightInd w:val="0"/>
        <w:ind w:left="480" w:hanging="480"/>
        <w:rPr>
          <w:rFonts w:cs="Times New Roman"/>
          <w:noProof/>
          <w:szCs w:val="22"/>
        </w:rPr>
      </w:pPr>
      <w:r w:rsidRPr="002A18A2">
        <w:rPr>
          <w:rFonts w:cs="Times New Roman"/>
          <w:noProof/>
          <w:szCs w:val="22"/>
        </w:rPr>
        <w:t xml:space="preserve">Palmer, J. D. (1985). Comparative organization of chloroplast genomes. </w:t>
      </w:r>
      <w:r w:rsidRPr="002A18A2">
        <w:rPr>
          <w:rFonts w:cs="Times New Roman"/>
          <w:i/>
          <w:iCs/>
          <w:noProof/>
          <w:szCs w:val="22"/>
        </w:rPr>
        <w:t>Annual Review of Genetics</w:t>
      </w:r>
      <w:r w:rsidRPr="002A18A2">
        <w:rPr>
          <w:rFonts w:cs="Times New Roman"/>
          <w:noProof/>
          <w:szCs w:val="22"/>
        </w:rPr>
        <w:t xml:space="preserve">, </w:t>
      </w:r>
      <w:r w:rsidRPr="002A18A2">
        <w:rPr>
          <w:rFonts w:cs="Times New Roman"/>
          <w:i/>
          <w:iCs/>
          <w:noProof/>
          <w:szCs w:val="22"/>
        </w:rPr>
        <w:t>19</w:t>
      </w:r>
      <w:r w:rsidRPr="002A18A2">
        <w:rPr>
          <w:rFonts w:cs="Times New Roman"/>
          <w:noProof/>
          <w:szCs w:val="22"/>
        </w:rPr>
        <w:t>, 325–354. https://doi.org/10.1146/annurev.ge.19.120185.001545</w:t>
      </w:r>
    </w:p>
    <w:p w14:paraId="21EF7833" w14:textId="77777777" w:rsidR="00973759" w:rsidRPr="002A18A2" w:rsidRDefault="00973759" w:rsidP="002A18A2">
      <w:pPr>
        <w:widowControl w:val="0"/>
        <w:autoSpaceDE w:val="0"/>
        <w:autoSpaceDN w:val="0"/>
        <w:adjustRightInd w:val="0"/>
        <w:ind w:left="480" w:hanging="480"/>
        <w:rPr>
          <w:rFonts w:cs="Times New Roman"/>
          <w:noProof/>
          <w:szCs w:val="22"/>
        </w:rPr>
      </w:pPr>
      <w:r w:rsidRPr="002A18A2">
        <w:rPr>
          <w:rFonts w:cs="Times New Roman"/>
          <w:noProof/>
          <w:szCs w:val="22"/>
        </w:rPr>
        <w:t xml:space="preserve">Percy, D. M., Argus, G. W., Cronk, Q. C., Fazekas, A. J., Kesanakurti, P. R., Burgess, K. S., … Graham, S. W. (2014). Understanding the spectacular failure of DNA barcoding in willows (Salix): Does this result from a trans-specific selective sweep? </w:t>
      </w:r>
      <w:r w:rsidRPr="002A18A2">
        <w:rPr>
          <w:rFonts w:cs="Times New Roman"/>
          <w:i/>
          <w:iCs/>
          <w:noProof/>
          <w:szCs w:val="22"/>
        </w:rPr>
        <w:t>Molecular Ecology</w:t>
      </w:r>
      <w:r w:rsidRPr="002A18A2">
        <w:rPr>
          <w:rFonts w:cs="Times New Roman"/>
          <w:noProof/>
          <w:szCs w:val="22"/>
        </w:rPr>
        <w:t xml:space="preserve">, </w:t>
      </w:r>
      <w:r w:rsidRPr="002A18A2">
        <w:rPr>
          <w:rFonts w:cs="Times New Roman"/>
          <w:i/>
          <w:iCs/>
          <w:noProof/>
          <w:szCs w:val="22"/>
        </w:rPr>
        <w:t>23</w:t>
      </w:r>
      <w:r w:rsidRPr="002A18A2">
        <w:rPr>
          <w:rFonts w:cs="Times New Roman"/>
          <w:noProof/>
          <w:szCs w:val="22"/>
        </w:rPr>
        <w:t>(19), 4737–4756. https://doi.org/10.1111/mec.12837</w:t>
      </w:r>
    </w:p>
    <w:p w14:paraId="7AE30D12" w14:textId="77777777" w:rsidR="00973759" w:rsidRPr="002A18A2" w:rsidRDefault="00973759" w:rsidP="002A18A2">
      <w:pPr>
        <w:widowControl w:val="0"/>
        <w:autoSpaceDE w:val="0"/>
        <w:autoSpaceDN w:val="0"/>
        <w:adjustRightInd w:val="0"/>
        <w:ind w:left="480" w:hanging="480"/>
        <w:rPr>
          <w:rFonts w:cs="Times New Roman"/>
          <w:noProof/>
          <w:szCs w:val="22"/>
        </w:rPr>
      </w:pPr>
      <w:r w:rsidRPr="002A18A2">
        <w:rPr>
          <w:rFonts w:cs="Times New Roman"/>
          <w:noProof/>
          <w:szCs w:val="22"/>
        </w:rPr>
        <w:t xml:space="preserve">Pertea, M., Pertea, G. M., Antonescu, C. M., Chang, T. C., Mendell, J. T., &amp; Salzberg, S. L. (2015). StringTie enables improved reconstruction of a transcriptome from RNA-seq reads. </w:t>
      </w:r>
      <w:r w:rsidRPr="002A18A2">
        <w:rPr>
          <w:rFonts w:cs="Times New Roman"/>
          <w:i/>
          <w:iCs/>
          <w:noProof/>
          <w:szCs w:val="22"/>
        </w:rPr>
        <w:t>Nature Biotechnology</w:t>
      </w:r>
      <w:r w:rsidRPr="002A18A2">
        <w:rPr>
          <w:rFonts w:cs="Times New Roman"/>
          <w:noProof/>
          <w:szCs w:val="22"/>
        </w:rPr>
        <w:t xml:space="preserve">, </w:t>
      </w:r>
      <w:r w:rsidRPr="002A18A2">
        <w:rPr>
          <w:rFonts w:cs="Times New Roman"/>
          <w:i/>
          <w:iCs/>
          <w:noProof/>
          <w:szCs w:val="22"/>
        </w:rPr>
        <w:t>33</w:t>
      </w:r>
      <w:r w:rsidRPr="002A18A2">
        <w:rPr>
          <w:rFonts w:cs="Times New Roman"/>
          <w:noProof/>
          <w:szCs w:val="22"/>
        </w:rPr>
        <w:t>(3), 290–295. https://doi.org/10.1038/nbt.3122</w:t>
      </w:r>
    </w:p>
    <w:p w14:paraId="737975DB" w14:textId="77777777" w:rsidR="00973759" w:rsidRPr="002A18A2" w:rsidRDefault="00973759" w:rsidP="002A18A2">
      <w:pPr>
        <w:widowControl w:val="0"/>
        <w:autoSpaceDE w:val="0"/>
        <w:autoSpaceDN w:val="0"/>
        <w:adjustRightInd w:val="0"/>
        <w:ind w:left="480" w:hanging="480"/>
        <w:rPr>
          <w:rFonts w:cs="Times New Roman"/>
          <w:noProof/>
          <w:szCs w:val="22"/>
        </w:rPr>
      </w:pPr>
      <w:r w:rsidRPr="002A18A2">
        <w:rPr>
          <w:rFonts w:cs="Times New Roman"/>
          <w:noProof/>
          <w:szCs w:val="22"/>
        </w:rPr>
        <w:t>Powell, W., &amp; Barkley, N. (1996). Polymorphism revealed by simple sequence repeats Polymorphism revealed by simple sequence r e p e a t s w.</w:t>
      </w:r>
    </w:p>
    <w:p w14:paraId="15AB3864" w14:textId="77777777" w:rsidR="00973759" w:rsidRPr="002A18A2" w:rsidRDefault="00973759" w:rsidP="002A18A2">
      <w:pPr>
        <w:widowControl w:val="0"/>
        <w:autoSpaceDE w:val="0"/>
        <w:autoSpaceDN w:val="0"/>
        <w:adjustRightInd w:val="0"/>
        <w:ind w:left="480" w:hanging="480"/>
        <w:rPr>
          <w:rFonts w:cs="Times New Roman"/>
          <w:noProof/>
          <w:szCs w:val="22"/>
        </w:rPr>
      </w:pPr>
      <w:r w:rsidRPr="002A18A2">
        <w:rPr>
          <w:rFonts w:cs="Times New Roman"/>
          <w:noProof/>
          <w:szCs w:val="22"/>
        </w:rPr>
        <w:t xml:space="preserve">Sloan, D. B. (2013). One ring to rule them all? Genome sequencing provides new insights into the “master circle” model of plant mitochondrial DNA structure. </w:t>
      </w:r>
      <w:r w:rsidRPr="002A18A2">
        <w:rPr>
          <w:rFonts w:cs="Times New Roman"/>
          <w:i/>
          <w:iCs/>
          <w:noProof/>
          <w:szCs w:val="22"/>
        </w:rPr>
        <w:t>New Phytologist</w:t>
      </w:r>
      <w:r w:rsidRPr="002A18A2">
        <w:rPr>
          <w:rFonts w:cs="Times New Roman"/>
          <w:noProof/>
          <w:szCs w:val="22"/>
        </w:rPr>
        <w:t xml:space="preserve">, </w:t>
      </w:r>
      <w:r w:rsidRPr="002A18A2">
        <w:rPr>
          <w:rFonts w:cs="Times New Roman"/>
          <w:i/>
          <w:iCs/>
          <w:noProof/>
          <w:szCs w:val="22"/>
        </w:rPr>
        <w:t>200</w:t>
      </w:r>
      <w:r w:rsidRPr="002A18A2">
        <w:rPr>
          <w:rFonts w:cs="Times New Roman"/>
          <w:noProof/>
          <w:szCs w:val="22"/>
        </w:rPr>
        <w:t>(4), 978–985. https://doi.org/10.1111/nph.12395</w:t>
      </w:r>
    </w:p>
    <w:p w14:paraId="649F021B" w14:textId="77777777" w:rsidR="00973759" w:rsidRPr="002A18A2" w:rsidRDefault="00973759" w:rsidP="002A18A2">
      <w:pPr>
        <w:widowControl w:val="0"/>
        <w:autoSpaceDE w:val="0"/>
        <w:autoSpaceDN w:val="0"/>
        <w:adjustRightInd w:val="0"/>
        <w:ind w:left="480" w:hanging="480"/>
        <w:rPr>
          <w:rFonts w:cs="Times New Roman"/>
          <w:noProof/>
          <w:szCs w:val="22"/>
        </w:rPr>
      </w:pPr>
      <w:r w:rsidRPr="002A18A2">
        <w:rPr>
          <w:rFonts w:cs="Times New Roman"/>
          <w:noProof/>
          <w:szCs w:val="22"/>
        </w:rPr>
        <w:t xml:space="preserve">Staub, J. M., &amp; Maliga, P. (1994). Extrachromosomal elements in tobacco plastids. </w:t>
      </w:r>
      <w:r w:rsidRPr="002A18A2">
        <w:rPr>
          <w:rFonts w:cs="Times New Roman"/>
          <w:i/>
          <w:iCs/>
          <w:noProof/>
          <w:szCs w:val="22"/>
        </w:rPr>
        <w:t>Proceedings of the National Academy of Sciences of the United States of America</w:t>
      </w:r>
      <w:r w:rsidRPr="002A18A2">
        <w:rPr>
          <w:rFonts w:cs="Times New Roman"/>
          <w:noProof/>
          <w:szCs w:val="22"/>
        </w:rPr>
        <w:t xml:space="preserve">, </w:t>
      </w:r>
      <w:r w:rsidRPr="002A18A2">
        <w:rPr>
          <w:rFonts w:cs="Times New Roman"/>
          <w:i/>
          <w:iCs/>
          <w:noProof/>
          <w:szCs w:val="22"/>
        </w:rPr>
        <w:t>91</w:t>
      </w:r>
      <w:r w:rsidRPr="002A18A2">
        <w:rPr>
          <w:rFonts w:cs="Times New Roman"/>
          <w:noProof/>
          <w:szCs w:val="22"/>
        </w:rPr>
        <w:t>(16), 7468–7472. https://doi.org/10.1073/pnas.91.16.7468</w:t>
      </w:r>
    </w:p>
    <w:p w14:paraId="4320C556" w14:textId="77777777" w:rsidR="00973759" w:rsidRPr="002A18A2" w:rsidRDefault="00973759" w:rsidP="002A18A2">
      <w:pPr>
        <w:widowControl w:val="0"/>
        <w:autoSpaceDE w:val="0"/>
        <w:autoSpaceDN w:val="0"/>
        <w:adjustRightInd w:val="0"/>
        <w:ind w:left="480" w:hanging="480"/>
        <w:rPr>
          <w:rFonts w:cs="Times New Roman"/>
          <w:noProof/>
          <w:szCs w:val="22"/>
        </w:rPr>
      </w:pPr>
      <w:r w:rsidRPr="002A18A2">
        <w:rPr>
          <w:rFonts w:cs="Times New Roman"/>
          <w:noProof/>
          <w:szCs w:val="22"/>
        </w:rPr>
        <w:t xml:space="preserve">Sullivan, A. R., Eldfjell, Y., Schiffthaler, B., Delhomme, N., Asp, T., Hebelstrup, K. H., … Wang, X. R. (2019). The Mitogenome of Norway Spruce and a Reappraisal of Mitochondrial Recombination in Plants. </w:t>
      </w:r>
      <w:r w:rsidRPr="002A18A2">
        <w:rPr>
          <w:rFonts w:cs="Times New Roman"/>
          <w:i/>
          <w:iCs/>
          <w:noProof/>
          <w:szCs w:val="22"/>
        </w:rPr>
        <w:t>Genome Biology and Evolution</w:t>
      </w:r>
      <w:r w:rsidRPr="002A18A2">
        <w:rPr>
          <w:rFonts w:cs="Times New Roman"/>
          <w:noProof/>
          <w:szCs w:val="22"/>
        </w:rPr>
        <w:t xml:space="preserve">, </w:t>
      </w:r>
      <w:r w:rsidRPr="002A18A2">
        <w:rPr>
          <w:rFonts w:cs="Times New Roman"/>
          <w:i/>
          <w:iCs/>
          <w:noProof/>
          <w:szCs w:val="22"/>
        </w:rPr>
        <w:t>12</w:t>
      </w:r>
      <w:r w:rsidRPr="002A18A2">
        <w:rPr>
          <w:rFonts w:cs="Times New Roman"/>
          <w:noProof/>
          <w:szCs w:val="22"/>
        </w:rPr>
        <w:t>(1), 3586–3598. https://doi.org/10.1093/gbe/evz263</w:t>
      </w:r>
    </w:p>
    <w:p w14:paraId="5B3F53ED" w14:textId="77777777" w:rsidR="00973759" w:rsidRPr="002A18A2" w:rsidRDefault="00973759" w:rsidP="002A18A2">
      <w:pPr>
        <w:widowControl w:val="0"/>
        <w:autoSpaceDE w:val="0"/>
        <w:autoSpaceDN w:val="0"/>
        <w:adjustRightInd w:val="0"/>
        <w:ind w:left="480" w:hanging="480"/>
        <w:rPr>
          <w:rFonts w:cs="Times New Roman"/>
          <w:noProof/>
          <w:szCs w:val="22"/>
        </w:rPr>
      </w:pPr>
      <w:r w:rsidRPr="002A18A2">
        <w:rPr>
          <w:rFonts w:cs="Times New Roman"/>
          <w:noProof/>
          <w:szCs w:val="22"/>
        </w:rPr>
        <w:t xml:space="preserve">Suyama, M., Torrents, D., &amp; Bork, P. (2006). PAL2NAL: Robust conversion of protein sequence alignments into the corresponding codon alignments. </w:t>
      </w:r>
      <w:r w:rsidRPr="002A18A2">
        <w:rPr>
          <w:rFonts w:cs="Times New Roman"/>
          <w:i/>
          <w:iCs/>
          <w:noProof/>
          <w:szCs w:val="22"/>
        </w:rPr>
        <w:t>Nucleic Acids Research</w:t>
      </w:r>
      <w:r w:rsidRPr="002A18A2">
        <w:rPr>
          <w:rFonts w:cs="Times New Roman"/>
          <w:noProof/>
          <w:szCs w:val="22"/>
        </w:rPr>
        <w:t xml:space="preserve">, </w:t>
      </w:r>
      <w:r w:rsidRPr="002A18A2">
        <w:rPr>
          <w:rFonts w:cs="Times New Roman"/>
          <w:i/>
          <w:iCs/>
          <w:noProof/>
          <w:szCs w:val="22"/>
        </w:rPr>
        <w:t>34</w:t>
      </w:r>
      <w:r w:rsidRPr="002A18A2">
        <w:rPr>
          <w:rFonts w:cs="Times New Roman"/>
          <w:noProof/>
          <w:szCs w:val="22"/>
        </w:rPr>
        <w:t>(WEB. SERV. ISS.), 609–612. https://doi.org/10.1093/nar/gkl315</w:t>
      </w:r>
    </w:p>
    <w:p w14:paraId="27838337" w14:textId="77777777" w:rsidR="00973759" w:rsidRPr="002A18A2" w:rsidRDefault="00973759" w:rsidP="002A18A2">
      <w:pPr>
        <w:widowControl w:val="0"/>
        <w:autoSpaceDE w:val="0"/>
        <w:autoSpaceDN w:val="0"/>
        <w:adjustRightInd w:val="0"/>
        <w:ind w:left="480" w:hanging="480"/>
        <w:rPr>
          <w:rFonts w:cs="Times New Roman"/>
          <w:noProof/>
          <w:szCs w:val="22"/>
        </w:rPr>
      </w:pPr>
      <w:r w:rsidRPr="002A18A2">
        <w:rPr>
          <w:rFonts w:cs="Times New Roman"/>
          <w:noProof/>
          <w:szCs w:val="22"/>
        </w:rPr>
        <w:lastRenderedPageBreak/>
        <w:t xml:space="preserve">Thiel, T., Michalek, W., Varshney, R. K., &amp; Graner, A. (2003). Exploiting EST databases for the development and characterization of gene-derived SSR-markers in barley (Hordeum vulgare L.). </w:t>
      </w:r>
      <w:r w:rsidRPr="002A18A2">
        <w:rPr>
          <w:rFonts w:cs="Times New Roman"/>
          <w:i/>
          <w:iCs/>
          <w:noProof/>
          <w:szCs w:val="22"/>
        </w:rPr>
        <w:t>Theoretical and Applied Genetics</w:t>
      </w:r>
      <w:r w:rsidRPr="002A18A2">
        <w:rPr>
          <w:rFonts w:cs="Times New Roman"/>
          <w:noProof/>
          <w:szCs w:val="22"/>
        </w:rPr>
        <w:t xml:space="preserve">, </w:t>
      </w:r>
      <w:r w:rsidRPr="002A18A2">
        <w:rPr>
          <w:rFonts w:cs="Times New Roman"/>
          <w:i/>
          <w:iCs/>
          <w:noProof/>
          <w:szCs w:val="22"/>
        </w:rPr>
        <w:t>106</w:t>
      </w:r>
      <w:r w:rsidRPr="002A18A2">
        <w:rPr>
          <w:rFonts w:cs="Times New Roman"/>
          <w:noProof/>
          <w:szCs w:val="22"/>
        </w:rPr>
        <w:t>(3), 411–422. https://doi.org/10.1007/s00122-002-1031-0</w:t>
      </w:r>
    </w:p>
    <w:p w14:paraId="7B4D9FD5" w14:textId="77777777" w:rsidR="00973759" w:rsidRPr="002A18A2" w:rsidRDefault="00973759" w:rsidP="002A18A2">
      <w:pPr>
        <w:widowControl w:val="0"/>
        <w:autoSpaceDE w:val="0"/>
        <w:autoSpaceDN w:val="0"/>
        <w:adjustRightInd w:val="0"/>
        <w:ind w:left="480" w:hanging="480"/>
        <w:rPr>
          <w:rFonts w:cs="Times New Roman"/>
          <w:noProof/>
          <w:szCs w:val="22"/>
        </w:rPr>
      </w:pPr>
      <w:r w:rsidRPr="002A18A2">
        <w:rPr>
          <w:rFonts w:cs="Times New Roman"/>
          <w:noProof/>
          <w:szCs w:val="22"/>
        </w:rPr>
        <w:t xml:space="preserve">Tillich, M., Lehwark, P., Pellizzer, T., Ulbricht-Jones, E. S., Fischer, A., Bock, R., &amp; Greiner, S. (2017). GeSeq - Versatile and accurate annotation of organelle genomes. </w:t>
      </w:r>
      <w:r w:rsidRPr="002A18A2">
        <w:rPr>
          <w:rFonts w:cs="Times New Roman"/>
          <w:i/>
          <w:iCs/>
          <w:noProof/>
          <w:szCs w:val="22"/>
        </w:rPr>
        <w:t>Nucleic Acids Research</w:t>
      </w:r>
      <w:r w:rsidRPr="002A18A2">
        <w:rPr>
          <w:rFonts w:cs="Times New Roman"/>
          <w:noProof/>
          <w:szCs w:val="22"/>
        </w:rPr>
        <w:t xml:space="preserve">, </w:t>
      </w:r>
      <w:r w:rsidRPr="002A18A2">
        <w:rPr>
          <w:rFonts w:cs="Times New Roman"/>
          <w:i/>
          <w:iCs/>
          <w:noProof/>
          <w:szCs w:val="22"/>
        </w:rPr>
        <w:t>45</w:t>
      </w:r>
      <w:r w:rsidRPr="002A18A2">
        <w:rPr>
          <w:rFonts w:cs="Times New Roman"/>
          <w:noProof/>
          <w:szCs w:val="22"/>
        </w:rPr>
        <w:t>(W1), W6–W11. https://doi.org/10.1093/nar/gkx391</w:t>
      </w:r>
    </w:p>
    <w:p w14:paraId="6BF999D3" w14:textId="77777777" w:rsidR="00973759" w:rsidRPr="002A18A2" w:rsidRDefault="00973759" w:rsidP="002A18A2">
      <w:pPr>
        <w:widowControl w:val="0"/>
        <w:autoSpaceDE w:val="0"/>
        <w:autoSpaceDN w:val="0"/>
        <w:adjustRightInd w:val="0"/>
        <w:ind w:left="480" w:hanging="480"/>
        <w:rPr>
          <w:rFonts w:cs="Times New Roman"/>
          <w:noProof/>
          <w:szCs w:val="22"/>
        </w:rPr>
      </w:pPr>
      <w:r w:rsidRPr="002A18A2">
        <w:rPr>
          <w:rFonts w:cs="Times New Roman"/>
          <w:noProof/>
          <w:szCs w:val="22"/>
        </w:rPr>
        <w:t xml:space="preserve">Wagner, N. D., Volf, M., &amp; Hörandl, E. (2021). Highly Diverse Shrub Willows (Salix L.) Share Highly Similar Plastomes. </w:t>
      </w:r>
      <w:r w:rsidRPr="002A18A2">
        <w:rPr>
          <w:rFonts w:cs="Times New Roman"/>
          <w:i/>
          <w:iCs/>
          <w:noProof/>
          <w:szCs w:val="22"/>
        </w:rPr>
        <w:t>Frontiers in Plant Science</w:t>
      </w:r>
      <w:r w:rsidRPr="002A18A2">
        <w:rPr>
          <w:rFonts w:cs="Times New Roman"/>
          <w:noProof/>
          <w:szCs w:val="22"/>
        </w:rPr>
        <w:t xml:space="preserve">, </w:t>
      </w:r>
      <w:r w:rsidRPr="002A18A2">
        <w:rPr>
          <w:rFonts w:cs="Times New Roman"/>
          <w:i/>
          <w:iCs/>
          <w:noProof/>
          <w:szCs w:val="22"/>
        </w:rPr>
        <w:t>12</w:t>
      </w:r>
      <w:r w:rsidRPr="002A18A2">
        <w:rPr>
          <w:rFonts w:cs="Times New Roman"/>
          <w:noProof/>
          <w:szCs w:val="22"/>
        </w:rPr>
        <w:t>(September). https://doi.org/10.3389/fpls.2021.662715</w:t>
      </w:r>
    </w:p>
    <w:p w14:paraId="618F1FC6" w14:textId="77777777" w:rsidR="00973759" w:rsidRPr="002A18A2" w:rsidRDefault="00973759" w:rsidP="002A18A2">
      <w:pPr>
        <w:widowControl w:val="0"/>
        <w:autoSpaceDE w:val="0"/>
        <w:autoSpaceDN w:val="0"/>
        <w:adjustRightInd w:val="0"/>
        <w:ind w:left="480" w:hanging="480"/>
        <w:rPr>
          <w:rFonts w:cs="Times New Roman"/>
          <w:noProof/>
          <w:szCs w:val="22"/>
        </w:rPr>
      </w:pPr>
      <w:r w:rsidRPr="002A18A2">
        <w:rPr>
          <w:rFonts w:cs="Times New Roman"/>
          <w:noProof/>
          <w:szCs w:val="22"/>
        </w:rPr>
        <w:t xml:space="preserve">Wang, D., Zhang, Y., Zhang, Z., Zhu, J., &amp; Yu, J. (2010). KaKs_Calculator 2.0: A Toolkit Incorporating Gamma-Series Methods and Sliding Window Strategies. </w:t>
      </w:r>
      <w:r w:rsidRPr="002A18A2">
        <w:rPr>
          <w:rFonts w:cs="Times New Roman"/>
          <w:i/>
          <w:iCs/>
          <w:noProof/>
          <w:szCs w:val="22"/>
        </w:rPr>
        <w:t>Genomics, Proteomics and Bioinformatics</w:t>
      </w:r>
      <w:r w:rsidRPr="002A18A2">
        <w:rPr>
          <w:rFonts w:cs="Times New Roman"/>
          <w:noProof/>
          <w:szCs w:val="22"/>
        </w:rPr>
        <w:t xml:space="preserve">, </w:t>
      </w:r>
      <w:r w:rsidRPr="002A18A2">
        <w:rPr>
          <w:rFonts w:cs="Times New Roman"/>
          <w:i/>
          <w:iCs/>
          <w:noProof/>
          <w:szCs w:val="22"/>
        </w:rPr>
        <w:t>8</w:t>
      </w:r>
      <w:r w:rsidRPr="002A18A2">
        <w:rPr>
          <w:rFonts w:cs="Times New Roman"/>
          <w:noProof/>
          <w:szCs w:val="22"/>
        </w:rPr>
        <w:t>(1), 77–80. https://doi.org/10.1016/S1672-0229(10)60008-3</w:t>
      </w:r>
    </w:p>
    <w:p w14:paraId="4AC2CCF7" w14:textId="77777777" w:rsidR="00973759" w:rsidRPr="002A18A2" w:rsidRDefault="00973759" w:rsidP="002A18A2">
      <w:pPr>
        <w:widowControl w:val="0"/>
        <w:autoSpaceDE w:val="0"/>
        <w:autoSpaceDN w:val="0"/>
        <w:adjustRightInd w:val="0"/>
        <w:ind w:left="480" w:hanging="480"/>
        <w:rPr>
          <w:rFonts w:cs="Times New Roman"/>
          <w:noProof/>
          <w:szCs w:val="22"/>
        </w:rPr>
      </w:pPr>
      <w:r w:rsidRPr="002A18A2">
        <w:rPr>
          <w:rFonts w:cs="Times New Roman"/>
          <w:noProof/>
          <w:szCs w:val="22"/>
        </w:rPr>
        <w:t xml:space="preserve">Wang, S., Song, Q., Li, S., Hu, Z., Dong, G., Song, C., … Liu, Y. (2018). Assembly of a complete mitogenome of chrysanthemum nankingense using oxford nanopore long reads and the diversity and evolution of asteraceae mitogenomes. </w:t>
      </w:r>
      <w:r w:rsidRPr="002A18A2">
        <w:rPr>
          <w:rFonts w:cs="Times New Roman"/>
          <w:i/>
          <w:iCs/>
          <w:noProof/>
          <w:szCs w:val="22"/>
        </w:rPr>
        <w:t>Genes</w:t>
      </w:r>
      <w:r w:rsidRPr="002A18A2">
        <w:rPr>
          <w:rFonts w:cs="Times New Roman"/>
          <w:noProof/>
          <w:szCs w:val="22"/>
        </w:rPr>
        <w:t xml:space="preserve">, </w:t>
      </w:r>
      <w:r w:rsidRPr="002A18A2">
        <w:rPr>
          <w:rFonts w:cs="Times New Roman"/>
          <w:i/>
          <w:iCs/>
          <w:noProof/>
          <w:szCs w:val="22"/>
        </w:rPr>
        <w:t>9</w:t>
      </w:r>
      <w:r w:rsidRPr="002A18A2">
        <w:rPr>
          <w:rFonts w:cs="Times New Roman"/>
          <w:noProof/>
          <w:szCs w:val="22"/>
        </w:rPr>
        <w:t>(11). https://doi.org/10.3390/genes9110547</w:t>
      </w:r>
    </w:p>
    <w:p w14:paraId="2E3DF7FF" w14:textId="77777777" w:rsidR="00973759" w:rsidRPr="002A18A2" w:rsidRDefault="00973759" w:rsidP="002A18A2">
      <w:pPr>
        <w:widowControl w:val="0"/>
        <w:autoSpaceDE w:val="0"/>
        <w:autoSpaceDN w:val="0"/>
        <w:adjustRightInd w:val="0"/>
        <w:ind w:left="480" w:hanging="480"/>
        <w:rPr>
          <w:rFonts w:cs="Times New Roman"/>
          <w:noProof/>
          <w:szCs w:val="22"/>
        </w:rPr>
      </w:pPr>
      <w:r w:rsidRPr="002A18A2">
        <w:rPr>
          <w:rFonts w:cs="Times New Roman"/>
          <w:noProof/>
          <w:szCs w:val="22"/>
        </w:rPr>
        <w:t xml:space="preserve">Wick, R. R., Judd, L. M., Gorrie, C. L., &amp; Holt, K. E. (2017). Unicycler: Resolving bacterial genome assemblies from short and long sequencing reads. </w:t>
      </w:r>
      <w:r w:rsidRPr="002A18A2">
        <w:rPr>
          <w:rFonts w:cs="Times New Roman"/>
          <w:i/>
          <w:iCs/>
          <w:noProof/>
          <w:szCs w:val="22"/>
        </w:rPr>
        <w:t>PLoS Computational Biology</w:t>
      </w:r>
      <w:r w:rsidRPr="002A18A2">
        <w:rPr>
          <w:rFonts w:cs="Times New Roman"/>
          <w:noProof/>
          <w:szCs w:val="22"/>
        </w:rPr>
        <w:t xml:space="preserve">, </w:t>
      </w:r>
      <w:r w:rsidRPr="002A18A2">
        <w:rPr>
          <w:rFonts w:cs="Times New Roman"/>
          <w:i/>
          <w:iCs/>
          <w:noProof/>
          <w:szCs w:val="22"/>
        </w:rPr>
        <w:t>13</w:t>
      </w:r>
      <w:r w:rsidRPr="002A18A2">
        <w:rPr>
          <w:rFonts w:cs="Times New Roman"/>
          <w:noProof/>
          <w:szCs w:val="22"/>
        </w:rPr>
        <w:t>(6), 1–22. https://doi.org/10.1371/journal.pcbi.1005595</w:t>
      </w:r>
    </w:p>
    <w:p w14:paraId="1A5FCA6E" w14:textId="77777777" w:rsidR="00973759" w:rsidRPr="002A18A2" w:rsidRDefault="00973759" w:rsidP="002A18A2">
      <w:pPr>
        <w:widowControl w:val="0"/>
        <w:autoSpaceDE w:val="0"/>
        <w:autoSpaceDN w:val="0"/>
        <w:adjustRightInd w:val="0"/>
        <w:ind w:left="480" w:hanging="480"/>
        <w:rPr>
          <w:rFonts w:cs="Times New Roman"/>
          <w:noProof/>
          <w:szCs w:val="22"/>
        </w:rPr>
      </w:pPr>
      <w:r w:rsidRPr="002A18A2">
        <w:rPr>
          <w:rFonts w:cs="Times New Roman"/>
          <w:noProof/>
          <w:szCs w:val="22"/>
        </w:rPr>
        <w:t xml:space="preserve">Woloszynska, M. (2010). Heteroplasmy and stoichiometric complexity of plant mitochondrial genomes-though this be madness, yet there’s method in’t. </w:t>
      </w:r>
      <w:r w:rsidRPr="002A18A2">
        <w:rPr>
          <w:rFonts w:cs="Times New Roman"/>
          <w:i/>
          <w:iCs/>
          <w:noProof/>
          <w:szCs w:val="22"/>
        </w:rPr>
        <w:t>Journal of Experimental Botany</w:t>
      </w:r>
      <w:r w:rsidRPr="002A18A2">
        <w:rPr>
          <w:rFonts w:cs="Times New Roman"/>
          <w:noProof/>
          <w:szCs w:val="22"/>
        </w:rPr>
        <w:t xml:space="preserve">, </w:t>
      </w:r>
      <w:r w:rsidRPr="002A18A2">
        <w:rPr>
          <w:rFonts w:cs="Times New Roman"/>
          <w:i/>
          <w:iCs/>
          <w:noProof/>
          <w:szCs w:val="22"/>
        </w:rPr>
        <w:t>61</w:t>
      </w:r>
      <w:r w:rsidRPr="002A18A2">
        <w:rPr>
          <w:rFonts w:cs="Times New Roman"/>
          <w:noProof/>
          <w:szCs w:val="22"/>
        </w:rPr>
        <w:t>(3), 657–671. https://doi.org/10.1093/jxb/erp361</w:t>
      </w:r>
    </w:p>
    <w:p w14:paraId="67E59ACD" w14:textId="77777777" w:rsidR="00973759" w:rsidRPr="002A18A2" w:rsidRDefault="00973759" w:rsidP="002A18A2">
      <w:pPr>
        <w:widowControl w:val="0"/>
        <w:autoSpaceDE w:val="0"/>
        <w:autoSpaceDN w:val="0"/>
        <w:adjustRightInd w:val="0"/>
        <w:ind w:left="480" w:hanging="480"/>
        <w:rPr>
          <w:rFonts w:cs="Times New Roman"/>
          <w:noProof/>
          <w:szCs w:val="22"/>
        </w:rPr>
      </w:pPr>
      <w:r w:rsidRPr="002A18A2">
        <w:rPr>
          <w:rFonts w:cs="Times New Roman"/>
          <w:noProof/>
          <w:szCs w:val="22"/>
        </w:rPr>
        <w:t xml:space="preserve">Ye, N., Wang, X., Li, J., Bi, C., Xu, Y., Wu, D., &amp; Ye, Q. (2017). Assembly and comparative analysis of complete mitochondrial genome sequence of an economic plant Salix suchowensis. </w:t>
      </w:r>
      <w:r w:rsidRPr="002A18A2">
        <w:rPr>
          <w:rFonts w:cs="Times New Roman"/>
          <w:i/>
          <w:iCs/>
          <w:noProof/>
          <w:szCs w:val="22"/>
        </w:rPr>
        <w:t>PeerJ</w:t>
      </w:r>
      <w:r w:rsidRPr="002A18A2">
        <w:rPr>
          <w:rFonts w:cs="Times New Roman"/>
          <w:noProof/>
          <w:szCs w:val="22"/>
        </w:rPr>
        <w:t xml:space="preserve">, </w:t>
      </w:r>
      <w:r w:rsidRPr="002A18A2">
        <w:rPr>
          <w:rFonts w:cs="Times New Roman"/>
          <w:i/>
          <w:iCs/>
          <w:noProof/>
          <w:szCs w:val="22"/>
        </w:rPr>
        <w:t>2017</w:t>
      </w:r>
      <w:r w:rsidRPr="002A18A2">
        <w:rPr>
          <w:rFonts w:cs="Times New Roman"/>
          <w:noProof/>
          <w:szCs w:val="22"/>
        </w:rPr>
        <w:t>(3). https://doi.org/10.7717/peerj.3148</w:t>
      </w:r>
    </w:p>
    <w:p w14:paraId="6E709731" w14:textId="77777777" w:rsidR="00973759" w:rsidRPr="002A18A2" w:rsidRDefault="00973759" w:rsidP="002A18A2">
      <w:pPr>
        <w:widowControl w:val="0"/>
        <w:autoSpaceDE w:val="0"/>
        <w:autoSpaceDN w:val="0"/>
        <w:adjustRightInd w:val="0"/>
        <w:ind w:left="480" w:hanging="480"/>
        <w:rPr>
          <w:rFonts w:cs="Times New Roman"/>
          <w:noProof/>
          <w:szCs w:val="22"/>
        </w:rPr>
      </w:pPr>
      <w:r w:rsidRPr="002A18A2">
        <w:rPr>
          <w:rFonts w:cs="Times New Roman"/>
          <w:noProof/>
          <w:szCs w:val="22"/>
        </w:rPr>
        <w:t xml:space="preserve">Yu, G., Smith, D. K., Zhu, H., Guan, Y., &amp; Lam, T. T. Y. (2017). Ggtree: an R Package for Visualization and Annotation of Phylogenetic Trees With Their Covariates and Other Associated Data. </w:t>
      </w:r>
      <w:r w:rsidRPr="002A18A2">
        <w:rPr>
          <w:rFonts w:cs="Times New Roman"/>
          <w:i/>
          <w:iCs/>
          <w:noProof/>
          <w:szCs w:val="22"/>
        </w:rPr>
        <w:t>Methods in Ecology and Evolution</w:t>
      </w:r>
      <w:r w:rsidRPr="002A18A2">
        <w:rPr>
          <w:rFonts w:cs="Times New Roman"/>
          <w:noProof/>
          <w:szCs w:val="22"/>
        </w:rPr>
        <w:t xml:space="preserve">, </w:t>
      </w:r>
      <w:r w:rsidRPr="002A18A2">
        <w:rPr>
          <w:rFonts w:cs="Times New Roman"/>
          <w:i/>
          <w:iCs/>
          <w:noProof/>
          <w:szCs w:val="22"/>
        </w:rPr>
        <w:t>8</w:t>
      </w:r>
      <w:r w:rsidRPr="002A18A2">
        <w:rPr>
          <w:rFonts w:cs="Times New Roman"/>
          <w:noProof/>
          <w:szCs w:val="22"/>
        </w:rPr>
        <w:t>(1), 28–36. https://doi.org/10.1111/2041-210X.12628</w:t>
      </w:r>
    </w:p>
    <w:p w14:paraId="70652224" w14:textId="77777777" w:rsidR="00973759" w:rsidRPr="002A18A2" w:rsidRDefault="00973759" w:rsidP="002A18A2">
      <w:pPr>
        <w:widowControl w:val="0"/>
        <w:autoSpaceDE w:val="0"/>
        <w:autoSpaceDN w:val="0"/>
        <w:adjustRightInd w:val="0"/>
        <w:ind w:left="480" w:hanging="480"/>
        <w:rPr>
          <w:rFonts w:cs="Times New Roman"/>
          <w:noProof/>
          <w:szCs w:val="22"/>
        </w:rPr>
      </w:pPr>
      <w:r w:rsidRPr="002A18A2">
        <w:rPr>
          <w:rFonts w:cs="Times New Roman"/>
          <w:noProof/>
          <w:szCs w:val="22"/>
        </w:rPr>
        <w:t xml:space="preserve">Zhang, J., Yang, Y., Zheng, K., Xie, M., Feng, K., Jawdy, S. S., … Muchero, W. (2018). Genome-wide association studies and expression-based quantitative trait loci analyses reveal roles of HCT2 in caffeoylquinic acid biosynthesis and its regulation by defense-responsive transcription factors in Populus. </w:t>
      </w:r>
      <w:r w:rsidRPr="002A18A2">
        <w:rPr>
          <w:rFonts w:cs="Times New Roman"/>
          <w:i/>
          <w:iCs/>
          <w:noProof/>
          <w:szCs w:val="22"/>
        </w:rPr>
        <w:t>New Phytologist</w:t>
      </w:r>
      <w:r w:rsidRPr="002A18A2">
        <w:rPr>
          <w:rFonts w:cs="Times New Roman"/>
          <w:noProof/>
          <w:szCs w:val="22"/>
        </w:rPr>
        <w:t xml:space="preserve">, </w:t>
      </w:r>
      <w:r w:rsidRPr="002A18A2">
        <w:rPr>
          <w:rFonts w:cs="Times New Roman"/>
          <w:i/>
          <w:iCs/>
          <w:noProof/>
          <w:szCs w:val="22"/>
        </w:rPr>
        <w:t>220</w:t>
      </w:r>
      <w:r w:rsidRPr="002A18A2">
        <w:rPr>
          <w:rFonts w:cs="Times New Roman"/>
          <w:noProof/>
          <w:szCs w:val="22"/>
        </w:rPr>
        <w:t>(2), 502–516. https://doi.org/10.1111/nph.15297</w:t>
      </w:r>
    </w:p>
    <w:p w14:paraId="72DBBC48" w14:textId="77777777" w:rsidR="00973759" w:rsidRPr="002A18A2" w:rsidRDefault="00973759" w:rsidP="002A18A2">
      <w:pPr>
        <w:widowControl w:val="0"/>
        <w:autoSpaceDE w:val="0"/>
        <w:autoSpaceDN w:val="0"/>
        <w:adjustRightInd w:val="0"/>
        <w:ind w:left="480" w:hanging="480"/>
        <w:rPr>
          <w:rFonts w:cs="Times New Roman"/>
          <w:noProof/>
          <w:szCs w:val="22"/>
        </w:rPr>
      </w:pPr>
      <w:r w:rsidRPr="002A18A2">
        <w:rPr>
          <w:rFonts w:cs="Times New Roman"/>
          <w:noProof/>
          <w:szCs w:val="22"/>
        </w:rPr>
        <w:t xml:space="preserve">Zhou, J., Jiao, Z., Guo, J., Wang, B. song, &amp; Zheng, J. (2021). Complete chloroplast genome sequencing of five Salix species and its application in the phylogeny and taxonomy of the genus. </w:t>
      </w:r>
      <w:r w:rsidRPr="002A18A2">
        <w:rPr>
          <w:rFonts w:cs="Times New Roman"/>
          <w:i/>
          <w:iCs/>
          <w:noProof/>
          <w:szCs w:val="22"/>
        </w:rPr>
        <w:t>Mitochondrial DNA Part B: Resources</w:t>
      </w:r>
      <w:r w:rsidRPr="002A18A2">
        <w:rPr>
          <w:rFonts w:cs="Times New Roman"/>
          <w:noProof/>
          <w:szCs w:val="22"/>
        </w:rPr>
        <w:t xml:space="preserve">, </w:t>
      </w:r>
      <w:r w:rsidRPr="002A18A2">
        <w:rPr>
          <w:rFonts w:cs="Times New Roman"/>
          <w:i/>
          <w:iCs/>
          <w:noProof/>
          <w:szCs w:val="22"/>
        </w:rPr>
        <w:t>6</w:t>
      </w:r>
      <w:r w:rsidRPr="002A18A2">
        <w:rPr>
          <w:rFonts w:cs="Times New Roman"/>
          <w:noProof/>
          <w:szCs w:val="22"/>
        </w:rPr>
        <w:t>(8), 2348–2352. https://doi.org/10.1080/23802359.2021.1950055</w:t>
      </w:r>
    </w:p>
    <w:p w14:paraId="72D30413" w14:textId="77777777" w:rsidR="00973759" w:rsidRDefault="00973759" w:rsidP="002A18A2">
      <w:pPr>
        <w:widowControl w:val="0"/>
        <w:autoSpaceDE w:val="0"/>
        <w:autoSpaceDN w:val="0"/>
        <w:adjustRightInd w:val="0"/>
        <w:rPr>
          <w:b/>
          <w:bCs/>
          <w:sz w:val="28"/>
          <w:szCs w:val="26"/>
        </w:rPr>
      </w:pPr>
      <w:r w:rsidRPr="002A18A2">
        <w:rPr>
          <w:b/>
          <w:bCs/>
        </w:rPr>
        <w:fldChar w:fldCharType="end"/>
      </w:r>
    </w:p>
    <w:p w14:paraId="245038BA" w14:textId="77777777" w:rsidR="00973759" w:rsidRDefault="00973759" w:rsidP="002A18A2">
      <w:pPr>
        <w:widowControl w:val="0"/>
        <w:autoSpaceDE w:val="0"/>
        <w:autoSpaceDN w:val="0"/>
        <w:adjustRightInd w:val="0"/>
        <w:rPr>
          <w:b/>
          <w:bCs/>
          <w:sz w:val="28"/>
          <w:szCs w:val="26"/>
        </w:rPr>
      </w:pPr>
    </w:p>
    <w:p w14:paraId="349CF9BC" w14:textId="77777777" w:rsidR="00973759" w:rsidRDefault="00973759" w:rsidP="002A18A2">
      <w:pPr>
        <w:widowControl w:val="0"/>
        <w:autoSpaceDE w:val="0"/>
        <w:autoSpaceDN w:val="0"/>
        <w:adjustRightInd w:val="0"/>
        <w:rPr>
          <w:b/>
          <w:bCs/>
          <w:sz w:val="28"/>
          <w:szCs w:val="26"/>
        </w:rPr>
      </w:pPr>
    </w:p>
    <w:p w14:paraId="052563B0" w14:textId="77777777" w:rsidR="00973759" w:rsidRDefault="00973759" w:rsidP="002A18A2">
      <w:pPr>
        <w:widowControl w:val="0"/>
        <w:autoSpaceDE w:val="0"/>
        <w:autoSpaceDN w:val="0"/>
        <w:adjustRightInd w:val="0"/>
        <w:rPr>
          <w:b/>
          <w:bCs/>
          <w:sz w:val="28"/>
          <w:szCs w:val="26"/>
        </w:rPr>
      </w:pPr>
    </w:p>
    <w:p w14:paraId="066E07DF" w14:textId="77777777" w:rsidR="00973759" w:rsidRDefault="00973759" w:rsidP="002A18A2">
      <w:pPr>
        <w:widowControl w:val="0"/>
        <w:autoSpaceDE w:val="0"/>
        <w:autoSpaceDN w:val="0"/>
        <w:adjustRightInd w:val="0"/>
        <w:rPr>
          <w:b/>
          <w:bCs/>
          <w:sz w:val="28"/>
          <w:szCs w:val="26"/>
        </w:rPr>
      </w:pPr>
    </w:p>
    <w:p w14:paraId="46309A94" w14:textId="77777777" w:rsidR="00973759" w:rsidRDefault="00973759" w:rsidP="002A18A2">
      <w:pPr>
        <w:widowControl w:val="0"/>
        <w:autoSpaceDE w:val="0"/>
        <w:autoSpaceDN w:val="0"/>
        <w:adjustRightInd w:val="0"/>
        <w:jc w:val="center"/>
        <w:rPr>
          <w:b/>
          <w:bCs/>
          <w:sz w:val="28"/>
          <w:szCs w:val="26"/>
        </w:rPr>
      </w:pPr>
      <w:r>
        <w:rPr>
          <w:b/>
          <w:bCs/>
          <w:sz w:val="28"/>
          <w:szCs w:val="26"/>
        </w:rPr>
        <w:lastRenderedPageBreak/>
        <w:t>Appendix</w:t>
      </w:r>
    </w:p>
    <w:p w14:paraId="51A6EBD1" w14:textId="77777777" w:rsidR="00973759" w:rsidRDefault="00973759" w:rsidP="002A18A2">
      <w:pPr>
        <w:rPr>
          <w:b/>
          <w:bCs/>
        </w:rPr>
      </w:pPr>
    </w:p>
    <w:p w14:paraId="0BB198C8" w14:textId="77777777" w:rsidR="00973759" w:rsidRDefault="00973759" w:rsidP="002A18A2">
      <w:pPr>
        <w:rPr>
          <w:b/>
          <w:bCs/>
        </w:rPr>
      </w:pPr>
      <w:r>
        <w:rPr>
          <w:b/>
          <w:bCs/>
          <w:noProof/>
        </w:rPr>
        <w:drawing>
          <wp:inline distT="0" distB="0" distL="0" distR="0" wp14:anchorId="29A452C6" wp14:editId="20083E17">
            <wp:extent cx="5943600" cy="5267960"/>
            <wp:effectExtent l="0" t="0" r="0" b="2540"/>
            <wp:docPr id="69" name="Picture 69" descr="A picture containing text, cosmetic, outdoor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cosmetic, outdoor object&#10;&#10;Description automatically generated"/>
                    <pic:cNvPicPr/>
                  </pic:nvPicPr>
                  <pic:blipFill>
                    <a:blip r:embed="rId53" cstate="hqprint">
                      <a:extLst>
                        <a:ext uri="{28A0092B-C50C-407E-A947-70E740481C1C}">
                          <a14:useLocalDpi xmlns:a14="http://schemas.microsoft.com/office/drawing/2010/main"/>
                        </a:ext>
                      </a:extLst>
                    </a:blip>
                    <a:stretch>
                      <a:fillRect/>
                    </a:stretch>
                  </pic:blipFill>
                  <pic:spPr>
                    <a:xfrm>
                      <a:off x="0" y="0"/>
                      <a:ext cx="5943600" cy="5267960"/>
                    </a:xfrm>
                    <a:prstGeom prst="rect">
                      <a:avLst/>
                    </a:prstGeom>
                  </pic:spPr>
                </pic:pic>
              </a:graphicData>
            </a:graphic>
          </wp:inline>
        </w:drawing>
      </w:r>
    </w:p>
    <w:p w14:paraId="373EDAB1" w14:textId="77777777" w:rsidR="00973759" w:rsidRDefault="00973759" w:rsidP="002A18A2">
      <w:pPr>
        <w:rPr>
          <w:b/>
          <w:bCs/>
        </w:rPr>
      </w:pPr>
    </w:p>
    <w:p w14:paraId="01588E53" w14:textId="77777777" w:rsidR="00973759" w:rsidRDefault="00973759" w:rsidP="002A18A2">
      <w:pPr>
        <w:rPr>
          <w:b/>
          <w:bCs/>
        </w:rPr>
      </w:pPr>
    </w:p>
    <w:p w14:paraId="3D58A759" w14:textId="77777777" w:rsidR="00973759" w:rsidRDefault="00973759" w:rsidP="002A18A2">
      <w:r>
        <w:rPr>
          <w:b/>
          <w:bCs/>
        </w:rPr>
        <w:t xml:space="preserve">Figure IV-1. </w:t>
      </w:r>
      <w:proofErr w:type="spellStart"/>
      <w:r w:rsidRPr="00E5124D">
        <w:t>mVista</w:t>
      </w:r>
      <w:proofErr w:type="spellEnd"/>
      <w:r w:rsidRPr="00E5124D">
        <w:t xml:space="preserve"> plot describing structural variation in the 11 </w:t>
      </w:r>
      <w:r w:rsidRPr="00E5124D">
        <w:rPr>
          <w:i/>
          <w:iCs/>
        </w:rPr>
        <w:t xml:space="preserve">Salix </w:t>
      </w:r>
      <w:r w:rsidRPr="00E5124D">
        <w:t>chloroplast genomes</w:t>
      </w:r>
      <w:r>
        <w:t>, P295 (</w:t>
      </w:r>
      <w:r>
        <w:rPr>
          <w:i/>
          <w:iCs/>
        </w:rPr>
        <w:t xml:space="preserve">S. </w:t>
      </w:r>
      <w:proofErr w:type="spellStart"/>
      <w:r>
        <w:rPr>
          <w:i/>
          <w:iCs/>
        </w:rPr>
        <w:t>suchowensis</w:t>
      </w:r>
      <w:proofErr w:type="spellEnd"/>
      <w:r>
        <w:t>) is used as a reference for alignment. Alignments were constructed in the LAGAN mode. Purple colored regions are genic, coral-colored regions are intergenic, and teal color regions represent RNA genes.</w:t>
      </w:r>
    </w:p>
    <w:p w14:paraId="0D18C6B8" w14:textId="77777777" w:rsidR="00973759" w:rsidRDefault="00973759" w:rsidP="002A18A2"/>
    <w:p w14:paraId="0A8C476E" w14:textId="77777777" w:rsidR="00973759" w:rsidRDefault="00973759" w:rsidP="002A18A2"/>
    <w:p w14:paraId="429CFE7C" w14:textId="77777777" w:rsidR="00973759" w:rsidRDefault="00973759" w:rsidP="002A18A2">
      <w:r w:rsidRPr="00FC5103">
        <w:rPr>
          <w:b/>
          <w:bCs/>
          <w:noProof/>
        </w:rPr>
        <w:lastRenderedPageBreak/>
        <w:drawing>
          <wp:anchor distT="0" distB="0" distL="114300" distR="114300" simplePos="0" relativeHeight="251721728" behindDoc="1" locked="0" layoutInCell="1" allowOverlap="1" wp14:anchorId="7742A8C2" wp14:editId="5351015A">
            <wp:simplePos x="0" y="0"/>
            <wp:positionH relativeFrom="column">
              <wp:posOffset>0</wp:posOffset>
            </wp:positionH>
            <wp:positionV relativeFrom="paragraph">
              <wp:posOffset>64770</wp:posOffset>
            </wp:positionV>
            <wp:extent cx="5943600" cy="5791835"/>
            <wp:effectExtent l="0" t="0" r="0" b="0"/>
            <wp:wrapTight wrapText="bothSides">
              <wp:wrapPolygon edited="0">
                <wp:start x="0" y="0"/>
                <wp:lineTo x="0" y="21550"/>
                <wp:lineTo x="21554" y="21550"/>
                <wp:lineTo x="21554" y="0"/>
                <wp:lineTo x="0" y="0"/>
              </wp:wrapPolygon>
            </wp:wrapTight>
            <wp:docPr id="70" name="Picture 4" descr="Graphical user interface, chart&#10;&#10;Description automatically generated">
              <a:extLst xmlns:a="http://schemas.openxmlformats.org/drawingml/2006/main">
                <a:ext uri="{FF2B5EF4-FFF2-40B4-BE49-F238E27FC236}">
                  <a16:creationId xmlns:a16="http://schemas.microsoft.com/office/drawing/2014/main" id="{41A789AE-EA02-2946-92F7-2E247AC201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Graphical user interface, chart&#10;&#10;Description automatically generated">
                      <a:extLst>
                        <a:ext uri="{FF2B5EF4-FFF2-40B4-BE49-F238E27FC236}">
                          <a16:creationId xmlns:a16="http://schemas.microsoft.com/office/drawing/2014/main" id="{41A789AE-EA02-2946-92F7-2E247AC2019F}"/>
                        </a:ext>
                      </a:extLst>
                    </pic:cNvPr>
                    <pic:cNvPicPr>
                      <a:picLocks noChangeAspect="1"/>
                    </pic:cNvPicPr>
                  </pic:nvPicPr>
                  <pic:blipFill>
                    <a:blip r:embed="rId54" cstate="hqprint">
                      <a:extLst>
                        <a:ext uri="{28A0092B-C50C-407E-A947-70E740481C1C}">
                          <a14:useLocalDpi xmlns:a14="http://schemas.microsoft.com/office/drawing/2010/main"/>
                        </a:ext>
                      </a:extLst>
                    </a:blip>
                    <a:stretch>
                      <a:fillRect/>
                    </a:stretch>
                  </pic:blipFill>
                  <pic:spPr>
                    <a:xfrm>
                      <a:off x="0" y="0"/>
                      <a:ext cx="5943600" cy="5791835"/>
                    </a:xfrm>
                    <a:prstGeom prst="rect">
                      <a:avLst/>
                    </a:prstGeom>
                  </pic:spPr>
                </pic:pic>
              </a:graphicData>
            </a:graphic>
            <wp14:sizeRelH relativeFrom="page">
              <wp14:pctWidth>0</wp14:pctWidth>
            </wp14:sizeRelH>
            <wp14:sizeRelV relativeFrom="page">
              <wp14:pctHeight>0</wp14:pctHeight>
            </wp14:sizeRelV>
          </wp:anchor>
        </w:drawing>
      </w:r>
    </w:p>
    <w:p w14:paraId="1BDBA561" w14:textId="77777777" w:rsidR="00973759" w:rsidRPr="00D301A3" w:rsidRDefault="00973759" w:rsidP="002A18A2">
      <w:r>
        <w:rPr>
          <w:b/>
          <w:bCs/>
        </w:rPr>
        <w:t>Figure IV-2.</w:t>
      </w:r>
      <w:r>
        <w:t xml:space="preserve"> Gene presence and absence variation in the 11 </w:t>
      </w:r>
      <w:r>
        <w:rPr>
          <w:i/>
          <w:iCs/>
        </w:rPr>
        <w:t xml:space="preserve">Salix </w:t>
      </w:r>
      <w:r>
        <w:t xml:space="preserve">chloroplast and mitogenomes compared to publicly available </w:t>
      </w:r>
      <w:r>
        <w:rPr>
          <w:i/>
          <w:iCs/>
        </w:rPr>
        <w:t xml:space="preserve">Salicaceae </w:t>
      </w:r>
      <w:r>
        <w:t xml:space="preserve">organelle genomes. (A) Presence and absence matrix constructed from the 11 chloroplast genomes and eleven publicly available chloroplast genomes from the </w:t>
      </w:r>
      <w:r>
        <w:rPr>
          <w:i/>
          <w:iCs/>
        </w:rPr>
        <w:t>Salicaceae</w:t>
      </w:r>
      <w:r>
        <w:t xml:space="preserve">. (B) Presence and absence matrix constructed from the 11 mitogenomes and seven publicly available mitogenomes from the Salicaceae. (C) Mitogenome size, the facet labels indicate total genome number. (D) Mitogenome size distribution in </w:t>
      </w:r>
      <w:r>
        <w:rPr>
          <w:i/>
          <w:iCs/>
        </w:rPr>
        <w:t xml:space="preserve">Salix </w:t>
      </w:r>
      <w:r>
        <w:t xml:space="preserve">based on the 11 </w:t>
      </w:r>
      <w:r>
        <w:rPr>
          <w:i/>
          <w:iCs/>
        </w:rPr>
        <w:t xml:space="preserve">Salix </w:t>
      </w:r>
      <w:r>
        <w:t xml:space="preserve">mitogenomes and seven publicly available </w:t>
      </w:r>
      <w:r>
        <w:rPr>
          <w:i/>
          <w:iCs/>
        </w:rPr>
        <w:t>Salix</w:t>
      </w:r>
      <w:r>
        <w:t xml:space="preserve"> mitogenomes.</w:t>
      </w:r>
    </w:p>
    <w:p w14:paraId="546434E8" w14:textId="77777777" w:rsidR="00973759" w:rsidRDefault="00973759" w:rsidP="002A18A2">
      <w:pPr>
        <w:rPr>
          <w:b/>
          <w:bCs/>
        </w:rPr>
      </w:pPr>
      <w:r w:rsidRPr="00FC5103">
        <w:rPr>
          <w:b/>
          <w:bCs/>
          <w:noProof/>
        </w:rPr>
        <w:lastRenderedPageBreak/>
        <w:drawing>
          <wp:anchor distT="0" distB="0" distL="114300" distR="114300" simplePos="0" relativeHeight="251722752" behindDoc="1" locked="0" layoutInCell="1" allowOverlap="1" wp14:anchorId="65ADC2AB" wp14:editId="56120651">
            <wp:simplePos x="0" y="0"/>
            <wp:positionH relativeFrom="column">
              <wp:posOffset>0</wp:posOffset>
            </wp:positionH>
            <wp:positionV relativeFrom="paragraph">
              <wp:posOffset>0</wp:posOffset>
            </wp:positionV>
            <wp:extent cx="5488302" cy="6858000"/>
            <wp:effectExtent l="0" t="0" r="0" b="0"/>
            <wp:wrapTight wrapText="bothSides">
              <wp:wrapPolygon edited="0">
                <wp:start x="0" y="0"/>
                <wp:lineTo x="0" y="21560"/>
                <wp:lineTo x="21545" y="21560"/>
                <wp:lineTo x="21545" y="0"/>
                <wp:lineTo x="0" y="0"/>
              </wp:wrapPolygon>
            </wp:wrapTight>
            <wp:docPr id="65" name="Picture 1" descr="Chart&#10;&#10;Description automatically generated">
              <a:extLst xmlns:a="http://schemas.openxmlformats.org/drawingml/2006/main">
                <a:ext uri="{FF2B5EF4-FFF2-40B4-BE49-F238E27FC236}">
                  <a16:creationId xmlns:a16="http://schemas.microsoft.com/office/drawing/2014/main" id="{C3B355BA-C138-1947-9089-24B3B52D147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Chart&#10;&#10;Description automatically generated">
                      <a:extLst>
                        <a:ext uri="{FF2B5EF4-FFF2-40B4-BE49-F238E27FC236}">
                          <a16:creationId xmlns:a16="http://schemas.microsoft.com/office/drawing/2014/main" id="{C3B355BA-C138-1947-9089-24B3B52D1470}"/>
                        </a:ext>
                      </a:extLst>
                    </pic:cNvPr>
                    <pic:cNvPicPr>
                      <a:picLocks noChangeAspect="1"/>
                    </pic:cNvPicPr>
                  </pic:nvPicPr>
                  <pic:blipFill>
                    <a:blip r:embed="rId55" cstate="hqprint">
                      <a:extLst>
                        <a:ext uri="{28A0092B-C50C-407E-A947-70E740481C1C}">
                          <a14:useLocalDpi xmlns:a14="http://schemas.microsoft.com/office/drawing/2010/main"/>
                        </a:ext>
                      </a:extLst>
                    </a:blip>
                    <a:stretch>
                      <a:fillRect/>
                    </a:stretch>
                  </pic:blipFill>
                  <pic:spPr>
                    <a:xfrm>
                      <a:off x="0" y="0"/>
                      <a:ext cx="5488302" cy="6858000"/>
                    </a:xfrm>
                    <a:prstGeom prst="rect">
                      <a:avLst/>
                    </a:prstGeom>
                  </pic:spPr>
                </pic:pic>
              </a:graphicData>
            </a:graphic>
            <wp14:sizeRelH relativeFrom="page">
              <wp14:pctWidth>0</wp14:pctWidth>
            </wp14:sizeRelH>
            <wp14:sizeRelV relativeFrom="page">
              <wp14:pctHeight>0</wp14:pctHeight>
            </wp14:sizeRelV>
          </wp:anchor>
        </w:drawing>
      </w:r>
    </w:p>
    <w:p w14:paraId="234E8ABD" w14:textId="77777777" w:rsidR="00973759" w:rsidRDefault="00973759" w:rsidP="002A18A2">
      <w:pPr>
        <w:rPr>
          <w:b/>
          <w:bCs/>
        </w:rPr>
      </w:pPr>
    </w:p>
    <w:p w14:paraId="172D4210" w14:textId="77777777" w:rsidR="00973759" w:rsidRDefault="00973759" w:rsidP="002A18A2">
      <w:pPr>
        <w:rPr>
          <w:b/>
          <w:bCs/>
        </w:rPr>
      </w:pPr>
    </w:p>
    <w:p w14:paraId="3E4C2BA4" w14:textId="77777777" w:rsidR="00973759" w:rsidRDefault="00973759" w:rsidP="002A18A2"/>
    <w:p w14:paraId="0B330587" w14:textId="77777777" w:rsidR="00973759" w:rsidRDefault="00973759" w:rsidP="002A18A2"/>
    <w:p w14:paraId="3F67C271" w14:textId="77777777" w:rsidR="00973759" w:rsidRDefault="00973759" w:rsidP="002A18A2"/>
    <w:p w14:paraId="0A9B3DF3" w14:textId="77777777" w:rsidR="00973759" w:rsidRDefault="00973759" w:rsidP="002A18A2"/>
    <w:p w14:paraId="00A43F0A" w14:textId="77777777" w:rsidR="00973759" w:rsidRDefault="00973759" w:rsidP="002A18A2"/>
    <w:p w14:paraId="3813191B" w14:textId="77777777" w:rsidR="00973759" w:rsidRDefault="00973759" w:rsidP="002A18A2"/>
    <w:p w14:paraId="4FB6FCAC" w14:textId="77777777" w:rsidR="00973759" w:rsidRDefault="00973759" w:rsidP="002A18A2"/>
    <w:p w14:paraId="3A082BF3" w14:textId="77777777" w:rsidR="00973759" w:rsidRDefault="00973759" w:rsidP="002A18A2"/>
    <w:p w14:paraId="668ADE78" w14:textId="77777777" w:rsidR="00973759" w:rsidRDefault="00973759" w:rsidP="002A18A2"/>
    <w:p w14:paraId="78858F96" w14:textId="77777777" w:rsidR="00973759" w:rsidRDefault="00973759" w:rsidP="002A18A2"/>
    <w:p w14:paraId="36E26035" w14:textId="77777777" w:rsidR="00973759" w:rsidRDefault="00973759" w:rsidP="002A18A2"/>
    <w:p w14:paraId="2591AEB1" w14:textId="77777777" w:rsidR="00973759" w:rsidRDefault="00973759" w:rsidP="002A18A2"/>
    <w:p w14:paraId="60E7832E" w14:textId="77777777" w:rsidR="00973759" w:rsidRDefault="00973759" w:rsidP="002A18A2"/>
    <w:p w14:paraId="2CA07579" w14:textId="77777777" w:rsidR="00973759" w:rsidRDefault="00973759" w:rsidP="002A18A2"/>
    <w:p w14:paraId="22C75CCE" w14:textId="77777777" w:rsidR="00973759" w:rsidRDefault="00973759" w:rsidP="002A18A2"/>
    <w:p w14:paraId="55400701" w14:textId="77777777" w:rsidR="00973759" w:rsidRDefault="00973759" w:rsidP="002A18A2"/>
    <w:p w14:paraId="145985BC" w14:textId="77777777" w:rsidR="00973759" w:rsidRDefault="00973759" w:rsidP="002A18A2">
      <w:pPr>
        <w:rPr>
          <w:b/>
          <w:bCs/>
        </w:rPr>
      </w:pPr>
    </w:p>
    <w:p w14:paraId="496C4501" w14:textId="77777777" w:rsidR="00973759" w:rsidRDefault="00973759" w:rsidP="002A18A2">
      <w:pPr>
        <w:rPr>
          <w:b/>
          <w:bCs/>
        </w:rPr>
      </w:pPr>
    </w:p>
    <w:p w14:paraId="59A00AAF" w14:textId="77777777" w:rsidR="00973759" w:rsidRDefault="00973759" w:rsidP="002A18A2">
      <w:pPr>
        <w:rPr>
          <w:b/>
          <w:bCs/>
        </w:rPr>
      </w:pPr>
    </w:p>
    <w:p w14:paraId="6BC6B4D0" w14:textId="77777777" w:rsidR="00973759" w:rsidRDefault="00973759" w:rsidP="002A18A2">
      <w:pPr>
        <w:rPr>
          <w:b/>
          <w:bCs/>
        </w:rPr>
      </w:pPr>
    </w:p>
    <w:p w14:paraId="41137637" w14:textId="77777777" w:rsidR="00973759" w:rsidRDefault="00973759" w:rsidP="002A18A2">
      <w:pPr>
        <w:rPr>
          <w:b/>
          <w:bCs/>
        </w:rPr>
      </w:pPr>
    </w:p>
    <w:p w14:paraId="22AAF021" w14:textId="77777777" w:rsidR="00973759" w:rsidRDefault="00973759" w:rsidP="002A18A2">
      <w:pPr>
        <w:rPr>
          <w:b/>
          <w:bCs/>
        </w:rPr>
      </w:pPr>
    </w:p>
    <w:p w14:paraId="12CAD4CB" w14:textId="77777777" w:rsidR="00973759" w:rsidRDefault="00973759" w:rsidP="002A18A2">
      <w:pPr>
        <w:rPr>
          <w:b/>
          <w:bCs/>
        </w:rPr>
      </w:pPr>
    </w:p>
    <w:p w14:paraId="0A522912" w14:textId="77777777" w:rsidR="00973759" w:rsidRDefault="00973759" w:rsidP="002A18A2">
      <w:pPr>
        <w:rPr>
          <w:b/>
          <w:bCs/>
        </w:rPr>
      </w:pPr>
    </w:p>
    <w:p w14:paraId="0CFE494B" w14:textId="77777777" w:rsidR="00973759" w:rsidRDefault="00973759" w:rsidP="002A18A2">
      <w:pPr>
        <w:rPr>
          <w:b/>
          <w:bCs/>
        </w:rPr>
      </w:pPr>
    </w:p>
    <w:p w14:paraId="124E8D1A" w14:textId="77777777" w:rsidR="00973759" w:rsidRDefault="00973759" w:rsidP="002A18A2">
      <w:pPr>
        <w:rPr>
          <w:b/>
          <w:bCs/>
        </w:rPr>
      </w:pPr>
    </w:p>
    <w:p w14:paraId="6A87E387" w14:textId="77777777" w:rsidR="00973759" w:rsidRDefault="00973759" w:rsidP="002A18A2">
      <w:pPr>
        <w:rPr>
          <w:b/>
          <w:bCs/>
        </w:rPr>
      </w:pPr>
    </w:p>
    <w:p w14:paraId="7A309E03" w14:textId="77777777" w:rsidR="00973759" w:rsidRDefault="00973759" w:rsidP="002A18A2">
      <w:pPr>
        <w:rPr>
          <w:b/>
          <w:bCs/>
        </w:rPr>
      </w:pPr>
    </w:p>
    <w:p w14:paraId="362ACF7A" w14:textId="77777777" w:rsidR="00973759" w:rsidRDefault="00973759" w:rsidP="002A18A2">
      <w:pPr>
        <w:rPr>
          <w:b/>
          <w:bCs/>
        </w:rPr>
      </w:pPr>
    </w:p>
    <w:p w14:paraId="236654DD" w14:textId="77777777" w:rsidR="00973759" w:rsidRDefault="00973759" w:rsidP="002A18A2">
      <w:pPr>
        <w:rPr>
          <w:b/>
          <w:bCs/>
        </w:rPr>
      </w:pPr>
    </w:p>
    <w:p w14:paraId="27D25816" w14:textId="77777777" w:rsidR="00973759" w:rsidRDefault="00973759" w:rsidP="002A18A2">
      <w:pPr>
        <w:rPr>
          <w:b/>
          <w:bCs/>
        </w:rPr>
      </w:pPr>
    </w:p>
    <w:p w14:paraId="4B8A0781" w14:textId="77777777" w:rsidR="00973759" w:rsidRDefault="00973759" w:rsidP="002A18A2">
      <w:pPr>
        <w:rPr>
          <w:b/>
          <w:bCs/>
        </w:rPr>
      </w:pPr>
    </w:p>
    <w:p w14:paraId="094EAC98" w14:textId="77777777" w:rsidR="00973759" w:rsidRDefault="00973759" w:rsidP="002A18A2">
      <w:pPr>
        <w:rPr>
          <w:b/>
          <w:bCs/>
        </w:rPr>
      </w:pPr>
    </w:p>
    <w:p w14:paraId="2A3FF6B2" w14:textId="77777777" w:rsidR="00973759" w:rsidRDefault="00973759" w:rsidP="002A18A2">
      <w:pPr>
        <w:rPr>
          <w:b/>
          <w:bCs/>
        </w:rPr>
      </w:pPr>
    </w:p>
    <w:p w14:paraId="72E7DC55" w14:textId="77777777" w:rsidR="00973759" w:rsidRDefault="00973759" w:rsidP="002A18A2">
      <w:pPr>
        <w:rPr>
          <w:b/>
          <w:bCs/>
        </w:rPr>
      </w:pPr>
    </w:p>
    <w:p w14:paraId="43FCA8A2" w14:textId="77777777" w:rsidR="00973759" w:rsidRDefault="00973759" w:rsidP="002A18A2">
      <w:pPr>
        <w:rPr>
          <w:b/>
          <w:bCs/>
        </w:rPr>
      </w:pPr>
    </w:p>
    <w:p w14:paraId="4EDE1D27" w14:textId="77777777" w:rsidR="00973759" w:rsidRDefault="00973759" w:rsidP="002A18A2">
      <w:pPr>
        <w:rPr>
          <w:b/>
          <w:bCs/>
        </w:rPr>
      </w:pPr>
    </w:p>
    <w:p w14:paraId="3A1133E4" w14:textId="77777777" w:rsidR="00973759" w:rsidRDefault="00973759" w:rsidP="002A18A2">
      <w:pPr>
        <w:rPr>
          <w:b/>
          <w:bCs/>
        </w:rPr>
      </w:pPr>
    </w:p>
    <w:p w14:paraId="410079AF" w14:textId="77777777" w:rsidR="00973759" w:rsidRDefault="00973759" w:rsidP="002A18A2">
      <w:pPr>
        <w:rPr>
          <w:b/>
          <w:bCs/>
        </w:rPr>
      </w:pPr>
    </w:p>
    <w:p w14:paraId="4A490FD5" w14:textId="77777777" w:rsidR="00973759" w:rsidRPr="00A5236A" w:rsidRDefault="00973759" w:rsidP="002A18A2">
      <w:r w:rsidRPr="001D4EF2">
        <w:rPr>
          <w:b/>
          <w:bCs/>
        </w:rPr>
        <w:t>Figure IV-3.</w:t>
      </w:r>
      <w:r>
        <w:rPr>
          <w:b/>
          <w:bCs/>
        </w:rPr>
        <w:t xml:space="preserve"> </w:t>
      </w:r>
      <w:r>
        <w:rPr>
          <w:rFonts w:cs="Times New Roman"/>
          <w:color w:val="000000" w:themeColor="text1"/>
        </w:rPr>
        <w:t xml:space="preserve">SSRs and dispersed repeats vary throughout the 11 </w:t>
      </w:r>
      <w:r>
        <w:rPr>
          <w:rFonts w:cs="Times New Roman"/>
          <w:i/>
          <w:iCs/>
          <w:color w:val="000000" w:themeColor="text1"/>
        </w:rPr>
        <w:t xml:space="preserve">Salix </w:t>
      </w:r>
      <w:r>
        <w:rPr>
          <w:rFonts w:cs="Times New Roman"/>
          <w:color w:val="000000" w:themeColor="text1"/>
        </w:rPr>
        <w:t>chloroplast and mitogenomes. (A) SSR count by genotype and organelle genome. (B) SSR count by unit size in the chloroplast and mitogenomes (C) Dispersed repeat counts (forward, palindromic, and reverse) by genotype in the chloroplast and mitogenomes.</w:t>
      </w:r>
    </w:p>
    <w:p w14:paraId="6FF12F60" w14:textId="77777777" w:rsidR="00973759" w:rsidRDefault="00973759" w:rsidP="002A18A2"/>
    <w:p w14:paraId="12B35D47" w14:textId="77777777" w:rsidR="00973759" w:rsidRDefault="00973759" w:rsidP="002A18A2">
      <w:r w:rsidRPr="00FC5103">
        <w:rPr>
          <w:noProof/>
        </w:rPr>
        <w:drawing>
          <wp:inline distT="0" distB="0" distL="0" distR="0" wp14:anchorId="0C89365C" wp14:editId="06F70E3D">
            <wp:extent cx="5943600" cy="2976880"/>
            <wp:effectExtent l="0" t="0" r="0" b="0"/>
            <wp:docPr id="66" name="Picture 2" descr="Chart, bar chart&#10;&#10;Description automatically generated">
              <a:extLst xmlns:a="http://schemas.openxmlformats.org/drawingml/2006/main">
                <a:ext uri="{FF2B5EF4-FFF2-40B4-BE49-F238E27FC236}">
                  <a16:creationId xmlns:a16="http://schemas.microsoft.com/office/drawing/2014/main" id="{D1922A11-7011-5F48-B949-E74B4DA8EF3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Chart, bar chart&#10;&#10;Description automatically generated">
                      <a:extLst>
                        <a:ext uri="{FF2B5EF4-FFF2-40B4-BE49-F238E27FC236}">
                          <a16:creationId xmlns:a16="http://schemas.microsoft.com/office/drawing/2014/main" id="{D1922A11-7011-5F48-B949-E74B4DA8EF39}"/>
                        </a:ext>
                      </a:extLst>
                    </pic:cNvPr>
                    <pic:cNvPicPr>
                      <a:picLocks noChangeAspect="1"/>
                    </pic:cNvPicPr>
                  </pic:nvPicPr>
                  <pic:blipFill>
                    <a:blip r:embed="rId56" cstate="hqprint">
                      <a:extLst>
                        <a:ext uri="{28A0092B-C50C-407E-A947-70E740481C1C}">
                          <a14:useLocalDpi xmlns:a14="http://schemas.microsoft.com/office/drawing/2010/main"/>
                        </a:ext>
                      </a:extLst>
                    </a:blip>
                    <a:stretch>
                      <a:fillRect/>
                    </a:stretch>
                  </pic:blipFill>
                  <pic:spPr>
                    <a:xfrm>
                      <a:off x="0" y="0"/>
                      <a:ext cx="5943600" cy="2976880"/>
                    </a:xfrm>
                    <a:prstGeom prst="rect">
                      <a:avLst/>
                    </a:prstGeom>
                  </pic:spPr>
                </pic:pic>
              </a:graphicData>
            </a:graphic>
          </wp:inline>
        </w:drawing>
      </w:r>
    </w:p>
    <w:p w14:paraId="060E39C0" w14:textId="77777777" w:rsidR="00973759" w:rsidRDefault="00973759" w:rsidP="002A18A2"/>
    <w:p w14:paraId="6ACA1CC4" w14:textId="77777777" w:rsidR="00973759" w:rsidRDefault="00973759" w:rsidP="002A18A2"/>
    <w:p w14:paraId="66BE76E0" w14:textId="77777777" w:rsidR="00973759" w:rsidRPr="009A1BEC" w:rsidRDefault="00973759" w:rsidP="002A18A2">
      <w:r w:rsidRPr="001D4EF2">
        <w:rPr>
          <w:b/>
          <w:bCs/>
        </w:rPr>
        <w:t>Figure IV-</w:t>
      </w:r>
      <w:r>
        <w:rPr>
          <w:b/>
          <w:bCs/>
        </w:rPr>
        <w:t xml:space="preserve">4. </w:t>
      </w:r>
      <w:r>
        <w:t xml:space="preserve">Chloroplast transfer to the mitogenomes is variable across the 11 </w:t>
      </w:r>
      <w:r>
        <w:rPr>
          <w:i/>
          <w:iCs/>
        </w:rPr>
        <w:t xml:space="preserve">Salix </w:t>
      </w:r>
      <w:r>
        <w:t>genotypes. (A) Total size of transfer in query (chloroplast) and subject (mitochondrion) perspectives. (B) Percentage of integrated chloroplast DNA content by genotype.</w:t>
      </w:r>
    </w:p>
    <w:p w14:paraId="33E349F7" w14:textId="77777777" w:rsidR="00973759" w:rsidRDefault="00973759" w:rsidP="002A18A2">
      <w:pPr>
        <w:rPr>
          <w:b/>
          <w:bCs/>
        </w:rPr>
      </w:pPr>
    </w:p>
    <w:p w14:paraId="3199535C" w14:textId="77777777" w:rsidR="00973759" w:rsidRDefault="00973759" w:rsidP="002A18A2">
      <w:pPr>
        <w:rPr>
          <w:b/>
          <w:bCs/>
        </w:rPr>
      </w:pPr>
    </w:p>
    <w:p w14:paraId="621FC6F6" w14:textId="77777777" w:rsidR="00973759" w:rsidRDefault="00973759" w:rsidP="002A18A2">
      <w:pPr>
        <w:rPr>
          <w:b/>
          <w:bCs/>
        </w:rPr>
      </w:pPr>
    </w:p>
    <w:p w14:paraId="7820C3B3" w14:textId="77777777" w:rsidR="00973759" w:rsidRDefault="00973759" w:rsidP="002A18A2">
      <w:pPr>
        <w:rPr>
          <w:b/>
          <w:bCs/>
        </w:rPr>
      </w:pPr>
    </w:p>
    <w:p w14:paraId="1C009F4B" w14:textId="77777777" w:rsidR="00973759" w:rsidRDefault="00973759" w:rsidP="002A18A2">
      <w:pPr>
        <w:rPr>
          <w:b/>
          <w:bCs/>
        </w:rPr>
      </w:pPr>
    </w:p>
    <w:p w14:paraId="5EEBBE0F" w14:textId="77777777" w:rsidR="00973759" w:rsidRDefault="00973759" w:rsidP="002A18A2">
      <w:pPr>
        <w:rPr>
          <w:b/>
          <w:bCs/>
        </w:rPr>
      </w:pPr>
    </w:p>
    <w:p w14:paraId="14E74009" w14:textId="77777777" w:rsidR="00973759" w:rsidRDefault="00973759" w:rsidP="002A18A2">
      <w:pPr>
        <w:rPr>
          <w:b/>
          <w:bCs/>
        </w:rPr>
      </w:pPr>
    </w:p>
    <w:p w14:paraId="0690530B" w14:textId="77777777" w:rsidR="00973759" w:rsidRDefault="00973759" w:rsidP="002A18A2">
      <w:pPr>
        <w:rPr>
          <w:b/>
          <w:bCs/>
        </w:rPr>
      </w:pPr>
    </w:p>
    <w:p w14:paraId="69CE8231" w14:textId="77777777" w:rsidR="00973759" w:rsidRDefault="00973759" w:rsidP="002A18A2">
      <w:pPr>
        <w:rPr>
          <w:b/>
          <w:bCs/>
        </w:rPr>
      </w:pPr>
    </w:p>
    <w:p w14:paraId="326590A8" w14:textId="77777777" w:rsidR="00973759" w:rsidRDefault="00973759" w:rsidP="002A18A2">
      <w:pPr>
        <w:rPr>
          <w:b/>
          <w:bCs/>
        </w:rPr>
      </w:pPr>
    </w:p>
    <w:p w14:paraId="7D6B445C" w14:textId="77777777" w:rsidR="00973759" w:rsidRDefault="00973759" w:rsidP="002A18A2">
      <w:pPr>
        <w:rPr>
          <w:b/>
          <w:bCs/>
        </w:rPr>
      </w:pPr>
    </w:p>
    <w:p w14:paraId="172A7AA1" w14:textId="77777777" w:rsidR="00973759" w:rsidRDefault="00973759" w:rsidP="002A18A2">
      <w:pPr>
        <w:rPr>
          <w:b/>
          <w:bCs/>
        </w:rPr>
      </w:pPr>
    </w:p>
    <w:p w14:paraId="53AF3A0B" w14:textId="77777777" w:rsidR="00973759" w:rsidRDefault="00973759" w:rsidP="002A18A2">
      <w:pPr>
        <w:rPr>
          <w:b/>
          <w:bCs/>
        </w:rPr>
      </w:pPr>
    </w:p>
    <w:p w14:paraId="0452A3BF" w14:textId="77777777" w:rsidR="00973759" w:rsidRDefault="00973759" w:rsidP="002A18A2">
      <w:pPr>
        <w:rPr>
          <w:b/>
          <w:bCs/>
        </w:rPr>
      </w:pPr>
    </w:p>
    <w:p w14:paraId="71609181" w14:textId="77777777" w:rsidR="00973759" w:rsidRDefault="00973759" w:rsidP="002A18A2">
      <w:pPr>
        <w:rPr>
          <w:b/>
          <w:bCs/>
        </w:rPr>
      </w:pPr>
    </w:p>
    <w:p w14:paraId="20BAE7C5" w14:textId="77777777" w:rsidR="00973759" w:rsidRDefault="00973759" w:rsidP="002A18A2">
      <w:pPr>
        <w:rPr>
          <w:b/>
          <w:bCs/>
        </w:rPr>
      </w:pPr>
    </w:p>
    <w:p w14:paraId="3D5A253E" w14:textId="77777777" w:rsidR="00973759" w:rsidRDefault="00973759" w:rsidP="002A18A2">
      <w:pPr>
        <w:rPr>
          <w:b/>
          <w:bCs/>
        </w:rPr>
      </w:pPr>
    </w:p>
    <w:p w14:paraId="46538999" w14:textId="77777777" w:rsidR="00973759" w:rsidRDefault="00973759" w:rsidP="002A18A2">
      <w:pPr>
        <w:rPr>
          <w:b/>
          <w:bCs/>
        </w:rPr>
      </w:pPr>
    </w:p>
    <w:p w14:paraId="0DD296C4" w14:textId="77777777" w:rsidR="00973759" w:rsidRDefault="00973759" w:rsidP="002A18A2">
      <w:pPr>
        <w:rPr>
          <w:b/>
          <w:bCs/>
        </w:rPr>
      </w:pPr>
    </w:p>
    <w:p w14:paraId="62EE8B0F" w14:textId="77777777" w:rsidR="00973759" w:rsidRDefault="00973759" w:rsidP="002A18A2">
      <w:pPr>
        <w:rPr>
          <w:b/>
          <w:bCs/>
        </w:rPr>
      </w:pPr>
    </w:p>
    <w:p w14:paraId="74599E94" w14:textId="77777777" w:rsidR="00973759" w:rsidRDefault="00973759" w:rsidP="002A18A2">
      <w:pPr>
        <w:rPr>
          <w:b/>
          <w:bCs/>
        </w:rPr>
      </w:pPr>
    </w:p>
    <w:p w14:paraId="2D2595B1" w14:textId="77777777" w:rsidR="00973759" w:rsidRPr="002A18A2" w:rsidRDefault="00973759" w:rsidP="002A18A2">
      <w:pPr>
        <w:rPr>
          <w:b/>
          <w:bCs/>
        </w:rPr>
      </w:pPr>
      <w:r w:rsidRPr="00FC5103">
        <w:rPr>
          <w:b/>
          <w:bCs/>
          <w:noProof/>
        </w:rPr>
        <w:lastRenderedPageBreak/>
        <w:drawing>
          <wp:anchor distT="0" distB="0" distL="114300" distR="114300" simplePos="0" relativeHeight="251723776" behindDoc="1" locked="0" layoutInCell="1" allowOverlap="1" wp14:anchorId="4EE9F115" wp14:editId="546808CB">
            <wp:simplePos x="0" y="0"/>
            <wp:positionH relativeFrom="margin">
              <wp:align>center</wp:align>
            </wp:positionH>
            <wp:positionV relativeFrom="paragraph">
              <wp:posOffset>0</wp:posOffset>
            </wp:positionV>
            <wp:extent cx="5486400" cy="4625340"/>
            <wp:effectExtent l="0" t="0" r="0" b="0"/>
            <wp:wrapTight wrapText="bothSides">
              <wp:wrapPolygon edited="0">
                <wp:start x="0" y="0"/>
                <wp:lineTo x="0" y="21529"/>
                <wp:lineTo x="21550" y="21529"/>
                <wp:lineTo x="21550" y="0"/>
                <wp:lineTo x="0" y="0"/>
              </wp:wrapPolygon>
            </wp:wrapTight>
            <wp:docPr id="79" name="Picture 5" descr="Diagram, schematic&#10;&#10;Description automatically generated">
              <a:extLst xmlns:a="http://schemas.openxmlformats.org/drawingml/2006/main">
                <a:ext uri="{FF2B5EF4-FFF2-40B4-BE49-F238E27FC236}">
                  <a16:creationId xmlns:a16="http://schemas.microsoft.com/office/drawing/2014/main" id="{A6D3D954-6F54-4B45-8FA8-806E83CC52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5" descr="Diagram, schematic&#10;&#10;Description automatically generated">
                      <a:extLst>
                        <a:ext uri="{FF2B5EF4-FFF2-40B4-BE49-F238E27FC236}">
                          <a16:creationId xmlns:a16="http://schemas.microsoft.com/office/drawing/2014/main" id="{A6D3D954-6F54-4B45-8FA8-806E83CC5255}"/>
                        </a:ext>
                      </a:extLst>
                    </pic:cNvPr>
                    <pic:cNvPicPr>
                      <a:picLocks noChangeAspect="1"/>
                    </pic:cNvPicPr>
                  </pic:nvPicPr>
                  <pic:blipFill>
                    <a:blip r:embed="rId57" cstate="hqprint">
                      <a:extLst>
                        <a:ext uri="{28A0092B-C50C-407E-A947-70E740481C1C}">
                          <a14:useLocalDpi xmlns:a14="http://schemas.microsoft.com/office/drawing/2010/main"/>
                        </a:ext>
                      </a:extLst>
                    </a:blip>
                    <a:stretch>
                      <a:fillRect/>
                    </a:stretch>
                  </pic:blipFill>
                  <pic:spPr>
                    <a:xfrm>
                      <a:off x="0" y="0"/>
                      <a:ext cx="5486400" cy="4625340"/>
                    </a:xfrm>
                    <a:prstGeom prst="rect">
                      <a:avLst/>
                    </a:prstGeom>
                  </pic:spPr>
                </pic:pic>
              </a:graphicData>
            </a:graphic>
            <wp14:sizeRelH relativeFrom="page">
              <wp14:pctWidth>0</wp14:pctWidth>
            </wp14:sizeRelH>
            <wp14:sizeRelV relativeFrom="page">
              <wp14:pctHeight>0</wp14:pctHeight>
            </wp14:sizeRelV>
          </wp:anchor>
        </w:drawing>
      </w:r>
      <w:r w:rsidRPr="001D4EF2">
        <w:rPr>
          <w:b/>
          <w:bCs/>
        </w:rPr>
        <w:t>Figure IV-</w:t>
      </w:r>
      <w:r>
        <w:rPr>
          <w:b/>
          <w:bCs/>
        </w:rPr>
        <w:t>5</w:t>
      </w:r>
      <w:r w:rsidRPr="001D4EF2">
        <w:rPr>
          <w:b/>
          <w:bCs/>
        </w:rPr>
        <w:t>.</w:t>
      </w:r>
      <w:r>
        <w:rPr>
          <w:b/>
          <w:bCs/>
        </w:rPr>
        <w:t xml:space="preserve"> </w:t>
      </w:r>
      <w:r>
        <w:rPr>
          <w:rFonts w:cs="Times New Roman"/>
          <w:color w:val="000000" w:themeColor="text1"/>
        </w:rPr>
        <w:t xml:space="preserve">Phylogenomic analysis based on the </w:t>
      </w:r>
      <w:r w:rsidRPr="00CD3A90">
        <w:rPr>
          <w:rFonts w:ascii="Calibri" w:hAnsi="Calibri" w:cs="Calibri"/>
          <w:color w:val="000000" w:themeColor="text1"/>
        </w:rPr>
        <w:t>﻿</w:t>
      </w:r>
      <w:r w:rsidRPr="00CD3A90">
        <w:rPr>
          <w:rFonts w:cs="Times New Roman"/>
          <w:color w:val="000000" w:themeColor="text1"/>
        </w:rPr>
        <w:t xml:space="preserve">Maximum-Likelihood (ML) method </w:t>
      </w:r>
      <w:r>
        <w:rPr>
          <w:rFonts w:cs="Times New Roman"/>
          <w:color w:val="000000" w:themeColor="text1"/>
        </w:rPr>
        <w:t xml:space="preserve">with publicly available </w:t>
      </w:r>
      <w:r>
        <w:rPr>
          <w:rFonts w:cs="Times New Roman"/>
          <w:i/>
          <w:iCs/>
          <w:color w:val="000000" w:themeColor="text1"/>
        </w:rPr>
        <w:t xml:space="preserve">Salix </w:t>
      </w:r>
      <w:r>
        <w:rPr>
          <w:rFonts w:cs="Times New Roman"/>
          <w:color w:val="000000" w:themeColor="text1"/>
        </w:rPr>
        <w:t xml:space="preserve">organelle genomes and the 11 organelle genomes. Black dots at nodes indicate a bootstrap support value greater than 90, and taxa labeled with an asterisk are genomes created in this study. (A) Chloroplast phylogeny based on the alignment of 72 whole </w:t>
      </w:r>
      <w:proofErr w:type="spellStart"/>
      <w:r>
        <w:rPr>
          <w:rFonts w:cs="Times New Roman"/>
          <w:color w:val="000000" w:themeColor="text1"/>
        </w:rPr>
        <w:t>plastomes</w:t>
      </w:r>
      <w:proofErr w:type="spellEnd"/>
      <w:r>
        <w:rPr>
          <w:rFonts w:cs="Times New Roman"/>
          <w:color w:val="000000" w:themeColor="text1"/>
        </w:rPr>
        <w:t xml:space="preserve"> minus one of the inverted repeats. </w:t>
      </w:r>
      <w:r>
        <w:rPr>
          <w:rFonts w:cs="Times New Roman"/>
          <w:i/>
          <w:iCs/>
          <w:color w:val="000000" w:themeColor="text1"/>
        </w:rPr>
        <w:t xml:space="preserve">S. interior </w:t>
      </w:r>
      <w:r>
        <w:rPr>
          <w:rFonts w:cs="Times New Roman"/>
          <w:color w:val="000000" w:themeColor="text1"/>
        </w:rPr>
        <w:t xml:space="preserve">was used as the outgroup. (B) Mitochondrion derived phylogeny with seven other publicly available </w:t>
      </w:r>
      <w:r>
        <w:rPr>
          <w:rFonts w:cs="Times New Roman"/>
          <w:i/>
          <w:iCs/>
          <w:color w:val="000000" w:themeColor="text1"/>
        </w:rPr>
        <w:t xml:space="preserve">Salix </w:t>
      </w:r>
      <w:r>
        <w:rPr>
          <w:rFonts w:cs="Times New Roman"/>
          <w:color w:val="000000" w:themeColor="text1"/>
        </w:rPr>
        <w:t xml:space="preserve">mitogenomes based on the alignment of LCBs. </w:t>
      </w:r>
      <w:r>
        <w:rPr>
          <w:rFonts w:cs="Times New Roman"/>
          <w:i/>
          <w:iCs/>
          <w:color w:val="000000" w:themeColor="text1"/>
        </w:rPr>
        <w:t xml:space="preserve">P. </w:t>
      </w:r>
      <w:proofErr w:type="spellStart"/>
      <w:r>
        <w:rPr>
          <w:rFonts w:cs="Times New Roman"/>
          <w:i/>
          <w:iCs/>
          <w:color w:val="000000" w:themeColor="text1"/>
        </w:rPr>
        <w:t>trichocarpa</w:t>
      </w:r>
      <w:proofErr w:type="spellEnd"/>
      <w:r>
        <w:rPr>
          <w:rFonts w:cs="Times New Roman"/>
          <w:color w:val="000000" w:themeColor="text1"/>
        </w:rPr>
        <w:t xml:space="preserve"> Nisqually-1 and </w:t>
      </w:r>
      <w:r>
        <w:rPr>
          <w:rFonts w:cs="Times New Roman"/>
          <w:i/>
          <w:iCs/>
          <w:color w:val="000000" w:themeColor="text1"/>
        </w:rPr>
        <w:t xml:space="preserve">P. </w:t>
      </w:r>
      <w:proofErr w:type="spellStart"/>
      <w:r>
        <w:rPr>
          <w:rFonts w:cs="Times New Roman"/>
          <w:i/>
          <w:iCs/>
          <w:color w:val="000000" w:themeColor="text1"/>
        </w:rPr>
        <w:t>deltoides</w:t>
      </w:r>
      <w:proofErr w:type="spellEnd"/>
      <w:r>
        <w:rPr>
          <w:rFonts w:cs="Times New Roman"/>
          <w:i/>
          <w:iCs/>
          <w:color w:val="000000" w:themeColor="text1"/>
        </w:rPr>
        <w:t xml:space="preserve"> </w:t>
      </w:r>
      <w:r>
        <w:rPr>
          <w:rFonts w:cs="Times New Roman"/>
          <w:color w:val="000000" w:themeColor="text1"/>
        </w:rPr>
        <w:t>WV94 were used as outgroups.</w:t>
      </w:r>
    </w:p>
    <w:p w14:paraId="5152E7E3" w14:textId="417E3806" w:rsidR="00973759" w:rsidRDefault="00973759" w:rsidP="002A18A2">
      <w:pPr>
        <w:rPr>
          <w:rFonts w:cs="Times New Roman"/>
          <w:color w:val="000000" w:themeColor="text1"/>
        </w:rPr>
      </w:pPr>
      <w:r w:rsidRPr="00FC5103">
        <w:rPr>
          <w:rFonts w:cs="Times New Roman"/>
          <w:noProof/>
          <w:color w:val="000000" w:themeColor="text1"/>
        </w:rPr>
        <w:lastRenderedPageBreak/>
        <w:drawing>
          <wp:anchor distT="0" distB="0" distL="114300" distR="114300" simplePos="0" relativeHeight="251729920" behindDoc="1" locked="0" layoutInCell="1" allowOverlap="1" wp14:anchorId="4C357FD3" wp14:editId="40E8E3F6">
            <wp:simplePos x="0" y="0"/>
            <wp:positionH relativeFrom="margin">
              <wp:align>center</wp:align>
            </wp:positionH>
            <wp:positionV relativeFrom="paragraph">
              <wp:posOffset>0</wp:posOffset>
            </wp:positionV>
            <wp:extent cx="5486400" cy="5636455"/>
            <wp:effectExtent l="0" t="0" r="0" b="2540"/>
            <wp:wrapTight wrapText="bothSides">
              <wp:wrapPolygon edited="0">
                <wp:start x="0" y="0"/>
                <wp:lineTo x="0" y="21561"/>
                <wp:lineTo x="21550" y="21561"/>
                <wp:lineTo x="21550" y="0"/>
                <wp:lineTo x="0" y="0"/>
              </wp:wrapPolygon>
            </wp:wrapTight>
            <wp:docPr id="80" name="Picture 10" descr="Timeline&#10;&#10;Description automatically generated with low confidence">
              <a:extLst xmlns:a="http://schemas.openxmlformats.org/drawingml/2006/main">
                <a:ext uri="{FF2B5EF4-FFF2-40B4-BE49-F238E27FC236}">
                  <a16:creationId xmlns:a16="http://schemas.microsoft.com/office/drawing/2014/main" id="{DEBFC3B7-5999-4A43-B916-940DBB8100B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Timeline&#10;&#10;Description automatically generated with low confidence">
                      <a:extLst>
                        <a:ext uri="{FF2B5EF4-FFF2-40B4-BE49-F238E27FC236}">
                          <a16:creationId xmlns:a16="http://schemas.microsoft.com/office/drawing/2014/main" id="{DEBFC3B7-5999-4A43-B916-940DBB8100BF}"/>
                        </a:ext>
                      </a:extLst>
                    </pic:cNvPr>
                    <pic:cNvPicPr>
                      <a:picLocks noChangeAspect="1"/>
                    </pic:cNvPicPr>
                  </pic:nvPicPr>
                  <pic:blipFill>
                    <a:blip r:embed="rId58" cstate="hqprint">
                      <a:extLst>
                        <a:ext uri="{28A0092B-C50C-407E-A947-70E740481C1C}">
                          <a14:useLocalDpi xmlns:a14="http://schemas.microsoft.com/office/drawing/2010/main" val="0"/>
                        </a:ext>
                      </a:extLst>
                    </a:blip>
                    <a:stretch>
                      <a:fillRect/>
                    </a:stretch>
                  </pic:blipFill>
                  <pic:spPr>
                    <a:xfrm>
                      <a:off x="0" y="0"/>
                      <a:ext cx="5486400" cy="5636455"/>
                    </a:xfrm>
                    <a:prstGeom prst="rect">
                      <a:avLst/>
                    </a:prstGeom>
                  </pic:spPr>
                </pic:pic>
              </a:graphicData>
            </a:graphic>
            <wp14:sizeRelH relativeFrom="page">
              <wp14:pctWidth>0</wp14:pctWidth>
            </wp14:sizeRelH>
            <wp14:sizeRelV relativeFrom="page">
              <wp14:pctHeight>0</wp14:pctHeight>
            </wp14:sizeRelV>
          </wp:anchor>
        </w:drawing>
      </w:r>
    </w:p>
    <w:p w14:paraId="7496DE0E" w14:textId="77777777" w:rsidR="00973759" w:rsidRPr="00087D62" w:rsidRDefault="00973759" w:rsidP="002A18A2">
      <w:pPr>
        <w:rPr>
          <w:rFonts w:cs="Times New Roman"/>
          <w:color w:val="000000" w:themeColor="text1"/>
        </w:rPr>
      </w:pPr>
      <w:r w:rsidRPr="001D4EF2">
        <w:rPr>
          <w:b/>
          <w:bCs/>
        </w:rPr>
        <w:t>Figure IV-</w:t>
      </w:r>
      <w:r>
        <w:rPr>
          <w:b/>
          <w:bCs/>
        </w:rPr>
        <w:t>6</w:t>
      </w:r>
      <w:r w:rsidRPr="001D4EF2">
        <w:rPr>
          <w:b/>
          <w:bCs/>
        </w:rPr>
        <w:t>.</w:t>
      </w:r>
      <w:r>
        <w:rPr>
          <w:b/>
          <w:bCs/>
        </w:rPr>
        <w:t xml:space="preserve"> </w:t>
      </w:r>
      <w:r>
        <w:t xml:space="preserve">Ka/Ks values of the 11 </w:t>
      </w:r>
      <w:r>
        <w:rPr>
          <w:i/>
          <w:iCs/>
        </w:rPr>
        <w:t>Salix</w:t>
      </w:r>
      <w:r>
        <w:t xml:space="preserve"> organelle protein-coding genes as determined through comparison with species in the order </w:t>
      </w:r>
      <w:proofErr w:type="spellStart"/>
      <w:r>
        <w:rPr>
          <w:i/>
          <w:iCs/>
        </w:rPr>
        <w:t>Malpighiales</w:t>
      </w:r>
      <w:proofErr w:type="spellEnd"/>
      <w:r>
        <w:t xml:space="preserve">. (A) Ka/Ks values from the 11 chloroplast genomes derived from comparison with </w:t>
      </w:r>
      <w:r>
        <w:rPr>
          <w:i/>
          <w:iCs/>
        </w:rPr>
        <w:t xml:space="preserve">J. </w:t>
      </w:r>
      <w:proofErr w:type="spellStart"/>
      <w:r>
        <w:rPr>
          <w:i/>
          <w:iCs/>
        </w:rPr>
        <w:t>curcas</w:t>
      </w:r>
      <w:proofErr w:type="spellEnd"/>
      <w:r>
        <w:t xml:space="preserve">, </w:t>
      </w:r>
      <w:r>
        <w:rPr>
          <w:i/>
          <w:iCs/>
        </w:rPr>
        <w:t>M. esculenta</w:t>
      </w:r>
      <w:r>
        <w:t xml:space="preserve">, and </w:t>
      </w:r>
      <w:r>
        <w:rPr>
          <w:i/>
          <w:iCs/>
        </w:rPr>
        <w:t>R. communis</w:t>
      </w:r>
      <w:r>
        <w:t xml:space="preserve">. (B) Ka/Ks values from the 11 chloroplast genomes derived from comparison with </w:t>
      </w:r>
      <w:r>
        <w:rPr>
          <w:i/>
          <w:iCs/>
        </w:rPr>
        <w:t>M. esculenta</w:t>
      </w:r>
      <w:r>
        <w:t xml:space="preserve">, </w:t>
      </w:r>
      <w:r>
        <w:rPr>
          <w:i/>
          <w:iCs/>
        </w:rPr>
        <w:t>P. edulis</w:t>
      </w:r>
      <w:r>
        <w:t xml:space="preserve">, and </w:t>
      </w:r>
      <w:r>
        <w:rPr>
          <w:i/>
          <w:iCs/>
        </w:rPr>
        <w:t>R. communis</w:t>
      </w:r>
      <w:r>
        <w:t>. (C) Ka/Ks values by gene functional class in the organelle genomes.</w:t>
      </w:r>
    </w:p>
    <w:p w14:paraId="5AD1C32F" w14:textId="77777777" w:rsidR="00973759" w:rsidRDefault="00973759" w:rsidP="002A18A2">
      <w:r>
        <w:rPr>
          <w:noProof/>
        </w:rPr>
        <w:lastRenderedPageBreak/>
        <w:drawing>
          <wp:inline distT="0" distB="0" distL="0" distR="0" wp14:anchorId="2AB5789E" wp14:editId="0EE1187F">
            <wp:extent cx="5943600" cy="5064125"/>
            <wp:effectExtent l="0" t="0" r="0" b="3175"/>
            <wp:docPr id="81" name="Picture 81" descr="Chart, diagram,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hart, diagram, bar chart&#10;&#10;Description automatically generated"/>
                    <pic:cNvPicPr/>
                  </pic:nvPicPr>
                  <pic:blipFill>
                    <a:blip r:embed="rId59" cstate="hqprint">
                      <a:extLst>
                        <a:ext uri="{28A0092B-C50C-407E-A947-70E740481C1C}">
                          <a14:useLocalDpi xmlns:a14="http://schemas.microsoft.com/office/drawing/2010/main"/>
                        </a:ext>
                      </a:extLst>
                    </a:blip>
                    <a:stretch>
                      <a:fillRect/>
                    </a:stretch>
                  </pic:blipFill>
                  <pic:spPr>
                    <a:xfrm>
                      <a:off x="0" y="0"/>
                      <a:ext cx="5943600" cy="5064125"/>
                    </a:xfrm>
                    <a:prstGeom prst="rect">
                      <a:avLst/>
                    </a:prstGeom>
                  </pic:spPr>
                </pic:pic>
              </a:graphicData>
            </a:graphic>
          </wp:inline>
        </w:drawing>
      </w:r>
    </w:p>
    <w:p w14:paraId="3C39C4E8" w14:textId="77777777" w:rsidR="00973759" w:rsidRDefault="00973759" w:rsidP="002A18A2">
      <w:r>
        <w:rPr>
          <w:b/>
          <w:bCs/>
        </w:rPr>
        <w:t xml:space="preserve">Figure IV-S1. </w:t>
      </w:r>
      <w:r>
        <w:t xml:space="preserve"> Structural variation around IR junctions visualized with </w:t>
      </w:r>
      <w:proofErr w:type="spellStart"/>
      <w:r>
        <w:t>IRscope</w:t>
      </w:r>
      <w:proofErr w:type="spellEnd"/>
      <w:r>
        <w:t xml:space="preserve"> in the</w:t>
      </w:r>
      <w:r w:rsidRPr="00E5124D">
        <w:t xml:space="preserve"> 11 </w:t>
      </w:r>
      <w:r w:rsidRPr="00E5124D">
        <w:rPr>
          <w:i/>
          <w:iCs/>
        </w:rPr>
        <w:t xml:space="preserve">Salix </w:t>
      </w:r>
      <w:r w:rsidRPr="00E5124D">
        <w:t>chloroplast genomes</w:t>
      </w:r>
      <w:r>
        <w:t xml:space="preserve">. </w:t>
      </w:r>
    </w:p>
    <w:p w14:paraId="0F43C22A" w14:textId="77777777" w:rsidR="00973759" w:rsidRDefault="00973759" w:rsidP="002A18A2"/>
    <w:p w14:paraId="357C7C7B" w14:textId="77777777" w:rsidR="00973759" w:rsidRDefault="00973759" w:rsidP="002A18A2"/>
    <w:p w14:paraId="03C04F82" w14:textId="77777777" w:rsidR="00973759" w:rsidRDefault="00973759" w:rsidP="002A18A2"/>
    <w:p w14:paraId="03B6D305" w14:textId="77777777" w:rsidR="00973759" w:rsidRDefault="00973759" w:rsidP="002A18A2"/>
    <w:p w14:paraId="17CA216A" w14:textId="77777777" w:rsidR="00973759" w:rsidRDefault="00973759" w:rsidP="002A18A2"/>
    <w:p w14:paraId="407094A2" w14:textId="77777777" w:rsidR="00973759" w:rsidRDefault="00973759" w:rsidP="002A18A2"/>
    <w:p w14:paraId="3A02DC60" w14:textId="77777777" w:rsidR="00973759" w:rsidRDefault="00973759" w:rsidP="002A18A2"/>
    <w:p w14:paraId="1ACD1A55" w14:textId="77777777" w:rsidR="00973759" w:rsidRDefault="00973759" w:rsidP="002A18A2"/>
    <w:p w14:paraId="4977DEFC" w14:textId="77777777" w:rsidR="00973759" w:rsidRDefault="00973759" w:rsidP="002A18A2"/>
    <w:p w14:paraId="16B2348E" w14:textId="77777777" w:rsidR="00973759" w:rsidRDefault="00973759" w:rsidP="002A18A2"/>
    <w:p w14:paraId="4D96D83E" w14:textId="77777777" w:rsidR="00973759" w:rsidRDefault="00973759" w:rsidP="002A18A2"/>
    <w:p w14:paraId="2EF2A641" w14:textId="77777777" w:rsidR="00973759" w:rsidRDefault="00973759" w:rsidP="002A18A2"/>
    <w:p w14:paraId="2DE0DC63" w14:textId="77777777" w:rsidR="00973759" w:rsidRDefault="00973759" w:rsidP="002A18A2"/>
    <w:p w14:paraId="26739476" w14:textId="77777777" w:rsidR="00973759" w:rsidRDefault="00973759" w:rsidP="002A18A2"/>
    <w:p w14:paraId="3B134C2F" w14:textId="77777777" w:rsidR="00973759" w:rsidRDefault="00973759" w:rsidP="002A18A2"/>
    <w:p w14:paraId="6E5E6E54" w14:textId="77777777" w:rsidR="00973759" w:rsidRDefault="00973759" w:rsidP="002A18A2">
      <w:r w:rsidRPr="00FC5103">
        <w:rPr>
          <w:noProof/>
        </w:rPr>
        <w:lastRenderedPageBreak/>
        <w:drawing>
          <wp:anchor distT="0" distB="0" distL="114300" distR="114300" simplePos="0" relativeHeight="251724800" behindDoc="1" locked="0" layoutInCell="1" allowOverlap="1" wp14:anchorId="6C758478" wp14:editId="203A8E1F">
            <wp:simplePos x="0" y="0"/>
            <wp:positionH relativeFrom="margin">
              <wp:align>center</wp:align>
            </wp:positionH>
            <wp:positionV relativeFrom="paragraph">
              <wp:posOffset>635</wp:posOffset>
            </wp:positionV>
            <wp:extent cx="5486400" cy="2896186"/>
            <wp:effectExtent l="0" t="0" r="0" b="0"/>
            <wp:wrapTight wrapText="bothSides">
              <wp:wrapPolygon edited="0">
                <wp:start x="0" y="0"/>
                <wp:lineTo x="0" y="21505"/>
                <wp:lineTo x="21550" y="21505"/>
                <wp:lineTo x="21550" y="0"/>
                <wp:lineTo x="0" y="0"/>
              </wp:wrapPolygon>
            </wp:wrapTight>
            <wp:docPr id="82" name="Picture 8" descr="Timeline&#10;&#10;Description automatically generated with low confidence">
              <a:extLst xmlns:a="http://schemas.openxmlformats.org/drawingml/2006/main">
                <a:ext uri="{FF2B5EF4-FFF2-40B4-BE49-F238E27FC236}">
                  <a16:creationId xmlns:a16="http://schemas.microsoft.com/office/drawing/2014/main" id="{D68BAB5B-95BA-A64F-BF6F-84CF3D6D68F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Timeline&#10;&#10;Description automatically generated with low confidence">
                      <a:extLst>
                        <a:ext uri="{FF2B5EF4-FFF2-40B4-BE49-F238E27FC236}">
                          <a16:creationId xmlns:a16="http://schemas.microsoft.com/office/drawing/2014/main" id="{D68BAB5B-95BA-A64F-BF6F-84CF3D6D68F4}"/>
                        </a:ext>
                      </a:extLst>
                    </pic:cNvPr>
                    <pic:cNvPicPr>
                      <a:picLocks noChangeAspect="1"/>
                    </pic:cNvPicPr>
                  </pic:nvPicPr>
                  <pic:blipFill>
                    <a:blip r:embed="rId60" cstate="hqprint">
                      <a:extLst>
                        <a:ext uri="{28A0092B-C50C-407E-A947-70E740481C1C}">
                          <a14:useLocalDpi xmlns:a14="http://schemas.microsoft.com/office/drawing/2010/main"/>
                        </a:ext>
                      </a:extLst>
                    </a:blip>
                    <a:stretch>
                      <a:fillRect/>
                    </a:stretch>
                  </pic:blipFill>
                  <pic:spPr>
                    <a:xfrm>
                      <a:off x="0" y="0"/>
                      <a:ext cx="5486400" cy="2896186"/>
                    </a:xfrm>
                    <a:prstGeom prst="rect">
                      <a:avLst/>
                    </a:prstGeom>
                  </pic:spPr>
                </pic:pic>
              </a:graphicData>
            </a:graphic>
            <wp14:sizeRelH relativeFrom="page">
              <wp14:pctWidth>0</wp14:pctWidth>
            </wp14:sizeRelH>
            <wp14:sizeRelV relativeFrom="page">
              <wp14:pctHeight>0</wp14:pctHeight>
            </wp14:sizeRelV>
          </wp:anchor>
        </w:drawing>
      </w:r>
      <w:r w:rsidRPr="00FC5103">
        <w:rPr>
          <w:noProof/>
        </w:rPr>
        <w:t xml:space="preserve"> </w:t>
      </w:r>
    </w:p>
    <w:p w14:paraId="37BB82C1" w14:textId="77777777" w:rsidR="00973759" w:rsidRPr="009E4C5E" w:rsidRDefault="00973759" w:rsidP="002A18A2">
      <w:r w:rsidRPr="009E4C5E">
        <w:rPr>
          <w:b/>
          <w:bCs/>
        </w:rPr>
        <w:t>Figure IV-S2.</w:t>
      </w:r>
      <w:r>
        <w:rPr>
          <w:b/>
          <w:bCs/>
        </w:rPr>
        <w:t xml:space="preserve"> </w:t>
      </w:r>
      <w:proofErr w:type="spellStart"/>
      <w:r>
        <w:t>progressiveMauve</w:t>
      </w:r>
      <w:proofErr w:type="spellEnd"/>
      <w:r>
        <w:t xml:space="preserve"> whole genome alignment depicting extensive rearrangement in the 11 </w:t>
      </w:r>
      <w:r>
        <w:rPr>
          <w:i/>
          <w:iCs/>
        </w:rPr>
        <w:t xml:space="preserve">Salix </w:t>
      </w:r>
      <w:r>
        <w:t>mitogenomes. Shared colors and links indicate shared locally collinear blocks (LCBs). Orientation of blocks are indicated by LCB orientation, blocks located below a genome’s center line represent an inversion.</w:t>
      </w:r>
    </w:p>
    <w:p w14:paraId="2F93F1DE" w14:textId="77777777" w:rsidR="00973759" w:rsidRDefault="00973759" w:rsidP="002A18A2"/>
    <w:p w14:paraId="59B29DA0" w14:textId="77777777" w:rsidR="00973759" w:rsidRDefault="00973759" w:rsidP="002A18A2"/>
    <w:p w14:paraId="3455E402" w14:textId="77777777" w:rsidR="00973759" w:rsidRDefault="00973759" w:rsidP="002A18A2"/>
    <w:p w14:paraId="5E18F53F" w14:textId="77777777" w:rsidR="00973759" w:rsidRDefault="00973759" w:rsidP="002A18A2"/>
    <w:p w14:paraId="7E854787" w14:textId="77777777" w:rsidR="00973759" w:rsidRDefault="00973759" w:rsidP="002A18A2"/>
    <w:p w14:paraId="5A15F77C" w14:textId="77777777" w:rsidR="00973759" w:rsidRDefault="00973759" w:rsidP="002A18A2"/>
    <w:p w14:paraId="17C42A30" w14:textId="77777777" w:rsidR="00973759" w:rsidRDefault="00973759" w:rsidP="002A18A2"/>
    <w:p w14:paraId="5B933A9E" w14:textId="77777777" w:rsidR="00973759" w:rsidRDefault="00973759" w:rsidP="002A18A2"/>
    <w:p w14:paraId="3A3CAEAB" w14:textId="77777777" w:rsidR="00973759" w:rsidRDefault="00973759" w:rsidP="002A18A2"/>
    <w:p w14:paraId="4505A5D8" w14:textId="77777777" w:rsidR="00973759" w:rsidRDefault="00973759" w:rsidP="002A18A2"/>
    <w:p w14:paraId="04B83381" w14:textId="77777777" w:rsidR="00973759" w:rsidRDefault="00973759" w:rsidP="002A18A2"/>
    <w:p w14:paraId="299C7BC9" w14:textId="77777777" w:rsidR="00973759" w:rsidRDefault="00973759" w:rsidP="002A18A2"/>
    <w:p w14:paraId="73459007" w14:textId="77777777" w:rsidR="00973759" w:rsidRDefault="00973759" w:rsidP="002A18A2"/>
    <w:p w14:paraId="4EB35DB8" w14:textId="77777777" w:rsidR="00973759" w:rsidRDefault="00973759" w:rsidP="002A18A2"/>
    <w:p w14:paraId="521F3B60" w14:textId="77777777" w:rsidR="00973759" w:rsidRDefault="00973759" w:rsidP="002A18A2"/>
    <w:p w14:paraId="1335C26C" w14:textId="77777777" w:rsidR="00973759" w:rsidRDefault="00973759" w:rsidP="002A18A2"/>
    <w:p w14:paraId="107055F8" w14:textId="77777777" w:rsidR="00973759" w:rsidRDefault="00973759" w:rsidP="002A18A2"/>
    <w:p w14:paraId="409ECF6E" w14:textId="77777777" w:rsidR="00973759" w:rsidRDefault="00973759" w:rsidP="002A18A2"/>
    <w:p w14:paraId="27887B9D" w14:textId="77777777" w:rsidR="00973759" w:rsidRDefault="00973759" w:rsidP="002A18A2"/>
    <w:p w14:paraId="39FB08E8" w14:textId="77777777" w:rsidR="00973759" w:rsidRDefault="00973759" w:rsidP="002A18A2"/>
    <w:p w14:paraId="6E918212" w14:textId="77777777" w:rsidR="00973759" w:rsidRDefault="00973759" w:rsidP="002A18A2"/>
    <w:p w14:paraId="5F37EBEA" w14:textId="77777777" w:rsidR="00973759" w:rsidRPr="002F6DDC" w:rsidRDefault="00973759" w:rsidP="002A18A2">
      <w:r w:rsidRPr="004A47B0">
        <w:rPr>
          <w:noProof/>
        </w:rPr>
        <w:lastRenderedPageBreak/>
        <w:drawing>
          <wp:anchor distT="0" distB="0" distL="114300" distR="114300" simplePos="0" relativeHeight="251725824" behindDoc="1" locked="0" layoutInCell="1" allowOverlap="1" wp14:anchorId="736D4D9D" wp14:editId="21CF811F">
            <wp:simplePos x="0" y="0"/>
            <wp:positionH relativeFrom="margin">
              <wp:align>center</wp:align>
            </wp:positionH>
            <wp:positionV relativeFrom="paragraph">
              <wp:posOffset>0</wp:posOffset>
            </wp:positionV>
            <wp:extent cx="5486400" cy="5872089"/>
            <wp:effectExtent l="0" t="0" r="0" b="0"/>
            <wp:wrapTight wrapText="bothSides">
              <wp:wrapPolygon edited="0">
                <wp:start x="0" y="0"/>
                <wp:lineTo x="0" y="21537"/>
                <wp:lineTo x="21550" y="21537"/>
                <wp:lineTo x="21550" y="0"/>
                <wp:lineTo x="0" y="0"/>
              </wp:wrapPolygon>
            </wp:wrapTight>
            <wp:docPr id="83" name="Picture 5" descr="A picture containing chart&#10;&#10;Description automatically generated">
              <a:extLst xmlns:a="http://schemas.openxmlformats.org/drawingml/2006/main">
                <a:ext uri="{FF2B5EF4-FFF2-40B4-BE49-F238E27FC236}">
                  <a16:creationId xmlns:a16="http://schemas.microsoft.com/office/drawing/2014/main" id="{5363CF6D-2D59-1542-A78B-1D8C3257015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5" descr="A picture containing chart&#10;&#10;Description automatically generated">
                      <a:extLst>
                        <a:ext uri="{FF2B5EF4-FFF2-40B4-BE49-F238E27FC236}">
                          <a16:creationId xmlns:a16="http://schemas.microsoft.com/office/drawing/2014/main" id="{5363CF6D-2D59-1542-A78B-1D8C3257015C}"/>
                        </a:ext>
                      </a:extLst>
                    </pic:cNvPr>
                    <pic:cNvPicPr>
                      <a:picLocks noChangeAspect="1"/>
                    </pic:cNvPicPr>
                  </pic:nvPicPr>
                  <pic:blipFill>
                    <a:blip r:embed="rId61" cstate="hqprint">
                      <a:extLst>
                        <a:ext uri="{28A0092B-C50C-407E-A947-70E740481C1C}">
                          <a14:useLocalDpi xmlns:a14="http://schemas.microsoft.com/office/drawing/2010/main"/>
                        </a:ext>
                      </a:extLst>
                    </a:blip>
                    <a:stretch>
                      <a:fillRect/>
                    </a:stretch>
                  </pic:blipFill>
                  <pic:spPr>
                    <a:xfrm>
                      <a:off x="0" y="0"/>
                      <a:ext cx="5486400" cy="5872089"/>
                    </a:xfrm>
                    <a:prstGeom prst="rect">
                      <a:avLst/>
                    </a:prstGeom>
                  </pic:spPr>
                </pic:pic>
              </a:graphicData>
            </a:graphic>
            <wp14:sizeRelH relativeFrom="page">
              <wp14:pctWidth>0</wp14:pctWidth>
            </wp14:sizeRelH>
            <wp14:sizeRelV relativeFrom="page">
              <wp14:pctHeight>0</wp14:pctHeight>
            </wp14:sizeRelV>
          </wp:anchor>
        </w:drawing>
      </w:r>
      <w:r w:rsidRPr="009E4C5E">
        <w:rPr>
          <w:b/>
          <w:bCs/>
        </w:rPr>
        <w:t>Figure IV-S</w:t>
      </w:r>
      <w:r>
        <w:rPr>
          <w:b/>
          <w:bCs/>
        </w:rPr>
        <w:t>3</w:t>
      </w:r>
      <w:r w:rsidRPr="009E4C5E">
        <w:rPr>
          <w:b/>
          <w:bCs/>
        </w:rPr>
        <w:t>.</w:t>
      </w:r>
      <w:r>
        <w:rPr>
          <w:b/>
          <w:bCs/>
        </w:rPr>
        <w:t xml:space="preserve"> </w:t>
      </w:r>
      <w:r>
        <w:t xml:space="preserve">Expression of protein-coding genes in the 11 </w:t>
      </w:r>
      <w:r>
        <w:rPr>
          <w:i/>
          <w:iCs/>
        </w:rPr>
        <w:t>Salix</w:t>
      </w:r>
      <w:r>
        <w:t xml:space="preserve"> mitogenomes represented as log</w:t>
      </w:r>
      <w:r w:rsidRPr="00BB23F5">
        <w:rPr>
          <w:vertAlign w:val="subscript"/>
        </w:rPr>
        <w:t>2</w:t>
      </w:r>
      <w:r>
        <w:t>(FPKM+1).  Sample and tissue are depicted as column annotations while gene functional class are row annotations.</w:t>
      </w:r>
    </w:p>
    <w:p w14:paraId="7F62681D" w14:textId="77777777" w:rsidR="00973759" w:rsidRDefault="00973759" w:rsidP="002A18A2"/>
    <w:p w14:paraId="7D412741" w14:textId="77777777" w:rsidR="00973759" w:rsidRDefault="00973759" w:rsidP="002A18A2"/>
    <w:p w14:paraId="478BD93B" w14:textId="77777777" w:rsidR="00973759" w:rsidRDefault="00973759" w:rsidP="002A18A2"/>
    <w:p w14:paraId="5B198692" w14:textId="77777777" w:rsidR="00973759" w:rsidRDefault="00973759" w:rsidP="002A18A2">
      <w:r w:rsidRPr="004A47B0">
        <w:rPr>
          <w:noProof/>
        </w:rPr>
        <w:lastRenderedPageBreak/>
        <w:drawing>
          <wp:anchor distT="0" distB="0" distL="114300" distR="114300" simplePos="0" relativeHeight="251726848" behindDoc="1" locked="0" layoutInCell="1" allowOverlap="1" wp14:anchorId="298270BC" wp14:editId="78042DB6">
            <wp:simplePos x="0" y="0"/>
            <wp:positionH relativeFrom="column">
              <wp:posOffset>0</wp:posOffset>
            </wp:positionH>
            <wp:positionV relativeFrom="paragraph">
              <wp:posOffset>1270</wp:posOffset>
            </wp:positionV>
            <wp:extent cx="5943600" cy="5943600"/>
            <wp:effectExtent l="0" t="0" r="0" b="0"/>
            <wp:wrapTight wrapText="bothSides">
              <wp:wrapPolygon edited="0">
                <wp:start x="0" y="0"/>
                <wp:lineTo x="0" y="21554"/>
                <wp:lineTo x="21554" y="21554"/>
                <wp:lineTo x="21554" y="0"/>
                <wp:lineTo x="0" y="0"/>
              </wp:wrapPolygon>
            </wp:wrapTight>
            <wp:docPr id="84" name="Picture 6" descr="Chart, bar chart&#10;&#10;Description automatically generated">
              <a:extLst xmlns:a="http://schemas.openxmlformats.org/drawingml/2006/main">
                <a:ext uri="{FF2B5EF4-FFF2-40B4-BE49-F238E27FC236}">
                  <a16:creationId xmlns:a16="http://schemas.microsoft.com/office/drawing/2014/main" id="{314ABBD9-B49A-CB40-B3FD-BB555FAF414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6" descr="Chart, bar chart&#10;&#10;Description automatically generated">
                      <a:extLst>
                        <a:ext uri="{FF2B5EF4-FFF2-40B4-BE49-F238E27FC236}">
                          <a16:creationId xmlns:a16="http://schemas.microsoft.com/office/drawing/2014/main" id="{314ABBD9-B49A-CB40-B3FD-BB555FAF4140}"/>
                        </a:ext>
                      </a:extLst>
                    </pic:cNvPr>
                    <pic:cNvPicPr>
                      <a:picLocks noChangeAspect="1"/>
                    </pic:cNvPicPr>
                  </pic:nvPicPr>
                  <pic:blipFill>
                    <a:blip r:embed="rId62" cstate="hqprint">
                      <a:extLst>
                        <a:ext uri="{28A0092B-C50C-407E-A947-70E740481C1C}">
                          <a14:useLocalDpi xmlns:a14="http://schemas.microsoft.com/office/drawing/2010/main"/>
                        </a:ext>
                      </a:extLst>
                    </a:blip>
                    <a:stretch>
                      <a:fillRect/>
                    </a:stretch>
                  </pic:blipFill>
                  <pic:spPr>
                    <a:xfrm>
                      <a:off x="0" y="0"/>
                      <a:ext cx="5943600" cy="5943600"/>
                    </a:xfrm>
                    <a:prstGeom prst="rect">
                      <a:avLst/>
                    </a:prstGeom>
                  </pic:spPr>
                </pic:pic>
              </a:graphicData>
            </a:graphic>
            <wp14:sizeRelH relativeFrom="page">
              <wp14:pctWidth>0</wp14:pctWidth>
            </wp14:sizeRelH>
            <wp14:sizeRelV relativeFrom="page">
              <wp14:pctHeight>0</wp14:pctHeight>
            </wp14:sizeRelV>
          </wp:anchor>
        </w:drawing>
      </w:r>
      <w:r w:rsidRPr="009E4C5E">
        <w:rPr>
          <w:b/>
          <w:bCs/>
        </w:rPr>
        <w:t>Figure IV-S</w:t>
      </w:r>
      <w:r>
        <w:rPr>
          <w:b/>
          <w:bCs/>
        </w:rPr>
        <w:t>4</w:t>
      </w:r>
      <w:r w:rsidRPr="009E4C5E">
        <w:rPr>
          <w:b/>
          <w:bCs/>
        </w:rPr>
        <w:t>.</w:t>
      </w:r>
      <w:r>
        <w:rPr>
          <w:b/>
          <w:bCs/>
        </w:rPr>
        <w:t xml:space="preserve">  </w:t>
      </w:r>
      <w:r>
        <w:t xml:space="preserve">Dispersed repeat percentage by genotype in the 11 </w:t>
      </w:r>
      <w:r>
        <w:rPr>
          <w:i/>
          <w:iCs/>
        </w:rPr>
        <w:t xml:space="preserve">Salix </w:t>
      </w:r>
      <w:r>
        <w:t>chloroplast and mitogenomes.</w:t>
      </w:r>
    </w:p>
    <w:p w14:paraId="7D4C7C95" w14:textId="77777777" w:rsidR="00973759" w:rsidRDefault="00973759" w:rsidP="002A18A2">
      <w:r w:rsidRPr="004A47B0">
        <w:rPr>
          <w:noProof/>
        </w:rPr>
        <w:lastRenderedPageBreak/>
        <w:drawing>
          <wp:anchor distT="0" distB="0" distL="114300" distR="114300" simplePos="0" relativeHeight="251727872" behindDoc="1" locked="0" layoutInCell="1" allowOverlap="1" wp14:anchorId="033C56CC" wp14:editId="3CDA8276">
            <wp:simplePos x="0" y="0"/>
            <wp:positionH relativeFrom="column">
              <wp:posOffset>0</wp:posOffset>
            </wp:positionH>
            <wp:positionV relativeFrom="paragraph">
              <wp:posOffset>0</wp:posOffset>
            </wp:positionV>
            <wp:extent cx="5388429" cy="6858000"/>
            <wp:effectExtent l="0" t="0" r="0" b="0"/>
            <wp:wrapTight wrapText="bothSides">
              <wp:wrapPolygon edited="0">
                <wp:start x="0" y="0"/>
                <wp:lineTo x="0" y="21560"/>
                <wp:lineTo x="21536" y="21560"/>
                <wp:lineTo x="21536" y="0"/>
                <wp:lineTo x="0" y="0"/>
              </wp:wrapPolygon>
            </wp:wrapTight>
            <wp:docPr id="85" name="Picture 6" descr="Chart&#10;&#10;Description automatically generated with medium confidence">
              <a:extLst xmlns:a="http://schemas.openxmlformats.org/drawingml/2006/main">
                <a:ext uri="{FF2B5EF4-FFF2-40B4-BE49-F238E27FC236}">
                  <a16:creationId xmlns:a16="http://schemas.microsoft.com/office/drawing/2014/main" id="{116746FC-3423-DD47-8553-3B7ADF48F99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6" descr="Chart&#10;&#10;Description automatically generated with medium confidence">
                      <a:extLst>
                        <a:ext uri="{FF2B5EF4-FFF2-40B4-BE49-F238E27FC236}">
                          <a16:creationId xmlns:a16="http://schemas.microsoft.com/office/drawing/2014/main" id="{116746FC-3423-DD47-8553-3B7ADF48F994}"/>
                        </a:ext>
                      </a:extLst>
                    </pic:cNvPr>
                    <pic:cNvPicPr>
                      <a:picLocks noChangeAspect="1"/>
                    </pic:cNvPicPr>
                  </pic:nvPicPr>
                  <pic:blipFill>
                    <a:blip r:embed="rId63" cstate="hqprint">
                      <a:extLst>
                        <a:ext uri="{28A0092B-C50C-407E-A947-70E740481C1C}">
                          <a14:useLocalDpi xmlns:a14="http://schemas.microsoft.com/office/drawing/2010/main"/>
                        </a:ext>
                      </a:extLst>
                    </a:blip>
                    <a:stretch>
                      <a:fillRect/>
                    </a:stretch>
                  </pic:blipFill>
                  <pic:spPr>
                    <a:xfrm>
                      <a:off x="0" y="0"/>
                      <a:ext cx="5388429" cy="6858000"/>
                    </a:xfrm>
                    <a:prstGeom prst="rect">
                      <a:avLst/>
                    </a:prstGeom>
                  </pic:spPr>
                </pic:pic>
              </a:graphicData>
            </a:graphic>
            <wp14:sizeRelH relativeFrom="page">
              <wp14:pctWidth>0</wp14:pctWidth>
            </wp14:sizeRelH>
            <wp14:sizeRelV relativeFrom="page">
              <wp14:pctHeight>0</wp14:pctHeight>
            </wp14:sizeRelV>
          </wp:anchor>
        </w:drawing>
      </w:r>
    </w:p>
    <w:p w14:paraId="7A544F65" w14:textId="77777777" w:rsidR="00973759" w:rsidRDefault="00973759" w:rsidP="002A18A2"/>
    <w:p w14:paraId="0F76CBDB" w14:textId="77777777" w:rsidR="00973759" w:rsidRDefault="00973759" w:rsidP="002A18A2"/>
    <w:p w14:paraId="5B775544" w14:textId="77777777" w:rsidR="00973759" w:rsidRDefault="00973759" w:rsidP="002A18A2"/>
    <w:p w14:paraId="0C0F0133" w14:textId="77777777" w:rsidR="00973759" w:rsidRDefault="00973759" w:rsidP="002A18A2"/>
    <w:p w14:paraId="36ADBFCB" w14:textId="77777777" w:rsidR="00973759" w:rsidRDefault="00973759" w:rsidP="002A18A2"/>
    <w:p w14:paraId="42A3A66A" w14:textId="77777777" w:rsidR="00973759" w:rsidRDefault="00973759" w:rsidP="002A18A2"/>
    <w:p w14:paraId="1B33F7EB" w14:textId="77777777" w:rsidR="00973759" w:rsidRDefault="00973759" w:rsidP="002A18A2"/>
    <w:p w14:paraId="33BAA9D2" w14:textId="77777777" w:rsidR="00973759" w:rsidRDefault="00973759" w:rsidP="002A18A2"/>
    <w:p w14:paraId="1B11A0A7" w14:textId="77777777" w:rsidR="00973759" w:rsidRDefault="00973759" w:rsidP="002A18A2"/>
    <w:p w14:paraId="0E4CE576" w14:textId="77777777" w:rsidR="00973759" w:rsidRDefault="00973759" w:rsidP="002A18A2"/>
    <w:p w14:paraId="370B9B96" w14:textId="77777777" w:rsidR="00973759" w:rsidRDefault="00973759" w:rsidP="002A18A2"/>
    <w:p w14:paraId="535C9A6A" w14:textId="77777777" w:rsidR="00973759" w:rsidRDefault="00973759" w:rsidP="002A18A2"/>
    <w:p w14:paraId="229CB4F1" w14:textId="77777777" w:rsidR="00973759" w:rsidRDefault="00973759" w:rsidP="002A18A2"/>
    <w:p w14:paraId="70D6529F" w14:textId="77777777" w:rsidR="00973759" w:rsidRDefault="00973759" w:rsidP="002A18A2"/>
    <w:p w14:paraId="692C8C21" w14:textId="77777777" w:rsidR="00973759" w:rsidRDefault="00973759" w:rsidP="002A18A2"/>
    <w:p w14:paraId="6D08BD41" w14:textId="77777777" w:rsidR="00973759" w:rsidRDefault="00973759" w:rsidP="002A18A2"/>
    <w:p w14:paraId="03515CB4" w14:textId="77777777" w:rsidR="00973759" w:rsidRDefault="00973759" w:rsidP="002A18A2"/>
    <w:p w14:paraId="635E230E" w14:textId="77777777" w:rsidR="00973759" w:rsidRDefault="00973759" w:rsidP="002A18A2"/>
    <w:p w14:paraId="2D73BCBC" w14:textId="77777777" w:rsidR="00973759" w:rsidRDefault="00973759" w:rsidP="002A18A2"/>
    <w:p w14:paraId="4C1C5150" w14:textId="77777777" w:rsidR="00973759" w:rsidRDefault="00973759" w:rsidP="002A18A2"/>
    <w:p w14:paraId="75683BCE" w14:textId="77777777" w:rsidR="00973759" w:rsidRDefault="00973759" w:rsidP="002A18A2"/>
    <w:p w14:paraId="3ACB548F" w14:textId="77777777" w:rsidR="00973759" w:rsidRDefault="00973759" w:rsidP="002A18A2"/>
    <w:p w14:paraId="2577BC35" w14:textId="77777777" w:rsidR="00973759" w:rsidRDefault="00973759" w:rsidP="002A18A2"/>
    <w:p w14:paraId="7D7BF0F3" w14:textId="77777777" w:rsidR="00973759" w:rsidRDefault="00973759" w:rsidP="002A18A2"/>
    <w:p w14:paraId="16D7A738" w14:textId="77777777" w:rsidR="00973759" w:rsidRDefault="00973759" w:rsidP="002A18A2"/>
    <w:p w14:paraId="6A36DC71" w14:textId="77777777" w:rsidR="00973759" w:rsidRDefault="00973759" w:rsidP="002A18A2"/>
    <w:p w14:paraId="55B3D7BB" w14:textId="77777777" w:rsidR="00973759" w:rsidRDefault="00973759" w:rsidP="002A18A2"/>
    <w:p w14:paraId="6F68045C" w14:textId="77777777" w:rsidR="00973759" w:rsidRDefault="00973759" w:rsidP="002A18A2"/>
    <w:p w14:paraId="047C3F0D" w14:textId="77777777" w:rsidR="00973759" w:rsidRDefault="00973759" w:rsidP="002A18A2"/>
    <w:p w14:paraId="2D8B927E" w14:textId="77777777" w:rsidR="00973759" w:rsidRDefault="00973759" w:rsidP="002A18A2"/>
    <w:p w14:paraId="5E7FAB29" w14:textId="77777777" w:rsidR="00973759" w:rsidRDefault="00973759" w:rsidP="002A18A2"/>
    <w:p w14:paraId="62D6375B" w14:textId="77777777" w:rsidR="00973759" w:rsidRDefault="00973759" w:rsidP="002A18A2"/>
    <w:p w14:paraId="4F169ABD" w14:textId="77777777" w:rsidR="00973759" w:rsidRDefault="00973759" w:rsidP="002A18A2"/>
    <w:p w14:paraId="313B2817" w14:textId="77777777" w:rsidR="00973759" w:rsidRDefault="00973759" w:rsidP="002A18A2"/>
    <w:p w14:paraId="457DD59E" w14:textId="77777777" w:rsidR="00973759" w:rsidRDefault="00973759" w:rsidP="002A18A2"/>
    <w:p w14:paraId="0778F162" w14:textId="77777777" w:rsidR="00973759" w:rsidRDefault="00973759" w:rsidP="002A18A2"/>
    <w:p w14:paraId="45D0EE0E" w14:textId="77777777" w:rsidR="00973759" w:rsidRDefault="00973759" w:rsidP="002A18A2"/>
    <w:p w14:paraId="7B49646D" w14:textId="77777777" w:rsidR="00973759" w:rsidRDefault="00973759" w:rsidP="002A18A2"/>
    <w:p w14:paraId="499EA587" w14:textId="77777777" w:rsidR="00973759" w:rsidRDefault="00973759" w:rsidP="002A18A2"/>
    <w:p w14:paraId="664116AA" w14:textId="77777777" w:rsidR="00973759" w:rsidRDefault="00973759" w:rsidP="002A18A2">
      <w:r w:rsidRPr="009E4C5E">
        <w:rPr>
          <w:b/>
          <w:bCs/>
        </w:rPr>
        <w:t>Figure IV-S</w:t>
      </w:r>
      <w:r>
        <w:rPr>
          <w:b/>
          <w:bCs/>
        </w:rPr>
        <w:t>5</w:t>
      </w:r>
      <w:r w:rsidRPr="009E4C5E">
        <w:rPr>
          <w:b/>
          <w:bCs/>
        </w:rPr>
        <w:t>.</w:t>
      </w:r>
      <w:r>
        <w:rPr>
          <w:b/>
          <w:bCs/>
        </w:rPr>
        <w:t xml:space="preserve">  </w:t>
      </w:r>
      <w:r>
        <w:t xml:space="preserve">(A) Dispersed repeat counts by size class (30-50 bp, 51-70 bp, 71-90 bp, and &gt; 90 bp) by genotype in the 11 </w:t>
      </w:r>
      <w:r>
        <w:rPr>
          <w:i/>
          <w:iCs/>
        </w:rPr>
        <w:t xml:space="preserve">Salix </w:t>
      </w:r>
      <w:r>
        <w:t xml:space="preserve">chloroplast and mitogenomes. (B) Dispersed repeat counts by size class (30-50 bp, 51-70 bp, 71-90 bp, and &gt; 90 bp) and context (forward, palindromic, and reverse) by genotype in the 11 </w:t>
      </w:r>
      <w:r>
        <w:rPr>
          <w:i/>
          <w:iCs/>
        </w:rPr>
        <w:t xml:space="preserve">Salix </w:t>
      </w:r>
      <w:r>
        <w:t>chloroplast and mitogenomes.</w:t>
      </w:r>
    </w:p>
    <w:p w14:paraId="6A0F63CD" w14:textId="77777777" w:rsidR="00973759" w:rsidRDefault="00973759" w:rsidP="002A18A2">
      <w:r w:rsidRPr="004A47B0">
        <w:rPr>
          <w:noProof/>
        </w:rPr>
        <w:lastRenderedPageBreak/>
        <w:drawing>
          <wp:inline distT="0" distB="0" distL="0" distR="0" wp14:anchorId="25CBC51C" wp14:editId="15557E4B">
            <wp:extent cx="5943600" cy="4195445"/>
            <wp:effectExtent l="0" t="0" r="0" b="0"/>
            <wp:docPr id="86" name="Picture 2">
              <a:extLst xmlns:a="http://schemas.openxmlformats.org/drawingml/2006/main">
                <a:ext uri="{FF2B5EF4-FFF2-40B4-BE49-F238E27FC236}">
                  <a16:creationId xmlns:a16="http://schemas.microsoft.com/office/drawing/2014/main" id="{FB80EA10-1B2C-D641-BA99-E9176AE77C4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FB80EA10-1B2C-D641-BA99-E9176AE77C4A}"/>
                        </a:ext>
                      </a:extLst>
                    </pic:cNvPr>
                    <pic:cNvPicPr>
                      <a:picLocks noChangeAspect="1"/>
                    </pic:cNvPicPr>
                  </pic:nvPicPr>
                  <pic:blipFill>
                    <a:blip r:embed="rId64"/>
                    <a:stretch>
                      <a:fillRect/>
                    </a:stretch>
                  </pic:blipFill>
                  <pic:spPr>
                    <a:xfrm>
                      <a:off x="0" y="0"/>
                      <a:ext cx="5943600" cy="4195445"/>
                    </a:xfrm>
                    <a:prstGeom prst="rect">
                      <a:avLst/>
                    </a:prstGeom>
                  </pic:spPr>
                </pic:pic>
              </a:graphicData>
            </a:graphic>
          </wp:inline>
        </w:drawing>
      </w:r>
    </w:p>
    <w:p w14:paraId="6B74ACD3" w14:textId="77777777" w:rsidR="00973759" w:rsidRDefault="00973759" w:rsidP="002A18A2"/>
    <w:p w14:paraId="7617166E" w14:textId="77777777" w:rsidR="00973759" w:rsidRPr="00C97385" w:rsidRDefault="00973759" w:rsidP="002A18A2">
      <w:r w:rsidRPr="009E4C5E">
        <w:rPr>
          <w:b/>
          <w:bCs/>
        </w:rPr>
        <w:t>Figure IV-S</w:t>
      </w:r>
      <w:r>
        <w:rPr>
          <w:b/>
          <w:bCs/>
        </w:rPr>
        <w:t>6</w:t>
      </w:r>
      <w:r w:rsidRPr="009E4C5E">
        <w:rPr>
          <w:b/>
          <w:bCs/>
        </w:rPr>
        <w:t>.</w:t>
      </w:r>
      <w:r>
        <w:rPr>
          <w:b/>
          <w:bCs/>
        </w:rPr>
        <w:t xml:space="preserve"> </w:t>
      </w:r>
      <w:r>
        <w:t xml:space="preserve">Average Ka and Ks values by gene in the (A) chloroplast and (B) mitogenome across the 11 </w:t>
      </w:r>
      <w:r>
        <w:rPr>
          <w:i/>
          <w:iCs/>
        </w:rPr>
        <w:t xml:space="preserve">Salix </w:t>
      </w:r>
      <w:r>
        <w:t>genotypes.</w:t>
      </w:r>
    </w:p>
    <w:p w14:paraId="6EC47CDC" w14:textId="77777777" w:rsidR="00973759" w:rsidRDefault="00973759" w:rsidP="002A18A2">
      <w:pPr>
        <w:widowControl w:val="0"/>
        <w:autoSpaceDE w:val="0"/>
        <w:autoSpaceDN w:val="0"/>
        <w:adjustRightInd w:val="0"/>
        <w:rPr>
          <w:b/>
          <w:bCs/>
          <w:sz w:val="28"/>
          <w:szCs w:val="26"/>
        </w:rPr>
      </w:pPr>
    </w:p>
    <w:p w14:paraId="02F6EA5A" w14:textId="77777777" w:rsidR="00973759" w:rsidRDefault="00973759" w:rsidP="002A18A2">
      <w:pPr>
        <w:widowControl w:val="0"/>
        <w:autoSpaceDE w:val="0"/>
        <w:autoSpaceDN w:val="0"/>
        <w:adjustRightInd w:val="0"/>
        <w:rPr>
          <w:b/>
          <w:bCs/>
          <w:sz w:val="28"/>
          <w:szCs w:val="26"/>
        </w:rPr>
      </w:pPr>
    </w:p>
    <w:p w14:paraId="55893DDC" w14:textId="77777777" w:rsidR="00973759" w:rsidRDefault="00973759" w:rsidP="002A18A2">
      <w:pPr>
        <w:widowControl w:val="0"/>
        <w:autoSpaceDE w:val="0"/>
        <w:autoSpaceDN w:val="0"/>
        <w:adjustRightInd w:val="0"/>
        <w:rPr>
          <w:b/>
          <w:bCs/>
          <w:sz w:val="28"/>
          <w:szCs w:val="26"/>
        </w:rPr>
      </w:pPr>
    </w:p>
    <w:p w14:paraId="0D16FF7D" w14:textId="77777777" w:rsidR="00973759" w:rsidRDefault="00973759" w:rsidP="002A18A2">
      <w:pPr>
        <w:widowControl w:val="0"/>
        <w:autoSpaceDE w:val="0"/>
        <w:autoSpaceDN w:val="0"/>
        <w:adjustRightInd w:val="0"/>
        <w:rPr>
          <w:b/>
          <w:bCs/>
          <w:sz w:val="28"/>
          <w:szCs w:val="26"/>
        </w:rPr>
      </w:pPr>
    </w:p>
    <w:p w14:paraId="46540B5E" w14:textId="77777777" w:rsidR="00973759" w:rsidRDefault="00973759" w:rsidP="002A18A2">
      <w:pPr>
        <w:widowControl w:val="0"/>
        <w:autoSpaceDE w:val="0"/>
        <w:autoSpaceDN w:val="0"/>
        <w:adjustRightInd w:val="0"/>
        <w:rPr>
          <w:b/>
          <w:bCs/>
          <w:sz w:val="28"/>
          <w:szCs w:val="26"/>
        </w:rPr>
      </w:pPr>
    </w:p>
    <w:p w14:paraId="2144EE64" w14:textId="77777777" w:rsidR="00973759" w:rsidRDefault="00973759" w:rsidP="002A18A2">
      <w:pPr>
        <w:widowControl w:val="0"/>
        <w:autoSpaceDE w:val="0"/>
        <w:autoSpaceDN w:val="0"/>
        <w:adjustRightInd w:val="0"/>
        <w:rPr>
          <w:b/>
          <w:bCs/>
          <w:sz w:val="28"/>
          <w:szCs w:val="26"/>
        </w:rPr>
      </w:pPr>
    </w:p>
    <w:p w14:paraId="6C7A329D" w14:textId="77777777" w:rsidR="00973759" w:rsidRDefault="00973759" w:rsidP="002A18A2">
      <w:pPr>
        <w:widowControl w:val="0"/>
        <w:autoSpaceDE w:val="0"/>
        <w:autoSpaceDN w:val="0"/>
        <w:adjustRightInd w:val="0"/>
        <w:rPr>
          <w:b/>
          <w:bCs/>
          <w:sz w:val="28"/>
          <w:szCs w:val="26"/>
        </w:rPr>
      </w:pPr>
    </w:p>
    <w:p w14:paraId="26F4AB65" w14:textId="77777777" w:rsidR="00973759" w:rsidRDefault="00973759" w:rsidP="002A18A2">
      <w:pPr>
        <w:widowControl w:val="0"/>
        <w:autoSpaceDE w:val="0"/>
        <w:autoSpaceDN w:val="0"/>
        <w:adjustRightInd w:val="0"/>
        <w:rPr>
          <w:b/>
          <w:bCs/>
          <w:sz w:val="28"/>
          <w:szCs w:val="26"/>
        </w:rPr>
      </w:pPr>
    </w:p>
    <w:p w14:paraId="13600CFF" w14:textId="77777777" w:rsidR="00973759" w:rsidRDefault="00973759" w:rsidP="002A18A2">
      <w:pPr>
        <w:widowControl w:val="0"/>
        <w:autoSpaceDE w:val="0"/>
        <w:autoSpaceDN w:val="0"/>
        <w:adjustRightInd w:val="0"/>
        <w:rPr>
          <w:b/>
          <w:bCs/>
          <w:sz w:val="28"/>
          <w:szCs w:val="26"/>
        </w:rPr>
      </w:pPr>
    </w:p>
    <w:p w14:paraId="66DF5B2A" w14:textId="77777777" w:rsidR="00973759" w:rsidRDefault="00973759" w:rsidP="002A18A2">
      <w:pPr>
        <w:widowControl w:val="0"/>
        <w:autoSpaceDE w:val="0"/>
        <w:autoSpaceDN w:val="0"/>
        <w:adjustRightInd w:val="0"/>
        <w:rPr>
          <w:b/>
          <w:bCs/>
          <w:sz w:val="28"/>
          <w:szCs w:val="26"/>
        </w:rPr>
      </w:pPr>
    </w:p>
    <w:p w14:paraId="21B953DE" w14:textId="77777777" w:rsidR="00973759" w:rsidRDefault="00973759" w:rsidP="002A18A2">
      <w:pPr>
        <w:widowControl w:val="0"/>
        <w:autoSpaceDE w:val="0"/>
        <w:autoSpaceDN w:val="0"/>
        <w:adjustRightInd w:val="0"/>
        <w:rPr>
          <w:b/>
          <w:bCs/>
          <w:sz w:val="28"/>
          <w:szCs w:val="26"/>
        </w:rPr>
      </w:pPr>
    </w:p>
    <w:p w14:paraId="5DD33DEB" w14:textId="77777777" w:rsidR="00973759" w:rsidRDefault="00973759" w:rsidP="002A18A2">
      <w:pPr>
        <w:widowControl w:val="0"/>
        <w:autoSpaceDE w:val="0"/>
        <w:autoSpaceDN w:val="0"/>
        <w:adjustRightInd w:val="0"/>
        <w:rPr>
          <w:b/>
          <w:bCs/>
          <w:sz w:val="28"/>
          <w:szCs w:val="26"/>
        </w:rPr>
      </w:pPr>
    </w:p>
    <w:p w14:paraId="0BFB4B26" w14:textId="77777777" w:rsidR="00973759" w:rsidRDefault="00973759" w:rsidP="002A18A2">
      <w:pPr>
        <w:widowControl w:val="0"/>
        <w:autoSpaceDE w:val="0"/>
        <w:autoSpaceDN w:val="0"/>
        <w:adjustRightInd w:val="0"/>
        <w:rPr>
          <w:b/>
          <w:bCs/>
          <w:sz w:val="28"/>
          <w:szCs w:val="26"/>
        </w:rPr>
      </w:pPr>
    </w:p>
    <w:p w14:paraId="427E9E10" w14:textId="77777777" w:rsidR="00973759" w:rsidRDefault="00973759" w:rsidP="002A18A2">
      <w:pPr>
        <w:widowControl w:val="0"/>
        <w:autoSpaceDE w:val="0"/>
        <w:autoSpaceDN w:val="0"/>
        <w:adjustRightInd w:val="0"/>
        <w:rPr>
          <w:b/>
          <w:bCs/>
          <w:sz w:val="28"/>
          <w:szCs w:val="26"/>
        </w:rPr>
      </w:pPr>
    </w:p>
    <w:p w14:paraId="0E829A91" w14:textId="77777777" w:rsidR="00973759" w:rsidRDefault="00973759" w:rsidP="002A18A2">
      <w:pPr>
        <w:widowControl w:val="0"/>
        <w:autoSpaceDE w:val="0"/>
        <w:autoSpaceDN w:val="0"/>
        <w:adjustRightInd w:val="0"/>
        <w:rPr>
          <w:b/>
          <w:bCs/>
          <w:sz w:val="28"/>
          <w:szCs w:val="26"/>
        </w:rPr>
      </w:pPr>
    </w:p>
    <w:p w14:paraId="43705C7B" w14:textId="77777777" w:rsidR="00973759" w:rsidRDefault="00973759" w:rsidP="002A18A2">
      <w:pPr>
        <w:widowControl w:val="0"/>
        <w:autoSpaceDE w:val="0"/>
        <w:autoSpaceDN w:val="0"/>
        <w:adjustRightInd w:val="0"/>
        <w:rPr>
          <w:b/>
          <w:bCs/>
          <w:sz w:val="28"/>
          <w:szCs w:val="26"/>
        </w:rPr>
      </w:pPr>
    </w:p>
    <w:p w14:paraId="4898B02D" w14:textId="77777777" w:rsidR="00973759" w:rsidRDefault="00973759" w:rsidP="002A18A2">
      <w:pPr>
        <w:widowControl w:val="0"/>
        <w:autoSpaceDE w:val="0"/>
        <w:autoSpaceDN w:val="0"/>
        <w:adjustRightInd w:val="0"/>
        <w:rPr>
          <w:b/>
          <w:bCs/>
          <w:sz w:val="28"/>
          <w:szCs w:val="26"/>
        </w:rPr>
      </w:pPr>
    </w:p>
    <w:p w14:paraId="24AB91DB" w14:textId="77777777" w:rsidR="00973759" w:rsidRPr="00E8388F" w:rsidRDefault="00973759" w:rsidP="00D6234C">
      <w:pPr>
        <w:jc w:val="center"/>
        <w:rPr>
          <w:b/>
          <w:bCs/>
          <w:sz w:val="32"/>
          <w:szCs w:val="28"/>
        </w:rPr>
      </w:pPr>
      <w:r w:rsidRPr="00E8388F">
        <w:rPr>
          <w:b/>
          <w:bCs/>
          <w:sz w:val="32"/>
          <w:szCs w:val="28"/>
        </w:rPr>
        <w:lastRenderedPageBreak/>
        <w:t>Chapter V</w:t>
      </w:r>
    </w:p>
    <w:p w14:paraId="65073A6D" w14:textId="77777777" w:rsidR="00973759" w:rsidRPr="00E8388F" w:rsidRDefault="00973759" w:rsidP="00D6234C">
      <w:pPr>
        <w:jc w:val="center"/>
        <w:rPr>
          <w:b/>
          <w:bCs/>
          <w:sz w:val="32"/>
          <w:szCs w:val="28"/>
        </w:rPr>
      </w:pPr>
      <w:r w:rsidRPr="00E8388F">
        <w:rPr>
          <w:b/>
          <w:bCs/>
          <w:sz w:val="32"/>
          <w:szCs w:val="28"/>
        </w:rPr>
        <w:t>Conclusion</w:t>
      </w:r>
    </w:p>
    <w:p w14:paraId="61594675" w14:textId="77777777" w:rsidR="00973759" w:rsidRDefault="00973759" w:rsidP="00D6234C">
      <w:pPr>
        <w:jc w:val="center"/>
        <w:rPr>
          <w:b/>
          <w:bCs/>
          <w:sz w:val="28"/>
          <w:szCs w:val="26"/>
        </w:rPr>
      </w:pPr>
    </w:p>
    <w:p w14:paraId="38F0CEB2" w14:textId="77777777" w:rsidR="00973759" w:rsidRDefault="00973759" w:rsidP="00D6234C">
      <w:pPr>
        <w:jc w:val="center"/>
        <w:rPr>
          <w:b/>
          <w:bCs/>
          <w:sz w:val="28"/>
          <w:szCs w:val="26"/>
        </w:rPr>
      </w:pPr>
    </w:p>
    <w:p w14:paraId="0936547D" w14:textId="77777777" w:rsidR="00973759" w:rsidRDefault="00973759" w:rsidP="00D6234C">
      <w:pPr>
        <w:jc w:val="center"/>
        <w:rPr>
          <w:b/>
          <w:bCs/>
          <w:sz w:val="28"/>
          <w:szCs w:val="26"/>
        </w:rPr>
      </w:pPr>
    </w:p>
    <w:p w14:paraId="04540061" w14:textId="77777777" w:rsidR="00973759" w:rsidRDefault="00973759" w:rsidP="00D6234C">
      <w:pPr>
        <w:jc w:val="center"/>
        <w:rPr>
          <w:b/>
          <w:bCs/>
          <w:sz w:val="28"/>
          <w:szCs w:val="26"/>
        </w:rPr>
      </w:pPr>
    </w:p>
    <w:p w14:paraId="259F28DC" w14:textId="77777777" w:rsidR="00973759" w:rsidRDefault="00973759" w:rsidP="00D6234C">
      <w:pPr>
        <w:jc w:val="center"/>
        <w:rPr>
          <w:b/>
          <w:bCs/>
          <w:sz w:val="28"/>
          <w:szCs w:val="26"/>
        </w:rPr>
      </w:pPr>
    </w:p>
    <w:p w14:paraId="65EF4C6C" w14:textId="77777777" w:rsidR="00973759" w:rsidRDefault="00973759" w:rsidP="00D6234C">
      <w:pPr>
        <w:jc w:val="center"/>
        <w:rPr>
          <w:b/>
          <w:bCs/>
          <w:sz w:val="28"/>
          <w:szCs w:val="26"/>
        </w:rPr>
      </w:pPr>
    </w:p>
    <w:p w14:paraId="2853B689" w14:textId="77777777" w:rsidR="00973759" w:rsidRDefault="00973759" w:rsidP="00D6234C">
      <w:pPr>
        <w:jc w:val="center"/>
        <w:rPr>
          <w:b/>
          <w:bCs/>
          <w:sz w:val="28"/>
          <w:szCs w:val="26"/>
        </w:rPr>
      </w:pPr>
    </w:p>
    <w:p w14:paraId="2E8E5D71" w14:textId="77777777" w:rsidR="00973759" w:rsidRDefault="00973759" w:rsidP="00D6234C">
      <w:pPr>
        <w:jc w:val="center"/>
        <w:rPr>
          <w:b/>
          <w:bCs/>
          <w:sz w:val="28"/>
          <w:szCs w:val="26"/>
        </w:rPr>
      </w:pPr>
    </w:p>
    <w:p w14:paraId="26A39051" w14:textId="77777777" w:rsidR="00973759" w:rsidRDefault="00973759" w:rsidP="00D6234C">
      <w:pPr>
        <w:jc w:val="center"/>
        <w:rPr>
          <w:b/>
          <w:bCs/>
          <w:sz w:val="28"/>
          <w:szCs w:val="26"/>
        </w:rPr>
      </w:pPr>
    </w:p>
    <w:p w14:paraId="6BE44C37" w14:textId="77777777" w:rsidR="00973759" w:rsidRDefault="00973759" w:rsidP="00D6234C">
      <w:pPr>
        <w:jc w:val="center"/>
        <w:rPr>
          <w:b/>
          <w:bCs/>
          <w:sz w:val="28"/>
          <w:szCs w:val="26"/>
        </w:rPr>
      </w:pPr>
    </w:p>
    <w:p w14:paraId="304CBD30" w14:textId="77777777" w:rsidR="00973759" w:rsidRDefault="00973759" w:rsidP="00D6234C">
      <w:pPr>
        <w:jc w:val="center"/>
        <w:rPr>
          <w:b/>
          <w:bCs/>
          <w:sz w:val="28"/>
          <w:szCs w:val="26"/>
        </w:rPr>
      </w:pPr>
    </w:p>
    <w:p w14:paraId="0B02A0CC" w14:textId="77777777" w:rsidR="00973759" w:rsidRDefault="00973759" w:rsidP="00D6234C">
      <w:pPr>
        <w:jc w:val="center"/>
        <w:rPr>
          <w:b/>
          <w:bCs/>
          <w:sz w:val="28"/>
          <w:szCs w:val="26"/>
        </w:rPr>
      </w:pPr>
    </w:p>
    <w:p w14:paraId="7EDF7B16" w14:textId="77777777" w:rsidR="00973759" w:rsidRDefault="00973759" w:rsidP="00D6234C">
      <w:pPr>
        <w:jc w:val="center"/>
        <w:rPr>
          <w:b/>
          <w:bCs/>
          <w:sz w:val="28"/>
          <w:szCs w:val="26"/>
        </w:rPr>
      </w:pPr>
    </w:p>
    <w:p w14:paraId="5E81F80C" w14:textId="77777777" w:rsidR="00973759" w:rsidRDefault="00973759" w:rsidP="00D6234C">
      <w:pPr>
        <w:jc w:val="center"/>
        <w:rPr>
          <w:b/>
          <w:bCs/>
          <w:sz w:val="28"/>
          <w:szCs w:val="26"/>
        </w:rPr>
      </w:pPr>
    </w:p>
    <w:p w14:paraId="3B15C458" w14:textId="77777777" w:rsidR="00973759" w:rsidRDefault="00973759" w:rsidP="00D6234C">
      <w:pPr>
        <w:jc w:val="center"/>
        <w:rPr>
          <w:b/>
          <w:bCs/>
          <w:sz w:val="28"/>
          <w:szCs w:val="26"/>
        </w:rPr>
      </w:pPr>
    </w:p>
    <w:p w14:paraId="4D1A3198" w14:textId="77777777" w:rsidR="00973759" w:rsidRDefault="00973759" w:rsidP="00D6234C">
      <w:pPr>
        <w:jc w:val="center"/>
        <w:rPr>
          <w:b/>
          <w:bCs/>
          <w:sz w:val="28"/>
          <w:szCs w:val="26"/>
        </w:rPr>
      </w:pPr>
    </w:p>
    <w:p w14:paraId="00ED74F5" w14:textId="77777777" w:rsidR="00973759" w:rsidRDefault="00973759" w:rsidP="00D6234C">
      <w:pPr>
        <w:jc w:val="center"/>
        <w:rPr>
          <w:b/>
          <w:bCs/>
          <w:sz w:val="28"/>
          <w:szCs w:val="26"/>
        </w:rPr>
      </w:pPr>
    </w:p>
    <w:p w14:paraId="30AC7B39" w14:textId="77777777" w:rsidR="00973759" w:rsidRDefault="00973759" w:rsidP="00D6234C">
      <w:pPr>
        <w:jc w:val="center"/>
        <w:rPr>
          <w:b/>
          <w:bCs/>
          <w:sz w:val="28"/>
          <w:szCs w:val="26"/>
        </w:rPr>
      </w:pPr>
    </w:p>
    <w:p w14:paraId="64001797" w14:textId="77777777" w:rsidR="00973759" w:rsidRDefault="00973759" w:rsidP="00D6234C">
      <w:pPr>
        <w:jc w:val="center"/>
        <w:rPr>
          <w:b/>
          <w:bCs/>
          <w:sz w:val="28"/>
          <w:szCs w:val="26"/>
        </w:rPr>
      </w:pPr>
    </w:p>
    <w:p w14:paraId="7295F80C" w14:textId="77777777" w:rsidR="00973759" w:rsidRDefault="00973759" w:rsidP="00D6234C">
      <w:pPr>
        <w:jc w:val="center"/>
        <w:rPr>
          <w:b/>
          <w:bCs/>
          <w:sz w:val="28"/>
          <w:szCs w:val="26"/>
        </w:rPr>
      </w:pPr>
    </w:p>
    <w:p w14:paraId="7E59D400" w14:textId="77777777" w:rsidR="00973759" w:rsidRDefault="00973759" w:rsidP="00D6234C">
      <w:pPr>
        <w:jc w:val="center"/>
        <w:rPr>
          <w:b/>
          <w:bCs/>
          <w:sz w:val="28"/>
          <w:szCs w:val="26"/>
        </w:rPr>
      </w:pPr>
    </w:p>
    <w:p w14:paraId="5726F6B7" w14:textId="77777777" w:rsidR="00973759" w:rsidRDefault="00973759" w:rsidP="00D6234C">
      <w:pPr>
        <w:jc w:val="center"/>
        <w:rPr>
          <w:b/>
          <w:bCs/>
          <w:sz w:val="28"/>
          <w:szCs w:val="26"/>
        </w:rPr>
      </w:pPr>
    </w:p>
    <w:p w14:paraId="0CD3A7EB" w14:textId="77777777" w:rsidR="00973759" w:rsidRDefault="00973759" w:rsidP="00D6234C">
      <w:pPr>
        <w:jc w:val="center"/>
        <w:rPr>
          <w:b/>
          <w:bCs/>
          <w:sz w:val="28"/>
          <w:szCs w:val="26"/>
        </w:rPr>
      </w:pPr>
    </w:p>
    <w:p w14:paraId="2EDDA941" w14:textId="77777777" w:rsidR="00973759" w:rsidRDefault="00973759" w:rsidP="00D6234C">
      <w:pPr>
        <w:jc w:val="center"/>
        <w:rPr>
          <w:b/>
          <w:bCs/>
          <w:sz w:val="28"/>
          <w:szCs w:val="26"/>
        </w:rPr>
      </w:pPr>
    </w:p>
    <w:p w14:paraId="08B2F603" w14:textId="77777777" w:rsidR="00973759" w:rsidRDefault="00973759" w:rsidP="00D6234C">
      <w:pPr>
        <w:jc w:val="center"/>
        <w:rPr>
          <w:b/>
          <w:bCs/>
          <w:sz w:val="28"/>
          <w:szCs w:val="26"/>
        </w:rPr>
      </w:pPr>
    </w:p>
    <w:p w14:paraId="54948AEF" w14:textId="77777777" w:rsidR="00973759" w:rsidRDefault="00973759" w:rsidP="00D6234C">
      <w:pPr>
        <w:jc w:val="center"/>
        <w:rPr>
          <w:b/>
          <w:bCs/>
          <w:sz w:val="28"/>
          <w:szCs w:val="26"/>
        </w:rPr>
      </w:pPr>
    </w:p>
    <w:p w14:paraId="61A2D55A" w14:textId="77777777" w:rsidR="00973759" w:rsidRDefault="00973759" w:rsidP="00D6234C">
      <w:pPr>
        <w:jc w:val="center"/>
        <w:rPr>
          <w:b/>
          <w:bCs/>
          <w:sz w:val="28"/>
          <w:szCs w:val="26"/>
        </w:rPr>
      </w:pPr>
    </w:p>
    <w:p w14:paraId="3EDFD86E" w14:textId="77777777" w:rsidR="00973759" w:rsidRDefault="00973759" w:rsidP="00D6234C">
      <w:pPr>
        <w:jc w:val="center"/>
        <w:rPr>
          <w:b/>
          <w:bCs/>
          <w:sz w:val="28"/>
          <w:szCs w:val="26"/>
        </w:rPr>
      </w:pPr>
    </w:p>
    <w:p w14:paraId="2C7EBBAB" w14:textId="77777777" w:rsidR="00973759" w:rsidRDefault="00973759" w:rsidP="00D6234C">
      <w:pPr>
        <w:jc w:val="center"/>
        <w:rPr>
          <w:b/>
          <w:bCs/>
          <w:sz w:val="28"/>
          <w:szCs w:val="26"/>
        </w:rPr>
      </w:pPr>
    </w:p>
    <w:p w14:paraId="14F26272" w14:textId="77777777" w:rsidR="00973759" w:rsidRDefault="00973759" w:rsidP="00D6234C">
      <w:pPr>
        <w:jc w:val="center"/>
        <w:rPr>
          <w:b/>
          <w:bCs/>
          <w:sz w:val="28"/>
          <w:szCs w:val="26"/>
        </w:rPr>
      </w:pPr>
    </w:p>
    <w:p w14:paraId="31B7624B" w14:textId="77777777" w:rsidR="00973759" w:rsidRDefault="00973759" w:rsidP="00D6234C">
      <w:pPr>
        <w:jc w:val="center"/>
        <w:rPr>
          <w:b/>
          <w:bCs/>
          <w:sz w:val="28"/>
          <w:szCs w:val="26"/>
        </w:rPr>
      </w:pPr>
    </w:p>
    <w:p w14:paraId="63429788" w14:textId="77777777" w:rsidR="00973759" w:rsidRDefault="00973759" w:rsidP="00D6234C">
      <w:pPr>
        <w:jc w:val="center"/>
        <w:rPr>
          <w:b/>
          <w:bCs/>
          <w:sz w:val="28"/>
          <w:szCs w:val="26"/>
        </w:rPr>
      </w:pPr>
    </w:p>
    <w:p w14:paraId="0CBC36C5" w14:textId="77777777" w:rsidR="00973759" w:rsidRDefault="00973759" w:rsidP="00D6234C">
      <w:pPr>
        <w:jc w:val="center"/>
        <w:rPr>
          <w:b/>
          <w:bCs/>
          <w:sz w:val="28"/>
          <w:szCs w:val="26"/>
        </w:rPr>
      </w:pPr>
    </w:p>
    <w:p w14:paraId="2B8DC86F" w14:textId="77777777" w:rsidR="00973759" w:rsidRDefault="00973759" w:rsidP="00D6234C">
      <w:pPr>
        <w:jc w:val="center"/>
        <w:rPr>
          <w:b/>
          <w:bCs/>
          <w:sz w:val="28"/>
          <w:szCs w:val="26"/>
        </w:rPr>
      </w:pPr>
    </w:p>
    <w:p w14:paraId="794F0BE2" w14:textId="77777777" w:rsidR="00973759" w:rsidRDefault="00973759" w:rsidP="00D6234C">
      <w:pPr>
        <w:jc w:val="center"/>
        <w:rPr>
          <w:b/>
          <w:bCs/>
          <w:sz w:val="28"/>
          <w:szCs w:val="26"/>
        </w:rPr>
      </w:pPr>
    </w:p>
    <w:p w14:paraId="6887DAD4" w14:textId="77777777" w:rsidR="00973759" w:rsidRDefault="00973759" w:rsidP="00D6234C">
      <w:pPr>
        <w:jc w:val="center"/>
        <w:rPr>
          <w:b/>
          <w:bCs/>
          <w:sz w:val="28"/>
          <w:szCs w:val="26"/>
        </w:rPr>
      </w:pPr>
    </w:p>
    <w:p w14:paraId="3EE2EF6D" w14:textId="77777777" w:rsidR="00973759" w:rsidRDefault="00973759" w:rsidP="00D6234C">
      <w:pPr>
        <w:jc w:val="center"/>
        <w:rPr>
          <w:b/>
          <w:bCs/>
          <w:sz w:val="28"/>
          <w:szCs w:val="26"/>
        </w:rPr>
      </w:pPr>
    </w:p>
    <w:p w14:paraId="2307FE78" w14:textId="77777777" w:rsidR="00973759" w:rsidRDefault="00973759" w:rsidP="00D6234C">
      <w:pPr>
        <w:jc w:val="center"/>
        <w:rPr>
          <w:b/>
          <w:bCs/>
          <w:sz w:val="28"/>
          <w:szCs w:val="26"/>
        </w:rPr>
      </w:pPr>
      <w:r>
        <w:rPr>
          <w:b/>
          <w:bCs/>
          <w:sz w:val="28"/>
          <w:szCs w:val="26"/>
        </w:rPr>
        <w:lastRenderedPageBreak/>
        <w:t>CONCLUSION</w:t>
      </w:r>
    </w:p>
    <w:p w14:paraId="04B9FB38" w14:textId="77777777" w:rsidR="00973759" w:rsidRDefault="00973759" w:rsidP="00D6234C">
      <w:pPr>
        <w:jc w:val="center"/>
        <w:rPr>
          <w:b/>
          <w:bCs/>
          <w:sz w:val="28"/>
          <w:szCs w:val="26"/>
        </w:rPr>
      </w:pPr>
    </w:p>
    <w:p w14:paraId="6DE73A9B" w14:textId="77777777" w:rsidR="00973759" w:rsidRDefault="00973759" w:rsidP="00D6234C">
      <w:pPr>
        <w:spacing w:line="360" w:lineRule="auto"/>
      </w:pPr>
      <w:r>
        <w:rPr>
          <w:b/>
          <w:bCs/>
          <w:sz w:val="28"/>
          <w:szCs w:val="26"/>
        </w:rPr>
        <w:tab/>
      </w:r>
      <w:r>
        <w:t xml:space="preserve">The primary focus of this dissertation is to contribute to the understanding of genome evolution in the </w:t>
      </w:r>
      <w:r>
        <w:rPr>
          <w:i/>
          <w:iCs/>
        </w:rPr>
        <w:t xml:space="preserve">Salicaceae </w:t>
      </w:r>
      <w:r>
        <w:t>from both organelle and nuclear genome perspectives. Additionally, genomic resources generated here</w:t>
      </w:r>
      <w:r>
        <w:rPr>
          <w:i/>
          <w:iCs/>
        </w:rPr>
        <w:t xml:space="preserve"> </w:t>
      </w:r>
      <w:r>
        <w:t xml:space="preserve">will aid future studies of the genetics and genomics of </w:t>
      </w:r>
      <w:r>
        <w:rPr>
          <w:i/>
          <w:iCs/>
        </w:rPr>
        <w:t xml:space="preserve">Populus </w:t>
      </w:r>
      <w:r>
        <w:t xml:space="preserve">and </w:t>
      </w:r>
      <w:r>
        <w:rPr>
          <w:i/>
          <w:iCs/>
        </w:rPr>
        <w:t>Salix</w:t>
      </w:r>
      <w:r>
        <w:t xml:space="preserve">. Ideally, these resources will contribute to their domestication and use as important biofuel and biomaterial feedstocks. </w:t>
      </w:r>
    </w:p>
    <w:p w14:paraId="5AC02D0A" w14:textId="77777777" w:rsidR="00973759" w:rsidRDefault="00973759" w:rsidP="00D6234C">
      <w:pPr>
        <w:spacing w:line="360" w:lineRule="auto"/>
        <w:ind w:firstLine="720"/>
      </w:pPr>
      <w:r>
        <w:t xml:space="preserve">Chapter II leveraged the extensive omics data available to </w:t>
      </w:r>
      <w:r>
        <w:rPr>
          <w:i/>
          <w:iCs/>
        </w:rPr>
        <w:t xml:space="preserve">P. </w:t>
      </w:r>
      <w:proofErr w:type="spellStart"/>
      <w:r>
        <w:rPr>
          <w:i/>
          <w:iCs/>
        </w:rPr>
        <w:t>trichocarpa</w:t>
      </w:r>
      <w:proofErr w:type="spellEnd"/>
      <w:r>
        <w:rPr>
          <w:i/>
          <w:iCs/>
        </w:rPr>
        <w:t xml:space="preserve"> </w:t>
      </w:r>
      <w:r>
        <w:t xml:space="preserve">to generate a highly curated set of orphan genes. These analyses yielded information about their expression, polymorphism at the population scale, presence in regulatory networks, and their regulatory origins. As a result, a set of orphan genes with multiple layers of functional evidence was produced. </w:t>
      </w:r>
      <w:r>
        <w:rPr>
          <w:iCs/>
        </w:rPr>
        <w:t xml:space="preserve">Orphan genes which had evidence of </w:t>
      </w:r>
      <w:r>
        <w:rPr>
          <w:i/>
        </w:rPr>
        <w:t xml:space="preserve">de novo </w:t>
      </w:r>
      <w:r>
        <w:rPr>
          <w:iCs/>
        </w:rPr>
        <w:t>gene</w:t>
      </w:r>
      <w:r>
        <w:rPr>
          <w:i/>
        </w:rPr>
        <w:t xml:space="preserve"> </w:t>
      </w:r>
      <w:r>
        <w:rPr>
          <w:iCs/>
        </w:rPr>
        <w:t xml:space="preserve">evolution were also identified and the highly conserved </w:t>
      </w:r>
      <w:proofErr w:type="spellStart"/>
      <w:r>
        <w:rPr>
          <w:iCs/>
        </w:rPr>
        <w:t>Salicoid</w:t>
      </w:r>
      <w:proofErr w:type="spellEnd"/>
      <w:r>
        <w:rPr>
          <w:iCs/>
        </w:rPr>
        <w:t xml:space="preserve"> whole genome duplication was used to reconstruct their origins from non-coding sequence. </w:t>
      </w:r>
      <w:r>
        <w:t xml:space="preserve">Future studies could explore this highly curated set of </w:t>
      </w:r>
      <w:r>
        <w:rPr>
          <w:i/>
          <w:iCs/>
        </w:rPr>
        <w:t xml:space="preserve">P. </w:t>
      </w:r>
      <w:proofErr w:type="spellStart"/>
      <w:r>
        <w:rPr>
          <w:i/>
          <w:iCs/>
        </w:rPr>
        <w:t>trichocarpa</w:t>
      </w:r>
      <w:proofErr w:type="spellEnd"/>
      <w:r>
        <w:rPr>
          <w:i/>
          <w:iCs/>
        </w:rPr>
        <w:t xml:space="preserve"> de novo</w:t>
      </w:r>
      <w:r>
        <w:t xml:space="preserve"> and orphan genes in transgenic systems. Additionally, future gene annotation pipelines should be more inclusive of genes lacking homology in other species.</w:t>
      </w:r>
    </w:p>
    <w:p w14:paraId="198CC5A8" w14:textId="77777777" w:rsidR="00973759" w:rsidRDefault="00973759" w:rsidP="00D6234C">
      <w:pPr>
        <w:spacing w:line="360" w:lineRule="auto"/>
        <w:ind w:firstLine="720"/>
      </w:pPr>
      <w:r>
        <w:t xml:space="preserve">Chapter III explored non-coding and putative coding transfer of organelle derived sequence to the nuclear genomes of </w:t>
      </w:r>
      <w:r>
        <w:rPr>
          <w:i/>
          <w:iCs/>
        </w:rPr>
        <w:t xml:space="preserve">P. </w:t>
      </w:r>
      <w:proofErr w:type="spellStart"/>
      <w:r>
        <w:rPr>
          <w:i/>
          <w:iCs/>
        </w:rPr>
        <w:t>trichocarpa</w:t>
      </w:r>
      <w:proofErr w:type="spellEnd"/>
      <w:r>
        <w:rPr>
          <w:i/>
          <w:iCs/>
        </w:rPr>
        <w:t xml:space="preserve"> </w:t>
      </w:r>
      <w:r>
        <w:t xml:space="preserve">and </w:t>
      </w:r>
      <w:r>
        <w:rPr>
          <w:i/>
          <w:iCs/>
        </w:rPr>
        <w:t xml:space="preserve">P. </w:t>
      </w:r>
      <w:proofErr w:type="spellStart"/>
      <w:r>
        <w:rPr>
          <w:i/>
          <w:iCs/>
        </w:rPr>
        <w:t>deltoides</w:t>
      </w:r>
      <w:proofErr w:type="spellEnd"/>
      <w:r>
        <w:t xml:space="preserve">. Methodology was developed to identify and curate these NUPTs and NUMTs and </w:t>
      </w:r>
      <w:r>
        <w:rPr>
          <w:i/>
          <w:iCs/>
        </w:rPr>
        <w:t xml:space="preserve">P. </w:t>
      </w:r>
      <w:proofErr w:type="spellStart"/>
      <w:r>
        <w:rPr>
          <w:i/>
          <w:iCs/>
        </w:rPr>
        <w:t>deltoides</w:t>
      </w:r>
      <w:proofErr w:type="spellEnd"/>
      <w:r>
        <w:rPr>
          <w:i/>
          <w:iCs/>
        </w:rPr>
        <w:t xml:space="preserve"> </w:t>
      </w:r>
      <w:r>
        <w:t xml:space="preserve">had considerably more organelle derived DNA content compared to </w:t>
      </w:r>
      <w:r>
        <w:rPr>
          <w:i/>
          <w:iCs/>
        </w:rPr>
        <w:t xml:space="preserve">P. </w:t>
      </w:r>
      <w:proofErr w:type="spellStart"/>
      <w:r>
        <w:rPr>
          <w:i/>
          <w:iCs/>
        </w:rPr>
        <w:t>trichocarpa</w:t>
      </w:r>
      <w:proofErr w:type="spellEnd"/>
      <w:r>
        <w:t xml:space="preserve">. Future studies could examine this imbalance further. A presence absence variation pipeline which leveraged sequence identity and syntenic information was also developed and may be useful for future studies evaluating differences in NUPT and NUMT content in genome assemblies. Methylation levels and mutation rates were used to validate this pipeline. Lastly, we explored the whole chloroplast integration event which is shared between </w:t>
      </w:r>
      <w:r>
        <w:rPr>
          <w:i/>
          <w:iCs/>
        </w:rPr>
        <w:t xml:space="preserve">P. </w:t>
      </w:r>
      <w:proofErr w:type="spellStart"/>
      <w:r>
        <w:rPr>
          <w:i/>
          <w:iCs/>
        </w:rPr>
        <w:t>trichocarpa</w:t>
      </w:r>
      <w:proofErr w:type="spellEnd"/>
      <w:r>
        <w:rPr>
          <w:i/>
          <w:iCs/>
        </w:rPr>
        <w:t xml:space="preserve"> </w:t>
      </w:r>
      <w:r>
        <w:t xml:space="preserve">and </w:t>
      </w:r>
      <w:r>
        <w:rPr>
          <w:i/>
          <w:iCs/>
        </w:rPr>
        <w:t xml:space="preserve">P. </w:t>
      </w:r>
      <w:proofErr w:type="spellStart"/>
      <w:r>
        <w:rPr>
          <w:i/>
          <w:iCs/>
        </w:rPr>
        <w:t>deltoides</w:t>
      </w:r>
      <w:proofErr w:type="spellEnd"/>
      <w:r>
        <w:t>. Future studies could explore the functionality of putative protein-coding transfer through transgenesis.</w:t>
      </w:r>
    </w:p>
    <w:p w14:paraId="48877C85" w14:textId="77777777" w:rsidR="00973759" w:rsidRDefault="00973759" w:rsidP="00D6234C">
      <w:pPr>
        <w:spacing w:line="360" w:lineRule="auto"/>
        <w:ind w:firstLine="720"/>
      </w:pPr>
      <w:r>
        <w:t xml:space="preserve">Chapter IV created new genome resources for six </w:t>
      </w:r>
      <w:r>
        <w:rPr>
          <w:i/>
          <w:iCs/>
        </w:rPr>
        <w:t xml:space="preserve">Salix </w:t>
      </w:r>
      <w:r>
        <w:t xml:space="preserve">species which included 11 genotypes and generated organelle assemblies and annotations. As of April 2022, there are only seven publicly available </w:t>
      </w:r>
      <w:r>
        <w:rPr>
          <w:i/>
          <w:iCs/>
        </w:rPr>
        <w:t xml:space="preserve">Salix </w:t>
      </w:r>
      <w:r>
        <w:t xml:space="preserve">mitogenomes.  The 11 mitogenomes generated here contribute significantly to the total number of </w:t>
      </w:r>
      <w:r>
        <w:rPr>
          <w:i/>
          <w:iCs/>
        </w:rPr>
        <w:t xml:space="preserve">Salix </w:t>
      </w:r>
      <w:r>
        <w:t xml:space="preserve">mitogenomes and offer novel insights into </w:t>
      </w:r>
      <w:r>
        <w:rPr>
          <w:i/>
          <w:iCs/>
        </w:rPr>
        <w:t xml:space="preserve">Salix </w:t>
      </w:r>
      <w:r>
        <w:t xml:space="preserve">mitogenome diversity. Gene presence and absence was assessed within the chloroplast and mitogenomes and some heterogeneity was present. Additionally, variation in repeat content and </w:t>
      </w:r>
      <w:r>
        <w:lastRenderedPageBreak/>
        <w:t>chloroplast DNA content in the mitogenome was evident at the genotype and species levels. Lastly, selection analyses identified large numbers of genes under purifying selection and a smaller subset under positive selection. Future studies could investigate whether organelle genes which are under positive selection have functional copies in the nuclear genome.</w:t>
      </w:r>
    </w:p>
    <w:p w14:paraId="10C0E6E4" w14:textId="77777777" w:rsidR="00973759" w:rsidRPr="007D3521" w:rsidRDefault="00973759" w:rsidP="00D6234C">
      <w:pPr>
        <w:spacing w:line="360" w:lineRule="auto"/>
        <w:ind w:firstLine="720"/>
      </w:pPr>
      <w:r>
        <w:t xml:space="preserve">Overall, this dissertation has developed new methods and investigated various facets of genome evolution in the </w:t>
      </w:r>
      <w:r>
        <w:rPr>
          <w:i/>
          <w:iCs/>
        </w:rPr>
        <w:t>Salicaceae</w:t>
      </w:r>
      <w:r>
        <w:t xml:space="preserve"> and should aid future studies exploring the genetics and genomics of willow and poplar.</w:t>
      </w:r>
    </w:p>
    <w:p w14:paraId="536673DF" w14:textId="77777777" w:rsidR="00973759" w:rsidRDefault="00973759" w:rsidP="00D6234C">
      <w:pPr>
        <w:jc w:val="center"/>
        <w:rPr>
          <w:b/>
          <w:bCs/>
          <w:sz w:val="28"/>
          <w:szCs w:val="26"/>
        </w:rPr>
      </w:pPr>
    </w:p>
    <w:p w14:paraId="1C7810F3" w14:textId="77777777" w:rsidR="00973759" w:rsidRDefault="00973759" w:rsidP="00D6234C">
      <w:pPr>
        <w:jc w:val="center"/>
        <w:rPr>
          <w:b/>
          <w:bCs/>
          <w:sz w:val="28"/>
          <w:szCs w:val="26"/>
        </w:rPr>
      </w:pPr>
    </w:p>
    <w:p w14:paraId="452EF313" w14:textId="77777777" w:rsidR="00973759" w:rsidRDefault="00973759" w:rsidP="00D6234C">
      <w:pPr>
        <w:jc w:val="center"/>
        <w:rPr>
          <w:b/>
          <w:bCs/>
          <w:sz w:val="28"/>
          <w:szCs w:val="26"/>
        </w:rPr>
      </w:pPr>
    </w:p>
    <w:p w14:paraId="352FED9B" w14:textId="77777777" w:rsidR="00973759" w:rsidRDefault="00973759" w:rsidP="00D6234C">
      <w:pPr>
        <w:jc w:val="center"/>
        <w:rPr>
          <w:b/>
          <w:bCs/>
          <w:sz w:val="28"/>
          <w:szCs w:val="26"/>
        </w:rPr>
      </w:pPr>
    </w:p>
    <w:p w14:paraId="0ABB14A6" w14:textId="77777777" w:rsidR="00973759" w:rsidRDefault="00973759" w:rsidP="00D6234C">
      <w:pPr>
        <w:jc w:val="center"/>
        <w:rPr>
          <w:b/>
          <w:bCs/>
          <w:sz w:val="28"/>
          <w:szCs w:val="26"/>
        </w:rPr>
      </w:pPr>
    </w:p>
    <w:p w14:paraId="4613E6C4" w14:textId="77777777" w:rsidR="00973759" w:rsidRDefault="00973759" w:rsidP="00D6234C">
      <w:pPr>
        <w:jc w:val="center"/>
        <w:rPr>
          <w:b/>
          <w:bCs/>
          <w:sz w:val="28"/>
          <w:szCs w:val="26"/>
        </w:rPr>
      </w:pPr>
    </w:p>
    <w:p w14:paraId="0488CB78" w14:textId="77777777" w:rsidR="00973759" w:rsidRDefault="00973759" w:rsidP="00D6234C">
      <w:pPr>
        <w:jc w:val="center"/>
        <w:rPr>
          <w:b/>
          <w:bCs/>
          <w:sz w:val="28"/>
          <w:szCs w:val="26"/>
        </w:rPr>
      </w:pPr>
    </w:p>
    <w:p w14:paraId="0EF25B0B" w14:textId="77777777" w:rsidR="00973759" w:rsidRDefault="00973759" w:rsidP="00D6234C">
      <w:pPr>
        <w:jc w:val="center"/>
        <w:rPr>
          <w:b/>
          <w:bCs/>
          <w:sz w:val="28"/>
          <w:szCs w:val="26"/>
        </w:rPr>
      </w:pPr>
    </w:p>
    <w:p w14:paraId="029B5B10" w14:textId="77777777" w:rsidR="00973759" w:rsidRDefault="00973759" w:rsidP="00D6234C">
      <w:pPr>
        <w:jc w:val="center"/>
        <w:rPr>
          <w:b/>
          <w:bCs/>
          <w:sz w:val="28"/>
          <w:szCs w:val="26"/>
        </w:rPr>
      </w:pPr>
    </w:p>
    <w:p w14:paraId="1D0132C8" w14:textId="77777777" w:rsidR="00973759" w:rsidRDefault="00973759" w:rsidP="00D6234C">
      <w:pPr>
        <w:jc w:val="center"/>
        <w:rPr>
          <w:b/>
          <w:bCs/>
          <w:sz w:val="28"/>
          <w:szCs w:val="26"/>
        </w:rPr>
      </w:pPr>
    </w:p>
    <w:p w14:paraId="5205DE73" w14:textId="77777777" w:rsidR="00973759" w:rsidRDefault="00973759" w:rsidP="00D6234C">
      <w:pPr>
        <w:jc w:val="center"/>
        <w:rPr>
          <w:b/>
          <w:bCs/>
          <w:sz w:val="28"/>
          <w:szCs w:val="26"/>
        </w:rPr>
      </w:pPr>
    </w:p>
    <w:p w14:paraId="4633D0AC" w14:textId="77777777" w:rsidR="00973759" w:rsidRDefault="00973759" w:rsidP="00D6234C">
      <w:pPr>
        <w:jc w:val="center"/>
        <w:rPr>
          <w:b/>
          <w:bCs/>
          <w:sz w:val="28"/>
          <w:szCs w:val="26"/>
        </w:rPr>
      </w:pPr>
    </w:p>
    <w:p w14:paraId="4CD929BB" w14:textId="77777777" w:rsidR="00973759" w:rsidRDefault="00973759" w:rsidP="00D6234C">
      <w:pPr>
        <w:jc w:val="center"/>
        <w:rPr>
          <w:b/>
          <w:bCs/>
          <w:sz w:val="28"/>
          <w:szCs w:val="26"/>
        </w:rPr>
      </w:pPr>
    </w:p>
    <w:p w14:paraId="4222BD34" w14:textId="77777777" w:rsidR="00973759" w:rsidRDefault="00973759" w:rsidP="00D6234C">
      <w:pPr>
        <w:jc w:val="center"/>
        <w:rPr>
          <w:b/>
          <w:bCs/>
          <w:sz w:val="28"/>
          <w:szCs w:val="26"/>
        </w:rPr>
      </w:pPr>
    </w:p>
    <w:p w14:paraId="49C15EAA" w14:textId="77777777" w:rsidR="00973759" w:rsidRDefault="00973759" w:rsidP="00D6234C">
      <w:pPr>
        <w:jc w:val="center"/>
        <w:rPr>
          <w:b/>
          <w:bCs/>
          <w:sz w:val="28"/>
          <w:szCs w:val="26"/>
        </w:rPr>
      </w:pPr>
    </w:p>
    <w:p w14:paraId="1A597361" w14:textId="77777777" w:rsidR="00973759" w:rsidRDefault="00973759" w:rsidP="00D6234C">
      <w:pPr>
        <w:jc w:val="center"/>
        <w:rPr>
          <w:b/>
          <w:bCs/>
          <w:sz w:val="28"/>
          <w:szCs w:val="26"/>
        </w:rPr>
      </w:pPr>
    </w:p>
    <w:p w14:paraId="74AC1EFC" w14:textId="77777777" w:rsidR="00973759" w:rsidRDefault="00973759" w:rsidP="00D6234C">
      <w:pPr>
        <w:jc w:val="center"/>
        <w:rPr>
          <w:b/>
          <w:bCs/>
          <w:sz w:val="28"/>
          <w:szCs w:val="26"/>
        </w:rPr>
      </w:pPr>
    </w:p>
    <w:p w14:paraId="0A2DA615" w14:textId="77777777" w:rsidR="00973759" w:rsidRDefault="00973759" w:rsidP="00D6234C">
      <w:pPr>
        <w:jc w:val="center"/>
        <w:rPr>
          <w:b/>
          <w:bCs/>
          <w:sz w:val="28"/>
          <w:szCs w:val="26"/>
        </w:rPr>
      </w:pPr>
    </w:p>
    <w:p w14:paraId="144922E9" w14:textId="77777777" w:rsidR="00973759" w:rsidRDefault="00973759" w:rsidP="00D6234C">
      <w:pPr>
        <w:jc w:val="center"/>
        <w:rPr>
          <w:b/>
          <w:bCs/>
          <w:sz w:val="28"/>
          <w:szCs w:val="26"/>
        </w:rPr>
      </w:pPr>
    </w:p>
    <w:p w14:paraId="54CD0FB9" w14:textId="77777777" w:rsidR="00973759" w:rsidRDefault="00973759" w:rsidP="00D6234C">
      <w:pPr>
        <w:jc w:val="center"/>
        <w:rPr>
          <w:b/>
          <w:bCs/>
          <w:sz w:val="28"/>
          <w:szCs w:val="26"/>
        </w:rPr>
      </w:pPr>
    </w:p>
    <w:p w14:paraId="59E10632" w14:textId="77777777" w:rsidR="00973759" w:rsidRDefault="00973759" w:rsidP="00D6234C">
      <w:pPr>
        <w:jc w:val="center"/>
        <w:rPr>
          <w:b/>
          <w:bCs/>
          <w:sz w:val="28"/>
          <w:szCs w:val="26"/>
        </w:rPr>
      </w:pPr>
    </w:p>
    <w:p w14:paraId="28B78BC6" w14:textId="77777777" w:rsidR="00973759" w:rsidRDefault="00973759" w:rsidP="00D6234C">
      <w:pPr>
        <w:jc w:val="center"/>
        <w:rPr>
          <w:b/>
          <w:bCs/>
          <w:sz w:val="28"/>
          <w:szCs w:val="26"/>
        </w:rPr>
      </w:pPr>
    </w:p>
    <w:p w14:paraId="2479FC14" w14:textId="77777777" w:rsidR="00973759" w:rsidRDefault="00973759" w:rsidP="00D6234C">
      <w:pPr>
        <w:jc w:val="center"/>
        <w:rPr>
          <w:b/>
          <w:bCs/>
          <w:sz w:val="28"/>
          <w:szCs w:val="26"/>
        </w:rPr>
      </w:pPr>
    </w:p>
    <w:p w14:paraId="76C85A3D" w14:textId="77777777" w:rsidR="00973759" w:rsidRDefault="00973759" w:rsidP="00D6234C">
      <w:pPr>
        <w:jc w:val="center"/>
        <w:rPr>
          <w:b/>
          <w:bCs/>
          <w:sz w:val="28"/>
          <w:szCs w:val="26"/>
        </w:rPr>
      </w:pPr>
    </w:p>
    <w:p w14:paraId="7F3AC13B" w14:textId="77777777" w:rsidR="00973759" w:rsidRDefault="00973759" w:rsidP="00D6234C">
      <w:pPr>
        <w:jc w:val="center"/>
        <w:rPr>
          <w:b/>
          <w:bCs/>
          <w:sz w:val="28"/>
          <w:szCs w:val="26"/>
        </w:rPr>
      </w:pPr>
    </w:p>
    <w:p w14:paraId="0C13E401" w14:textId="77777777" w:rsidR="00973759" w:rsidRDefault="00973759" w:rsidP="00D6234C">
      <w:pPr>
        <w:jc w:val="center"/>
        <w:rPr>
          <w:b/>
          <w:bCs/>
          <w:sz w:val="28"/>
          <w:szCs w:val="26"/>
        </w:rPr>
      </w:pPr>
    </w:p>
    <w:p w14:paraId="721EBFAB" w14:textId="77777777" w:rsidR="00973759" w:rsidRDefault="00973759" w:rsidP="00D6234C">
      <w:pPr>
        <w:jc w:val="center"/>
        <w:rPr>
          <w:b/>
          <w:bCs/>
          <w:sz w:val="28"/>
          <w:szCs w:val="26"/>
        </w:rPr>
      </w:pPr>
    </w:p>
    <w:p w14:paraId="20AC0400" w14:textId="77777777" w:rsidR="00973759" w:rsidRDefault="00973759" w:rsidP="00D6234C">
      <w:pPr>
        <w:jc w:val="center"/>
        <w:rPr>
          <w:b/>
          <w:bCs/>
          <w:sz w:val="28"/>
          <w:szCs w:val="26"/>
        </w:rPr>
      </w:pPr>
    </w:p>
    <w:p w14:paraId="022237AA" w14:textId="77777777" w:rsidR="00973759" w:rsidRDefault="00973759" w:rsidP="00D6234C">
      <w:pPr>
        <w:jc w:val="center"/>
        <w:rPr>
          <w:b/>
          <w:bCs/>
          <w:sz w:val="28"/>
          <w:szCs w:val="26"/>
        </w:rPr>
      </w:pPr>
    </w:p>
    <w:p w14:paraId="75BE290E" w14:textId="77777777" w:rsidR="00973759" w:rsidRDefault="00973759" w:rsidP="00D6234C">
      <w:pPr>
        <w:jc w:val="center"/>
        <w:rPr>
          <w:b/>
          <w:bCs/>
          <w:sz w:val="28"/>
          <w:szCs w:val="26"/>
        </w:rPr>
      </w:pPr>
    </w:p>
    <w:p w14:paraId="1B39F60D" w14:textId="77777777" w:rsidR="00973759" w:rsidRDefault="00973759" w:rsidP="00D6234C">
      <w:pPr>
        <w:rPr>
          <w:b/>
          <w:bCs/>
          <w:sz w:val="28"/>
          <w:szCs w:val="26"/>
        </w:rPr>
      </w:pPr>
    </w:p>
    <w:p w14:paraId="19A113C9" w14:textId="77777777" w:rsidR="00973759" w:rsidRDefault="00973759" w:rsidP="00D6234C">
      <w:pPr>
        <w:jc w:val="center"/>
        <w:rPr>
          <w:b/>
          <w:bCs/>
          <w:sz w:val="28"/>
          <w:szCs w:val="26"/>
        </w:rPr>
      </w:pPr>
      <w:r>
        <w:rPr>
          <w:b/>
          <w:bCs/>
          <w:sz w:val="28"/>
          <w:szCs w:val="26"/>
        </w:rPr>
        <w:lastRenderedPageBreak/>
        <w:t>VITA</w:t>
      </w:r>
    </w:p>
    <w:p w14:paraId="5380CF4C" w14:textId="77777777" w:rsidR="00973759" w:rsidRDefault="00973759" w:rsidP="00D6234C">
      <w:pPr>
        <w:jc w:val="center"/>
        <w:rPr>
          <w:b/>
          <w:bCs/>
          <w:sz w:val="28"/>
          <w:szCs w:val="26"/>
        </w:rPr>
      </w:pPr>
    </w:p>
    <w:p w14:paraId="614D00A2" w14:textId="0BDAC2CA" w:rsidR="00636B5B" w:rsidRPr="00B757CE" w:rsidRDefault="00973759" w:rsidP="00973759">
      <w:pPr>
        <w:spacing w:line="360" w:lineRule="auto"/>
        <w:ind w:firstLine="720"/>
      </w:pPr>
      <w:r>
        <w:t xml:space="preserve">Timothy B. Yates was born in Vista, CA to Susan Lagasse and Brad Yates. He has one younger sister, Sydney Yates. Timothy grew up in Vista, CA, attended Rancho Buena Vista High School and graduated in 2012. He then enrolled at Loyola Marymount University where he met his fiancé Sonja Feck and obtained an undergraduate degree in biology and a minor in biochemistry in 2016. Timothy worked in the lab of Dr. Nancy </w:t>
      </w:r>
      <w:proofErr w:type="spellStart"/>
      <w:r>
        <w:t>Fujishige</w:t>
      </w:r>
      <w:proofErr w:type="spellEnd"/>
      <w:r>
        <w:t xml:space="preserve"> while at Loyola Marymount University. In 2016, Timothy began his doctoral studies in the Bredesen Center at the University of Tennessee, Knoxville. He worked in the lab of Dr. Wellington </w:t>
      </w:r>
      <w:proofErr w:type="spellStart"/>
      <w:r>
        <w:t>Muchero</w:t>
      </w:r>
      <w:proofErr w:type="spellEnd"/>
      <w:r>
        <w:t xml:space="preserve"> studying genome evolution in the </w:t>
      </w:r>
      <w:r>
        <w:rPr>
          <w:i/>
          <w:iCs/>
        </w:rPr>
        <w:t>Salicaceae</w:t>
      </w:r>
      <w:r>
        <w:t xml:space="preserve">, obtaining a </w:t>
      </w:r>
      <w:proofErr w:type="spellStart"/>
      <w:proofErr w:type="gramStart"/>
      <w:r>
        <w:t>Ph.D</w:t>
      </w:r>
      <w:proofErr w:type="spellEnd"/>
      <w:proofErr w:type="gramEnd"/>
      <w:r>
        <w:t xml:space="preserve"> in May 2022.</w:t>
      </w:r>
    </w:p>
    <w:p w14:paraId="0BD17518" w14:textId="77777777" w:rsidR="00636B5B" w:rsidRDefault="00636B5B"/>
    <w:sectPr w:rsidR="00636B5B" w:rsidSect="00636B5B">
      <w:footerReference w:type="even" r:id="rId65"/>
      <w:footerReference w:type="default" r:id="rId66"/>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8BA0B1" w14:textId="77777777" w:rsidR="00CC4FF5" w:rsidRDefault="00CC4FF5" w:rsidP="00757218">
      <w:r>
        <w:separator/>
      </w:r>
    </w:p>
  </w:endnote>
  <w:endnote w:type="continuationSeparator" w:id="0">
    <w:p w14:paraId="5E94F6F3" w14:textId="77777777" w:rsidR="00CC4FF5" w:rsidRDefault="00CC4FF5" w:rsidP="007572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New Roman (Body CS)">
    <w:altName w:val="Times New Roman"/>
    <w:panose1 w:val="020B0604020202020204"/>
    <w:charset w:val="00"/>
    <w:family w:val="roman"/>
    <w:pitch w:val="default"/>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00500000000000000"/>
    <w:charset w:val="00"/>
    <w:family w:val="auto"/>
    <w:pitch w:val="variable"/>
    <w:sig w:usb0="E00002FF" w:usb1="5000205A"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75487876"/>
      <w:docPartObj>
        <w:docPartGallery w:val="Page Numbers (Bottom of Page)"/>
        <w:docPartUnique/>
      </w:docPartObj>
    </w:sdtPr>
    <w:sdtEndPr>
      <w:rPr>
        <w:rStyle w:val="PageNumber"/>
      </w:rPr>
    </w:sdtEndPr>
    <w:sdtContent>
      <w:p w14:paraId="7DD77CBF" w14:textId="77777777" w:rsidR="00026406" w:rsidRDefault="003B70E9" w:rsidP="0075721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ED9A00D" w14:textId="77777777" w:rsidR="00026406" w:rsidRDefault="00CC4FF5" w:rsidP="0002640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55389139"/>
      <w:docPartObj>
        <w:docPartGallery w:val="Page Numbers (Bottom of Page)"/>
        <w:docPartUnique/>
      </w:docPartObj>
    </w:sdtPr>
    <w:sdtEndPr>
      <w:rPr>
        <w:rStyle w:val="PageNumber"/>
      </w:rPr>
    </w:sdtEndPr>
    <w:sdtContent>
      <w:p w14:paraId="75833E98" w14:textId="644F9B8D" w:rsidR="00757218" w:rsidRDefault="00757218" w:rsidP="004B1FB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iii</w:t>
        </w:r>
        <w:r>
          <w:rPr>
            <w:rStyle w:val="PageNumber"/>
          </w:rPr>
          <w:fldChar w:fldCharType="end"/>
        </w:r>
      </w:p>
    </w:sdtContent>
  </w:sdt>
  <w:p w14:paraId="624EB836" w14:textId="77777777" w:rsidR="00026406" w:rsidRDefault="00CC4FF5" w:rsidP="0002640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3441501"/>
      <w:docPartObj>
        <w:docPartGallery w:val="Page Numbers (Bottom of Page)"/>
        <w:docPartUnique/>
      </w:docPartObj>
    </w:sdtPr>
    <w:sdtEndPr>
      <w:rPr>
        <w:rStyle w:val="PageNumber"/>
      </w:rPr>
    </w:sdtEndPr>
    <w:sdtContent>
      <w:p w14:paraId="2259607C" w14:textId="77777777" w:rsidR="00E64425" w:rsidRDefault="00295F3C" w:rsidP="00636B5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9D743A5" w14:textId="77777777" w:rsidR="00E64425" w:rsidRDefault="00CC4FF5" w:rsidP="00E64425">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51715289"/>
      <w:docPartObj>
        <w:docPartGallery w:val="Page Numbers (Bottom of Page)"/>
        <w:docPartUnique/>
      </w:docPartObj>
    </w:sdtPr>
    <w:sdtEndPr>
      <w:rPr>
        <w:rStyle w:val="PageNumber"/>
      </w:rPr>
    </w:sdtEndPr>
    <w:sdtContent>
      <w:p w14:paraId="023A0882" w14:textId="77777777" w:rsidR="00E64425" w:rsidRDefault="00295F3C" w:rsidP="00636B5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7651F9F" w14:textId="77777777" w:rsidR="00E64425" w:rsidRDefault="00CC4FF5" w:rsidP="00E6442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1A578" w14:textId="77777777" w:rsidR="00CC4FF5" w:rsidRDefault="00CC4FF5" w:rsidP="00757218">
      <w:r>
        <w:separator/>
      </w:r>
    </w:p>
  </w:footnote>
  <w:footnote w:type="continuationSeparator" w:id="0">
    <w:p w14:paraId="4A79185E" w14:textId="77777777" w:rsidR="00CC4FF5" w:rsidRDefault="00CC4FF5" w:rsidP="007572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5B55F8"/>
    <w:multiLevelType w:val="hybridMultilevel"/>
    <w:tmpl w:val="B232B6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A81476"/>
    <w:multiLevelType w:val="hybridMultilevel"/>
    <w:tmpl w:val="53DED1B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3E4AF9"/>
    <w:multiLevelType w:val="hybridMultilevel"/>
    <w:tmpl w:val="EF66AB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768211E"/>
    <w:multiLevelType w:val="hybridMultilevel"/>
    <w:tmpl w:val="D01EBD96"/>
    <w:lvl w:ilvl="0" w:tplc="0C662918">
      <w:start w:val="1"/>
      <w:numFmt w:val="decimal"/>
      <w:lvlText w:val="%1."/>
      <w:lvlJc w:val="left"/>
      <w:pPr>
        <w:ind w:left="720" w:hanging="360"/>
      </w:pPr>
      <w:rPr>
        <w:rFonts w:cs="Times New Roman (Body C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5461B03"/>
    <w:multiLevelType w:val="hybridMultilevel"/>
    <w:tmpl w:val="15E2F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5AD5121"/>
    <w:multiLevelType w:val="hybridMultilevel"/>
    <w:tmpl w:val="41745B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DC3787C"/>
    <w:multiLevelType w:val="hybridMultilevel"/>
    <w:tmpl w:val="1026C7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6"/>
  </w:num>
  <w:num w:numId="4">
    <w:abstractNumId w:val="4"/>
  </w:num>
  <w:num w:numId="5">
    <w:abstractNumId w:val="3"/>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236"/>
    <w:rsid w:val="001F0A93"/>
    <w:rsid w:val="00235B65"/>
    <w:rsid w:val="00295F3C"/>
    <w:rsid w:val="002D16A3"/>
    <w:rsid w:val="0035601D"/>
    <w:rsid w:val="003710B5"/>
    <w:rsid w:val="003B70E9"/>
    <w:rsid w:val="003D1852"/>
    <w:rsid w:val="003D49EA"/>
    <w:rsid w:val="00485BA2"/>
    <w:rsid w:val="00554005"/>
    <w:rsid w:val="005B7743"/>
    <w:rsid w:val="00636B5B"/>
    <w:rsid w:val="006B15B1"/>
    <w:rsid w:val="00705A13"/>
    <w:rsid w:val="00712C6C"/>
    <w:rsid w:val="00752AE5"/>
    <w:rsid w:val="00757218"/>
    <w:rsid w:val="007768FC"/>
    <w:rsid w:val="007F1A7F"/>
    <w:rsid w:val="00864AEF"/>
    <w:rsid w:val="008C1236"/>
    <w:rsid w:val="009114AE"/>
    <w:rsid w:val="00973759"/>
    <w:rsid w:val="00A7466A"/>
    <w:rsid w:val="00A87A4A"/>
    <w:rsid w:val="00C87105"/>
    <w:rsid w:val="00CB6DEA"/>
    <w:rsid w:val="00CC4FF5"/>
    <w:rsid w:val="00CD00F9"/>
    <w:rsid w:val="00CE1EEC"/>
    <w:rsid w:val="00D02596"/>
    <w:rsid w:val="00D30413"/>
    <w:rsid w:val="00D75172"/>
    <w:rsid w:val="00D854F9"/>
    <w:rsid w:val="00E065BD"/>
    <w:rsid w:val="00F63D20"/>
    <w:rsid w:val="00FA27B0"/>
    <w:rsid w:val="00FD7B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868810"/>
  <w14:defaultImageDpi w14:val="32767"/>
  <w15:chartTrackingRefBased/>
  <w15:docId w15:val="{94CCD2F2-F5D3-4C42-88F4-C68AC4347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75721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C1236"/>
    <w:pPr>
      <w:tabs>
        <w:tab w:val="center" w:pos="4680"/>
        <w:tab w:val="right" w:pos="9360"/>
      </w:tabs>
    </w:pPr>
    <w:rPr>
      <w:rFonts w:cs="Arial"/>
    </w:rPr>
  </w:style>
  <w:style w:type="character" w:customStyle="1" w:styleId="FooterChar">
    <w:name w:val="Footer Char"/>
    <w:basedOn w:val="DefaultParagraphFont"/>
    <w:link w:val="Footer"/>
    <w:uiPriority w:val="99"/>
    <w:rsid w:val="008C1236"/>
    <w:rPr>
      <w:rFonts w:cs="Arial"/>
    </w:rPr>
  </w:style>
  <w:style w:type="character" w:styleId="PageNumber">
    <w:name w:val="page number"/>
    <w:basedOn w:val="DefaultParagraphFont"/>
    <w:uiPriority w:val="99"/>
    <w:semiHidden/>
    <w:unhideWhenUsed/>
    <w:rsid w:val="008C1236"/>
  </w:style>
  <w:style w:type="paragraph" w:styleId="ListParagraph">
    <w:name w:val="List Paragraph"/>
    <w:basedOn w:val="Normal"/>
    <w:uiPriority w:val="34"/>
    <w:qFormat/>
    <w:rsid w:val="008C1236"/>
    <w:pPr>
      <w:ind w:left="720"/>
      <w:contextualSpacing/>
    </w:pPr>
  </w:style>
  <w:style w:type="character" w:styleId="Hyperlink">
    <w:name w:val="Hyperlink"/>
    <w:basedOn w:val="DefaultParagraphFont"/>
    <w:uiPriority w:val="99"/>
    <w:unhideWhenUsed/>
    <w:rsid w:val="008C1236"/>
    <w:rPr>
      <w:color w:val="0563C1" w:themeColor="hyperlink"/>
      <w:u w:val="single"/>
    </w:rPr>
  </w:style>
  <w:style w:type="character" w:styleId="UnresolvedMention">
    <w:name w:val="Unresolved Mention"/>
    <w:basedOn w:val="DefaultParagraphFont"/>
    <w:uiPriority w:val="99"/>
    <w:rsid w:val="008C1236"/>
    <w:rPr>
      <w:color w:val="605E5C"/>
      <w:shd w:val="clear" w:color="auto" w:fill="E1DFDD"/>
    </w:rPr>
  </w:style>
  <w:style w:type="paragraph" w:styleId="Header">
    <w:name w:val="header"/>
    <w:basedOn w:val="Normal"/>
    <w:link w:val="HeaderChar"/>
    <w:uiPriority w:val="99"/>
    <w:unhideWhenUsed/>
    <w:rsid w:val="00757218"/>
    <w:pPr>
      <w:tabs>
        <w:tab w:val="center" w:pos="4680"/>
        <w:tab w:val="right" w:pos="9360"/>
      </w:tabs>
    </w:pPr>
  </w:style>
  <w:style w:type="character" w:customStyle="1" w:styleId="HeaderChar">
    <w:name w:val="Header Char"/>
    <w:basedOn w:val="DefaultParagraphFont"/>
    <w:link w:val="Header"/>
    <w:uiPriority w:val="99"/>
    <w:rsid w:val="007572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png"/><Relationship Id="rId21" Type="http://schemas.openxmlformats.org/officeDocument/2006/relationships/image" Target="media/image5.png"/><Relationship Id="rId34" Type="http://schemas.openxmlformats.org/officeDocument/2006/relationships/image" Target="media/image18.png"/><Relationship Id="rId42" Type="http://schemas.openxmlformats.org/officeDocument/2006/relationships/image" Target="media/image26.png"/><Relationship Id="rId47" Type="http://schemas.openxmlformats.org/officeDocument/2006/relationships/image" Target="media/image31.png"/><Relationship Id="rId50" Type="http://schemas.openxmlformats.org/officeDocument/2006/relationships/image" Target="media/image34.png"/><Relationship Id="rId55" Type="http://schemas.openxmlformats.org/officeDocument/2006/relationships/image" Target="media/image39.png"/><Relationship Id="rId63" Type="http://schemas.openxmlformats.org/officeDocument/2006/relationships/image" Target="media/image47.png"/><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bioenergycenter.org/besc/gwas/" TargetMode="External"/><Relationship Id="rId29" Type="http://schemas.openxmlformats.org/officeDocument/2006/relationships/image" Target="media/image13.png"/><Relationship Id="rId11" Type="http://schemas.openxmlformats.org/officeDocument/2006/relationships/hyperlink" Target="https://doi.org/10.1093/gbe/evab198" TargetMode="External"/><Relationship Id="rId24" Type="http://schemas.openxmlformats.org/officeDocument/2006/relationships/image" Target="media/image8.png"/><Relationship Id="rId32" Type="http://schemas.openxmlformats.org/officeDocument/2006/relationships/image" Target="media/image16.png"/><Relationship Id="rId37" Type="http://schemas.openxmlformats.org/officeDocument/2006/relationships/image" Target="media/image21.emf"/><Relationship Id="rId40" Type="http://schemas.openxmlformats.org/officeDocument/2006/relationships/image" Target="media/image24.emf"/><Relationship Id="rId45" Type="http://schemas.openxmlformats.org/officeDocument/2006/relationships/image" Target="media/image29.png"/><Relationship Id="rId53" Type="http://schemas.openxmlformats.org/officeDocument/2006/relationships/image" Target="media/image37.png"/><Relationship Id="rId58" Type="http://schemas.openxmlformats.org/officeDocument/2006/relationships/image" Target="media/image42.png"/><Relationship Id="rId66" Type="http://schemas.openxmlformats.org/officeDocument/2006/relationships/footer" Target="footer4.xml"/><Relationship Id="rId5" Type="http://schemas.openxmlformats.org/officeDocument/2006/relationships/webSettings" Target="webSettings.xml"/><Relationship Id="rId61" Type="http://schemas.openxmlformats.org/officeDocument/2006/relationships/image" Target="media/image45.png"/><Relationship Id="rId19" Type="http://schemas.openxmlformats.org/officeDocument/2006/relationships/image" Target="media/image3.png"/><Relationship Id="rId14" Type="http://schemas.openxmlformats.org/officeDocument/2006/relationships/hyperlink" Target="https://sourceforge.net/projects/bbmap/" TargetMode="Externa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9.png"/><Relationship Id="rId43" Type="http://schemas.openxmlformats.org/officeDocument/2006/relationships/image" Target="media/image27.png"/><Relationship Id="rId48" Type="http://schemas.openxmlformats.org/officeDocument/2006/relationships/image" Target="media/image32.emf"/><Relationship Id="rId56" Type="http://schemas.openxmlformats.org/officeDocument/2006/relationships/image" Target="media/image40.png"/><Relationship Id="rId64" Type="http://schemas.openxmlformats.org/officeDocument/2006/relationships/image" Target="media/image48.emf"/><Relationship Id="rId8" Type="http://schemas.openxmlformats.org/officeDocument/2006/relationships/footer" Target="footer1.xml"/><Relationship Id="rId51" Type="http://schemas.openxmlformats.org/officeDocument/2006/relationships/image" Target="media/image35.emf"/><Relationship Id="rId3" Type="http://schemas.openxmlformats.org/officeDocument/2006/relationships/styles" Target="styles.xml"/><Relationship Id="rId12" Type="http://schemas.openxmlformats.org/officeDocument/2006/relationships/hyperlink" Target="https://phytozome-next.jgi.doe.gov/info/PtrichocarpaStettler14_v1_1)" TargetMode="External"/><Relationship Id="rId17" Type="http://schemas.openxmlformats.org/officeDocument/2006/relationships/image" Target="media/image1.png"/><Relationship Id="rId25" Type="http://schemas.openxmlformats.org/officeDocument/2006/relationships/image" Target="media/image9.png"/><Relationship Id="rId33" Type="http://schemas.openxmlformats.org/officeDocument/2006/relationships/image" Target="media/image17.png"/><Relationship Id="rId38" Type="http://schemas.openxmlformats.org/officeDocument/2006/relationships/image" Target="media/image22.png"/><Relationship Id="rId46" Type="http://schemas.openxmlformats.org/officeDocument/2006/relationships/image" Target="media/image30.png"/><Relationship Id="rId59" Type="http://schemas.openxmlformats.org/officeDocument/2006/relationships/image" Target="media/image43.png"/><Relationship Id="rId67" Type="http://schemas.openxmlformats.org/officeDocument/2006/relationships/fontTable" Target="fontTable.xml"/><Relationship Id="rId20" Type="http://schemas.openxmlformats.org/officeDocument/2006/relationships/image" Target="media/image4.png"/><Relationship Id="rId41" Type="http://schemas.openxmlformats.org/officeDocument/2006/relationships/image" Target="media/image25.emf"/><Relationship Id="rId54" Type="http://schemas.openxmlformats.org/officeDocument/2006/relationships/image" Target="media/image38.png"/><Relationship Id="rId62" Type="http://schemas.openxmlformats.org/officeDocument/2006/relationships/image" Target="media/image46.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phytozome.jgi.doe.gov/phytomine/aspect.do?name=Expression" TargetMode="Externa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image" Target="media/image20.emf"/><Relationship Id="rId49" Type="http://schemas.openxmlformats.org/officeDocument/2006/relationships/image" Target="media/image33.emf"/><Relationship Id="rId57" Type="http://schemas.openxmlformats.org/officeDocument/2006/relationships/image" Target="media/image41.png"/><Relationship Id="rId10" Type="http://schemas.openxmlformats.org/officeDocument/2006/relationships/hyperlink" Target="https://github.com/BFL-lab/Mfannot" TargetMode="External"/><Relationship Id="rId31" Type="http://schemas.openxmlformats.org/officeDocument/2006/relationships/image" Target="media/image15.png"/><Relationship Id="rId44" Type="http://schemas.openxmlformats.org/officeDocument/2006/relationships/image" Target="media/image28.png"/><Relationship Id="rId52" Type="http://schemas.openxmlformats.org/officeDocument/2006/relationships/image" Target="media/image36.png"/><Relationship Id="rId60" Type="http://schemas.openxmlformats.org/officeDocument/2006/relationships/image" Target="media/image44.png"/><Relationship Id="rId65"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hyperlink" Target="https://phytozome.jgi.doe.gov/pz/portal.html" TargetMode="External"/><Relationship Id="rId18" Type="http://schemas.openxmlformats.org/officeDocument/2006/relationships/image" Target="media/image2.png"/><Relationship Id="rId39" Type="http://schemas.openxmlformats.org/officeDocument/2006/relationships/image" Target="media/image2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3235CF-38BE-8D40-9A7C-B3B4C94FA8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146</Pages>
  <Words>181302</Words>
  <Characters>1033426</Characters>
  <Application>Microsoft Office Word</Application>
  <DocSecurity>0</DocSecurity>
  <Lines>8611</Lines>
  <Paragraphs>2424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1212304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Yates, Timothy</dc:creator>
  <cp:keywords/>
  <dc:description/>
  <cp:lastModifiedBy>Yates, Timothy</cp:lastModifiedBy>
  <cp:revision>3</cp:revision>
  <dcterms:created xsi:type="dcterms:W3CDTF">2022-05-18T22:39:00Z</dcterms:created>
  <dcterms:modified xsi:type="dcterms:W3CDTF">2022-05-18T22:49:00Z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http://www.zotero.org/styles/genome-biology-and-evolution</vt:lpwstr>
  </property>
  <property fmtid="{D5CDD505-2E9C-101B-9397-08002B2CF9AE}" pid="15" name="Mendeley Recent Style Name 6_1">
    <vt:lpwstr>Genome Biology and Evolution</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Citation Style_1">
    <vt:lpwstr>http://www.zotero.org/styles/apa</vt:lpwstr>
  </property>
  <property fmtid="{D5CDD505-2E9C-101B-9397-08002B2CF9AE}" pid="23" name="Mendeley Document_1">
    <vt:lpwstr>True</vt:lpwstr>
  </property>
  <property fmtid="{D5CDD505-2E9C-101B-9397-08002B2CF9AE}" pid="24" name="Mendeley Unique User Id_1">
    <vt:lpwstr>c3a8ba25-86f1-3c2a-9671-e1702346525e</vt:lpwstr>
  </property>
</Properties>
</file>