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F2E9F" w14:textId="77777777" w:rsidR="009E5D43" w:rsidRDefault="009E5D43"/>
    <w:p w14:paraId="49FC2EDA" w14:textId="77777777" w:rsidR="00E8699F" w:rsidRDefault="00E8699F"/>
    <w:p w14:paraId="6A9E37AA" w14:textId="77777777" w:rsidR="00E8699F" w:rsidRDefault="00E8699F"/>
    <w:p w14:paraId="52CA56C3" w14:textId="4758A10D" w:rsidR="001D4A0E" w:rsidRDefault="00AE30FA" w:rsidP="00E8699F">
      <w:pPr>
        <w:jc w:val="center"/>
        <w:rPr>
          <w:b/>
          <w:sz w:val="36"/>
        </w:rPr>
      </w:pPr>
      <w:r>
        <w:rPr>
          <w:b/>
          <w:sz w:val="36"/>
        </w:rPr>
        <w:t>Tweet di</w:t>
      </w:r>
      <w:r w:rsidR="008A4B82">
        <w:rPr>
          <w:b/>
          <w:sz w:val="36"/>
        </w:rPr>
        <w:t xml:space="preserve">ffusion over space and time: A comparison </w:t>
      </w:r>
      <w:r w:rsidR="009B7657">
        <w:rPr>
          <w:b/>
          <w:sz w:val="36"/>
        </w:rPr>
        <w:t>of a winter-</w:t>
      </w:r>
      <w:r w:rsidR="003E60E6">
        <w:rPr>
          <w:b/>
          <w:sz w:val="36"/>
        </w:rPr>
        <w:t>weather and tornado-</w:t>
      </w:r>
      <w:r w:rsidR="008A4B82">
        <w:rPr>
          <w:b/>
          <w:sz w:val="36"/>
        </w:rPr>
        <w:t>outbreak case study</w:t>
      </w:r>
    </w:p>
    <w:p w14:paraId="376F6728" w14:textId="77777777" w:rsidR="001D4A0E" w:rsidRDefault="001D4A0E" w:rsidP="00E8699F">
      <w:pPr>
        <w:jc w:val="center"/>
        <w:rPr>
          <w:b/>
          <w:sz w:val="36"/>
        </w:rPr>
      </w:pPr>
    </w:p>
    <w:p w14:paraId="47D54E16" w14:textId="77777777" w:rsidR="000B5C2A" w:rsidRDefault="000B5C2A" w:rsidP="00E8699F">
      <w:pPr>
        <w:jc w:val="center"/>
        <w:rPr>
          <w:b/>
          <w:sz w:val="36"/>
        </w:rPr>
      </w:pPr>
    </w:p>
    <w:p w14:paraId="5D2172B0" w14:textId="77777777" w:rsidR="004C7ADB" w:rsidRDefault="004C7ADB" w:rsidP="00E8699F">
      <w:pPr>
        <w:jc w:val="center"/>
        <w:rPr>
          <w:b/>
          <w:sz w:val="36"/>
        </w:rPr>
      </w:pPr>
    </w:p>
    <w:p w14:paraId="6739BBD4" w14:textId="77777777" w:rsidR="004C7ADB" w:rsidRDefault="004C7ADB" w:rsidP="00E8699F">
      <w:pPr>
        <w:jc w:val="center"/>
        <w:rPr>
          <w:b/>
          <w:sz w:val="36"/>
        </w:rPr>
      </w:pPr>
    </w:p>
    <w:p w14:paraId="2CE79174" w14:textId="77777777" w:rsidR="004C7ADB" w:rsidRDefault="004C7ADB" w:rsidP="00E8699F">
      <w:pPr>
        <w:jc w:val="center"/>
        <w:rPr>
          <w:b/>
          <w:sz w:val="36"/>
        </w:rPr>
      </w:pPr>
    </w:p>
    <w:p w14:paraId="4AC3D606" w14:textId="77777777" w:rsidR="004C7ADB" w:rsidRDefault="004C7ADB" w:rsidP="00E8699F">
      <w:pPr>
        <w:jc w:val="center"/>
        <w:rPr>
          <w:sz w:val="36"/>
        </w:rPr>
      </w:pPr>
      <w:r>
        <w:rPr>
          <w:sz w:val="36"/>
        </w:rPr>
        <w:t>A Thesis Presented for the</w:t>
      </w:r>
    </w:p>
    <w:p w14:paraId="55F67793" w14:textId="77777777" w:rsidR="004C7ADB" w:rsidRDefault="004C7ADB" w:rsidP="00E8699F">
      <w:pPr>
        <w:jc w:val="center"/>
        <w:rPr>
          <w:sz w:val="36"/>
        </w:rPr>
      </w:pPr>
      <w:r>
        <w:rPr>
          <w:sz w:val="36"/>
        </w:rPr>
        <w:t xml:space="preserve">Master of Science </w:t>
      </w:r>
    </w:p>
    <w:p w14:paraId="6B56229C" w14:textId="77777777" w:rsidR="004C7ADB" w:rsidRDefault="004C7ADB" w:rsidP="00E8699F">
      <w:pPr>
        <w:jc w:val="center"/>
        <w:rPr>
          <w:sz w:val="36"/>
        </w:rPr>
      </w:pPr>
      <w:r>
        <w:rPr>
          <w:sz w:val="36"/>
        </w:rPr>
        <w:t>Degree</w:t>
      </w:r>
    </w:p>
    <w:p w14:paraId="627A9D33" w14:textId="77777777" w:rsidR="004C7ADB" w:rsidRDefault="004C7ADB" w:rsidP="00E8699F">
      <w:pPr>
        <w:jc w:val="center"/>
        <w:rPr>
          <w:sz w:val="36"/>
        </w:rPr>
      </w:pPr>
      <w:r>
        <w:rPr>
          <w:sz w:val="36"/>
        </w:rPr>
        <w:t>The University of Tennessee, Knoxville</w:t>
      </w:r>
    </w:p>
    <w:p w14:paraId="14EDA856" w14:textId="77777777" w:rsidR="004C7ADB" w:rsidRDefault="004C7ADB" w:rsidP="00E8699F">
      <w:pPr>
        <w:jc w:val="center"/>
        <w:rPr>
          <w:sz w:val="36"/>
        </w:rPr>
      </w:pPr>
    </w:p>
    <w:p w14:paraId="7C5FB9EA" w14:textId="77777777" w:rsidR="004C7ADB" w:rsidRDefault="004C7ADB" w:rsidP="00E8699F">
      <w:pPr>
        <w:jc w:val="center"/>
        <w:rPr>
          <w:sz w:val="36"/>
        </w:rPr>
      </w:pPr>
    </w:p>
    <w:p w14:paraId="7F6C3B91" w14:textId="77777777" w:rsidR="004C7ADB" w:rsidRDefault="004C7ADB" w:rsidP="00E8699F">
      <w:pPr>
        <w:jc w:val="center"/>
        <w:rPr>
          <w:sz w:val="36"/>
        </w:rPr>
      </w:pPr>
    </w:p>
    <w:p w14:paraId="763629BA" w14:textId="77777777" w:rsidR="004C7ADB" w:rsidRDefault="004C7ADB" w:rsidP="00E8699F">
      <w:pPr>
        <w:jc w:val="center"/>
        <w:rPr>
          <w:sz w:val="36"/>
        </w:rPr>
      </w:pPr>
    </w:p>
    <w:p w14:paraId="16EBAEBF" w14:textId="77777777" w:rsidR="004C7ADB" w:rsidRDefault="004C7ADB" w:rsidP="00E8699F">
      <w:pPr>
        <w:jc w:val="center"/>
        <w:rPr>
          <w:sz w:val="36"/>
        </w:rPr>
      </w:pPr>
    </w:p>
    <w:p w14:paraId="6A9B97B2" w14:textId="77777777" w:rsidR="004C7ADB" w:rsidRDefault="009D35DB" w:rsidP="00E8699F">
      <w:pPr>
        <w:jc w:val="center"/>
        <w:rPr>
          <w:sz w:val="36"/>
        </w:rPr>
      </w:pPr>
      <w:r>
        <w:rPr>
          <w:sz w:val="36"/>
        </w:rPr>
        <w:t>Alyssa Margaret</w:t>
      </w:r>
      <w:r w:rsidR="004C7ADB">
        <w:rPr>
          <w:sz w:val="36"/>
        </w:rPr>
        <w:t xml:space="preserve"> Cannistraci</w:t>
      </w:r>
    </w:p>
    <w:p w14:paraId="6E177E59" w14:textId="77777777" w:rsidR="004C7ADB" w:rsidRDefault="009D35DB" w:rsidP="00E8699F">
      <w:pPr>
        <w:jc w:val="center"/>
        <w:rPr>
          <w:sz w:val="36"/>
        </w:rPr>
      </w:pPr>
      <w:r>
        <w:rPr>
          <w:sz w:val="36"/>
        </w:rPr>
        <w:t>December</w:t>
      </w:r>
      <w:r w:rsidR="004C7ADB">
        <w:rPr>
          <w:sz w:val="36"/>
        </w:rPr>
        <w:t xml:space="preserve"> 2020</w:t>
      </w:r>
    </w:p>
    <w:p w14:paraId="165711BF" w14:textId="77777777" w:rsidR="004C7ADB" w:rsidRDefault="004C7ADB" w:rsidP="00E8699F">
      <w:pPr>
        <w:jc w:val="center"/>
        <w:rPr>
          <w:sz w:val="24"/>
        </w:rPr>
      </w:pPr>
    </w:p>
    <w:p w14:paraId="25509824" w14:textId="77777777" w:rsidR="004C7ADB" w:rsidRDefault="004C7ADB" w:rsidP="00E8699F">
      <w:pPr>
        <w:jc w:val="center"/>
        <w:rPr>
          <w:sz w:val="24"/>
        </w:rPr>
      </w:pPr>
      <w:r>
        <w:rPr>
          <w:sz w:val="24"/>
        </w:rPr>
        <w:lastRenderedPageBreak/>
        <w:t xml:space="preserve">Copyright </w:t>
      </w:r>
      <w:r>
        <w:rPr>
          <w:rFonts w:ascii="Calibri Light" w:hAnsi="Calibri Light"/>
          <w:sz w:val="24"/>
        </w:rPr>
        <w:t>©</w:t>
      </w:r>
      <w:r>
        <w:rPr>
          <w:sz w:val="24"/>
        </w:rPr>
        <w:t xml:space="preserve"> 2020</w:t>
      </w:r>
      <w:r w:rsidR="009D35DB">
        <w:rPr>
          <w:sz w:val="24"/>
        </w:rPr>
        <w:t xml:space="preserve"> by Alyssa Margaret</w:t>
      </w:r>
      <w:r w:rsidR="00762306">
        <w:rPr>
          <w:sz w:val="24"/>
        </w:rPr>
        <w:t xml:space="preserve"> Cannistraci</w:t>
      </w:r>
    </w:p>
    <w:p w14:paraId="1FE9690F" w14:textId="77777777" w:rsidR="00762306" w:rsidRDefault="00762306" w:rsidP="00E8699F">
      <w:pPr>
        <w:jc w:val="center"/>
        <w:rPr>
          <w:sz w:val="24"/>
        </w:rPr>
      </w:pPr>
      <w:r>
        <w:rPr>
          <w:sz w:val="24"/>
        </w:rPr>
        <w:t>All rights reserved</w:t>
      </w:r>
    </w:p>
    <w:p w14:paraId="58701EF8" w14:textId="77777777" w:rsidR="00762306" w:rsidRDefault="00762306" w:rsidP="00E8699F">
      <w:pPr>
        <w:jc w:val="center"/>
        <w:rPr>
          <w:sz w:val="24"/>
        </w:rPr>
      </w:pPr>
    </w:p>
    <w:p w14:paraId="6060E49C" w14:textId="77777777" w:rsidR="00762306" w:rsidRDefault="00762306" w:rsidP="00E8699F">
      <w:pPr>
        <w:jc w:val="center"/>
        <w:rPr>
          <w:sz w:val="24"/>
        </w:rPr>
      </w:pPr>
    </w:p>
    <w:p w14:paraId="002F30AF" w14:textId="77777777" w:rsidR="00762306" w:rsidRDefault="00762306" w:rsidP="00E8699F">
      <w:pPr>
        <w:jc w:val="center"/>
        <w:rPr>
          <w:sz w:val="24"/>
        </w:rPr>
      </w:pPr>
    </w:p>
    <w:p w14:paraId="2D6B4E4A" w14:textId="77777777" w:rsidR="00762306" w:rsidRDefault="00762306" w:rsidP="00E8699F">
      <w:pPr>
        <w:jc w:val="center"/>
        <w:rPr>
          <w:sz w:val="24"/>
        </w:rPr>
      </w:pPr>
    </w:p>
    <w:p w14:paraId="08A746E0" w14:textId="77777777" w:rsidR="00762306" w:rsidRDefault="00762306" w:rsidP="00E8699F">
      <w:pPr>
        <w:jc w:val="center"/>
        <w:rPr>
          <w:sz w:val="24"/>
        </w:rPr>
      </w:pPr>
    </w:p>
    <w:p w14:paraId="1456C702" w14:textId="77777777" w:rsidR="00762306" w:rsidRDefault="00762306" w:rsidP="00E8699F">
      <w:pPr>
        <w:jc w:val="center"/>
        <w:rPr>
          <w:sz w:val="24"/>
        </w:rPr>
      </w:pPr>
    </w:p>
    <w:p w14:paraId="601D6414" w14:textId="77777777" w:rsidR="00762306" w:rsidRDefault="00762306" w:rsidP="00E8699F">
      <w:pPr>
        <w:jc w:val="center"/>
        <w:rPr>
          <w:sz w:val="24"/>
        </w:rPr>
      </w:pPr>
    </w:p>
    <w:p w14:paraId="629530A0" w14:textId="77777777" w:rsidR="00762306" w:rsidRDefault="00762306" w:rsidP="00E8699F">
      <w:pPr>
        <w:jc w:val="center"/>
        <w:rPr>
          <w:sz w:val="24"/>
        </w:rPr>
      </w:pPr>
    </w:p>
    <w:p w14:paraId="10775068" w14:textId="77777777" w:rsidR="00762306" w:rsidRDefault="00762306" w:rsidP="00E8699F">
      <w:pPr>
        <w:jc w:val="center"/>
        <w:rPr>
          <w:sz w:val="24"/>
        </w:rPr>
      </w:pPr>
    </w:p>
    <w:p w14:paraId="4C5456EF" w14:textId="77777777" w:rsidR="00762306" w:rsidRDefault="00762306" w:rsidP="00E8699F">
      <w:pPr>
        <w:jc w:val="center"/>
        <w:rPr>
          <w:sz w:val="24"/>
        </w:rPr>
      </w:pPr>
    </w:p>
    <w:p w14:paraId="5A97EEA8" w14:textId="77777777" w:rsidR="00762306" w:rsidRDefault="00762306" w:rsidP="00E8699F">
      <w:pPr>
        <w:jc w:val="center"/>
        <w:rPr>
          <w:sz w:val="24"/>
        </w:rPr>
      </w:pPr>
    </w:p>
    <w:p w14:paraId="11AB8916" w14:textId="77777777" w:rsidR="00762306" w:rsidRDefault="00762306" w:rsidP="00E8699F">
      <w:pPr>
        <w:jc w:val="center"/>
        <w:rPr>
          <w:sz w:val="24"/>
        </w:rPr>
      </w:pPr>
    </w:p>
    <w:p w14:paraId="7CB6D39A" w14:textId="77777777" w:rsidR="00762306" w:rsidRDefault="00762306" w:rsidP="00E8699F">
      <w:pPr>
        <w:jc w:val="center"/>
        <w:rPr>
          <w:sz w:val="24"/>
        </w:rPr>
      </w:pPr>
    </w:p>
    <w:p w14:paraId="0CE0A725" w14:textId="77777777" w:rsidR="00762306" w:rsidRDefault="00762306" w:rsidP="00E8699F">
      <w:pPr>
        <w:jc w:val="center"/>
        <w:rPr>
          <w:sz w:val="24"/>
        </w:rPr>
      </w:pPr>
    </w:p>
    <w:p w14:paraId="2178F502" w14:textId="77777777" w:rsidR="00762306" w:rsidRDefault="00762306" w:rsidP="00E8699F">
      <w:pPr>
        <w:jc w:val="center"/>
        <w:rPr>
          <w:sz w:val="24"/>
        </w:rPr>
      </w:pPr>
    </w:p>
    <w:p w14:paraId="385C1AE7" w14:textId="77777777" w:rsidR="00762306" w:rsidRDefault="00762306" w:rsidP="00E8699F">
      <w:pPr>
        <w:jc w:val="center"/>
        <w:rPr>
          <w:sz w:val="24"/>
        </w:rPr>
      </w:pPr>
    </w:p>
    <w:p w14:paraId="4080ED34" w14:textId="77777777" w:rsidR="00762306" w:rsidRDefault="00762306" w:rsidP="00E8699F">
      <w:pPr>
        <w:jc w:val="center"/>
        <w:rPr>
          <w:sz w:val="24"/>
        </w:rPr>
      </w:pPr>
    </w:p>
    <w:p w14:paraId="2D18C333" w14:textId="77777777" w:rsidR="00762306" w:rsidRDefault="00762306" w:rsidP="00E8699F">
      <w:pPr>
        <w:jc w:val="center"/>
        <w:rPr>
          <w:sz w:val="24"/>
        </w:rPr>
      </w:pPr>
    </w:p>
    <w:p w14:paraId="2A05572B" w14:textId="77777777" w:rsidR="00762306" w:rsidRDefault="00762306" w:rsidP="00E8699F">
      <w:pPr>
        <w:jc w:val="center"/>
        <w:rPr>
          <w:sz w:val="24"/>
        </w:rPr>
      </w:pPr>
    </w:p>
    <w:p w14:paraId="29EDC5B8" w14:textId="77777777" w:rsidR="00762306" w:rsidRDefault="00762306" w:rsidP="00E8699F">
      <w:pPr>
        <w:jc w:val="center"/>
        <w:rPr>
          <w:sz w:val="24"/>
        </w:rPr>
      </w:pPr>
    </w:p>
    <w:p w14:paraId="21C6E70E" w14:textId="77777777" w:rsidR="00762306" w:rsidRDefault="00762306" w:rsidP="00E8699F">
      <w:pPr>
        <w:jc w:val="center"/>
        <w:rPr>
          <w:sz w:val="24"/>
        </w:rPr>
      </w:pPr>
    </w:p>
    <w:p w14:paraId="669ADB4D" w14:textId="77777777" w:rsidR="00762306" w:rsidRDefault="00762306" w:rsidP="00E8699F">
      <w:pPr>
        <w:jc w:val="center"/>
        <w:rPr>
          <w:sz w:val="24"/>
        </w:rPr>
      </w:pPr>
    </w:p>
    <w:p w14:paraId="5DDC034B" w14:textId="77777777" w:rsidR="00762306" w:rsidRDefault="00762306" w:rsidP="00E8699F">
      <w:pPr>
        <w:jc w:val="center"/>
        <w:rPr>
          <w:sz w:val="24"/>
        </w:rPr>
      </w:pPr>
    </w:p>
    <w:p w14:paraId="5C774AC8" w14:textId="77777777" w:rsidR="00762306" w:rsidRDefault="00762306" w:rsidP="00E8699F">
      <w:pPr>
        <w:jc w:val="center"/>
        <w:rPr>
          <w:sz w:val="24"/>
        </w:rPr>
      </w:pPr>
    </w:p>
    <w:p w14:paraId="677CC221" w14:textId="77777777" w:rsidR="00762306" w:rsidRDefault="00762306" w:rsidP="00E8699F">
      <w:pPr>
        <w:jc w:val="center"/>
        <w:rPr>
          <w:sz w:val="24"/>
        </w:rPr>
      </w:pPr>
    </w:p>
    <w:p w14:paraId="78AF2652" w14:textId="5A948586" w:rsidR="00DC37EF" w:rsidRDefault="00DC37EF" w:rsidP="005C6B8D">
      <w:pPr>
        <w:spacing w:after="0" w:line="480" w:lineRule="auto"/>
        <w:jc w:val="center"/>
        <w:rPr>
          <w:b/>
          <w:caps/>
          <w:sz w:val="28"/>
        </w:rPr>
      </w:pPr>
      <w:r w:rsidRPr="00DC37EF">
        <w:rPr>
          <w:b/>
          <w:caps/>
          <w:sz w:val="28"/>
        </w:rPr>
        <w:lastRenderedPageBreak/>
        <w:t xml:space="preserve">Dedication </w:t>
      </w:r>
    </w:p>
    <w:p w14:paraId="0BF272B3" w14:textId="700F10C3" w:rsidR="00C33601" w:rsidRDefault="00154184" w:rsidP="005C6B8D">
      <w:pPr>
        <w:spacing w:after="0" w:line="480" w:lineRule="auto"/>
        <w:rPr>
          <w:sz w:val="24"/>
        </w:rPr>
      </w:pPr>
      <w:r>
        <w:rPr>
          <w:caps/>
          <w:sz w:val="24"/>
        </w:rPr>
        <w:tab/>
      </w:r>
      <w:r w:rsidR="00DA7A43">
        <w:rPr>
          <w:sz w:val="24"/>
        </w:rPr>
        <w:t xml:space="preserve">My thesis is dedicated to my parents, neither of </w:t>
      </w:r>
      <w:r w:rsidR="00B25F6C">
        <w:rPr>
          <w:sz w:val="24"/>
        </w:rPr>
        <w:t>whom</w:t>
      </w:r>
      <w:r w:rsidR="00DA7A43">
        <w:rPr>
          <w:sz w:val="24"/>
        </w:rPr>
        <w:t xml:space="preserve"> attended a four-year university or graduate school.</w:t>
      </w:r>
      <w:r w:rsidR="00817EBC">
        <w:rPr>
          <w:sz w:val="24"/>
        </w:rPr>
        <w:t xml:space="preserve"> Though the idea of higher education was unfamiliar, they supported my dreams unconditionally. They taught me the value of perseverance, integrity, and empathy.</w:t>
      </w:r>
      <w:r w:rsidR="00D56EEA">
        <w:rPr>
          <w:sz w:val="24"/>
        </w:rPr>
        <w:t xml:space="preserve"> My parents constantly reminded me of the exciting world beyond our hometown, and encouraged me to seek opportunities.</w:t>
      </w:r>
      <w:r w:rsidR="00D64EED">
        <w:rPr>
          <w:sz w:val="24"/>
        </w:rPr>
        <w:t xml:space="preserve"> They molded me into the woman I am today</w:t>
      </w:r>
      <w:r w:rsidR="00C51358">
        <w:rPr>
          <w:sz w:val="24"/>
        </w:rPr>
        <w:t>.</w:t>
      </w:r>
      <w:r w:rsidR="00C33601">
        <w:rPr>
          <w:sz w:val="24"/>
        </w:rPr>
        <w:t xml:space="preserve"> My parents are amazing people and I hope my thesis makes them proud.</w:t>
      </w:r>
    </w:p>
    <w:p w14:paraId="567496D2" w14:textId="77777777" w:rsidR="00C33601" w:rsidRDefault="00C33601" w:rsidP="00DA7A43">
      <w:pPr>
        <w:spacing w:line="480" w:lineRule="auto"/>
        <w:rPr>
          <w:sz w:val="24"/>
        </w:rPr>
      </w:pPr>
    </w:p>
    <w:p w14:paraId="51CAE2B6" w14:textId="77777777" w:rsidR="00C33601" w:rsidRDefault="00C33601" w:rsidP="00DA7A43">
      <w:pPr>
        <w:spacing w:line="480" w:lineRule="auto"/>
        <w:rPr>
          <w:sz w:val="24"/>
        </w:rPr>
      </w:pPr>
    </w:p>
    <w:p w14:paraId="6F683396" w14:textId="77777777" w:rsidR="00C33601" w:rsidRDefault="00C33601" w:rsidP="00DA7A43">
      <w:pPr>
        <w:spacing w:line="480" w:lineRule="auto"/>
        <w:rPr>
          <w:sz w:val="24"/>
        </w:rPr>
      </w:pPr>
    </w:p>
    <w:p w14:paraId="0B8FE8AC" w14:textId="77777777" w:rsidR="00C33601" w:rsidRDefault="00C33601" w:rsidP="00DA7A43">
      <w:pPr>
        <w:spacing w:line="480" w:lineRule="auto"/>
        <w:rPr>
          <w:sz w:val="24"/>
        </w:rPr>
      </w:pPr>
    </w:p>
    <w:p w14:paraId="308757A3" w14:textId="57EB07DF" w:rsidR="00D56EEA" w:rsidRDefault="00C51358" w:rsidP="000F7EBE">
      <w:pPr>
        <w:spacing w:line="480" w:lineRule="auto"/>
        <w:rPr>
          <w:sz w:val="24"/>
        </w:rPr>
      </w:pPr>
      <w:r>
        <w:rPr>
          <w:sz w:val="24"/>
        </w:rPr>
        <w:t xml:space="preserve"> </w:t>
      </w:r>
    </w:p>
    <w:p w14:paraId="6460B987" w14:textId="77777777" w:rsidR="00DC37EF" w:rsidRDefault="00DC37EF" w:rsidP="00E8699F">
      <w:pPr>
        <w:jc w:val="center"/>
        <w:rPr>
          <w:sz w:val="24"/>
        </w:rPr>
      </w:pPr>
    </w:p>
    <w:p w14:paraId="6DBA6A19" w14:textId="77777777" w:rsidR="00DC37EF" w:rsidRDefault="00DC37EF" w:rsidP="00E8699F">
      <w:pPr>
        <w:jc w:val="center"/>
        <w:rPr>
          <w:sz w:val="24"/>
        </w:rPr>
      </w:pPr>
    </w:p>
    <w:p w14:paraId="23853D2A" w14:textId="77777777" w:rsidR="00DC37EF" w:rsidRDefault="00DC37EF" w:rsidP="00E8699F">
      <w:pPr>
        <w:jc w:val="center"/>
        <w:rPr>
          <w:sz w:val="24"/>
        </w:rPr>
      </w:pPr>
    </w:p>
    <w:p w14:paraId="4988464E" w14:textId="77777777" w:rsidR="00DC37EF" w:rsidRDefault="00DC37EF" w:rsidP="00E8699F">
      <w:pPr>
        <w:jc w:val="center"/>
        <w:rPr>
          <w:sz w:val="24"/>
        </w:rPr>
      </w:pPr>
    </w:p>
    <w:p w14:paraId="0BFDF435" w14:textId="77777777" w:rsidR="00DC37EF" w:rsidRDefault="00DC37EF" w:rsidP="00E8699F">
      <w:pPr>
        <w:jc w:val="center"/>
        <w:rPr>
          <w:sz w:val="24"/>
        </w:rPr>
      </w:pPr>
    </w:p>
    <w:p w14:paraId="288E4EE0" w14:textId="77777777" w:rsidR="00DC37EF" w:rsidRDefault="00DC37EF" w:rsidP="00E8699F">
      <w:pPr>
        <w:jc w:val="center"/>
        <w:rPr>
          <w:sz w:val="24"/>
        </w:rPr>
      </w:pPr>
    </w:p>
    <w:p w14:paraId="7674B4FF" w14:textId="77777777" w:rsidR="00DC37EF" w:rsidRDefault="00DC37EF" w:rsidP="00E8699F">
      <w:pPr>
        <w:jc w:val="center"/>
        <w:rPr>
          <w:sz w:val="24"/>
        </w:rPr>
      </w:pPr>
    </w:p>
    <w:p w14:paraId="7650A1BB" w14:textId="77777777" w:rsidR="00DC37EF" w:rsidRDefault="00DC37EF" w:rsidP="00E8699F">
      <w:pPr>
        <w:jc w:val="center"/>
        <w:rPr>
          <w:sz w:val="24"/>
        </w:rPr>
      </w:pPr>
    </w:p>
    <w:p w14:paraId="0E596FF5" w14:textId="77777777" w:rsidR="00DC37EF" w:rsidRDefault="00DC37EF" w:rsidP="00E8699F">
      <w:pPr>
        <w:jc w:val="center"/>
        <w:rPr>
          <w:sz w:val="24"/>
        </w:rPr>
      </w:pPr>
    </w:p>
    <w:p w14:paraId="60C0AC07" w14:textId="77777777" w:rsidR="00DC37EF" w:rsidRDefault="00DC37EF" w:rsidP="00E8699F">
      <w:pPr>
        <w:jc w:val="center"/>
        <w:rPr>
          <w:sz w:val="24"/>
        </w:rPr>
      </w:pPr>
    </w:p>
    <w:p w14:paraId="38306646" w14:textId="77777777" w:rsidR="00762306" w:rsidRPr="00762306" w:rsidRDefault="00762306" w:rsidP="005C6B8D">
      <w:pPr>
        <w:spacing w:after="0" w:line="480" w:lineRule="auto"/>
        <w:jc w:val="center"/>
        <w:rPr>
          <w:b/>
          <w:caps/>
          <w:sz w:val="28"/>
        </w:rPr>
      </w:pPr>
      <w:r w:rsidRPr="00762306">
        <w:rPr>
          <w:b/>
          <w:caps/>
          <w:sz w:val="28"/>
        </w:rPr>
        <w:lastRenderedPageBreak/>
        <w:t xml:space="preserve">Acknowledgments </w:t>
      </w:r>
    </w:p>
    <w:p w14:paraId="399CAC43" w14:textId="71F49283" w:rsidR="00CA1E7B" w:rsidRDefault="009E2EB1" w:rsidP="005C6B8D">
      <w:pPr>
        <w:spacing w:after="0" w:line="480" w:lineRule="auto"/>
        <w:rPr>
          <w:sz w:val="24"/>
        </w:rPr>
      </w:pPr>
      <w:r>
        <w:rPr>
          <w:sz w:val="24"/>
        </w:rPr>
        <w:tab/>
      </w:r>
      <w:r w:rsidR="003A22E3">
        <w:rPr>
          <w:sz w:val="24"/>
        </w:rPr>
        <w:t>I wou</w:t>
      </w:r>
      <w:r w:rsidR="001518E9">
        <w:rPr>
          <w:sz w:val="24"/>
        </w:rPr>
        <w:t>ld first like to thank my parents and sister.</w:t>
      </w:r>
      <w:r w:rsidR="006B1A01">
        <w:rPr>
          <w:sz w:val="24"/>
        </w:rPr>
        <w:t xml:space="preserve"> </w:t>
      </w:r>
      <w:r w:rsidR="000D5BD6">
        <w:rPr>
          <w:sz w:val="24"/>
        </w:rPr>
        <w:t>Their encouragement motivated me to persevere through challenges, and showed me my scholarly potential.</w:t>
      </w:r>
      <w:r w:rsidR="0078181B">
        <w:rPr>
          <w:sz w:val="24"/>
        </w:rPr>
        <w:t xml:space="preserve"> </w:t>
      </w:r>
      <w:r w:rsidR="00EA373C">
        <w:rPr>
          <w:sz w:val="24"/>
        </w:rPr>
        <w:t>Friends listened to ideas, provided constructive criticism, and offered advice through all stages of my thesis.</w:t>
      </w:r>
      <w:r w:rsidR="00170AD2">
        <w:rPr>
          <w:sz w:val="24"/>
        </w:rPr>
        <w:t xml:space="preserve"> I am thankful to receive funding from the University of Tennessee</w:t>
      </w:r>
      <w:r w:rsidR="007229A6">
        <w:rPr>
          <w:sz w:val="24"/>
        </w:rPr>
        <w:t>, Knoxville</w:t>
      </w:r>
      <w:r w:rsidR="00170AD2">
        <w:rPr>
          <w:sz w:val="24"/>
        </w:rPr>
        <w:t xml:space="preserve"> to pursue my graduate work.</w:t>
      </w:r>
      <w:r w:rsidR="005B7200">
        <w:rPr>
          <w:sz w:val="24"/>
        </w:rPr>
        <w:t xml:space="preserve"> I would also like to thank my advisor, Dr. Kelsey Ellis</w:t>
      </w:r>
      <w:r w:rsidR="00E74971">
        <w:rPr>
          <w:sz w:val="24"/>
        </w:rPr>
        <w:t>,</w:t>
      </w:r>
      <w:r w:rsidR="005B7200">
        <w:rPr>
          <w:sz w:val="24"/>
        </w:rPr>
        <w:t xml:space="preserve"> for selecting me for the master’s program and guiding me through my research. </w:t>
      </w:r>
      <w:r w:rsidR="00D2101E">
        <w:rPr>
          <w:sz w:val="24"/>
        </w:rPr>
        <w:t>Her mentorship helped me improve my writing style and build confidence.</w:t>
      </w:r>
      <w:r w:rsidR="002B1C52">
        <w:rPr>
          <w:sz w:val="24"/>
        </w:rPr>
        <w:t xml:space="preserve"> Additionally, I would like to thank Dr. </w:t>
      </w:r>
      <w:r w:rsidR="00B4146E">
        <w:rPr>
          <w:sz w:val="24"/>
        </w:rPr>
        <w:t xml:space="preserve">Shih-Lung </w:t>
      </w:r>
      <w:r w:rsidR="002B1C52">
        <w:rPr>
          <w:sz w:val="24"/>
        </w:rPr>
        <w:t xml:space="preserve">Shaw and Dr. </w:t>
      </w:r>
      <w:r w:rsidR="00B4146E">
        <w:rPr>
          <w:sz w:val="24"/>
        </w:rPr>
        <w:t xml:space="preserve">Qiusheng </w:t>
      </w:r>
      <w:r w:rsidR="002B1C52">
        <w:rPr>
          <w:sz w:val="24"/>
        </w:rPr>
        <w:t>Wu for serving on m</w:t>
      </w:r>
      <w:r w:rsidR="00085AA6">
        <w:rPr>
          <w:sz w:val="24"/>
        </w:rPr>
        <w:t xml:space="preserve">y thesis committee. Both offered further direction on my project, and provided knowledge in content-areas </w:t>
      </w:r>
      <w:r w:rsidR="00600813">
        <w:rPr>
          <w:sz w:val="24"/>
        </w:rPr>
        <w:t>for which</w:t>
      </w:r>
      <w:r w:rsidR="002548B8">
        <w:rPr>
          <w:sz w:val="24"/>
        </w:rPr>
        <w:t xml:space="preserve"> </w:t>
      </w:r>
      <w:r w:rsidR="00085AA6">
        <w:rPr>
          <w:sz w:val="24"/>
        </w:rPr>
        <w:t>I am less familiar.</w:t>
      </w:r>
      <w:r w:rsidR="00B4146E">
        <w:rPr>
          <w:sz w:val="24"/>
        </w:rPr>
        <w:t xml:space="preserve"> </w:t>
      </w:r>
      <w:r w:rsidR="00B064E6">
        <w:rPr>
          <w:sz w:val="24"/>
        </w:rPr>
        <w:t>Dr. Yingjie Hu</w:t>
      </w:r>
      <w:r w:rsidR="00E74971">
        <w:rPr>
          <w:sz w:val="24"/>
        </w:rPr>
        <w:t xml:space="preserve"> (University of Buffalo) acquired tweets for me to analyze, and I am appreciative </w:t>
      </w:r>
      <w:r w:rsidR="00600813">
        <w:rPr>
          <w:sz w:val="24"/>
        </w:rPr>
        <w:t>of</w:t>
      </w:r>
      <w:r w:rsidR="00E74971">
        <w:rPr>
          <w:sz w:val="24"/>
        </w:rPr>
        <w:t xml:space="preserve"> his time.</w:t>
      </w:r>
      <w:r w:rsidR="00B064E6">
        <w:rPr>
          <w:sz w:val="24"/>
        </w:rPr>
        <w:t xml:space="preserve"> </w:t>
      </w:r>
      <w:r w:rsidR="006A3182">
        <w:rPr>
          <w:sz w:val="24"/>
        </w:rPr>
        <w:t xml:space="preserve">On a lighter note, I would also like to thank Dunkin’ (and their excellent rewards program) for providing the caffeine needed to complete this degree. And finally, thank you to my </w:t>
      </w:r>
      <w:r w:rsidR="00BE56CB">
        <w:rPr>
          <w:sz w:val="24"/>
        </w:rPr>
        <w:t>beloved</w:t>
      </w:r>
      <w:r w:rsidR="006A3182">
        <w:rPr>
          <w:sz w:val="24"/>
        </w:rPr>
        <w:t xml:space="preserve"> hamster Trufflez for making me smile.</w:t>
      </w:r>
    </w:p>
    <w:p w14:paraId="48B41282" w14:textId="77777777" w:rsidR="00E74971" w:rsidRDefault="00E74971" w:rsidP="003A22E3">
      <w:pPr>
        <w:spacing w:line="480" w:lineRule="auto"/>
        <w:rPr>
          <w:sz w:val="24"/>
        </w:rPr>
      </w:pPr>
    </w:p>
    <w:p w14:paraId="12B47C77" w14:textId="77777777" w:rsidR="00CA1E7B" w:rsidRDefault="00CA1E7B" w:rsidP="003A22E3">
      <w:pPr>
        <w:spacing w:line="480" w:lineRule="auto"/>
        <w:rPr>
          <w:sz w:val="24"/>
        </w:rPr>
      </w:pPr>
    </w:p>
    <w:p w14:paraId="1243EA21" w14:textId="77777777" w:rsidR="00762306" w:rsidRDefault="00762306" w:rsidP="00E8699F">
      <w:pPr>
        <w:jc w:val="center"/>
        <w:rPr>
          <w:b/>
          <w:sz w:val="36"/>
        </w:rPr>
      </w:pPr>
    </w:p>
    <w:p w14:paraId="5279A07F" w14:textId="77777777" w:rsidR="00762306" w:rsidRDefault="00762306" w:rsidP="00E8699F">
      <w:pPr>
        <w:jc w:val="center"/>
        <w:rPr>
          <w:b/>
          <w:sz w:val="36"/>
        </w:rPr>
      </w:pPr>
    </w:p>
    <w:p w14:paraId="1D306C7A" w14:textId="77777777" w:rsidR="00762306" w:rsidRDefault="00762306" w:rsidP="00E8699F">
      <w:pPr>
        <w:jc w:val="center"/>
        <w:rPr>
          <w:b/>
          <w:sz w:val="36"/>
        </w:rPr>
      </w:pPr>
    </w:p>
    <w:p w14:paraId="65BE5611" w14:textId="77777777" w:rsidR="00762306" w:rsidRDefault="00762306" w:rsidP="00E8699F">
      <w:pPr>
        <w:jc w:val="center"/>
        <w:rPr>
          <w:b/>
          <w:sz w:val="28"/>
        </w:rPr>
      </w:pPr>
    </w:p>
    <w:p w14:paraId="6718636C" w14:textId="77777777" w:rsidR="00B94E5C" w:rsidRDefault="00B94E5C" w:rsidP="0081688A">
      <w:pPr>
        <w:spacing w:after="0" w:line="480" w:lineRule="auto"/>
        <w:jc w:val="center"/>
        <w:rPr>
          <w:b/>
          <w:caps/>
          <w:sz w:val="28"/>
        </w:rPr>
      </w:pPr>
    </w:p>
    <w:p w14:paraId="51F8AA88" w14:textId="77777777" w:rsidR="00762306" w:rsidRDefault="00762306" w:rsidP="0081688A">
      <w:pPr>
        <w:spacing w:after="0" w:line="480" w:lineRule="auto"/>
        <w:jc w:val="center"/>
        <w:rPr>
          <w:b/>
          <w:caps/>
          <w:sz w:val="28"/>
        </w:rPr>
      </w:pPr>
      <w:r w:rsidRPr="00762306">
        <w:rPr>
          <w:b/>
          <w:caps/>
          <w:sz w:val="28"/>
        </w:rPr>
        <w:lastRenderedPageBreak/>
        <w:t xml:space="preserve">Abstract </w:t>
      </w:r>
    </w:p>
    <w:p w14:paraId="4BB313E0" w14:textId="0808448D" w:rsidR="00762306" w:rsidRDefault="00CC40DA" w:rsidP="0081688A">
      <w:pPr>
        <w:spacing w:after="0" w:line="480" w:lineRule="auto"/>
        <w:rPr>
          <w:sz w:val="24"/>
        </w:rPr>
      </w:pPr>
      <w:r>
        <w:rPr>
          <w:sz w:val="24"/>
        </w:rPr>
        <w:tab/>
      </w:r>
      <w:r w:rsidR="00E246C9">
        <w:rPr>
          <w:sz w:val="24"/>
        </w:rPr>
        <w:t>Social media allows people to receive, engage in, and share weather information. Users of the social media platform Twitter actively share weather content via tweets, which research</w:t>
      </w:r>
      <w:r w:rsidR="00534F92">
        <w:rPr>
          <w:sz w:val="24"/>
        </w:rPr>
        <w:t>ers</w:t>
      </w:r>
      <w:r w:rsidR="00E246C9">
        <w:rPr>
          <w:sz w:val="24"/>
        </w:rPr>
        <w:t xml:space="preserve"> can acquire through an Application Programming Interface (API). </w:t>
      </w:r>
      <w:r w:rsidR="006D0C37">
        <w:rPr>
          <w:sz w:val="24"/>
        </w:rPr>
        <w:t xml:space="preserve">APIs return </w:t>
      </w:r>
      <w:r w:rsidR="00D85A4A">
        <w:rPr>
          <w:sz w:val="24"/>
        </w:rPr>
        <w:t>tweet content</w:t>
      </w:r>
      <w:r w:rsidR="00305069">
        <w:rPr>
          <w:sz w:val="24"/>
        </w:rPr>
        <w:t>,</w:t>
      </w:r>
      <w:r w:rsidR="00D85A4A">
        <w:rPr>
          <w:sz w:val="24"/>
        </w:rPr>
        <w:t xml:space="preserve"> as well as temporal and spatial characteristics (</w:t>
      </w:r>
      <w:r w:rsidR="006D0C37">
        <w:rPr>
          <w:sz w:val="24"/>
        </w:rPr>
        <w:t>latitude and longitude coordinates</w:t>
      </w:r>
      <w:r w:rsidR="00305069">
        <w:rPr>
          <w:sz w:val="24"/>
        </w:rPr>
        <w:t xml:space="preserve">). </w:t>
      </w:r>
      <w:r w:rsidR="00534F92">
        <w:rPr>
          <w:sz w:val="24"/>
        </w:rPr>
        <w:t xml:space="preserve">Tweets can then be mapped and studied spatiotemporally through Geographic Information System (GIS) software. For this work, I </w:t>
      </w:r>
      <w:r w:rsidR="00600813">
        <w:rPr>
          <w:sz w:val="24"/>
        </w:rPr>
        <w:t>compared</w:t>
      </w:r>
      <w:r w:rsidR="00534F92">
        <w:rPr>
          <w:sz w:val="24"/>
        </w:rPr>
        <w:t xml:space="preserve"> how tweets spread (“diffuse”) over space and time during two natural hazard events</w:t>
      </w:r>
      <w:r w:rsidR="00F419DE">
        <w:rPr>
          <w:sz w:val="24"/>
        </w:rPr>
        <w:t xml:space="preserve"> in the United States</w:t>
      </w:r>
      <w:r w:rsidR="00534F92">
        <w:rPr>
          <w:sz w:val="24"/>
        </w:rPr>
        <w:t xml:space="preserve">. </w:t>
      </w:r>
      <w:r w:rsidR="00007442">
        <w:rPr>
          <w:sz w:val="24"/>
        </w:rPr>
        <w:t>The first case study is a winter weather event</w:t>
      </w:r>
      <w:r w:rsidR="00D85A4A">
        <w:rPr>
          <w:sz w:val="24"/>
        </w:rPr>
        <w:t xml:space="preserve"> that</w:t>
      </w:r>
      <w:r w:rsidR="00007442">
        <w:rPr>
          <w:sz w:val="24"/>
        </w:rPr>
        <w:t xml:space="preserve"> The Weather Channel </w:t>
      </w:r>
      <w:r w:rsidR="00F36873">
        <w:rPr>
          <w:sz w:val="24"/>
        </w:rPr>
        <w:t>named</w:t>
      </w:r>
      <w:r w:rsidR="00007442">
        <w:rPr>
          <w:sz w:val="24"/>
        </w:rPr>
        <w:t xml:space="preserve"> “Winter Storm Gia” (WSG). </w:t>
      </w:r>
      <w:r w:rsidR="00994E26">
        <w:rPr>
          <w:sz w:val="24"/>
        </w:rPr>
        <w:t xml:space="preserve">WSG occurred from 11 to 14 January 2019 and impacted the Rockies, Mid-West, Ohio River Valley, and Mid-Atlantic. </w:t>
      </w:r>
      <w:r w:rsidR="00C62B3D">
        <w:rPr>
          <w:sz w:val="24"/>
        </w:rPr>
        <w:t>The second case study is a tornado outbreak in the Southeast that occurred in early March 2019</w:t>
      </w:r>
      <w:r w:rsidR="0021653A">
        <w:rPr>
          <w:sz w:val="24"/>
        </w:rPr>
        <w:t>,</w:t>
      </w:r>
      <w:r w:rsidR="00C62B3D">
        <w:rPr>
          <w:sz w:val="24"/>
        </w:rPr>
        <w:t xml:space="preserve"> and resulted in 80 tornadoes </w:t>
      </w:r>
      <w:r w:rsidR="00F36873">
        <w:rPr>
          <w:sz w:val="24"/>
        </w:rPr>
        <w:fldChar w:fldCharType="begin" w:fldLock="1"/>
      </w:r>
      <w:r w:rsidR="00FE6188">
        <w:rPr>
          <w:sz w:val="24"/>
        </w:rPr>
        <w:instrText>ADDIN CSL_CITATION {"citationItems":[{"id":"ITEM-1","itemData":{"URL":"https://www.spc.noaa.gov/climo/reports/190303_rpts.html","abstract":"SPC Storm Reports Page","accessed":{"date-parts":[["2020","10","17"]]},"container-title":"SPC Storm Reports","id":"ITEM-1","issued":{"date-parts":[["2019"]]},"publisher":"NOAA's National Weather Service","title":"Storm Prediction Center Storm Reports for 3/3/19","type":"webpage"},"uris":["http://www.mendeley.com/documents/?uuid=affc593d-292c-3795-ab3d-d3455187871c"]}],"mendeley":{"formattedCitation":"(“Storm Prediction Center Storm Reports for 3/3/19,” 2019)","plainTextFormattedCitation":"(“Storm Prediction Center Storm Reports for 3/3/19,” 2019)","previouslyFormattedCitation":"(“Storm Prediction Center Storm Reports for 3/3/19,” 2019)"},"properties":{"noteIndex":0},"schema":"https://github.com/citation-style-language/schema/raw/master/csl-citation.json"}</w:instrText>
      </w:r>
      <w:r w:rsidR="00F36873">
        <w:rPr>
          <w:sz w:val="24"/>
        </w:rPr>
        <w:fldChar w:fldCharType="separate"/>
      </w:r>
      <w:r w:rsidR="00F36873" w:rsidRPr="00F36873">
        <w:rPr>
          <w:noProof/>
          <w:sz w:val="24"/>
        </w:rPr>
        <w:t>(“Storm Prediction Center Storm Reports for 3/3/19,” 2019)</w:t>
      </w:r>
      <w:r w:rsidR="00F36873">
        <w:rPr>
          <w:sz w:val="24"/>
        </w:rPr>
        <w:fldChar w:fldCharType="end"/>
      </w:r>
      <w:r w:rsidR="00F36873">
        <w:rPr>
          <w:sz w:val="24"/>
        </w:rPr>
        <w:t xml:space="preserve">. </w:t>
      </w:r>
      <w:r w:rsidR="009D1297">
        <w:rPr>
          <w:sz w:val="24"/>
        </w:rPr>
        <w:t xml:space="preserve">I adapted </w:t>
      </w:r>
      <w:r w:rsidR="00836697">
        <w:rPr>
          <w:sz w:val="24"/>
        </w:rPr>
        <w:t xml:space="preserve">the </w:t>
      </w:r>
      <w:r w:rsidR="0021653A">
        <w:rPr>
          <w:sz w:val="24"/>
        </w:rPr>
        <w:t>methods used by</w:t>
      </w:r>
      <w:r w:rsidR="0021653A">
        <w:rPr>
          <w:sz w:val="24"/>
        </w:rPr>
        <w:fldChar w:fldCharType="begin" w:fldLock="1"/>
      </w:r>
      <w:r w:rsidR="00460C6D">
        <w:rPr>
          <w:sz w:val="24"/>
        </w:rPr>
        <w:instrText>ADDIN CSL_CITATION {"citationItems":[{"id":"ITEM-1","itemData":{"DOI":"10.4018/ijagr.2014010101","ISSN":"19479662","abstract":"Spatial diffusion processes can be seen in many geographic phenomena that spread or migrate across space and over time. Studies of these processes were mostly done with verbal description until Hägerstrand (1966) started to approach it with quantitative models. A variety of attempts were made to continue this effort, but only with various degrees of success. Recognizing the critical role that distances between geographic objects or events play in a spatial diffusion process, we experimented with a new approach that uses these distances to detect and distinguish different types of spatial diffusion processes. Our approach is a two-step process that first calculates nearest neighbor ratios in a point process at each time step and then applies regression curve estimation to observe how these ratios change over time. We first report the results from applying this method to three spatio-temporal data sets which show the feasibility of our approach. We then report results of randomly simulated spatial diffusion processes to see if our approach is effective for the purpose of distinguishing different types of spatial diffusion processes. With only extreme cases as exceptions, our experiment found that using estimated regression curves of nearest neighbor ratios over time is usable in classifying spatial diffusion processes to either contagious/expansion or hierarchical/relocation diffusion processes. © 2014, IGI Global. All rights reserved.","author":[{"dropping-particle":"","family":"Lee","given":"Jay","non-dropping-particle":"","parse-names":false,"suffix":""},{"dropping-particle":"","family":"Lay","given":"Jinn-Guey","non-dropping-particle":"","parse-names":false,"suffix":""},{"dropping-particle":"","family":"Chin","given":"Wei Chien Benny","non-dropping-particle":"","parse-names":false,"suffix":""},{"dropping-particle":"","family":"Chi","given":"Yu-Lin","non-dropping-particle":"","parse-names":false,"suffix":""},{"dropping-particle":"","family":"Hsueh","given":"Ya-Hui","non-dropping-particle":"","parse-names":false,"suffix":""}],"container-title":"International Journal of Applied Geospatial Research","id":"ITEM-1","issue":"1","issued":{"date-parts":[["2014"]]},"note":"Pg 2: Given a geogrpahic phenomenon that is spreading over space and time, lets say points represented by lat/ long. First, we argue that the nearest neighbor distance at each stage of a spatial process over time are inmporant in characterizing the spatial diffusion. Second, we suggest that they way nearest neighbors change at each diffusion stage is critical to spatial diffusion process.\n\nUses nearest neighbor ratios and regression curve estimation\n\nNearest neighbor distances do plat a critical role in the spatal structure of diffusion process\n\nHagerstrang 1966, and 1967\n\nPp 3 to 4: As a geographic phenomenon spreads or migrates spatially and temporally, a spatial pattern can be observed at each time or temporal stage. A spatial process is formed by linking up these spatial patterns temporally. As point patterns receive additional points, the dynamics of how nearest neighbor distances change defines the spatial structure of the diffusion process. Distance between sources (first points) and adopters (added points) in a spatial pattern influence the number and rate of spatial diffusion processes.\n\npp3. We suggest that nearest neighbor ratios be used to measure how nearest neighbor distances change in spatial diffusion processes over time. We suggest we can then use regression curve estimation to mathematically differential spatial diffusion processes.\n\nDifferent types of spatial diffusion mthods: Contagious, expansion, hierarchial, relocation\n\nExpansion: Spreading phenomenon has a source and diffuses outwards to new areas (wildfires/ new technology)\n\nContagious: Direct contact needed to spread ideas (infections)\n\nHierarchial: Diffusion happens through ordered sequence of classes/ places (AIDS from large city centers to small towns)\n\nRelocation: Phenomenon moves into new areas, leaving its orgin/ source (migration)\n\nNearest neighbor is well-established method for analyzing spatial pattern of geographic phenomena. Nearest neighbor accounts only for locations of points, not any attribute within the points\n\nFor purposes of modeling spatial diffusion, nearest neighbor ratio is calculated after each additional point is added to point set over time\n\nWhen dist of data does not form a linear pattern, regression curve estomation is widely used method for modeling sequential changes in numeric values. Distribution of paired XY values in chart is fitted with set of mathematically constructed curves to find one that best approximates the distribution. The best one, goodness of fit, is determined by highest R^2. EXP: linear, logarithmic, inverse, quadratic, cubic, power, compond, s-curve, logistic, grwoth, expodential\n\nCase studies in paper: 1) dengue fever cases (contagiou/ expension diffusion process, inverse regression curve); 2) location of mushroom farms (contagious/ expansive); 3) new walmart/ target (hierarchial/ relocation)\n\nConventional apporaches to analyzing spatial clustering in a point pattern are useful for helping to focus on areas with high density or low densities of events. However, they do have limits when considering how a point pattern changes over space and time","page":"1-15","title":"An Experiment to Model Spatial Diffusion Process with Nearest Neighbor Analysis and Regression Estimation","type":"article-journal","volume":"5"},"uris":["http://www.mendeley.com/documents/?uuid=06de294b-e207-4545-bc65-01128992909a"]}],"mendeley":{"formattedCitation":"(Lee, Lay, Chin, Chi, &amp; Hsueh, 2014)","manualFormatting":" Lee, Lay, Chin, Chi, and Hsueh (2014)","plainTextFormattedCitation":"(Lee, Lay, Chin, Chi, &amp; Hsueh, 2014)","previouslyFormattedCitation":"(Lee, Lay, Chin, Chi, &amp; Hsueh, 2014)"},"properties":{"noteIndex":0},"schema":"https://github.com/citation-style-language/schema/raw/master/csl-citation.json"}</w:instrText>
      </w:r>
      <w:r w:rsidR="0021653A">
        <w:rPr>
          <w:sz w:val="24"/>
        </w:rPr>
        <w:fldChar w:fldCharType="separate"/>
      </w:r>
      <w:r w:rsidR="0021653A">
        <w:rPr>
          <w:noProof/>
          <w:sz w:val="24"/>
        </w:rPr>
        <w:t xml:space="preserve"> Lee, Lay, Chin, Chi, and Hsueh (</w:t>
      </w:r>
      <w:r w:rsidR="0021653A" w:rsidRPr="0021653A">
        <w:rPr>
          <w:noProof/>
          <w:sz w:val="24"/>
        </w:rPr>
        <w:t>2014)</w:t>
      </w:r>
      <w:r w:rsidR="0021653A">
        <w:rPr>
          <w:sz w:val="24"/>
        </w:rPr>
        <w:fldChar w:fldCharType="end"/>
      </w:r>
      <w:r w:rsidR="009D1297">
        <w:rPr>
          <w:sz w:val="24"/>
        </w:rPr>
        <w:t>; specifically, I use</w:t>
      </w:r>
      <w:r w:rsidR="00E674A2">
        <w:rPr>
          <w:sz w:val="24"/>
        </w:rPr>
        <w:t>d</w:t>
      </w:r>
      <w:r w:rsidR="009D1297">
        <w:rPr>
          <w:sz w:val="24"/>
        </w:rPr>
        <w:t xml:space="preserve"> </w:t>
      </w:r>
      <w:r w:rsidR="00600813">
        <w:rPr>
          <w:sz w:val="24"/>
        </w:rPr>
        <w:t xml:space="preserve">the </w:t>
      </w:r>
      <w:r w:rsidR="009D1297">
        <w:rPr>
          <w:sz w:val="24"/>
        </w:rPr>
        <w:t xml:space="preserve">Nearest Neighbor Index (NNI) and regression analysis to </w:t>
      </w:r>
      <w:r w:rsidR="00E674A2">
        <w:rPr>
          <w:sz w:val="24"/>
        </w:rPr>
        <w:t>study</w:t>
      </w:r>
      <w:r w:rsidR="009D1297">
        <w:rPr>
          <w:sz w:val="24"/>
        </w:rPr>
        <w:t xml:space="preserve"> tweet diffusion.</w:t>
      </w:r>
      <w:r w:rsidR="00E674A2">
        <w:rPr>
          <w:sz w:val="24"/>
        </w:rPr>
        <w:t xml:space="preserve"> I also examined </w:t>
      </w:r>
      <w:r w:rsidR="00945668">
        <w:rPr>
          <w:sz w:val="24"/>
        </w:rPr>
        <w:t xml:space="preserve">the tweet locations </w:t>
      </w:r>
      <w:r w:rsidR="00E674A2">
        <w:rPr>
          <w:sz w:val="24"/>
        </w:rPr>
        <w:t xml:space="preserve">using the ArcGIS “Directional Distribution (Standard Deviational Ellipse)” tool. </w:t>
      </w:r>
      <w:r w:rsidR="00836697">
        <w:rPr>
          <w:sz w:val="24"/>
        </w:rPr>
        <w:t>For both events, tweets peaked on the event day, but for the tornado outbreak</w:t>
      </w:r>
      <w:r w:rsidR="00600813">
        <w:rPr>
          <w:sz w:val="24"/>
        </w:rPr>
        <w:t>,</w:t>
      </w:r>
      <w:r w:rsidR="00836697">
        <w:rPr>
          <w:sz w:val="24"/>
        </w:rPr>
        <w:t xml:space="preserve"> there was also a rebound in tweets after the event that was not present after WSG. </w:t>
      </w:r>
      <w:r w:rsidR="009B7657">
        <w:rPr>
          <w:sz w:val="24"/>
        </w:rPr>
        <w:t>Tornado-</w:t>
      </w:r>
      <w:r w:rsidR="00570323">
        <w:rPr>
          <w:sz w:val="24"/>
        </w:rPr>
        <w:t>outbreak tweets were also less concentrated in cities than was the case in WSG.</w:t>
      </w:r>
      <w:r w:rsidR="00A14CFA">
        <w:rPr>
          <w:sz w:val="24"/>
        </w:rPr>
        <w:t xml:space="preserve"> </w:t>
      </w:r>
      <w:r w:rsidR="00BC2FD0">
        <w:rPr>
          <w:sz w:val="24"/>
        </w:rPr>
        <w:t>This suggests population dynamics (distance to individual tornadoes) affects winter weather (tornado-outbreak) tweet diffusion.</w:t>
      </w:r>
      <w:r w:rsidR="00A83B0C">
        <w:rPr>
          <w:sz w:val="24"/>
        </w:rPr>
        <w:t xml:space="preserve"> </w:t>
      </w:r>
      <w:r w:rsidR="00A14CFA">
        <w:rPr>
          <w:sz w:val="24"/>
        </w:rPr>
        <w:t>Lastly, I found regression</w:t>
      </w:r>
      <w:r w:rsidR="00916BA1">
        <w:rPr>
          <w:sz w:val="24"/>
        </w:rPr>
        <w:t xml:space="preserve"> analysis </w:t>
      </w:r>
      <w:r w:rsidR="00945668">
        <w:rPr>
          <w:sz w:val="24"/>
        </w:rPr>
        <w:t xml:space="preserve">of NNI values </w:t>
      </w:r>
      <w:r w:rsidR="00916BA1">
        <w:rPr>
          <w:sz w:val="24"/>
        </w:rPr>
        <w:t xml:space="preserve">not </w:t>
      </w:r>
      <w:r w:rsidR="00E701C9">
        <w:rPr>
          <w:sz w:val="24"/>
        </w:rPr>
        <w:t xml:space="preserve">to be </w:t>
      </w:r>
      <w:r w:rsidR="00A14CFA">
        <w:rPr>
          <w:sz w:val="24"/>
        </w:rPr>
        <w:t xml:space="preserve">a suitable method </w:t>
      </w:r>
      <w:r w:rsidR="005F0ACE">
        <w:rPr>
          <w:sz w:val="24"/>
        </w:rPr>
        <w:t>for</w:t>
      </w:r>
      <w:r w:rsidR="00A14CFA">
        <w:rPr>
          <w:sz w:val="24"/>
        </w:rPr>
        <w:t xml:space="preserve"> analyzing tweet diffusion</w:t>
      </w:r>
      <w:r w:rsidR="00836697">
        <w:rPr>
          <w:sz w:val="24"/>
        </w:rPr>
        <w:t xml:space="preserve"> of weather events</w:t>
      </w:r>
      <w:r w:rsidR="00A14CFA">
        <w:rPr>
          <w:sz w:val="24"/>
        </w:rPr>
        <w:t>.</w:t>
      </w:r>
      <w:r w:rsidR="00EC45FC">
        <w:rPr>
          <w:sz w:val="24"/>
        </w:rPr>
        <w:t xml:space="preserve"> </w:t>
      </w:r>
      <w:r w:rsidR="00836697">
        <w:rPr>
          <w:sz w:val="24"/>
        </w:rPr>
        <w:t>The results were limited by</w:t>
      </w:r>
      <w:r w:rsidR="009B7657">
        <w:rPr>
          <w:sz w:val="24"/>
        </w:rPr>
        <w:t xml:space="preserve"> a small sample size of tornado-</w:t>
      </w:r>
      <w:r w:rsidR="00836697">
        <w:rPr>
          <w:sz w:val="24"/>
        </w:rPr>
        <w:t xml:space="preserve">outbreak tweets. </w:t>
      </w:r>
      <w:r w:rsidR="00D1618E">
        <w:rPr>
          <w:sz w:val="24"/>
        </w:rPr>
        <w:t xml:space="preserve">Understanding how weather </w:t>
      </w:r>
      <w:r w:rsidR="00D1618E">
        <w:rPr>
          <w:sz w:val="24"/>
        </w:rPr>
        <w:lastRenderedPageBreak/>
        <w:t>information spreads on Twitter is important for individuals who communicate information</w:t>
      </w:r>
      <w:r w:rsidR="001751C9">
        <w:rPr>
          <w:sz w:val="24"/>
        </w:rPr>
        <w:t xml:space="preserve"> to communities</w:t>
      </w:r>
      <w:r w:rsidR="00D1618E">
        <w:rPr>
          <w:sz w:val="24"/>
        </w:rPr>
        <w:t xml:space="preserve">. This includes </w:t>
      </w:r>
      <w:r w:rsidR="005F03AD">
        <w:rPr>
          <w:sz w:val="24"/>
        </w:rPr>
        <w:t xml:space="preserve">National Weather </w:t>
      </w:r>
      <w:r w:rsidR="003F7A7C">
        <w:rPr>
          <w:sz w:val="24"/>
        </w:rPr>
        <w:t>Service</w:t>
      </w:r>
      <w:r w:rsidR="005F03AD">
        <w:rPr>
          <w:sz w:val="24"/>
        </w:rPr>
        <w:t xml:space="preserve"> (NWS) forecasters, emergency managers, media </w:t>
      </w:r>
      <w:r w:rsidR="00FD5FAB">
        <w:rPr>
          <w:sz w:val="24"/>
        </w:rPr>
        <w:t>personnel</w:t>
      </w:r>
      <w:r w:rsidR="005F03AD">
        <w:rPr>
          <w:sz w:val="24"/>
        </w:rPr>
        <w:t>, and governmental officials.</w:t>
      </w:r>
      <w:r w:rsidR="001751C9">
        <w:rPr>
          <w:sz w:val="24"/>
        </w:rPr>
        <w:t xml:space="preserve"> </w:t>
      </w:r>
    </w:p>
    <w:p w14:paraId="7F8E5CF5" w14:textId="77777777" w:rsidR="00E24969" w:rsidRDefault="00E24969" w:rsidP="001751C9">
      <w:pPr>
        <w:spacing w:line="480" w:lineRule="auto"/>
        <w:rPr>
          <w:sz w:val="24"/>
        </w:rPr>
      </w:pPr>
    </w:p>
    <w:p w14:paraId="13911233" w14:textId="77777777" w:rsidR="00E24969" w:rsidRPr="001751C9" w:rsidRDefault="00E24969" w:rsidP="001751C9">
      <w:pPr>
        <w:spacing w:line="480" w:lineRule="auto"/>
        <w:rPr>
          <w:sz w:val="24"/>
        </w:rPr>
      </w:pPr>
    </w:p>
    <w:p w14:paraId="466175B9" w14:textId="77777777" w:rsidR="00047DF7" w:rsidRDefault="00047DF7" w:rsidP="00E8699F">
      <w:pPr>
        <w:jc w:val="center"/>
        <w:rPr>
          <w:b/>
          <w:caps/>
          <w:sz w:val="28"/>
        </w:rPr>
      </w:pPr>
    </w:p>
    <w:p w14:paraId="23EE1E8A" w14:textId="77777777" w:rsidR="00047DF7" w:rsidRDefault="00047DF7" w:rsidP="00E8699F">
      <w:pPr>
        <w:jc w:val="center"/>
        <w:rPr>
          <w:b/>
          <w:caps/>
          <w:sz w:val="28"/>
        </w:rPr>
      </w:pPr>
    </w:p>
    <w:p w14:paraId="01164FEE" w14:textId="77777777" w:rsidR="00047DF7" w:rsidRDefault="00047DF7" w:rsidP="00E8699F">
      <w:pPr>
        <w:jc w:val="center"/>
        <w:rPr>
          <w:b/>
          <w:caps/>
          <w:sz w:val="28"/>
        </w:rPr>
      </w:pPr>
    </w:p>
    <w:p w14:paraId="50050EFD" w14:textId="77777777" w:rsidR="00047DF7" w:rsidRDefault="00047DF7" w:rsidP="00E8699F">
      <w:pPr>
        <w:jc w:val="center"/>
        <w:rPr>
          <w:b/>
          <w:caps/>
          <w:sz w:val="28"/>
        </w:rPr>
      </w:pPr>
    </w:p>
    <w:p w14:paraId="6D1CDC38" w14:textId="77777777" w:rsidR="00047DF7" w:rsidRDefault="00047DF7" w:rsidP="00E8699F">
      <w:pPr>
        <w:jc w:val="center"/>
        <w:rPr>
          <w:b/>
          <w:caps/>
          <w:sz w:val="28"/>
        </w:rPr>
      </w:pPr>
    </w:p>
    <w:p w14:paraId="0739539F" w14:textId="77777777" w:rsidR="00047DF7" w:rsidRDefault="00047DF7" w:rsidP="00E8699F">
      <w:pPr>
        <w:jc w:val="center"/>
        <w:rPr>
          <w:b/>
          <w:caps/>
          <w:sz w:val="28"/>
        </w:rPr>
      </w:pPr>
    </w:p>
    <w:p w14:paraId="3D49B73B" w14:textId="77777777" w:rsidR="00047DF7" w:rsidRDefault="00047DF7" w:rsidP="00E8699F">
      <w:pPr>
        <w:jc w:val="center"/>
        <w:rPr>
          <w:b/>
          <w:caps/>
          <w:sz w:val="28"/>
        </w:rPr>
      </w:pPr>
    </w:p>
    <w:p w14:paraId="50071C50" w14:textId="77777777" w:rsidR="00047DF7" w:rsidRDefault="00047DF7" w:rsidP="00E8699F">
      <w:pPr>
        <w:jc w:val="center"/>
        <w:rPr>
          <w:b/>
          <w:caps/>
          <w:sz w:val="28"/>
        </w:rPr>
      </w:pPr>
    </w:p>
    <w:p w14:paraId="3BD606A6" w14:textId="77777777" w:rsidR="00047DF7" w:rsidRDefault="00047DF7" w:rsidP="00E8699F">
      <w:pPr>
        <w:jc w:val="center"/>
        <w:rPr>
          <w:b/>
          <w:caps/>
          <w:sz w:val="28"/>
        </w:rPr>
      </w:pPr>
    </w:p>
    <w:p w14:paraId="1CC9E320" w14:textId="77777777" w:rsidR="00047DF7" w:rsidRDefault="00047DF7" w:rsidP="00E8699F">
      <w:pPr>
        <w:jc w:val="center"/>
        <w:rPr>
          <w:b/>
          <w:caps/>
          <w:sz w:val="28"/>
        </w:rPr>
      </w:pPr>
    </w:p>
    <w:p w14:paraId="081B0DC8" w14:textId="77777777" w:rsidR="00047DF7" w:rsidRDefault="00047DF7" w:rsidP="00E8699F">
      <w:pPr>
        <w:jc w:val="center"/>
        <w:rPr>
          <w:b/>
          <w:caps/>
          <w:sz w:val="28"/>
        </w:rPr>
      </w:pPr>
    </w:p>
    <w:p w14:paraId="10EC6C41" w14:textId="77777777" w:rsidR="00047DF7" w:rsidRDefault="00047DF7" w:rsidP="00E8699F">
      <w:pPr>
        <w:jc w:val="center"/>
        <w:rPr>
          <w:b/>
          <w:caps/>
          <w:sz w:val="28"/>
        </w:rPr>
      </w:pPr>
    </w:p>
    <w:p w14:paraId="5901AEBC" w14:textId="77777777" w:rsidR="00047DF7" w:rsidRDefault="00047DF7" w:rsidP="00E8699F">
      <w:pPr>
        <w:jc w:val="center"/>
        <w:rPr>
          <w:b/>
          <w:caps/>
          <w:sz w:val="28"/>
        </w:rPr>
      </w:pPr>
    </w:p>
    <w:p w14:paraId="30995A2F" w14:textId="77777777" w:rsidR="00047DF7" w:rsidRDefault="00047DF7" w:rsidP="00E8699F">
      <w:pPr>
        <w:jc w:val="center"/>
        <w:rPr>
          <w:b/>
          <w:caps/>
          <w:sz w:val="28"/>
        </w:rPr>
      </w:pPr>
    </w:p>
    <w:p w14:paraId="06258888" w14:textId="77777777" w:rsidR="00047DF7" w:rsidRDefault="00047DF7" w:rsidP="00E8699F">
      <w:pPr>
        <w:jc w:val="center"/>
        <w:rPr>
          <w:b/>
          <w:caps/>
          <w:sz w:val="28"/>
        </w:rPr>
      </w:pPr>
    </w:p>
    <w:p w14:paraId="68F37982" w14:textId="77777777" w:rsidR="00047DF7" w:rsidRDefault="00047DF7" w:rsidP="00E8699F">
      <w:pPr>
        <w:jc w:val="center"/>
        <w:rPr>
          <w:b/>
          <w:caps/>
          <w:sz w:val="28"/>
        </w:rPr>
      </w:pPr>
    </w:p>
    <w:p w14:paraId="19B09748" w14:textId="77777777" w:rsidR="009663D0" w:rsidRDefault="009663D0" w:rsidP="00E8699F">
      <w:pPr>
        <w:jc w:val="center"/>
        <w:rPr>
          <w:b/>
          <w:caps/>
          <w:sz w:val="28"/>
        </w:rPr>
      </w:pPr>
    </w:p>
    <w:p w14:paraId="26A86526" w14:textId="77777777" w:rsidR="009663D0" w:rsidRDefault="009663D0" w:rsidP="00E8699F">
      <w:pPr>
        <w:jc w:val="center"/>
        <w:rPr>
          <w:b/>
          <w:caps/>
          <w:sz w:val="28"/>
        </w:rPr>
      </w:pPr>
    </w:p>
    <w:sdt>
      <w:sdtPr>
        <w:rPr>
          <w:rFonts w:asciiTheme="minorHAnsi" w:eastAsiaTheme="minorHAnsi" w:hAnsiTheme="minorHAnsi" w:cstheme="minorBidi"/>
          <w:color w:val="auto"/>
          <w:sz w:val="22"/>
          <w:szCs w:val="22"/>
        </w:rPr>
        <w:id w:val="-706790844"/>
        <w:docPartObj>
          <w:docPartGallery w:val="Table of Contents"/>
          <w:docPartUnique/>
        </w:docPartObj>
      </w:sdtPr>
      <w:sdtEndPr>
        <w:rPr>
          <w:bCs/>
          <w:noProof/>
          <w:sz w:val="24"/>
          <w:szCs w:val="24"/>
        </w:rPr>
      </w:sdtEndPr>
      <w:sdtContent>
        <w:p w14:paraId="2473A293" w14:textId="77777777" w:rsidR="00CD0025" w:rsidRPr="00CD0025" w:rsidRDefault="003B431B" w:rsidP="00383800">
          <w:pPr>
            <w:pStyle w:val="TOCHeading"/>
            <w:spacing w:line="480" w:lineRule="auto"/>
            <w:jc w:val="center"/>
            <w:rPr>
              <w:noProof/>
              <w:sz w:val="36"/>
            </w:rPr>
          </w:pPr>
          <w:r w:rsidRPr="004E47D0">
            <w:rPr>
              <w:rFonts w:asciiTheme="minorHAnsi" w:hAnsiTheme="minorHAnsi"/>
              <w:b/>
              <w:caps/>
              <w:color w:val="auto"/>
              <w:sz w:val="28"/>
            </w:rPr>
            <w:t>Table of Contents</w:t>
          </w:r>
          <w:r w:rsidRPr="00AC7F67">
            <w:rPr>
              <w:rFonts w:asciiTheme="minorHAnsi" w:hAnsiTheme="minorHAnsi"/>
              <w:bCs/>
              <w:noProof/>
              <w:sz w:val="24"/>
              <w:szCs w:val="24"/>
            </w:rPr>
            <w:fldChar w:fldCharType="begin"/>
          </w:r>
          <w:r w:rsidRPr="00AC7F67">
            <w:rPr>
              <w:rFonts w:asciiTheme="minorHAnsi" w:hAnsiTheme="minorHAnsi"/>
              <w:bCs/>
              <w:noProof/>
              <w:sz w:val="24"/>
              <w:szCs w:val="24"/>
            </w:rPr>
            <w:instrText xml:space="preserve"> TOC \o "1-3" \h \z \u </w:instrText>
          </w:r>
          <w:r w:rsidRPr="00AC7F67">
            <w:rPr>
              <w:rFonts w:asciiTheme="minorHAnsi" w:hAnsiTheme="minorHAnsi"/>
              <w:bCs/>
              <w:noProof/>
              <w:sz w:val="24"/>
              <w:szCs w:val="24"/>
            </w:rPr>
            <w:fldChar w:fldCharType="separate"/>
          </w:r>
        </w:p>
        <w:p w14:paraId="0330A9CA" w14:textId="77777777" w:rsidR="00CD0025" w:rsidRPr="00CD0025" w:rsidRDefault="00CD0025">
          <w:pPr>
            <w:pStyle w:val="TOC1"/>
            <w:tabs>
              <w:tab w:val="right" w:leader="dot" w:pos="9350"/>
            </w:tabs>
            <w:rPr>
              <w:rFonts w:eastAsiaTheme="minorEastAsia"/>
              <w:noProof/>
              <w:sz w:val="24"/>
            </w:rPr>
          </w:pPr>
          <w:hyperlink w:anchor="_Toc56898368" w:history="1">
            <w:r w:rsidRPr="00CD0025">
              <w:rPr>
                <w:rStyle w:val="Hyperlink"/>
                <w:caps/>
                <w:noProof/>
                <w:sz w:val="24"/>
              </w:rPr>
              <w:t>introduction</w:t>
            </w:r>
            <w:r w:rsidRPr="00CD0025">
              <w:rPr>
                <w:noProof/>
                <w:webHidden/>
                <w:sz w:val="24"/>
              </w:rPr>
              <w:tab/>
            </w:r>
            <w:r w:rsidRPr="00CD0025">
              <w:rPr>
                <w:noProof/>
                <w:webHidden/>
                <w:sz w:val="24"/>
              </w:rPr>
              <w:fldChar w:fldCharType="begin"/>
            </w:r>
            <w:r w:rsidRPr="00CD0025">
              <w:rPr>
                <w:noProof/>
                <w:webHidden/>
                <w:sz w:val="24"/>
              </w:rPr>
              <w:instrText xml:space="preserve"> PAGEREF _Toc56898368 \h </w:instrText>
            </w:r>
            <w:r w:rsidRPr="00CD0025">
              <w:rPr>
                <w:noProof/>
                <w:webHidden/>
                <w:sz w:val="24"/>
              </w:rPr>
            </w:r>
            <w:r w:rsidRPr="00CD0025">
              <w:rPr>
                <w:noProof/>
                <w:webHidden/>
                <w:sz w:val="24"/>
              </w:rPr>
              <w:fldChar w:fldCharType="separate"/>
            </w:r>
            <w:r w:rsidRPr="00CD0025">
              <w:rPr>
                <w:noProof/>
                <w:webHidden/>
                <w:sz w:val="24"/>
              </w:rPr>
              <w:t>1</w:t>
            </w:r>
            <w:r w:rsidRPr="00CD0025">
              <w:rPr>
                <w:noProof/>
                <w:webHidden/>
                <w:sz w:val="24"/>
              </w:rPr>
              <w:fldChar w:fldCharType="end"/>
            </w:r>
          </w:hyperlink>
        </w:p>
        <w:p w14:paraId="7CEE4953" w14:textId="77777777" w:rsidR="00CD0025" w:rsidRPr="00CD0025" w:rsidRDefault="00CD0025">
          <w:pPr>
            <w:pStyle w:val="TOC1"/>
            <w:tabs>
              <w:tab w:val="right" w:leader="dot" w:pos="9350"/>
            </w:tabs>
            <w:rPr>
              <w:rFonts w:eastAsiaTheme="minorEastAsia"/>
              <w:noProof/>
              <w:sz w:val="24"/>
            </w:rPr>
          </w:pPr>
          <w:hyperlink w:anchor="_Toc56898369" w:history="1">
            <w:r w:rsidRPr="00CD0025">
              <w:rPr>
                <w:rStyle w:val="Hyperlink"/>
                <w:caps/>
                <w:noProof/>
                <w:sz w:val="24"/>
              </w:rPr>
              <w:t>Background</w:t>
            </w:r>
            <w:r w:rsidRPr="00CD0025">
              <w:rPr>
                <w:noProof/>
                <w:webHidden/>
                <w:sz w:val="24"/>
              </w:rPr>
              <w:tab/>
            </w:r>
            <w:r w:rsidRPr="00CD0025">
              <w:rPr>
                <w:noProof/>
                <w:webHidden/>
                <w:sz w:val="24"/>
              </w:rPr>
              <w:fldChar w:fldCharType="begin"/>
            </w:r>
            <w:r w:rsidRPr="00CD0025">
              <w:rPr>
                <w:noProof/>
                <w:webHidden/>
                <w:sz w:val="24"/>
              </w:rPr>
              <w:instrText xml:space="preserve"> PAGEREF _Toc56898369 \h </w:instrText>
            </w:r>
            <w:r w:rsidRPr="00CD0025">
              <w:rPr>
                <w:noProof/>
                <w:webHidden/>
                <w:sz w:val="24"/>
              </w:rPr>
            </w:r>
            <w:r w:rsidRPr="00CD0025">
              <w:rPr>
                <w:noProof/>
                <w:webHidden/>
                <w:sz w:val="24"/>
              </w:rPr>
              <w:fldChar w:fldCharType="separate"/>
            </w:r>
            <w:r w:rsidRPr="00CD0025">
              <w:rPr>
                <w:noProof/>
                <w:webHidden/>
                <w:sz w:val="24"/>
              </w:rPr>
              <w:t>3</w:t>
            </w:r>
            <w:r w:rsidRPr="00CD0025">
              <w:rPr>
                <w:noProof/>
                <w:webHidden/>
                <w:sz w:val="24"/>
              </w:rPr>
              <w:fldChar w:fldCharType="end"/>
            </w:r>
          </w:hyperlink>
        </w:p>
        <w:p w14:paraId="5C7FF608" w14:textId="77777777" w:rsidR="00CD0025" w:rsidRPr="00CD0025" w:rsidRDefault="00CD0025">
          <w:pPr>
            <w:pStyle w:val="TOC2"/>
            <w:tabs>
              <w:tab w:val="right" w:leader="dot" w:pos="9350"/>
            </w:tabs>
            <w:rPr>
              <w:rFonts w:eastAsiaTheme="minorEastAsia"/>
              <w:noProof/>
              <w:sz w:val="24"/>
            </w:rPr>
          </w:pPr>
          <w:hyperlink w:anchor="_Toc56898370" w:history="1">
            <w:r w:rsidRPr="00CD0025">
              <w:rPr>
                <w:rStyle w:val="Hyperlink"/>
                <w:noProof/>
                <w:sz w:val="24"/>
              </w:rPr>
              <w:t>2.1 Twitter data in academic research</w:t>
            </w:r>
            <w:r w:rsidRPr="00CD0025">
              <w:rPr>
                <w:noProof/>
                <w:webHidden/>
                <w:sz w:val="24"/>
              </w:rPr>
              <w:tab/>
            </w:r>
            <w:r w:rsidRPr="00CD0025">
              <w:rPr>
                <w:noProof/>
                <w:webHidden/>
                <w:sz w:val="24"/>
              </w:rPr>
              <w:fldChar w:fldCharType="begin"/>
            </w:r>
            <w:r w:rsidRPr="00CD0025">
              <w:rPr>
                <w:noProof/>
                <w:webHidden/>
                <w:sz w:val="24"/>
              </w:rPr>
              <w:instrText xml:space="preserve"> PAGEREF _Toc56898370 \h </w:instrText>
            </w:r>
            <w:r w:rsidRPr="00CD0025">
              <w:rPr>
                <w:noProof/>
                <w:webHidden/>
                <w:sz w:val="24"/>
              </w:rPr>
            </w:r>
            <w:r w:rsidRPr="00CD0025">
              <w:rPr>
                <w:noProof/>
                <w:webHidden/>
                <w:sz w:val="24"/>
              </w:rPr>
              <w:fldChar w:fldCharType="separate"/>
            </w:r>
            <w:r w:rsidRPr="00CD0025">
              <w:rPr>
                <w:noProof/>
                <w:webHidden/>
                <w:sz w:val="24"/>
              </w:rPr>
              <w:t>3</w:t>
            </w:r>
            <w:r w:rsidRPr="00CD0025">
              <w:rPr>
                <w:noProof/>
                <w:webHidden/>
                <w:sz w:val="24"/>
              </w:rPr>
              <w:fldChar w:fldCharType="end"/>
            </w:r>
          </w:hyperlink>
        </w:p>
        <w:p w14:paraId="340E6BA5" w14:textId="77777777" w:rsidR="00CD0025" w:rsidRPr="00CD0025" w:rsidRDefault="00CD0025">
          <w:pPr>
            <w:pStyle w:val="TOC2"/>
            <w:tabs>
              <w:tab w:val="right" w:leader="dot" w:pos="9350"/>
            </w:tabs>
            <w:rPr>
              <w:rFonts w:eastAsiaTheme="minorEastAsia"/>
              <w:noProof/>
              <w:sz w:val="24"/>
            </w:rPr>
          </w:pPr>
          <w:hyperlink w:anchor="_Toc56898371" w:history="1">
            <w:r w:rsidRPr="00CD0025">
              <w:rPr>
                <w:rStyle w:val="Hyperlink"/>
                <w:noProof/>
                <w:sz w:val="24"/>
              </w:rPr>
              <w:t>2.2 Twitter Application Programing Interfaces (APIs)</w:t>
            </w:r>
            <w:r w:rsidRPr="00CD0025">
              <w:rPr>
                <w:noProof/>
                <w:webHidden/>
                <w:sz w:val="24"/>
              </w:rPr>
              <w:tab/>
            </w:r>
            <w:r w:rsidRPr="00CD0025">
              <w:rPr>
                <w:noProof/>
                <w:webHidden/>
                <w:sz w:val="24"/>
              </w:rPr>
              <w:fldChar w:fldCharType="begin"/>
            </w:r>
            <w:r w:rsidRPr="00CD0025">
              <w:rPr>
                <w:noProof/>
                <w:webHidden/>
                <w:sz w:val="24"/>
              </w:rPr>
              <w:instrText xml:space="preserve"> PAGEREF _Toc56898371 \h </w:instrText>
            </w:r>
            <w:r w:rsidRPr="00CD0025">
              <w:rPr>
                <w:noProof/>
                <w:webHidden/>
                <w:sz w:val="24"/>
              </w:rPr>
            </w:r>
            <w:r w:rsidRPr="00CD0025">
              <w:rPr>
                <w:noProof/>
                <w:webHidden/>
                <w:sz w:val="24"/>
              </w:rPr>
              <w:fldChar w:fldCharType="separate"/>
            </w:r>
            <w:r w:rsidRPr="00CD0025">
              <w:rPr>
                <w:noProof/>
                <w:webHidden/>
                <w:sz w:val="24"/>
              </w:rPr>
              <w:t>4</w:t>
            </w:r>
            <w:r w:rsidRPr="00CD0025">
              <w:rPr>
                <w:noProof/>
                <w:webHidden/>
                <w:sz w:val="24"/>
              </w:rPr>
              <w:fldChar w:fldCharType="end"/>
            </w:r>
          </w:hyperlink>
        </w:p>
        <w:p w14:paraId="28447182" w14:textId="77777777" w:rsidR="00CD0025" w:rsidRPr="00CD0025" w:rsidRDefault="00CD0025">
          <w:pPr>
            <w:pStyle w:val="TOC2"/>
            <w:tabs>
              <w:tab w:val="right" w:leader="dot" w:pos="9350"/>
            </w:tabs>
            <w:rPr>
              <w:rFonts w:eastAsiaTheme="minorEastAsia"/>
              <w:noProof/>
              <w:sz w:val="24"/>
            </w:rPr>
          </w:pPr>
          <w:hyperlink w:anchor="_Toc56898372" w:history="1">
            <w:r w:rsidRPr="00CD0025">
              <w:rPr>
                <w:rStyle w:val="Hyperlink"/>
                <w:noProof/>
                <w:sz w:val="24"/>
              </w:rPr>
              <w:t>2.3 Twitter within the weather community</w:t>
            </w:r>
            <w:r w:rsidRPr="00CD0025">
              <w:rPr>
                <w:noProof/>
                <w:webHidden/>
                <w:sz w:val="24"/>
              </w:rPr>
              <w:tab/>
            </w:r>
            <w:r w:rsidRPr="00CD0025">
              <w:rPr>
                <w:noProof/>
                <w:webHidden/>
                <w:sz w:val="24"/>
              </w:rPr>
              <w:fldChar w:fldCharType="begin"/>
            </w:r>
            <w:r w:rsidRPr="00CD0025">
              <w:rPr>
                <w:noProof/>
                <w:webHidden/>
                <w:sz w:val="24"/>
              </w:rPr>
              <w:instrText xml:space="preserve"> PAGEREF _Toc56898372 \h </w:instrText>
            </w:r>
            <w:r w:rsidRPr="00CD0025">
              <w:rPr>
                <w:noProof/>
                <w:webHidden/>
                <w:sz w:val="24"/>
              </w:rPr>
            </w:r>
            <w:r w:rsidRPr="00CD0025">
              <w:rPr>
                <w:noProof/>
                <w:webHidden/>
                <w:sz w:val="24"/>
              </w:rPr>
              <w:fldChar w:fldCharType="separate"/>
            </w:r>
            <w:r w:rsidRPr="00CD0025">
              <w:rPr>
                <w:noProof/>
                <w:webHidden/>
                <w:sz w:val="24"/>
              </w:rPr>
              <w:t>6</w:t>
            </w:r>
            <w:r w:rsidRPr="00CD0025">
              <w:rPr>
                <w:noProof/>
                <w:webHidden/>
                <w:sz w:val="24"/>
              </w:rPr>
              <w:fldChar w:fldCharType="end"/>
            </w:r>
          </w:hyperlink>
        </w:p>
        <w:p w14:paraId="64C35686" w14:textId="77777777" w:rsidR="00CD0025" w:rsidRPr="00CD0025" w:rsidRDefault="00CD0025">
          <w:pPr>
            <w:pStyle w:val="TOC2"/>
            <w:tabs>
              <w:tab w:val="right" w:leader="dot" w:pos="9350"/>
            </w:tabs>
            <w:rPr>
              <w:rFonts w:eastAsiaTheme="minorEastAsia"/>
              <w:noProof/>
              <w:sz w:val="24"/>
            </w:rPr>
          </w:pPr>
          <w:hyperlink w:anchor="_Toc56898373" w:history="1">
            <w:r w:rsidRPr="00CD0025">
              <w:rPr>
                <w:rStyle w:val="Hyperlink"/>
                <w:noProof/>
                <w:sz w:val="24"/>
              </w:rPr>
              <w:t>2.4 Causes and types of diffusion</w:t>
            </w:r>
            <w:r w:rsidRPr="00CD0025">
              <w:rPr>
                <w:noProof/>
                <w:webHidden/>
                <w:sz w:val="24"/>
              </w:rPr>
              <w:tab/>
            </w:r>
            <w:r w:rsidRPr="00CD0025">
              <w:rPr>
                <w:noProof/>
                <w:webHidden/>
                <w:sz w:val="24"/>
              </w:rPr>
              <w:fldChar w:fldCharType="begin"/>
            </w:r>
            <w:r w:rsidRPr="00CD0025">
              <w:rPr>
                <w:noProof/>
                <w:webHidden/>
                <w:sz w:val="24"/>
              </w:rPr>
              <w:instrText xml:space="preserve"> PAGEREF _Toc56898373 \h </w:instrText>
            </w:r>
            <w:r w:rsidRPr="00CD0025">
              <w:rPr>
                <w:noProof/>
                <w:webHidden/>
                <w:sz w:val="24"/>
              </w:rPr>
            </w:r>
            <w:r w:rsidRPr="00CD0025">
              <w:rPr>
                <w:noProof/>
                <w:webHidden/>
                <w:sz w:val="24"/>
              </w:rPr>
              <w:fldChar w:fldCharType="separate"/>
            </w:r>
            <w:r w:rsidRPr="00CD0025">
              <w:rPr>
                <w:noProof/>
                <w:webHidden/>
                <w:sz w:val="24"/>
              </w:rPr>
              <w:t>7</w:t>
            </w:r>
            <w:r w:rsidRPr="00CD0025">
              <w:rPr>
                <w:noProof/>
                <w:webHidden/>
                <w:sz w:val="24"/>
              </w:rPr>
              <w:fldChar w:fldCharType="end"/>
            </w:r>
          </w:hyperlink>
        </w:p>
        <w:p w14:paraId="34DB4BC4" w14:textId="77777777" w:rsidR="00CD0025" w:rsidRPr="00CD0025" w:rsidRDefault="00CD0025">
          <w:pPr>
            <w:pStyle w:val="TOC2"/>
            <w:tabs>
              <w:tab w:val="right" w:leader="dot" w:pos="9350"/>
            </w:tabs>
            <w:rPr>
              <w:rFonts w:eastAsiaTheme="minorEastAsia"/>
              <w:noProof/>
              <w:sz w:val="24"/>
            </w:rPr>
          </w:pPr>
          <w:hyperlink w:anchor="_Toc56898374" w:history="1">
            <w:r w:rsidRPr="00CD0025">
              <w:rPr>
                <w:rStyle w:val="Hyperlink"/>
                <w:noProof/>
                <w:sz w:val="24"/>
              </w:rPr>
              <w:t>2.5 Spatiotemporal diffusion barriers</w:t>
            </w:r>
            <w:r w:rsidRPr="00CD0025">
              <w:rPr>
                <w:noProof/>
                <w:webHidden/>
                <w:sz w:val="24"/>
              </w:rPr>
              <w:tab/>
            </w:r>
            <w:r w:rsidRPr="00CD0025">
              <w:rPr>
                <w:noProof/>
                <w:webHidden/>
                <w:sz w:val="24"/>
              </w:rPr>
              <w:fldChar w:fldCharType="begin"/>
            </w:r>
            <w:r w:rsidRPr="00CD0025">
              <w:rPr>
                <w:noProof/>
                <w:webHidden/>
                <w:sz w:val="24"/>
              </w:rPr>
              <w:instrText xml:space="preserve"> PAGEREF _Toc56898374 \h </w:instrText>
            </w:r>
            <w:r w:rsidRPr="00CD0025">
              <w:rPr>
                <w:noProof/>
                <w:webHidden/>
                <w:sz w:val="24"/>
              </w:rPr>
            </w:r>
            <w:r w:rsidRPr="00CD0025">
              <w:rPr>
                <w:noProof/>
                <w:webHidden/>
                <w:sz w:val="24"/>
              </w:rPr>
              <w:fldChar w:fldCharType="separate"/>
            </w:r>
            <w:r w:rsidRPr="00CD0025">
              <w:rPr>
                <w:noProof/>
                <w:webHidden/>
                <w:sz w:val="24"/>
              </w:rPr>
              <w:t>9</w:t>
            </w:r>
            <w:r w:rsidRPr="00CD0025">
              <w:rPr>
                <w:noProof/>
                <w:webHidden/>
                <w:sz w:val="24"/>
              </w:rPr>
              <w:fldChar w:fldCharType="end"/>
            </w:r>
          </w:hyperlink>
        </w:p>
        <w:p w14:paraId="5BF6660F" w14:textId="77777777" w:rsidR="00CD0025" w:rsidRPr="00CD0025" w:rsidRDefault="00CD0025">
          <w:pPr>
            <w:pStyle w:val="TOC2"/>
            <w:tabs>
              <w:tab w:val="right" w:leader="dot" w:pos="9350"/>
            </w:tabs>
            <w:rPr>
              <w:rFonts w:eastAsiaTheme="minorEastAsia"/>
              <w:noProof/>
              <w:sz w:val="24"/>
            </w:rPr>
          </w:pPr>
          <w:hyperlink w:anchor="_Toc56898375" w:history="1">
            <w:r w:rsidRPr="00CD0025">
              <w:rPr>
                <w:rStyle w:val="Hyperlink"/>
                <w:noProof/>
                <w:sz w:val="24"/>
              </w:rPr>
              <w:t>2.6 Quantitatively studying spatial diffusion</w:t>
            </w:r>
            <w:r w:rsidRPr="00CD0025">
              <w:rPr>
                <w:noProof/>
                <w:webHidden/>
                <w:sz w:val="24"/>
              </w:rPr>
              <w:tab/>
            </w:r>
            <w:r w:rsidRPr="00CD0025">
              <w:rPr>
                <w:noProof/>
                <w:webHidden/>
                <w:sz w:val="24"/>
              </w:rPr>
              <w:fldChar w:fldCharType="begin"/>
            </w:r>
            <w:r w:rsidRPr="00CD0025">
              <w:rPr>
                <w:noProof/>
                <w:webHidden/>
                <w:sz w:val="24"/>
              </w:rPr>
              <w:instrText xml:space="preserve"> PAGEREF _Toc56898375 \h </w:instrText>
            </w:r>
            <w:r w:rsidRPr="00CD0025">
              <w:rPr>
                <w:noProof/>
                <w:webHidden/>
                <w:sz w:val="24"/>
              </w:rPr>
            </w:r>
            <w:r w:rsidRPr="00CD0025">
              <w:rPr>
                <w:noProof/>
                <w:webHidden/>
                <w:sz w:val="24"/>
              </w:rPr>
              <w:fldChar w:fldCharType="separate"/>
            </w:r>
            <w:r w:rsidRPr="00CD0025">
              <w:rPr>
                <w:noProof/>
                <w:webHidden/>
                <w:sz w:val="24"/>
              </w:rPr>
              <w:t>11</w:t>
            </w:r>
            <w:r w:rsidRPr="00CD0025">
              <w:rPr>
                <w:noProof/>
                <w:webHidden/>
                <w:sz w:val="24"/>
              </w:rPr>
              <w:fldChar w:fldCharType="end"/>
            </w:r>
          </w:hyperlink>
        </w:p>
        <w:p w14:paraId="16B62EB6" w14:textId="77777777" w:rsidR="00CD0025" w:rsidRPr="00CD0025" w:rsidRDefault="00CD0025">
          <w:pPr>
            <w:pStyle w:val="TOC1"/>
            <w:tabs>
              <w:tab w:val="right" w:leader="dot" w:pos="9350"/>
            </w:tabs>
            <w:rPr>
              <w:rFonts w:eastAsiaTheme="minorEastAsia"/>
              <w:noProof/>
              <w:sz w:val="24"/>
            </w:rPr>
          </w:pPr>
          <w:hyperlink w:anchor="_Toc56898376" w:history="1">
            <w:r w:rsidRPr="00CD0025">
              <w:rPr>
                <w:rStyle w:val="Hyperlink"/>
                <w:caps/>
                <w:noProof/>
                <w:sz w:val="24"/>
              </w:rPr>
              <w:t>data and methods</w:t>
            </w:r>
            <w:r w:rsidRPr="00CD0025">
              <w:rPr>
                <w:noProof/>
                <w:webHidden/>
                <w:sz w:val="24"/>
              </w:rPr>
              <w:tab/>
            </w:r>
            <w:r w:rsidRPr="00CD0025">
              <w:rPr>
                <w:noProof/>
                <w:webHidden/>
                <w:sz w:val="24"/>
              </w:rPr>
              <w:fldChar w:fldCharType="begin"/>
            </w:r>
            <w:r w:rsidRPr="00CD0025">
              <w:rPr>
                <w:noProof/>
                <w:webHidden/>
                <w:sz w:val="24"/>
              </w:rPr>
              <w:instrText xml:space="preserve"> PAGEREF _Toc56898376 \h </w:instrText>
            </w:r>
            <w:r w:rsidRPr="00CD0025">
              <w:rPr>
                <w:noProof/>
                <w:webHidden/>
                <w:sz w:val="24"/>
              </w:rPr>
            </w:r>
            <w:r w:rsidRPr="00CD0025">
              <w:rPr>
                <w:noProof/>
                <w:webHidden/>
                <w:sz w:val="24"/>
              </w:rPr>
              <w:fldChar w:fldCharType="separate"/>
            </w:r>
            <w:r w:rsidRPr="00CD0025">
              <w:rPr>
                <w:noProof/>
                <w:webHidden/>
                <w:sz w:val="24"/>
              </w:rPr>
              <w:t>14</w:t>
            </w:r>
            <w:r w:rsidRPr="00CD0025">
              <w:rPr>
                <w:noProof/>
                <w:webHidden/>
                <w:sz w:val="24"/>
              </w:rPr>
              <w:fldChar w:fldCharType="end"/>
            </w:r>
          </w:hyperlink>
        </w:p>
        <w:p w14:paraId="662AA6C0" w14:textId="77777777" w:rsidR="00CD0025" w:rsidRPr="00CD0025" w:rsidRDefault="00CD0025">
          <w:pPr>
            <w:pStyle w:val="TOC2"/>
            <w:tabs>
              <w:tab w:val="right" w:leader="dot" w:pos="9350"/>
            </w:tabs>
            <w:rPr>
              <w:rFonts w:eastAsiaTheme="minorEastAsia"/>
              <w:noProof/>
              <w:sz w:val="24"/>
            </w:rPr>
          </w:pPr>
          <w:hyperlink w:anchor="_Toc56898377" w:history="1">
            <w:r w:rsidRPr="00CD0025">
              <w:rPr>
                <w:rStyle w:val="Hyperlink"/>
                <w:noProof/>
                <w:sz w:val="24"/>
              </w:rPr>
              <w:t>3.1 Case studies</w:t>
            </w:r>
            <w:r w:rsidRPr="00CD0025">
              <w:rPr>
                <w:noProof/>
                <w:webHidden/>
                <w:sz w:val="24"/>
              </w:rPr>
              <w:tab/>
            </w:r>
            <w:r w:rsidRPr="00CD0025">
              <w:rPr>
                <w:noProof/>
                <w:webHidden/>
                <w:sz w:val="24"/>
              </w:rPr>
              <w:fldChar w:fldCharType="begin"/>
            </w:r>
            <w:r w:rsidRPr="00CD0025">
              <w:rPr>
                <w:noProof/>
                <w:webHidden/>
                <w:sz w:val="24"/>
              </w:rPr>
              <w:instrText xml:space="preserve"> PAGEREF _Toc56898377 \h </w:instrText>
            </w:r>
            <w:r w:rsidRPr="00CD0025">
              <w:rPr>
                <w:noProof/>
                <w:webHidden/>
                <w:sz w:val="24"/>
              </w:rPr>
            </w:r>
            <w:r w:rsidRPr="00CD0025">
              <w:rPr>
                <w:noProof/>
                <w:webHidden/>
                <w:sz w:val="24"/>
              </w:rPr>
              <w:fldChar w:fldCharType="separate"/>
            </w:r>
            <w:r w:rsidRPr="00CD0025">
              <w:rPr>
                <w:noProof/>
                <w:webHidden/>
                <w:sz w:val="24"/>
              </w:rPr>
              <w:t>14</w:t>
            </w:r>
            <w:r w:rsidRPr="00CD0025">
              <w:rPr>
                <w:noProof/>
                <w:webHidden/>
                <w:sz w:val="24"/>
              </w:rPr>
              <w:fldChar w:fldCharType="end"/>
            </w:r>
          </w:hyperlink>
        </w:p>
        <w:p w14:paraId="0D4BFB28" w14:textId="77777777" w:rsidR="00CD0025" w:rsidRPr="00CD0025" w:rsidRDefault="00CD0025">
          <w:pPr>
            <w:pStyle w:val="TOC2"/>
            <w:tabs>
              <w:tab w:val="right" w:leader="dot" w:pos="9350"/>
            </w:tabs>
            <w:rPr>
              <w:rFonts w:eastAsiaTheme="minorEastAsia"/>
              <w:noProof/>
              <w:sz w:val="24"/>
            </w:rPr>
          </w:pPr>
          <w:hyperlink w:anchor="_Toc56898378" w:history="1">
            <w:r w:rsidRPr="00CD0025">
              <w:rPr>
                <w:rStyle w:val="Hyperlink"/>
                <w:noProof/>
                <w:sz w:val="24"/>
              </w:rPr>
              <w:t>3.2 Data</w:t>
            </w:r>
            <w:r w:rsidRPr="00CD0025">
              <w:rPr>
                <w:noProof/>
                <w:webHidden/>
                <w:sz w:val="24"/>
              </w:rPr>
              <w:tab/>
            </w:r>
            <w:r w:rsidRPr="00CD0025">
              <w:rPr>
                <w:noProof/>
                <w:webHidden/>
                <w:sz w:val="24"/>
              </w:rPr>
              <w:fldChar w:fldCharType="begin"/>
            </w:r>
            <w:r w:rsidRPr="00CD0025">
              <w:rPr>
                <w:noProof/>
                <w:webHidden/>
                <w:sz w:val="24"/>
              </w:rPr>
              <w:instrText xml:space="preserve"> PAGEREF _Toc56898378 \h </w:instrText>
            </w:r>
            <w:r w:rsidRPr="00CD0025">
              <w:rPr>
                <w:noProof/>
                <w:webHidden/>
                <w:sz w:val="24"/>
              </w:rPr>
            </w:r>
            <w:r w:rsidRPr="00CD0025">
              <w:rPr>
                <w:noProof/>
                <w:webHidden/>
                <w:sz w:val="24"/>
              </w:rPr>
              <w:fldChar w:fldCharType="separate"/>
            </w:r>
            <w:r w:rsidRPr="00CD0025">
              <w:rPr>
                <w:noProof/>
                <w:webHidden/>
                <w:sz w:val="24"/>
              </w:rPr>
              <w:t>16</w:t>
            </w:r>
            <w:r w:rsidRPr="00CD0025">
              <w:rPr>
                <w:noProof/>
                <w:webHidden/>
                <w:sz w:val="24"/>
              </w:rPr>
              <w:fldChar w:fldCharType="end"/>
            </w:r>
          </w:hyperlink>
        </w:p>
        <w:p w14:paraId="36EED41F" w14:textId="77777777" w:rsidR="00CD0025" w:rsidRPr="00CD0025" w:rsidRDefault="00CD0025">
          <w:pPr>
            <w:pStyle w:val="TOC3"/>
            <w:tabs>
              <w:tab w:val="right" w:leader="dot" w:pos="9350"/>
            </w:tabs>
            <w:rPr>
              <w:rFonts w:eastAsiaTheme="minorEastAsia"/>
              <w:noProof/>
              <w:sz w:val="24"/>
            </w:rPr>
          </w:pPr>
          <w:hyperlink w:anchor="_Toc56898379" w:history="1">
            <w:r w:rsidRPr="00CD0025">
              <w:rPr>
                <w:rStyle w:val="Hyperlink"/>
                <w:i/>
                <w:noProof/>
                <w:sz w:val="24"/>
              </w:rPr>
              <w:t>3.2.a Meteorological data</w:t>
            </w:r>
            <w:r w:rsidRPr="00CD0025">
              <w:rPr>
                <w:noProof/>
                <w:webHidden/>
                <w:sz w:val="24"/>
              </w:rPr>
              <w:tab/>
            </w:r>
            <w:r w:rsidRPr="00CD0025">
              <w:rPr>
                <w:noProof/>
                <w:webHidden/>
                <w:sz w:val="24"/>
              </w:rPr>
              <w:fldChar w:fldCharType="begin"/>
            </w:r>
            <w:r w:rsidRPr="00CD0025">
              <w:rPr>
                <w:noProof/>
                <w:webHidden/>
                <w:sz w:val="24"/>
              </w:rPr>
              <w:instrText xml:space="preserve"> PAGEREF _Toc56898379 \h </w:instrText>
            </w:r>
            <w:r w:rsidRPr="00CD0025">
              <w:rPr>
                <w:noProof/>
                <w:webHidden/>
                <w:sz w:val="24"/>
              </w:rPr>
            </w:r>
            <w:r w:rsidRPr="00CD0025">
              <w:rPr>
                <w:noProof/>
                <w:webHidden/>
                <w:sz w:val="24"/>
              </w:rPr>
              <w:fldChar w:fldCharType="separate"/>
            </w:r>
            <w:r w:rsidRPr="00CD0025">
              <w:rPr>
                <w:noProof/>
                <w:webHidden/>
                <w:sz w:val="24"/>
              </w:rPr>
              <w:t>16</w:t>
            </w:r>
            <w:r w:rsidRPr="00CD0025">
              <w:rPr>
                <w:noProof/>
                <w:webHidden/>
                <w:sz w:val="24"/>
              </w:rPr>
              <w:fldChar w:fldCharType="end"/>
            </w:r>
          </w:hyperlink>
        </w:p>
        <w:p w14:paraId="034C71A5" w14:textId="77777777" w:rsidR="00CD0025" w:rsidRPr="00CD0025" w:rsidRDefault="00CD0025">
          <w:pPr>
            <w:pStyle w:val="TOC3"/>
            <w:tabs>
              <w:tab w:val="right" w:leader="dot" w:pos="9350"/>
            </w:tabs>
            <w:rPr>
              <w:rFonts w:eastAsiaTheme="minorEastAsia"/>
              <w:noProof/>
              <w:sz w:val="24"/>
            </w:rPr>
          </w:pPr>
          <w:hyperlink w:anchor="_Toc56898380" w:history="1">
            <w:r w:rsidRPr="00CD0025">
              <w:rPr>
                <w:rStyle w:val="Hyperlink"/>
                <w:i/>
                <w:noProof/>
                <w:sz w:val="24"/>
              </w:rPr>
              <w:t>3.2.b Twitter data</w:t>
            </w:r>
            <w:r w:rsidRPr="00CD0025">
              <w:rPr>
                <w:noProof/>
                <w:webHidden/>
                <w:sz w:val="24"/>
              </w:rPr>
              <w:tab/>
            </w:r>
            <w:r w:rsidRPr="00CD0025">
              <w:rPr>
                <w:noProof/>
                <w:webHidden/>
                <w:sz w:val="24"/>
              </w:rPr>
              <w:fldChar w:fldCharType="begin"/>
            </w:r>
            <w:r w:rsidRPr="00CD0025">
              <w:rPr>
                <w:noProof/>
                <w:webHidden/>
                <w:sz w:val="24"/>
              </w:rPr>
              <w:instrText xml:space="preserve"> PAGEREF _Toc56898380 \h </w:instrText>
            </w:r>
            <w:r w:rsidRPr="00CD0025">
              <w:rPr>
                <w:noProof/>
                <w:webHidden/>
                <w:sz w:val="24"/>
              </w:rPr>
            </w:r>
            <w:r w:rsidRPr="00CD0025">
              <w:rPr>
                <w:noProof/>
                <w:webHidden/>
                <w:sz w:val="24"/>
              </w:rPr>
              <w:fldChar w:fldCharType="separate"/>
            </w:r>
            <w:r w:rsidRPr="00CD0025">
              <w:rPr>
                <w:noProof/>
                <w:webHidden/>
                <w:sz w:val="24"/>
              </w:rPr>
              <w:t>16</w:t>
            </w:r>
            <w:r w:rsidRPr="00CD0025">
              <w:rPr>
                <w:noProof/>
                <w:webHidden/>
                <w:sz w:val="24"/>
              </w:rPr>
              <w:fldChar w:fldCharType="end"/>
            </w:r>
          </w:hyperlink>
        </w:p>
        <w:p w14:paraId="26B08C40" w14:textId="77777777" w:rsidR="00CD0025" w:rsidRPr="00CD0025" w:rsidRDefault="00CD0025">
          <w:pPr>
            <w:pStyle w:val="TOC2"/>
            <w:tabs>
              <w:tab w:val="right" w:leader="dot" w:pos="9350"/>
            </w:tabs>
            <w:rPr>
              <w:rFonts w:eastAsiaTheme="minorEastAsia"/>
              <w:noProof/>
              <w:sz w:val="24"/>
            </w:rPr>
          </w:pPr>
          <w:hyperlink w:anchor="_Toc56898381" w:history="1">
            <w:r w:rsidRPr="00CD0025">
              <w:rPr>
                <w:rStyle w:val="Hyperlink"/>
                <w:noProof/>
                <w:sz w:val="24"/>
              </w:rPr>
              <w:t>3.3 Filtering tweets using different approaches</w:t>
            </w:r>
            <w:r w:rsidRPr="00CD0025">
              <w:rPr>
                <w:noProof/>
                <w:webHidden/>
                <w:sz w:val="24"/>
              </w:rPr>
              <w:tab/>
            </w:r>
            <w:r w:rsidRPr="00CD0025">
              <w:rPr>
                <w:noProof/>
                <w:webHidden/>
                <w:sz w:val="24"/>
              </w:rPr>
              <w:fldChar w:fldCharType="begin"/>
            </w:r>
            <w:r w:rsidRPr="00CD0025">
              <w:rPr>
                <w:noProof/>
                <w:webHidden/>
                <w:sz w:val="24"/>
              </w:rPr>
              <w:instrText xml:space="preserve"> PAGEREF _Toc56898381 \h </w:instrText>
            </w:r>
            <w:r w:rsidRPr="00CD0025">
              <w:rPr>
                <w:noProof/>
                <w:webHidden/>
                <w:sz w:val="24"/>
              </w:rPr>
            </w:r>
            <w:r w:rsidRPr="00CD0025">
              <w:rPr>
                <w:noProof/>
                <w:webHidden/>
                <w:sz w:val="24"/>
              </w:rPr>
              <w:fldChar w:fldCharType="separate"/>
            </w:r>
            <w:r w:rsidRPr="00CD0025">
              <w:rPr>
                <w:noProof/>
                <w:webHidden/>
                <w:sz w:val="24"/>
              </w:rPr>
              <w:t>17</w:t>
            </w:r>
            <w:r w:rsidRPr="00CD0025">
              <w:rPr>
                <w:noProof/>
                <w:webHidden/>
                <w:sz w:val="24"/>
              </w:rPr>
              <w:fldChar w:fldCharType="end"/>
            </w:r>
          </w:hyperlink>
        </w:p>
        <w:p w14:paraId="5E014DC4" w14:textId="77777777" w:rsidR="00CD0025" w:rsidRPr="00CD0025" w:rsidRDefault="00CD0025">
          <w:pPr>
            <w:pStyle w:val="TOC3"/>
            <w:tabs>
              <w:tab w:val="right" w:leader="dot" w:pos="9350"/>
            </w:tabs>
            <w:rPr>
              <w:rFonts w:eastAsiaTheme="minorEastAsia"/>
              <w:noProof/>
              <w:sz w:val="24"/>
            </w:rPr>
          </w:pPr>
          <w:hyperlink w:anchor="_Toc56898382" w:history="1">
            <w:r w:rsidRPr="00CD0025">
              <w:rPr>
                <w:rStyle w:val="Hyperlink"/>
                <w:i/>
                <w:noProof/>
                <w:sz w:val="24"/>
              </w:rPr>
              <w:t>3.3.a Filtering tweets by time and location</w:t>
            </w:r>
            <w:r w:rsidRPr="00CD0025">
              <w:rPr>
                <w:noProof/>
                <w:webHidden/>
                <w:sz w:val="24"/>
              </w:rPr>
              <w:tab/>
            </w:r>
            <w:r w:rsidRPr="00CD0025">
              <w:rPr>
                <w:noProof/>
                <w:webHidden/>
                <w:sz w:val="24"/>
              </w:rPr>
              <w:fldChar w:fldCharType="begin"/>
            </w:r>
            <w:r w:rsidRPr="00CD0025">
              <w:rPr>
                <w:noProof/>
                <w:webHidden/>
                <w:sz w:val="24"/>
              </w:rPr>
              <w:instrText xml:space="preserve"> PAGEREF _Toc56898382 \h </w:instrText>
            </w:r>
            <w:r w:rsidRPr="00CD0025">
              <w:rPr>
                <w:noProof/>
                <w:webHidden/>
                <w:sz w:val="24"/>
              </w:rPr>
            </w:r>
            <w:r w:rsidRPr="00CD0025">
              <w:rPr>
                <w:noProof/>
                <w:webHidden/>
                <w:sz w:val="24"/>
              </w:rPr>
              <w:fldChar w:fldCharType="separate"/>
            </w:r>
            <w:r w:rsidRPr="00CD0025">
              <w:rPr>
                <w:noProof/>
                <w:webHidden/>
                <w:sz w:val="24"/>
              </w:rPr>
              <w:t>17</w:t>
            </w:r>
            <w:r w:rsidRPr="00CD0025">
              <w:rPr>
                <w:noProof/>
                <w:webHidden/>
                <w:sz w:val="24"/>
              </w:rPr>
              <w:fldChar w:fldCharType="end"/>
            </w:r>
          </w:hyperlink>
        </w:p>
        <w:p w14:paraId="731132DD" w14:textId="77777777" w:rsidR="00CD0025" w:rsidRPr="00CD0025" w:rsidRDefault="00CD0025">
          <w:pPr>
            <w:pStyle w:val="TOC3"/>
            <w:tabs>
              <w:tab w:val="right" w:leader="dot" w:pos="9350"/>
            </w:tabs>
            <w:rPr>
              <w:rFonts w:eastAsiaTheme="minorEastAsia"/>
              <w:noProof/>
              <w:sz w:val="24"/>
            </w:rPr>
          </w:pPr>
          <w:hyperlink w:anchor="_Toc56898383" w:history="1">
            <w:r w:rsidRPr="00CD0025">
              <w:rPr>
                <w:rStyle w:val="Hyperlink"/>
                <w:i/>
                <w:noProof/>
                <w:sz w:val="24"/>
              </w:rPr>
              <w:t>3.3.b Filtering tweets by relevancy</w:t>
            </w:r>
            <w:r w:rsidRPr="00CD0025">
              <w:rPr>
                <w:noProof/>
                <w:webHidden/>
                <w:sz w:val="24"/>
              </w:rPr>
              <w:tab/>
            </w:r>
            <w:r w:rsidRPr="00CD0025">
              <w:rPr>
                <w:noProof/>
                <w:webHidden/>
                <w:sz w:val="24"/>
              </w:rPr>
              <w:fldChar w:fldCharType="begin"/>
            </w:r>
            <w:r w:rsidRPr="00CD0025">
              <w:rPr>
                <w:noProof/>
                <w:webHidden/>
                <w:sz w:val="24"/>
              </w:rPr>
              <w:instrText xml:space="preserve"> PAGEREF _Toc56898383 \h </w:instrText>
            </w:r>
            <w:r w:rsidRPr="00CD0025">
              <w:rPr>
                <w:noProof/>
                <w:webHidden/>
                <w:sz w:val="24"/>
              </w:rPr>
            </w:r>
            <w:r w:rsidRPr="00CD0025">
              <w:rPr>
                <w:noProof/>
                <w:webHidden/>
                <w:sz w:val="24"/>
              </w:rPr>
              <w:fldChar w:fldCharType="separate"/>
            </w:r>
            <w:r w:rsidRPr="00CD0025">
              <w:rPr>
                <w:noProof/>
                <w:webHidden/>
                <w:sz w:val="24"/>
              </w:rPr>
              <w:t>23</w:t>
            </w:r>
            <w:r w:rsidRPr="00CD0025">
              <w:rPr>
                <w:noProof/>
                <w:webHidden/>
                <w:sz w:val="24"/>
              </w:rPr>
              <w:fldChar w:fldCharType="end"/>
            </w:r>
          </w:hyperlink>
        </w:p>
        <w:p w14:paraId="75D9403E" w14:textId="77777777" w:rsidR="00CD0025" w:rsidRPr="00CD0025" w:rsidRDefault="00CD0025">
          <w:pPr>
            <w:pStyle w:val="TOC2"/>
            <w:tabs>
              <w:tab w:val="right" w:leader="dot" w:pos="9350"/>
            </w:tabs>
            <w:rPr>
              <w:rFonts w:eastAsiaTheme="minorEastAsia"/>
              <w:noProof/>
              <w:sz w:val="24"/>
            </w:rPr>
          </w:pPr>
          <w:hyperlink w:anchor="_Toc56898384" w:history="1">
            <w:r w:rsidRPr="00CD0025">
              <w:rPr>
                <w:rStyle w:val="Hyperlink"/>
                <w:noProof/>
                <w:sz w:val="24"/>
              </w:rPr>
              <w:t>3.4 Nearest Neighbor Index (NNI)</w:t>
            </w:r>
            <w:r w:rsidRPr="00CD0025">
              <w:rPr>
                <w:noProof/>
                <w:webHidden/>
                <w:sz w:val="24"/>
              </w:rPr>
              <w:tab/>
            </w:r>
            <w:r w:rsidRPr="00CD0025">
              <w:rPr>
                <w:noProof/>
                <w:webHidden/>
                <w:sz w:val="24"/>
              </w:rPr>
              <w:fldChar w:fldCharType="begin"/>
            </w:r>
            <w:r w:rsidRPr="00CD0025">
              <w:rPr>
                <w:noProof/>
                <w:webHidden/>
                <w:sz w:val="24"/>
              </w:rPr>
              <w:instrText xml:space="preserve"> PAGEREF _Toc56898384 \h </w:instrText>
            </w:r>
            <w:r w:rsidRPr="00CD0025">
              <w:rPr>
                <w:noProof/>
                <w:webHidden/>
                <w:sz w:val="24"/>
              </w:rPr>
            </w:r>
            <w:r w:rsidRPr="00CD0025">
              <w:rPr>
                <w:noProof/>
                <w:webHidden/>
                <w:sz w:val="24"/>
              </w:rPr>
              <w:fldChar w:fldCharType="separate"/>
            </w:r>
            <w:r w:rsidRPr="00CD0025">
              <w:rPr>
                <w:noProof/>
                <w:webHidden/>
                <w:sz w:val="24"/>
              </w:rPr>
              <w:t>29</w:t>
            </w:r>
            <w:r w:rsidRPr="00CD0025">
              <w:rPr>
                <w:noProof/>
                <w:webHidden/>
                <w:sz w:val="24"/>
              </w:rPr>
              <w:fldChar w:fldCharType="end"/>
            </w:r>
          </w:hyperlink>
        </w:p>
        <w:p w14:paraId="2A828362" w14:textId="77777777" w:rsidR="00CD0025" w:rsidRPr="00CD0025" w:rsidRDefault="00CD0025">
          <w:pPr>
            <w:pStyle w:val="TOC2"/>
            <w:tabs>
              <w:tab w:val="right" w:leader="dot" w:pos="9350"/>
            </w:tabs>
            <w:rPr>
              <w:rFonts w:eastAsiaTheme="minorEastAsia"/>
              <w:noProof/>
              <w:sz w:val="24"/>
            </w:rPr>
          </w:pPr>
          <w:hyperlink w:anchor="_Toc56898385" w:history="1">
            <w:r w:rsidRPr="00CD0025">
              <w:rPr>
                <w:rStyle w:val="Hyperlink"/>
                <w:noProof/>
                <w:sz w:val="24"/>
              </w:rPr>
              <w:t>3.5 NNI and regression analysis</w:t>
            </w:r>
            <w:r w:rsidRPr="00CD0025">
              <w:rPr>
                <w:noProof/>
                <w:webHidden/>
                <w:sz w:val="24"/>
              </w:rPr>
              <w:tab/>
            </w:r>
            <w:r w:rsidRPr="00CD0025">
              <w:rPr>
                <w:noProof/>
                <w:webHidden/>
                <w:sz w:val="24"/>
              </w:rPr>
              <w:fldChar w:fldCharType="begin"/>
            </w:r>
            <w:r w:rsidRPr="00CD0025">
              <w:rPr>
                <w:noProof/>
                <w:webHidden/>
                <w:sz w:val="24"/>
              </w:rPr>
              <w:instrText xml:space="preserve"> PAGEREF _Toc56898385 \h </w:instrText>
            </w:r>
            <w:r w:rsidRPr="00CD0025">
              <w:rPr>
                <w:noProof/>
                <w:webHidden/>
                <w:sz w:val="24"/>
              </w:rPr>
            </w:r>
            <w:r w:rsidRPr="00CD0025">
              <w:rPr>
                <w:noProof/>
                <w:webHidden/>
                <w:sz w:val="24"/>
              </w:rPr>
              <w:fldChar w:fldCharType="separate"/>
            </w:r>
            <w:r w:rsidRPr="00CD0025">
              <w:rPr>
                <w:noProof/>
                <w:webHidden/>
                <w:sz w:val="24"/>
              </w:rPr>
              <w:t>30</w:t>
            </w:r>
            <w:r w:rsidRPr="00CD0025">
              <w:rPr>
                <w:noProof/>
                <w:webHidden/>
                <w:sz w:val="24"/>
              </w:rPr>
              <w:fldChar w:fldCharType="end"/>
            </w:r>
          </w:hyperlink>
        </w:p>
        <w:p w14:paraId="6BF71FFD" w14:textId="77777777" w:rsidR="00CD0025" w:rsidRPr="00CD0025" w:rsidRDefault="00CD0025">
          <w:pPr>
            <w:pStyle w:val="TOC2"/>
            <w:tabs>
              <w:tab w:val="right" w:leader="dot" w:pos="9350"/>
            </w:tabs>
            <w:rPr>
              <w:rFonts w:eastAsiaTheme="minorEastAsia"/>
              <w:noProof/>
              <w:sz w:val="24"/>
            </w:rPr>
          </w:pPr>
          <w:hyperlink w:anchor="_Toc56898386" w:history="1">
            <w:r w:rsidRPr="00CD0025">
              <w:rPr>
                <w:rStyle w:val="Hyperlink"/>
                <w:noProof/>
                <w:sz w:val="24"/>
              </w:rPr>
              <w:t>3.6 Standard Deviational Ellipse (SDE)</w:t>
            </w:r>
            <w:r w:rsidRPr="00CD0025">
              <w:rPr>
                <w:noProof/>
                <w:webHidden/>
                <w:sz w:val="24"/>
              </w:rPr>
              <w:tab/>
            </w:r>
            <w:r w:rsidRPr="00CD0025">
              <w:rPr>
                <w:noProof/>
                <w:webHidden/>
                <w:sz w:val="24"/>
              </w:rPr>
              <w:fldChar w:fldCharType="begin"/>
            </w:r>
            <w:r w:rsidRPr="00CD0025">
              <w:rPr>
                <w:noProof/>
                <w:webHidden/>
                <w:sz w:val="24"/>
              </w:rPr>
              <w:instrText xml:space="preserve"> PAGEREF _Toc56898386 \h </w:instrText>
            </w:r>
            <w:r w:rsidRPr="00CD0025">
              <w:rPr>
                <w:noProof/>
                <w:webHidden/>
                <w:sz w:val="24"/>
              </w:rPr>
            </w:r>
            <w:r w:rsidRPr="00CD0025">
              <w:rPr>
                <w:noProof/>
                <w:webHidden/>
                <w:sz w:val="24"/>
              </w:rPr>
              <w:fldChar w:fldCharType="separate"/>
            </w:r>
            <w:r w:rsidRPr="00CD0025">
              <w:rPr>
                <w:noProof/>
                <w:webHidden/>
                <w:sz w:val="24"/>
              </w:rPr>
              <w:t>32</w:t>
            </w:r>
            <w:r w:rsidRPr="00CD0025">
              <w:rPr>
                <w:noProof/>
                <w:webHidden/>
                <w:sz w:val="24"/>
              </w:rPr>
              <w:fldChar w:fldCharType="end"/>
            </w:r>
          </w:hyperlink>
        </w:p>
        <w:p w14:paraId="02932181" w14:textId="77777777" w:rsidR="00CD0025" w:rsidRPr="00CD0025" w:rsidRDefault="00CD0025">
          <w:pPr>
            <w:pStyle w:val="TOC1"/>
            <w:tabs>
              <w:tab w:val="right" w:leader="dot" w:pos="9350"/>
            </w:tabs>
            <w:rPr>
              <w:rFonts w:eastAsiaTheme="minorEastAsia"/>
              <w:noProof/>
              <w:sz w:val="24"/>
            </w:rPr>
          </w:pPr>
          <w:hyperlink w:anchor="_Toc56898387" w:history="1">
            <w:r w:rsidRPr="00CD0025">
              <w:rPr>
                <w:rStyle w:val="Hyperlink"/>
                <w:caps/>
                <w:noProof/>
                <w:sz w:val="24"/>
              </w:rPr>
              <w:t>Results</w:t>
            </w:r>
            <w:r w:rsidRPr="00CD0025">
              <w:rPr>
                <w:noProof/>
                <w:webHidden/>
                <w:sz w:val="24"/>
              </w:rPr>
              <w:tab/>
            </w:r>
            <w:r w:rsidRPr="00CD0025">
              <w:rPr>
                <w:noProof/>
                <w:webHidden/>
                <w:sz w:val="24"/>
              </w:rPr>
              <w:fldChar w:fldCharType="begin"/>
            </w:r>
            <w:r w:rsidRPr="00CD0025">
              <w:rPr>
                <w:noProof/>
                <w:webHidden/>
                <w:sz w:val="24"/>
              </w:rPr>
              <w:instrText xml:space="preserve"> PAGEREF _Toc56898387 \h </w:instrText>
            </w:r>
            <w:r w:rsidRPr="00CD0025">
              <w:rPr>
                <w:noProof/>
                <w:webHidden/>
                <w:sz w:val="24"/>
              </w:rPr>
            </w:r>
            <w:r w:rsidRPr="00CD0025">
              <w:rPr>
                <w:noProof/>
                <w:webHidden/>
                <w:sz w:val="24"/>
              </w:rPr>
              <w:fldChar w:fldCharType="separate"/>
            </w:r>
            <w:r w:rsidRPr="00CD0025">
              <w:rPr>
                <w:noProof/>
                <w:webHidden/>
                <w:sz w:val="24"/>
              </w:rPr>
              <w:t>34</w:t>
            </w:r>
            <w:r w:rsidRPr="00CD0025">
              <w:rPr>
                <w:noProof/>
                <w:webHidden/>
                <w:sz w:val="24"/>
              </w:rPr>
              <w:fldChar w:fldCharType="end"/>
            </w:r>
          </w:hyperlink>
        </w:p>
        <w:p w14:paraId="6178F740" w14:textId="77777777" w:rsidR="00CD0025" w:rsidRPr="00CD0025" w:rsidRDefault="00CD0025">
          <w:pPr>
            <w:pStyle w:val="TOC2"/>
            <w:tabs>
              <w:tab w:val="right" w:leader="dot" w:pos="9350"/>
            </w:tabs>
            <w:rPr>
              <w:rFonts w:eastAsiaTheme="minorEastAsia"/>
              <w:noProof/>
              <w:sz w:val="24"/>
            </w:rPr>
          </w:pPr>
          <w:hyperlink w:anchor="_Toc56898388" w:history="1">
            <w:r w:rsidRPr="00CD0025">
              <w:rPr>
                <w:rStyle w:val="Hyperlink"/>
                <w:noProof/>
                <w:sz w:val="24"/>
              </w:rPr>
              <w:t>4.1 Daily tweet counts over case study periods</w:t>
            </w:r>
            <w:r w:rsidRPr="00CD0025">
              <w:rPr>
                <w:noProof/>
                <w:webHidden/>
                <w:sz w:val="24"/>
              </w:rPr>
              <w:tab/>
            </w:r>
            <w:r w:rsidRPr="00CD0025">
              <w:rPr>
                <w:noProof/>
                <w:webHidden/>
                <w:sz w:val="24"/>
              </w:rPr>
              <w:fldChar w:fldCharType="begin"/>
            </w:r>
            <w:r w:rsidRPr="00CD0025">
              <w:rPr>
                <w:noProof/>
                <w:webHidden/>
                <w:sz w:val="24"/>
              </w:rPr>
              <w:instrText xml:space="preserve"> PAGEREF _Toc56898388 \h </w:instrText>
            </w:r>
            <w:r w:rsidRPr="00CD0025">
              <w:rPr>
                <w:noProof/>
                <w:webHidden/>
                <w:sz w:val="24"/>
              </w:rPr>
            </w:r>
            <w:r w:rsidRPr="00CD0025">
              <w:rPr>
                <w:noProof/>
                <w:webHidden/>
                <w:sz w:val="24"/>
              </w:rPr>
              <w:fldChar w:fldCharType="separate"/>
            </w:r>
            <w:r w:rsidRPr="00CD0025">
              <w:rPr>
                <w:noProof/>
                <w:webHidden/>
                <w:sz w:val="24"/>
              </w:rPr>
              <w:t>34</w:t>
            </w:r>
            <w:r w:rsidRPr="00CD0025">
              <w:rPr>
                <w:noProof/>
                <w:webHidden/>
                <w:sz w:val="24"/>
              </w:rPr>
              <w:fldChar w:fldCharType="end"/>
            </w:r>
          </w:hyperlink>
        </w:p>
        <w:p w14:paraId="78B24497" w14:textId="77777777" w:rsidR="00CD0025" w:rsidRPr="00CD0025" w:rsidRDefault="00CD0025">
          <w:pPr>
            <w:pStyle w:val="TOC2"/>
            <w:tabs>
              <w:tab w:val="right" w:leader="dot" w:pos="9350"/>
            </w:tabs>
            <w:rPr>
              <w:rFonts w:eastAsiaTheme="minorEastAsia"/>
              <w:noProof/>
              <w:sz w:val="24"/>
            </w:rPr>
          </w:pPr>
          <w:hyperlink w:anchor="_Toc56898389" w:history="1">
            <w:r w:rsidRPr="00CD0025">
              <w:rPr>
                <w:rStyle w:val="Hyperlink"/>
                <w:noProof/>
                <w:sz w:val="24"/>
              </w:rPr>
              <w:t>4.2 Spatiotemporal diffusion regression analysis</w:t>
            </w:r>
            <w:r w:rsidRPr="00CD0025">
              <w:rPr>
                <w:noProof/>
                <w:webHidden/>
                <w:sz w:val="24"/>
              </w:rPr>
              <w:tab/>
            </w:r>
            <w:r w:rsidRPr="00CD0025">
              <w:rPr>
                <w:noProof/>
                <w:webHidden/>
                <w:sz w:val="24"/>
              </w:rPr>
              <w:fldChar w:fldCharType="begin"/>
            </w:r>
            <w:r w:rsidRPr="00CD0025">
              <w:rPr>
                <w:noProof/>
                <w:webHidden/>
                <w:sz w:val="24"/>
              </w:rPr>
              <w:instrText xml:space="preserve"> PAGEREF _Toc56898389 \h </w:instrText>
            </w:r>
            <w:r w:rsidRPr="00CD0025">
              <w:rPr>
                <w:noProof/>
                <w:webHidden/>
                <w:sz w:val="24"/>
              </w:rPr>
            </w:r>
            <w:r w:rsidRPr="00CD0025">
              <w:rPr>
                <w:noProof/>
                <w:webHidden/>
                <w:sz w:val="24"/>
              </w:rPr>
              <w:fldChar w:fldCharType="separate"/>
            </w:r>
            <w:r w:rsidRPr="00CD0025">
              <w:rPr>
                <w:noProof/>
                <w:webHidden/>
                <w:sz w:val="24"/>
              </w:rPr>
              <w:t>36</w:t>
            </w:r>
            <w:r w:rsidRPr="00CD0025">
              <w:rPr>
                <w:noProof/>
                <w:webHidden/>
                <w:sz w:val="24"/>
              </w:rPr>
              <w:fldChar w:fldCharType="end"/>
            </w:r>
          </w:hyperlink>
        </w:p>
        <w:p w14:paraId="69FE4CBD" w14:textId="77777777" w:rsidR="00CD0025" w:rsidRPr="00CD0025" w:rsidRDefault="00CD0025">
          <w:pPr>
            <w:pStyle w:val="TOC2"/>
            <w:tabs>
              <w:tab w:val="right" w:leader="dot" w:pos="9350"/>
            </w:tabs>
            <w:rPr>
              <w:rFonts w:eastAsiaTheme="minorEastAsia"/>
              <w:noProof/>
              <w:sz w:val="24"/>
            </w:rPr>
          </w:pPr>
          <w:hyperlink w:anchor="_Toc56898390" w:history="1">
            <w:r w:rsidRPr="00CD0025">
              <w:rPr>
                <w:rStyle w:val="Hyperlink"/>
                <w:noProof/>
                <w:sz w:val="24"/>
              </w:rPr>
              <w:t>4.3 Standard Deviational Ellipse (SDE) analysis</w:t>
            </w:r>
            <w:r w:rsidRPr="00CD0025">
              <w:rPr>
                <w:noProof/>
                <w:webHidden/>
                <w:sz w:val="24"/>
              </w:rPr>
              <w:tab/>
            </w:r>
            <w:r w:rsidRPr="00CD0025">
              <w:rPr>
                <w:noProof/>
                <w:webHidden/>
                <w:sz w:val="24"/>
              </w:rPr>
              <w:fldChar w:fldCharType="begin"/>
            </w:r>
            <w:r w:rsidRPr="00CD0025">
              <w:rPr>
                <w:noProof/>
                <w:webHidden/>
                <w:sz w:val="24"/>
              </w:rPr>
              <w:instrText xml:space="preserve"> PAGEREF _Toc56898390 \h </w:instrText>
            </w:r>
            <w:r w:rsidRPr="00CD0025">
              <w:rPr>
                <w:noProof/>
                <w:webHidden/>
                <w:sz w:val="24"/>
              </w:rPr>
            </w:r>
            <w:r w:rsidRPr="00CD0025">
              <w:rPr>
                <w:noProof/>
                <w:webHidden/>
                <w:sz w:val="24"/>
              </w:rPr>
              <w:fldChar w:fldCharType="separate"/>
            </w:r>
            <w:r w:rsidRPr="00CD0025">
              <w:rPr>
                <w:noProof/>
                <w:webHidden/>
                <w:sz w:val="24"/>
              </w:rPr>
              <w:t>38</w:t>
            </w:r>
            <w:r w:rsidRPr="00CD0025">
              <w:rPr>
                <w:noProof/>
                <w:webHidden/>
                <w:sz w:val="24"/>
              </w:rPr>
              <w:fldChar w:fldCharType="end"/>
            </w:r>
          </w:hyperlink>
        </w:p>
        <w:p w14:paraId="5BD2E07A" w14:textId="77777777" w:rsidR="00CD0025" w:rsidRPr="00CD0025" w:rsidRDefault="00CD0025">
          <w:pPr>
            <w:pStyle w:val="TOC1"/>
            <w:tabs>
              <w:tab w:val="right" w:leader="dot" w:pos="9350"/>
            </w:tabs>
            <w:rPr>
              <w:rFonts w:eastAsiaTheme="minorEastAsia"/>
              <w:noProof/>
              <w:sz w:val="24"/>
            </w:rPr>
          </w:pPr>
          <w:hyperlink w:anchor="_Toc56898391" w:history="1">
            <w:r w:rsidRPr="00CD0025">
              <w:rPr>
                <w:rStyle w:val="Hyperlink"/>
                <w:caps/>
                <w:noProof/>
                <w:sz w:val="24"/>
              </w:rPr>
              <w:t>Discussion</w:t>
            </w:r>
            <w:r w:rsidRPr="00CD0025">
              <w:rPr>
                <w:noProof/>
                <w:webHidden/>
                <w:sz w:val="24"/>
              </w:rPr>
              <w:tab/>
            </w:r>
            <w:r w:rsidRPr="00CD0025">
              <w:rPr>
                <w:noProof/>
                <w:webHidden/>
                <w:sz w:val="24"/>
              </w:rPr>
              <w:fldChar w:fldCharType="begin"/>
            </w:r>
            <w:r w:rsidRPr="00CD0025">
              <w:rPr>
                <w:noProof/>
                <w:webHidden/>
                <w:sz w:val="24"/>
              </w:rPr>
              <w:instrText xml:space="preserve"> PAGEREF _Toc56898391 \h </w:instrText>
            </w:r>
            <w:r w:rsidRPr="00CD0025">
              <w:rPr>
                <w:noProof/>
                <w:webHidden/>
                <w:sz w:val="24"/>
              </w:rPr>
            </w:r>
            <w:r w:rsidRPr="00CD0025">
              <w:rPr>
                <w:noProof/>
                <w:webHidden/>
                <w:sz w:val="24"/>
              </w:rPr>
              <w:fldChar w:fldCharType="separate"/>
            </w:r>
            <w:r w:rsidRPr="00CD0025">
              <w:rPr>
                <w:noProof/>
                <w:webHidden/>
                <w:sz w:val="24"/>
              </w:rPr>
              <w:t>50</w:t>
            </w:r>
            <w:r w:rsidRPr="00CD0025">
              <w:rPr>
                <w:noProof/>
                <w:webHidden/>
                <w:sz w:val="24"/>
              </w:rPr>
              <w:fldChar w:fldCharType="end"/>
            </w:r>
          </w:hyperlink>
        </w:p>
        <w:p w14:paraId="43FA7ECA" w14:textId="77777777" w:rsidR="00CD0025" w:rsidRPr="00CD0025" w:rsidRDefault="00CD0025">
          <w:pPr>
            <w:pStyle w:val="TOC2"/>
            <w:tabs>
              <w:tab w:val="right" w:leader="dot" w:pos="9350"/>
            </w:tabs>
            <w:rPr>
              <w:rFonts w:eastAsiaTheme="minorEastAsia"/>
              <w:noProof/>
              <w:sz w:val="24"/>
            </w:rPr>
          </w:pPr>
          <w:hyperlink w:anchor="_Toc56898392" w:history="1">
            <w:r w:rsidRPr="00CD0025">
              <w:rPr>
                <w:rStyle w:val="Hyperlink"/>
                <w:noProof/>
                <w:sz w:val="24"/>
              </w:rPr>
              <w:t>5.1 WSG diffusion over space and time</w:t>
            </w:r>
            <w:r w:rsidRPr="00CD0025">
              <w:rPr>
                <w:noProof/>
                <w:webHidden/>
                <w:sz w:val="24"/>
              </w:rPr>
              <w:tab/>
            </w:r>
            <w:r w:rsidRPr="00CD0025">
              <w:rPr>
                <w:noProof/>
                <w:webHidden/>
                <w:sz w:val="24"/>
              </w:rPr>
              <w:fldChar w:fldCharType="begin"/>
            </w:r>
            <w:r w:rsidRPr="00CD0025">
              <w:rPr>
                <w:noProof/>
                <w:webHidden/>
                <w:sz w:val="24"/>
              </w:rPr>
              <w:instrText xml:space="preserve"> PAGEREF _Toc56898392 \h </w:instrText>
            </w:r>
            <w:r w:rsidRPr="00CD0025">
              <w:rPr>
                <w:noProof/>
                <w:webHidden/>
                <w:sz w:val="24"/>
              </w:rPr>
            </w:r>
            <w:r w:rsidRPr="00CD0025">
              <w:rPr>
                <w:noProof/>
                <w:webHidden/>
                <w:sz w:val="24"/>
              </w:rPr>
              <w:fldChar w:fldCharType="separate"/>
            </w:r>
            <w:r w:rsidRPr="00CD0025">
              <w:rPr>
                <w:noProof/>
                <w:webHidden/>
                <w:sz w:val="24"/>
              </w:rPr>
              <w:t>50</w:t>
            </w:r>
            <w:r w:rsidRPr="00CD0025">
              <w:rPr>
                <w:noProof/>
                <w:webHidden/>
                <w:sz w:val="24"/>
              </w:rPr>
              <w:fldChar w:fldCharType="end"/>
            </w:r>
          </w:hyperlink>
        </w:p>
        <w:p w14:paraId="7BDED662" w14:textId="77777777" w:rsidR="00CD0025" w:rsidRPr="00CD0025" w:rsidRDefault="00CD0025">
          <w:pPr>
            <w:pStyle w:val="TOC2"/>
            <w:tabs>
              <w:tab w:val="right" w:leader="dot" w:pos="9350"/>
            </w:tabs>
            <w:rPr>
              <w:rFonts w:eastAsiaTheme="minorEastAsia"/>
              <w:noProof/>
              <w:sz w:val="24"/>
            </w:rPr>
          </w:pPr>
          <w:hyperlink w:anchor="_Toc56898393" w:history="1">
            <w:r w:rsidRPr="00CD0025">
              <w:rPr>
                <w:rStyle w:val="Hyperlink"/>
                <w:noProof/>
                <w:sz w:val="24"/>
              </w:rPr>
              <w:t>5.2 Tornado-outbreak tweets over space and time</w:t>
            </w:r>
            <w:r w:rsidRPr="00CD0025">
              <w:rPr>
                <w:noProof/>
                <w:webHidden/>
                <w:sz w:val="24"/>
              </w:rPr>
              <w:tab/>
            </w:r>
            <w:r w:rsidRPr="00CD0025">
              <w:rPr>
                <w:noProof/>
                <w:webHidden/>
                <w:sz w:val="24"/>
              </w:rPr>
              <w:fldChar w:fldCharType="begin"/>
            </w:r>
            <w:r w:rsidRPr="00CD0025">
              <w:rPr>
                <w:noProof/>
                <w:webHidden/>
                <w:sz w:val="24"/>
              </w:rPr>
              <w:instrText xml:space="preserve"> PAGEREF _Toc56898393 \h </w:instrText>
            </w:r>
            <w:r w:rsidRPr="00CD0025">
              <w:rPr>
                <w:noProof/>
                <w:webHidden/>
                <w:sz w:val="24"/>
              </w:rPr>
            </w:r>
            <w:r w:rsidRPr="00CD0025">
              <w:rPr>
                <w:noProof/>
                <w:webHidden/>
                <w:sz w:val="24"/>
              </w:rPr>
              <w:fldChar w:fldCharType="separate"/>
            </w:r>
            <w:r w:rsidRPr="00CD0025">
              <w:rPr>
                <w:noProof/>
                <w:webHidden/>
                <w:sz w:val="24"/>
              </w:rPr>
              <w:t>51</w:t>
            </w:r>
            <w:r w:rsidRPr="00CD0025">
              <w:rPr>
                <w:noProof/>
                <w:webHidden/>
                <w:sz w:val="24"/>
              </w:rPr>
              <w:fldChar w:fldCharType="end"/>
            </w:r>
          </w:hyperlink>
        </w:p>
        <w:p w14:paraId="2ED366FD" w14:textId="77777777" w:rsidR="00CD0025" w:rsidRPr="00CD0025" w:rsidRDefault="00CD0025">
          <w:pPr>
            <w:pStyle w:val="TOC2"/>
            <w:tabs>
              <w:tab w:val="right" w:leader="dot" w:pos="9350"/>
            </w:tabs>
            <w:rPr>
              <w:rFonts w:eastAsiaTheme="minorEastAsia"/>
              <w:noProof/>
              <w:sz w:val="24"/>
            </w:rPr>
          </w:pPr>
          <w:hyperlink w:anchor="_Toc56898394" w:history="1">
            <w:r w:rsidRPr="00CD0025">
              <w:rPr>
                <w:rStyle w:val="Hyperlink"/>
                <w:noProof/>
                <w:sz w:val="24"/>
              </w:rPr>
              <w:t>5.3 Tweet diffusion barriers during hazardous weather events</w:t>
            </w:r>
            <w:r w:rsidRPr="00CD0025">
              <w:rPr>
                <w:noProof/>
                <w:webHidden/>
                <w:sz w:val="24"/>
              </w:rPr>
              <w:tab/>
            </w:r>
            <w:r w:rsidRPr="00CD0025">
              <w:rPr>
                <w:noProof/>
                <w:webHidden/>
                <w:sz w:val="24"/>
              </w:rPr>
              <w:fldChar w:fldCharType="begin"/>
            </w:r>
            <w:r w:rsidRPr="00CD0025">
              <w:rPr>
                <w:noProof/>
                <w:webHidden/>
                <w:sz w:val="24"/>
              </w:rPr>
              <w:instrText xml:space="preserve"> PAGEREF _Toc56898394 \h </w:instrText>
            </w:r>
            <w:r w:rsidRPr="00CD0025">
              <w:rPr>
                <w:noProof/>
                <w:webHidden/>
                <w:sz w:val="24"/>
              </w:rPr>
            </w:r>
            <w:r w:rsidRPr="00CD0025">
              <w:rPr>
                <w:noProof/>
                <w:webHidden/>
                <w:sz w:val="24"/>
              </w:rPr>
              <w:fldChar w:fldCharType="separate"/>
            </w:r>
            <w:r w:rsidRPr="00CD0025">
              <w:rPr>
                <w:noProof/>
                <w:webHidden/>
                <w:sz w:val="24"/>
              </w:rPr>
              <w:t>54</w:t>
            </w:r>
            <w:r w:rsidRPr="00CD0025">
              <w:rPr>
                <w:noProof/>
                <w:webHidden/>
                <w:sz w:val="24"/>
              </w:rPr>
              <w:fldChar w:fldCharType="end"/>
            </w:r>
          </w:hyperlink>
        </w:p>
        <w:p w14:paraId="7F22B546" w14:textId="77777777" w:rsidR="00CD0025" w:rsidRPr="00CD0025" w:rsidRDefault="00CD0025">
          <w:pPr>
            <w:pStyle w:val="TOC2"/>
            <w:tabs>
              <w:tab w:val="right" w:leader="dot" w:pos="9350"/>
            </w:tabs>
            <w:rPr>
              <w:rFonts w:eastAsiaTheme="minorEastAsia"/>
              <w:noProof/>
              <w:sz w:val="24"/>
            </w:rPr>
          </w:pPr>
          <w:hyperlink w:anchor="_Toc56898395" w:history="1">
            <w:r w:rsidRPr="00CD0025">
              <w:rPr>
                <w:rStyle w:val="Hyperlink"/>
                <w:noProof/>
                <w:sz w:val="24"/>
              </w:rPr>
              <w:t>5.4 Uncertainties using regression to analyze spatiotemporal diffusion events</w:t>
            </w:r>
            <w:r w:rsidRPr="00CD0025">
              <w:rPr>
                <w:noProof/>
                <w:webHidden/>
                <w:sz w:val="24"/>
              </w:rPr>
              <w:tab/>
            </w:r>
            <w:r w:rsidRPr="00CD0025">
              <w:rPr>
                <w:noProof/>
                <w:webHidden/>
                <w:sz w:val="24"/>
              </w:rPr>
              <w:fldChar w:fldCharType="begin"/>
            </w:r>
            <w:r w:rsidRPr="00CD0025">
              <w:rPr>
                <w:noProof/>
                <w:webHidden/>
                <w:sz w:val="24"/>
              </w:rPr>
              <w:instrText xml:space="preserve"> PAGEREF _Toc56898395 \h </w:instrText>
            </w:r>
            <w:r w:rsidRPr="00CD0025">
              <w:rPr>
                <w:noProof/>
                <w:webHidden/>
                <w:sz w:val="24"/>
              </w:rPr>
            </w:r>
            <w:r w:rsidRPr="00CD0025">
              <w:rPr>
                <w:noProof/>
                <w:webHidden/>
                <w:sz w:val="24"/>
              </w:rPr>
              <w:fldChar w:fldCharType="separate"/>
            </w:r>
            <w:r w:rsidRPr="00CD0025">
              <w:rPr>
                <w:noProof/>
                <w:webHidden/>
                <w:sz w:val="24"/>
              </w:rPr>
              <w:t>54</w:t>
            </w:r>
            <w:r w:rsidRPr="00CD0025">
              <w:rPr>
                <w:noProof/>
                <w:webHidden/>
                <w:sz w:val="24"/>
              </w:rPr>
              <w:fldChar w:fldCharType="end"/>
            </w:r>
          </w:hyperlink>
        </w:p>
        <w:p w14:paraId="71913590" w14:textId="77777777" w:rsidR="00CD0025" w:rsidRPr="00CD0025" w:rsidRDefault="00CD0025">
          <w:pPr>
            <w:pStyle w:val="TOC2"/>
            <w:tabs>
              <w:tab w:val="right" w:leader="dot" w:pos="9350"/>
            </w:tabs>
            <w:rPr>
              <w:rFonts w:eastAsiaTheme="minorEastAsia"/>
              <w:noProof/>
              <w:sz w:val="24"/>
            </w:rPr>
          </w:pPr>
          <w:hyperlink w:anchor="_Toc56898396" w:history="1">
            <w:r w:rsidRPr="00CD0025">
              <w:rPr>
                <w:rStyle w:val="Hyperlink"/>
                <w:noProof/>
                <w:sz w:val="24"/>
              </w:rPr>
              <w:t>5.5 Limitations</w:t>
            </w:r>
            <w:r w:rsidRPr="00CD0025">
              <w:rPr>
                <w:noProof/>
                <w:webHidden/>
                <w:sz w:val="24"/>
              </w:rPr>
              <w:tab/>
            </w:r>
            <w:r w:rsidRPr="00CD0025">
              <w:rPr>
                <w:noProof/>
                <w:webHidden/>
                <w:sz w:val="24"/>
              </w:rPr>
              <w:fldChar w:fldCharType="begin"/>
            </w:r>
            <w:r w:rsidRPr="00CD0025">
              <w:rPr>
                <w:noProof/>
                <w:webHidden/>
                <w:sz w:val="24"/>
              </w:rPr>
              <w:instrText xml:space="preserve"> PAGEREF _Toc56898396 \h </w:instrText>
            </w:r>
            <w:r w:rsidRPr="00CD0025">
              <w:rPr>
                <w:noProof/>
                <w:webHidden/>
                <w:sz w:val="24"/>
              </w:rPr>
            </w:r>
            <w:r w:rsidRPr="00CD0025">
              <w:rPr>
                <w:noProof/>
                <w:webHidden/>
                <w:sz w:val="24"/>
              </w:rPr>
              <w:fldChar w:fldCharType="separate"/>
            </w:r>
            <w:r w:rsidRPr="00CD0025">
              <w:rPr>
                <w:noProof/>
                <w:webHidden/>
                <w:sz w:val="24"/>
              </w:rPr>
              <w:t>56</w:t>
            </w:r>
            <w:r w:rsidRPr="00CD0025">
              <w:rPr>
                <w:noProof/>
                <w:webHidden/>
                <w:sz w:val="24"/>
              </w:rPr>
              <w:fldChar w:fldCharType="end"/>
            </w:r>
          </w:hyperlink>
        </w:p>
        <w:p w14:paraId="6AC0CE52" w14:textId="77777777" w:rsidR="00CD0025" w:rsidRPr="00CD0025" w:rsidRDefault="00CD0025">
          <w:pPr>
            <w:pStyle w:val="TOC1"/>
            <w:tabs>
              <w:tab w:val="right" w:leader="dot" w:pos="9350"/>
            </w:tabs>
            <w:rPr>
              <w:rFonts w:eastAsiaTheme="minorEastAsia"/>
              <w:noProof/>
              <w:sz w:val="24"/>
            </w:rPr>
          </w:pPr>
          <w:hyperlink w:anchor="_Toc56898397" w:history="1">
            <w:r w:rsidRPr="00CD0025">
              <w:rPr>
                <w:rStyle w:val="Hyperlink"/>
                <w:caps/>
                <w:noProof/>
                <w:sz w:val="24"/>
              </w:rPr>
              <w:t>CONCLUSION</w:t>
            </w:r>
            <w:r w:rsidRPr="00CD0025">
              <w:rPr>
                <w:noProof/>
                <w:webHidden/>
                <w:sz w:val="24"/>
              </w:rPr>
              <w:tab/>
            </w:r>
            <w:r w:rsidRPr="00CD0025">
              <w:rPr>
                <w:noProof/>
                <w:webHidden/>
                <w:sz w:val="24"/>
              </w:rPr>
              <w:fldChar w:fldCharType="begin"/>
            </w:r>
            <w:r w:rsidRPr="00CD0025">
              <w:rPr>
                <w:noProof/>
                <w:webHidden/>
                <w:sz w:val="24"/>
              </w:rPr>
              <w:instrText xml:space="preserve"> PAGEREF _Toc56898397 \h </w:instrText>
            </w:r>
            <w:r w:rsidRPr="00CD0025">
              <w:rPr>
                <w:noProof/>
                <w:webHidden/>
                <w:sz w:val="24"/>
              </w:rPr>
            </w:r>
            <w:r w:rsidRPr="00CD0025">
              <w:rPr>
                <w:noProof/>
                <w:webHidden/>
                <w:sz w:val="24"/>
              </w:rPr>
              <w:fldChar w:fldCharType="separate"/>
            </w:r>
            <w:r w:rsidRPr="00CD0025">
              <w:rPr>
                <w:noProof/>
                <w:webHidden/>
                <w:sz w:val="24"/>
              </w:rPr>
              <w:t>58</w:t>
            </w:r>
            <w:r w:rsidRPr="00CD0025">
              <w:rPr>
                <w:noProof/>
                <w:webHidden/>
                <w:sz w:val="24"/>
              </w:rPr>
              <w:fldChar w:fldCharType="end"/>
            </w:r>
          </w:hyperlink>
        </w:p>
        <w:p w14:paraId="01B8071F" w14:textId="77777777" w:rsidR="00CD0025" w:rsidRDefault="00CD0025">
          <w:pPr>
            <w:pStyle w:val="TOC1"/>
            <w:tabs>
              <w:tab w:val="right" w:leader="dot" w:pos="9350"/>
            </w:tabs>
            <w:rPr>
              <w:rFonts w:eastAsiaTheme="minorEastAsia"/>
              <w:noProof/>
            </w:rPr>
          </w:pPr>
          <w:hyperlink w:anchor="_Toc56898398" w:history="1">
            <w:r w:rsidRPr="00CD0025">
              <w:rPr>
                <w:rStyle w:val="Hyperlink"/>
                <w:caps/>
                <w:noProof/>
                <w:sz w:val="24"/>
              </w:rPr>
              <w:t>References</w:t>
            </w:r>
            <w:r w:rsidRPr="00CD0025">
              <w:rPr>
                <w:noProof/>
                <w:webHidden/>
                <w:sz w:val="24"/>
              </w:rPr>
              <w:tab/>
            </w:r>
            <w:r w:rsidRPr="00CD0025">
              <w:rPr>
                <w:noProof/>
                <w:webHidden/>
                <w:sz w:val="24"/>
              </w:rPr>
              <w:fldChar w:fldCharType="begin"/>
            </w:r>
            <w:r w:rsidRPr="00CD0025">
              <w:rPr>
                <w:noProof/>
                <w:webHidden/>
                <w:sz w:val="24"/>
              </w:rPr>
              <w:instrText xml:space="preserve"> PAGEREF _Toc56898398 \h </w:instrText>
            </w:r>
            <w:r w:rsidRPr="00CD0025">
              <w:rPr>
                <w:noProof/>
                <w:webHidden/>
                <w:sz w:val="24"/>
              </w:rPr>
            </w:r>
            <w:r w:rsidRPr="00CD0025">
              <w:rPr>
                <w:noProof/>
                <w:webHidden/>
                <w:sz w:val="24"/>
              </w:rPr>
              <w:fldChar w:fldCharType="separate"/>
            </w:r>
            <w:r w:rsidRPr="00CD0025">
              <w:rPr>
                <w:noProof/>
                <w:webHidden/>
                <w:sz w:val="24"/>
              </w:rPr>
              <w:t>62</w:t>
            </w:r>
            <w:r w:rsidRPr="00CD0025">
              <w:rPr>
                <w:noProof/>
                <w:webHidden/>
                <w:sz w:val="24"/>
              </w:rPr>
              <w:fldChar w:fldCharType="end"/>
            </w:r>
          </w:hyperlink>
        </w:p>
        <w:p w14:paraId="0BF5CFE3" w14:textId="77777777" w:rsidR="00CD0025" w:rsidRDefault="00CD0025">
          <w:pPr>
            <w:pStyle w:val="TOC1"/>
            <w:tabs>
              <w:tab w:val="right" w:leader="dot" w:pos="9350"/>
            </w:tabs>
            <w:rPr>
              <w:rFonts w:eastAsiaTheme="minorEastAsia"/>
              <w:noProof/>
            </w:rPr>
          </w:pPr>
          <w:hyperlink w:anchor="_Toc56898399" w:history="1">
            <w:r w:rsidRPr="00CD0025">
              <w:rPr>
                <w:rStyle w:val="Hyperlink"/>
                <w:noProof/>
                <w:sz w:val="24"/>
              </w:rPr>
              <w:t>VITA</w:t>
            </w:r>
            <w:r>
              <w:rPr>
                <w:noProof/>
                <w:webHidden/>
              </w:rPr>
              <w:tab/>
            </w:r>
            <w:r>
              <w:rPr>
                <w:noProof/>
                <w:webHidden/>
              </w:rPr>
              <w:fldChar w:fldCharType="begin"/>
            </w:r>
            <w:r>
              <w:rPr>
                <w:noProof/>
                <w:webHidden/>
              </w:rPr>
              <w:instrText xml:space="preserve"> PAGEREF _Toc56898399 \h </w:instrText>
            </w:r>
            <w:r>
              <w:rPr>
                <w:noProof/>
                <w:webHidden/>
              </w:rPr>
            </w:r>
            <w:r>
              <w:rPr>
                <w:noProof/>
                <w:webHidden/>
              </w:rPr>
              <w:fldChar w:fldCharType="separate"/>
            </w:r>
            <w:r>
              <w:rPr>
                <w:noProof/>
                <w:webHidden/>
              </w:rPr>
              <w:t>70</w:t>
            </w:r>
            <w:r>
              <w:rPr>
                <w:noProof/>
                <w:webHidden/>
              </w:rPr>
              <w:fldChar w:fldCharType="end"/>
            </w:r>
          </w:hyperlink>
        </w:p>
        <w:p w14:paraId="117B58BC" w14:textId="68134798" w:rsidR="0089476D" w:rsidRPr="00AC7F67" w:rsidRDefault="003B431B" w:rsidP="006603F5">
          <w:pPr>
            <w:rPr>
              <w:sz w:val="24"/>
              <w:szCs w:val="24"/>
            </w:rPr>
          </w:pPr>
          <w:r w:rsidRPr="00AC7F67">
            <w:rPr>
              <w:bCs/>
              <w:noProof/>
              <w:sz w:val="24"/>
              <w:szCs w:val="24"/>
            </w:rPr>
            <w:fldChar w:fldCharType="end"/>
          </w:r>
        </w:p>
      </w:sdtContent>
    </w:sdt>
    <w:p w14:paraId="7D1F6DBD" w14:textId="77777777" w:rsidR="002D5228" w:rsidRDefault="002D5228" w:rsidP="00C57C96">
      <w:pPr>
        <w:spacing w:after="0" w:line="480" w:lineRule="auto"/>
        <w:jc w:val="center"/>
        <w:rPr>
          <w:b/>
          <w:caps/>
          <w:sz w:val="28"/>
        </w:rPr>
      </w:pPr>
    </w:p>
    <w:p w14:paraId="39C1F0CF" w14:textId="77777777" w:rsidR="002D5228" w:rsidRDefault="002D5228" w:rsidP="00C57C96">
      <w:pPr>
        <w:spacing w:after="0" w:line="480" w:lineRule="auto"/>
        <w:jc w:val="center"/>
        <w:rPr>
          <w:b/>
          <w:caps/>
          <w:sz w:val="28"/>
        </w:rPr>
      </w:pPr>
    </w:p>
    <w:p w14:paraId="6040067F" w14:textId="77777777" w:rsidR="002D5228" w:rsidRDefault="002D5228" w:rsidP="00C57C96">
      <w:pPr>
        <w:spacing w:after="0" w:line="480" w:lineRule="auto"/>
        <w:jc w:val="center"/>
        <w:rPr>
          <w:b/>
          <w:caps/>
          <w:sz w:val="28"/>
        </w:rPr>
      </w:pPr>
    </w:p>
    <w:p w14:paraId="1346130D" w14:textId="77777777" w:rsidR="002D5228" w:rsidRDefault="002D5228" w:rsidP="00C57C96">
      <w:pPr>
        <w:spacing w:after="0" w:line="480" w:lineRule="auto"/>
        <w:jc w:val="center"/>
        <w:rPr>
          <w:b/>
          <w:caps/>
          <w:sz w:val="28"/>
        </w:rPr>
      </w:pPr>
    </w:p>
    <w:p w14:paraId="02559632" w14:textId="77777777" w:rsidR="002D5228" w:rsidRDefault="002D5228" w:rsidP="00C57C96">
      <w:pPr>
        <w:spacing w:after="0" w:line="480" w:lineRule="auto"/>
        <w:jc w:val="center"/>
        <w:rPr>
          <w:b/>
          <w:caps/>
          <w:sz w:val="28"/>
        </w:rPr>
      </w:pPr>
    </w:p>
    <w:p w14:paraId="286F9FAF" w14:textId="77777777" w:rsidR="002D5228" w:rsidRDefault="002D5228" w:rsidP="00C57C96">
      <w:pPr>
        <w:spacing w:after="0" w:line="480" w:lineRule="auto"/>
        <w:jc w:val="center"/>
        <w:rPr>
          <w:b/>
          <w:caps/>
          <w:sz w:val="28"/>
        </w:rPr>
      </w:pPr>
    </w:p>
    <w:p w14:paraId="5D4DB3CC" w14:textId="77777777" w:rsidR="002D5228" w:rsidRDefault="002D5228" w:rsidP="00C57C96">
      <w:pPr>
        <w:spacing w:after="0" w:line="480" w:lineRule="auto"/>
        <w:jc w:val="center"/>
        <w:rPr>
          <w:b/>
          <w:caps/>
          <w:sz w:val="28"/>
        </w:rPr>
      </w:pPr>
    </w:p>
    <w:p w14:paraId="08F784EF" w14:textId="77777777" w:rsidR="002D5228" w:rsidRDefault="002D5228" w:rsidP="00C57C96">
      <w:pPr>
        <w:spacing w:after="0" w:line="480" w:lineRule="auto"/>
        <w:jc w:val="center"/>
        <w:rPr>
          <w:b/>
          <w:caps/>
          <w:sz w:val="28"/>
        </w:rPr>
      </w:pPr>
    </w:p>
    <w:p w14:paraId="1AB386EA" w14:textId="77777777" w:rsidR="002D5228" w:rsidRDefault="002D5228" w:rsidP="00C57C96">
      <w:pPr>
        <w:spacing w:after="0" w:line="480" w:lineRule="auto"/>
        <w:jc w:val="center"/>
        <w:rPr>
          <w:b/>
          <w:caps/>
          <w:sz w:val="28"/>
        </w:rPr>
      </w:pPr>
    </w:p>
    <w:p w14:paraId="744B7A6C" w14:textId="77777777" w:rsidR="002D5228" w:rsidRDefault="002D5228" w:rsidP="00C57C96">
      <w:pPr>
        <w:spacing w:after="0" w:line="480" w:lineRule="auto"/>
        <w:jc w:val="center"/>
        <w:rPr>
          <w:b/>
          <w:caps/>
          <w:sz w:val="28"/>
        </w:rPr>
      </w:pPr>
    </w:p>
    <w:p w14:paraId="0EA48303" w14:textId="77777777" w:rsidR="002D5228" w:rsidRDefault="002D5228" w:rsidP="00C57C96">
      <w:pPr>
        <w:spacing w:after="0" w:line="480" w:lineRule="auto"/>
        <w:jc w:val="center"/>
        <w:rPr>
          <w:b/>
          <w:caps/>
          <w:sz w:val="28"/>
        </w:rPr>
      </w:pPr>
    </w:p>
    <w:p w14:paraId="5842D4A4" w14:textId="77777777" w:rsidR="002D5228" w:rsidRDefault="002D5228" w:rsidP="00C57C96">
      <w:pPr>
        <w:spacing w:after="0" w:line="480" w:lineRule="auto"/>
        <w:jc w:val="center"/>
        <w:rPr>
          <w:b/>
          <w:caps/>
          <w:sz w:val="28"/>
        </w:rPr>
      </w:pPr>
    </w:p>
    <w:p w14:paraId="16E48D85" w14:textId="77777777" w:rsidR="002D5228" w:rsidRDefault="002D5228" w:rsidP="00C57C96">
      <w:pPr>
        <w:spacing w:after="0" w:line="480" w:lineRule="auto"/>
        <w:jc w:val="center"/>
        <w:rPr>
          <w:b/>
          <w:caps/>
          <w:sz w:val="28"/>
        </w:rPr>
      </w:pPr>
    </w:p>
    <w:p w14:paraId="5915D70B" w14:textId="77777777" w:rsidR="002D5228" w:rsidRDefault="002D5228" w:rsidP="00C57C96">
      <w:pPr>
        <w:spacing w:after="0" w:line="480" w:lineRule="auto"/>
        <w:jc w:val="center"/>
        <w:rPr>
          <w:b/>
          <w:caps/>
          <w:sz w:val="28"/>
        </w:rPr>
      </w:pPr>
    </w:p>
    <w:p w14:paraId="35E7B5E3" w14:textId="77777777" w:rsidR="002D5228" w:rsidRDefault="002D5228" w:rsidP="00C57C96">
      <w:pPr>
        <w:spacing w:after="0" w:line="480" w:lineRule="auto"/>
        <w:jc w:val="center"/>
        <w:rPr>
          <w:b/>
          <w:caps/>
          <w:sz w:val="28"/>
        </w:rPr>
      </w:pPr>
    </w:p>
    <w:p w14:paraId="5AF26F6D" w14:textId="77777777" w:rsidR="002D5228" w:rsidRDefault="002D5228" w:rsidP="00C57C96">
      <w:pPr>
        <w:spacing w:after="0" w:line="480" w:lineRule="auto"/>
        <w:jc w:val="center"/>
        <w:rPr>
          <w:b/>
          <w:caps/>
          <w:sz w:val="28"/>
        </w:rPr>
      </w:pPr>
    </w:p>
    <w:p w14:paraId="0C302EC5" w14:textId="77777777" w:rsidR="00762306" w:rsidRDefault="00762306" w:rsidP="00C57C96">
      <w:pPr>
        <w:spacing w:after="0" w:line="480" w:lineRule="auto"/>
        <w:jc w:val="center"/>
        <w:rPr>
          <w:b/>
          <w:caps/>
          <w:sz w:val="28"/>
        </w:rPr>
      </w:pPr>
      <w:r>
        <w:rPr>
          <w:b/>
          <w:caps/>
          <w:sz w:val="28"/>
        </w:rPr>
        <w:lastRenderedPageBreak/>
        <w:t>List of tables</w:t>
      </w:r>
    </w:p>
    <w:p w14:paraId="0EDAD8B7" w14:textId="77777777" w:rsidR="00BB4D6E" w:rsidRPr="00BB4D6E" w:rsidRDefault="002B3DEB">
      <w:pPr>
        <w:pStyle w:val="TOC1"/>
        <w:tabs>
          <w:tab w:val="right" w:leader="dot" w:pos="9350"/>
        </w:tabs>
        <w:rPr>
          <w:rFonts w:eastAsiaTheme="minorEastAsia"/>
          <w:noProof/>
          <w:sz w:val="24"/>
        </w:rPr>
      </w:pPr>
      <w:r w:rsidRPr="006603F5">
        <w:rPr>
          <w:caps/>
          <w:sz w:val="24"/>
          <w:szCs w:val="24"/>
        </w:rPr>
        <w:fldChar w:fldCharType="begin"/>
      </w:r>
      <w:r w:rsidRPr="006603F5">
        <w:rPr>
          <w:caps/>
          <w:sz w:val="24"/>
          <w:szCs w:val="24"/>
        </w:rPr>
        <w:instrText xml:space="preserve"> TOC \f t \h \z </w:instrText>
      </w:r>
      <w:r w:rsidRPr="006603F5">
        <w:rPr>
          <w:caps/>
          <w:sz w:val="24"/>
          <w:szCs w:val="24"/>
        </w:rPr>
        <w:fldChar w:fldCharType="separate"/>
      </w:r>
      <w:hyperlink w:anchor="_Toc56898439" w:history="1">
        <w:r w:rsidR="00BB4D6E" w:rsidRPr="00BB4D6E">
          <w:rPr>
            <w:rStyle w:val="Hyperlink"/>
            <w:noProof/>
            <w:sz w:val="24"/>
          </w:rPr>
          <w:t>Table 1: API keywords</w:t>
        </w:r>
        <w:r w:rsidR="00BB4D6E" w:rsidRPr="00BB4D6E">
          <w:rPr>
            <w:noProof/>
            <w:webHidden/>
            <w:sz w:val="24"/>
          </w:rPr>
          <w:tab/>
        </w:r>
        <w:r w:rsidR="00BB4D6E" w:rsidRPr="00BB4D6E">
          <w:rPr>
            <w:noProof/>
            <w:webHidden/>
            <w:sz w:val="24"/>
          </w:rPr>
          <w:fldChar w:fldCharType="begin"/>
        </w:r>
        <w:r w:rsidR="00BB4D6E" w:rsidRPr="00BB4D6E">
          <w:rPr>
            <w:noProof/>
            <w:webHidden/>
            <w:sz w:val="24"/>
          </w:rPr>
          <w:instrText xml:space="preserve"> PAGEREF _Toc56898439 \h </w:instrText>
        </w:r>
        <w:r w:rsidR="00BB4D6E" w:rsidRPr="00BB4D6E">
          <w:rPr>
            <w:noProof/>
            <w:webHidden/>
            <w:sz w:val="24"/>
          </w:rPr>
        </w:r>
        <w:r w:rsidR="00BB4D6E" w:rsidRPr="00BB4D6E">
          <w:rPr>
            <w:noProof/>
            <w:webHidden/>
            <w:sz w:val="24"/>
          </w:rPr>
          <w:fldChar w:fldCharType="separate"/>
        </w:r>
        <w:r w:rsidR="00BB4D6E" w:rsidRPr="00BB4D6E">
          <w:rPr>
            <w:noProof/>
            <w:webHidden/>
            <w:sz w:val="24"/>
          </w:rPr>
          <w:t>19</w:t>
        </w:r>
        <w:r w:rsidR="00BB4D6E" w:rsidRPr="00BB4D6E">
          <w:rPr>
            <w:noProof/>
            <w:webHidden/>
            <w:sz w:val="24"/>
          </w:rPr>
          <w:fldChar w:fldCharType="end"/>
        </w:r>
      </w:hyperlink>
    </w:p>
    <w:p w14:paraId="7CB896B7" w14:textId="77777777" w:rsidR="00BB4D6E" w:rsidRPr="00BB4D6E" w:rsidRDefault="00BB4D6E">
      <w:pPr>
        <w:pStyle w:val="TOC1"/>
        <w:tabs>
          <w:tab w:val="right" w:leader="dot" w:pos="9350"/>
        </w:tabs>
        <w:rPr>
          <w:rFonts w:eastAsiaTheme="minorEastAsia"/>
          <w:noProof/>
          <w:sz w:val="24"/>
        </w:rPr>
      </w:pPr>
      <w:hyperlink w:anchor="_Toc56898440" w:history="1">
        <w:r w:rsidRPr="00BB4D6E">
          <w:rPr>
            <w:rStyle w:val="Hyperlink"/>
            <w:noProof/>
            <w:sz w:val="24"/>
          </w:rPr>
          <w:t>Table 2: Case study date ranges</w:t>
        </w:r>
        <w:r w:rsidRPr="00BB4D6E">
          <w:rPr>
            <w:noProof/>
            <w:webHidden/>
            <w:sz w:val="24"/>
          </w:rPr>
          <w:tab/>
        </w:r>
        <w:r w:rsidRPr="00BB4D6E">
          <w:rPr>
            <w:noProof/>
            <w:webHidden/>
            <w:sz w:val="24"/>
          </w:rPr>
          <w:fldChar w:fldCharType="begin"/>
        </w:r>
        <w:r w:rsidRPr="00BB4D6E">
          <w:rPr>
            <w:noProof/>
            <w:webHidden/>
            <w:sz w:val="24"/>
          </w:rPr>
          <w:instrText xml:space="preserve"> PAGEREF _Toc56898440 \h </w:instrText>
        </w:r>
        <w:r w:rsidRPr="00BB4D6E">
          <w:rPr>
            <w:noProof/>
            <w:webHidden/>
            <w:sz w:val="24"/>
          </w:rPr>
        </w:r>
        <w:r w:rsidRPr="00BB4D6E">
          <w:rPr>
            <w:noProof/>
            <w:webHidden/>
            <w:sz w:val="24"/>
          </w:rPr>
          <w:fldChar w:fldCharType="separate"/>
        </w:r>
        <w:r w:rsidRPr="00BB4D6E">
          <w:rPr>
            <w:noProof/>
            <w:webHidden/>
            <w:sz w:val="24"/>
          </w:rPr>
          <w:t>22</w:t>
        </w:r>
        <w:r w:rsidRPr="00BB4D6E">
          <w:rPr>
            <w:noProof/>
            <w:webHidden/>
            <w:sz w:val="24"/>
          </w:rPr>
          <w:fldChar w:fldCharType="end"/>
        </w:r>
      </w:hyperlink>
    </w:p>
    <w:p w14:paraId="507AF5CF" w14:textId="77777777" w:rsidR="00BB4D6E" w:rsidRPr="00BB4D6E" w:rsidRDefault="00BB4D6E">
      <w:pPr>
        <w:pStyle w:val="TOC1"/>
        <w:tabs>
          <w:tab w:val="right" w:leader="dot" w:pos="9350"/>
        </w:tabs>
        <w:rPr>
          <w:rFonts w:eastAsiaTheme="minorEastAsia"/>
          <w:noProof/>
          <w:sz w:val="24"/>
        </w:rPr>
      </w:pPr>
      <w:hyperlink w:anchor="_Toc56898441" w:history="1">
        <w:r w:rsidRPr="00BB4D6E">
          <w:rPr>
            <w:rStyle w:val="Hyperlink"/>
            <w:noProof/>
            <w:sz w:val="24"/>
          </w:rPr>
          <w:t>Table 3: Properties of the SDE mean centers for WSG tweets</w:t>
        </w:r>
        <w:r w:rsidRPr="00BB4D6E">
          <w:rPr>
            <w:noProof/>
            <w:webHidden/>
            <w:sz w:val="24"/>
          </w:rPr>
          <w:tab/>
        </w:r>
        <w:r w:rsidRPr="00BB4D6E">
          <w:rPr>
            <w:noProof/>
            <w:webHidden/>
            <w:sz w:val="24"/>
          </w:rPr>
          <w:fldChar w:fldCharType="begin"/>
        </w:r>
        <w:r w:rsidRPr="00BB4D6E">
          <w:rPr>
            <w:noProof/>
            <w:webHidden/>
            <w:sz w:val="24"/>
          </w:rPr>
          <w:instrText xml:space="preserve"> PAGEREF _Toc56898441 \h </w:instrText>
        </w:r>
        <w:r w:rsidRPr="00BB4D6E">
          <w:rPr>
            <w:noProof/>
            <w:webHidden/>
            <w:sz w:val="24"/>
          </w:rPr>
        </w:r>
        <w:r w:rsidRPr="00BB4D6E">
          <w:rPr>
            <w:noProof/>
            <w:webHidden/>
            <w:sz w:val="24"/>
          </w:rPr>
          <w:fldChar w:fldCharType="separate"/>
        </w:r>
        <w:r w:rsidRPr="00BB4D6E">
          <w:rPr>
            <w:noProof/>
            <w:webHidden/>
            <w:sz w:val="24"/>
          </w:rPr>
          <w:t>41</w:t>
        </w:r>
        <w:r w:rsidRPr="00BB4D6E">
          <w:rPr>
            <w:noProof/>
            <w:webHidden/>
            <w:sz w:val="24"/>
          </w:rPr>
          <w:fldChar w:fldCharType="end"/>
        </w:r>
      </w:hyperlink>
    </w:p>
    <w:p w14:paraId="1834EA15" w14:textId="77777777" w:rsidR="00BB4D6E" w:rsidRPr="00BB4D6E" w:rsidRDefault="00BB4D6E">
      <w:pPr>
        <w:pStyle w:val="TOC1"/>
        <w:tabs>
          <w:tab w:val="right" w:leader="dot" w:pos="9350"/>
        </w:tabs>
        <w:rPr>
          <w:rFonts w:eastAsiaTheme="minorEastAsia"/>
          <w:noProof/>
          <w:sz w:val="24"/>
        </w:rPr>
      </w:pPr>
      <w:hyperlink w:anchor="_Toc56898442" w:history="1">
        <w:r w:rsidRPr="00BB4D6E">
          <w:rPr>
            <w:rStyle w:val="Hyperlink"/>
            <w:noProof/>
            <w:sz w:val="24"/>
          </w:rPr>
          <w:t>Table 4: Properties of SDE area for WSG tweets</w:t>
        </w:r>
        <w:r w:rsidRPr="00BB4D6E">
          <w:rPr>
            <w:noProof/>
            <w:webHidden/>
            <w:sz w:val="24"/>
          </w:rPr>
          <w:tab/>
        </w:r>
        <w:r w:rsidRPr="00BB4D6E">
          <w:rPr>
            <w:noProof/>
            <w:webHidden/>
            <w:sz w:val="24"/>
          </w:rPr>
          <w:fldChar w:fldCharType="begin"/>
        </w:r>
        <w:r w:rsidRPr="00BB4D6E">
          <w:rPr>
            <w:noProof/>
            <w:webHidden/>
            <w:sz w:val="24"/>
          </w:rPr>
          <w:instrText xml:space="preserve"> PAGEREF _Toc56898442 \h </w:instrText>
        </w:r>
        <w:r w:rsidRPr="00BB4D6E">
          <w:rPr>
            <w:noProof/>
            <w:webHidden/>
            <w:sz w:val="24"/>
          </w:rPr>
        </w:r>
        <w:r w:rsidRPr="00BB4D6E">
          <w:rPr>
            <w:noProof/>
            <w:webHidden/>
            <w:sz w:val="24"/>
          </w:rPr>
          <w:fldChar w:fldCharType="separate"/>
        </w:r>
        <w:r w:rsidRPr="00BB4D6E">
          <w:rPr>
            <w:noProof/>
            <w:webHidden/>
            <w:sz w:val="24"/>
          </w:rPr>
          <w:t>43</w:t>
        </w:r>
        <w:r w:rsidRPr="00BB4D6E">
          <w:rPr>
            <w:noProof/>
            <w:webHidden/>
            <w:sz w:val="24"/>
          </w:rPr>
          <w:fldChar w:fldCharType="end"/>
        </w:r>
      </w:hyperlink>
    </w:p>
    <w:p w14:paraId="4104DFFA" w14:textId="77777777" w:rsidR="00BB4D6E" w:rsidRPr="00BB4D6E" w:rsidRDefault="00BB4D6E">
      <w:pPr>
        <w:pStyle w:val="TOC1"/>
        <w:tabs>
          <w:tab w:val="right" w:leader="dot" w:pos="9350"/>
        </w:tabs>
        <w:rPr>
          <w:rFonts w:eastAsiaTheme="minorEastAsia"/>
          <w:noProof/>
          <w:sz w:val="24"/>
        </w:rPr>
      </w:pPr>
      <w:hyperlink w:anchor="_Toc56898443" w:history="1">
        <w:r w:rsidRPr="00BB4D6E">
          <w:rPr>
            <w:rStyle w:val="Hyperlink"/>
            <w:noProof/>
            <w:sz w:val="24"/>
          </w:rPr>
          <w:t>Table 5: Properties of SDE mean centers for the tornado-outbreak tweets</w:t>
        </w:r>
        <w:r w:rsidRPr="00BB4D6E">
          <w:rPr>
            <w:noProof/>
            <w:webHidden/>
            <w:sz w:val="24"/>
          </w:rPr>
          <w:tab/>
        </w:r>
        <w:r w:rsidRPr="00BB4D6E">
          <w:rPr>
            <w:noProof/>
            <w:webHidden/>
            <w:sz w:val="24"/>
          </w:rPr>
          <w:fldChar w:fldCharType="begin"/>
        </w:r>
        <w:r w:rsidRPr="00BB4D6E">
          <w:rPr>
            <w:noProof/>
            <w:webHidden/>
            <w:sz w:val="24"/>
          </w:rPr>
          <w:instrText xml:space="preserve"> PAGEREF _Toc56898443 \h </w:instrText>
        </w:r>
        <w:r w:rsidRPr="00BB4D6E">
          <w:rPr>
            <w:noProof/>
            <w:webHidden/>
            <w:sz w:val="24"/>
          </w:rPr>
        </w:r>
        <w:r w:rsidRPr="00BB4D6E">
          <w:rPr>
            <w:noProof/>
            <w:webHidden/>
            <w:sz w:val="24"/>
          </w:rPr>
          <w:fldChar w:fldCharType="separate"/>
        </w:r>
        <w:r w:rsidRPr="00BB4D6E">
          <w:rPr>
            <w:noProof/>
            <w:webHidden/>
            <w:sz w:val="24"/>
          </w:rPr>
          <w:t>45</w:t>
        </w:r>
        <w:r w:rsidRPr="00BB4D6E">
          <w:rPr>
            <w:noProof/>
            <w:webHidden/>
            <w:sz w:val="24"/>
          </w:rPr>
          <w:fldChar w:fldCharType="end"/>
        </w:r>
      </w:hyperlink>
    </w:p>
    <w:p w14:paraId="73114412" w14:textId="77777777" w:rsidR="00BB4D6E" w:rsidRDefault="00BB4D6E">
      <w:pPr>
        <w:pStyle w:val="TOC1"/>
        <w:tabs>
          <w:tab w:val="right" w:leader="dot" w:pos="9350"/>
        </w:tabs>
        <w:rPr>
          <w:rFonts w:eastAsiaTheme="minorEastAsia"/>
          <w:noProof/>
        </w:rPr>
      </w:pPr>
      <w:hyperlink w:anchor="_Toc56898444" w:history="1">
        <w:r w:rsidRPr="00BB4D6E">
          <w:rPr>
            <w:rStyle w:val="Hyperlink"/>
            <w:noProof/>
            <w:sz w:val="24"/>
          </w:rPr>
          <w:t>Table 6: Properties of SDE area for the tornado-outbreak tweets</w:t>
        </w:r>
        <w:r w:rsidRPr="00BB4D6E">
          <w:rPr>
            <w:noProof/>
            <w:webHidden/>
            <w:sz w:val="24"/>
          </w:rPr>
          <w:tab/>
        </w:r>
        <w:r w:rsidRPr="00BB4D6E">
          <w:rPr>
            <w:noProof/>
            <w:webHidden/>
            <w:sz w:val="24"/>
          </w:rPr>
          <w:fldChar w:fldCharType="begin"/>
        </w:r>
        <w:r w:rsidRPr="00BB4D6E">
          <w:rPr>
            <w:noProof/>
            <w:webHidden/>
            <w:sz w:val="24"/>
          </w:rPr>
          <w:instrText xml:space="preserve"> PAGEREF _Toc56898444 \h </w:instrText>
        </w:r>
        <w:r w:rsidRPr="00BB4D6E">
          <w:rPr>
            <w:noProof/>
            <w:webHidden/>
            <w:sz w:val="24"/>
          </w:rPr>
        </w:r>
        <w:r w:rsidRPr="00BB4D6E">
          <w:rPr>
            <w:noProof/>
            <w:webHidden/>
            <w:sz w:val="24"/>
          </w:rPr>
          <w:fldChar w:fldCharType="separate"/>
        </w:r>
        <w:r w:rsidRPr="00BB4D6E">
          <w:rPr>
            <w:noProof/>
            <w:webHidden/>
            <w:sz w:val="24"/>
          </w:rPr>
          <w:t>48</w:t>
        </w:r>
        <w:r w:rsidRPr="00BB4D6E">
          <w:rPr>
            <w:noProof/>
            <w:webHidden/>
            <w:sz w:val="24"/>
          </w:rPr>
          <w:fldChar w:fldCharType="end"/>
        </w:r>
      </w:hyperlink>
    </w:p>
    <w:p w14:paraId="1E863590" w14:textId="3F7FCB3E" w:rsidR="002B3DEB" w:rsidRPr="006603F5" w:rsidRDefault="002B3DEB" w:rsidP="00E8699F">
      <w:pPr>
        <w:jc w:val="center"/>
        <w:rPr>
          <w:caps/>
          <w:sz w:val="24"/>
          <w:szCs w:val="24"/>
        </w:rPr>
      </w:pPr>
      <w:r w:rsidRPr="006603F5">
        <w:rPr>
          <w:caps/>
          <w:sz w:val="24"/>
          <w:szCs w:val="24"/>
        </w:rPr>
        <w:fldChar w:fldCharType="end"/>
      </w:r>
    </w:p>
    <w:p w14:paraId="75AA11AC" w14:textId="77777777" w:rsidR="0038751E" w:rsidRPr="00EF14BD" w:rsidRDefault="0038751E" w:rsidP="00E8699F">
      <w:pPr>
        <w:jc w:val="center"/>
        <w:rPr>
          <w:caps/>
          <w:sz w:val="24"/>
          <w:szCs w:val="24"/>
        </w:rPr>
      </w:pPr>
    </w:p>
    <w:p w14:paraId="2F7EE082" w14:textId="77777777" w:rsidR="00762306" w:rsidRDefault="00762306" w:rsidP="00E8699F">
      <w:pPr>
        <w:jc w:val="center"/>
        <w:rPr>
          <w:b/>
          <w:caps/>
          <w:sz w:val="28"/>
        </w:rPr>
      </w:pPr>
    </w:p>
    <w:p w14:paraId="3177A3C2" w14:textId="77777777" w:rsidR="00762306" w:rsidRDefault="00762306" w:rsidP="00E8699F">
      <w:pPr>
        <w:jc w:val="center"/>
        <w:rPr>
          <w:b/>
          <w:caps/>
          <w:sz w:val="28"/>
        </w:rPr>
      </w:pPr>
    </w:p>
    <w:p w14:paraId="55D21CB9" w14:textId="77777777" w:rsidR="00762306" w:rsidRDefault="00762306" w:rsidP="00E8699F">
      <w:pPr>
        <w:jc w:val="center"/>
        <w:rPr>
          <w:b/>
          <w:caps/>
          <w:sz w:val="28"/>
        </w:rPr>
      </w:pPr>
    </w:p>
    <w:p w14:paraId="78A4B77A" w14:textId="77777777" w:rsidR="00762306" w:rsidRDefault="00762306" w:rsidP="00E8699F">
      <w:pPr>
        <w:jc w:val="center"/>
        <w:rPr>
          <w:b/>
          <w:caps/>
          <w:sz w:val="28"/>
        </w:rPr>
      </w:pPr>
    </w:p>
    <w:p w14:paraId="621FAE17" w14:textId="77777777" w:rsidR="00762306" w:rsidRDefault="00762306" w:rsidP="00E8699F">
      <w:pPr>
        <w:jc w:val="center"/>
        <w:rPr>
          <w:b/>
          <w:caps/>
          <w:sz w:val="28"/>
        </w:rPr>
      </w:pPr>
    </w:p>
    <w:p w14:paraId="7466A269" w14:textId="77777777" w:rsidR="00762306" w:rsidRDefault="00762306" w:rsidP="00E8699F">
      <w:pPr>
        <w:jc w:val="center"/>
        <w:rPr>
          <w:b/>
          <w:caps/>
          <w:sz w:val="28"/>
        </w:rPr>
      </w:pPr>
    </w:p>
    <w:p w14:paraId="2071923A" w14:textId="77777777" w:rsidR="00762306" w:rsidRDefault="00762306" w:rsidP="00E8699F">
      <w:pPr>
        <w:jc w:val="center"/>
        <w:rPr>
          <w:b/>
          <w:caps/>
          <w:sz w:val="28"/>
        </w:rPr>
      </w:pPr>
    </w:p>
    <w:p w14:paraId="40038D1E" w14:textId="77777777" w:rsidR="00762306" w:rsidRDefault="00762306" w:rsidP="00E8699F">
      <w:pPr>
        <w:jc w:val="center"/>
        <w:rPr>
          <w:b/>
          <w:caps/>
          <w:sz w:val="28"/>
        </w:rPr>
      </w:pPr>
    </w:p>
    <w:p w14:paraId="63498DC4" w14:textId="77777777" w:rsidR="00762306" w:rsidRDefault="00762306" w:rsidP="00E8699F">
      <w:pPr>
        <w:jc w:val="center"/>
        <w:rPr>
          <w:b/>
          <w:caps/>
          <w:sz w:val="28"/>
        </w:rPr>
      </w:pPr>
    </w:p>
    <w:p w14:paraId="17D07830" w14:textId="77777777" w:rsidR="00762306" w:rsidRDefault="00762306" w:rsidP="00E8699F">
      <w:pPr>
        <w:jc w:val="center"/>
        <w:rPr>
          <w:b/>
          <w:caps/>
          <w:sz w:val="28"/>
        </w:rPr>
      </w:pPr>
    </w:p>
    <w:p w14:paraId="339F9710" w14:textId="77777777" w:rsidR="00762306" w:rsidRDefault="00762306" w:rsidP="00E8699F">
      <w:pPr>
        <w:jc w:val="center"/>
        <w:rPr>
          <w:b/>
          <w:caps/>
          <w:sz w:val="28"/>
        </w:rPr>
      </w:pPr>
    </w:p>
    <w:p w14:paraId="0C73218C" w14:textId="77777777" w:rsidR="00762306" w:rsidRDefault="00762306" w:rsidP="00E8699F">
      <w:pPr>
        <w:jc w:val="center"/>
        <w:rPr>
          <w:b/>
          <w:caps/>
          <w:sz w:val="28"/>
        </w:rPr>
      </w:pPr>
    </w:p>
    <w:p w14:paraId="37DABE71" w14:textId="77777777" w:rsidR="00762306" w:rsidRDefault="00762306" w:rsidP="00E8699F">
      <w:pPr>
        <w:jc w:val="center"/>
        <w:rPr>
          <w:b/>
          <w:caps/>
          <w:sz w:val="28"/>
        </w:rPr>
      </w:pPr>
    </w:p>
    <w:p w14:paraId="5DC8D2EF" w14:textId="77777777" w:rsidR="00762306" w:rsidRDefault="00762306" w:rsidP="00E8699F">
      <w:pPr>
        <w:jc w:val="center"/>
        <w:rPr>
          <w:b/>
          <w:caps/>
          <w:sz w:val="28"/>
        </w:rPr>
      </w:pPr>
    </w:p>
    <w:p w14:paraId="1F824A92" w14:textId="77777777" w:rsidR="00762306" w:rsidRDefault="00762306" w:rsidP="00E8699F">
      <w:pPr>
        <w:jc w:val="center"/>
        <w:rPr>
          <w:b/>
          <w:caps/>
          <w:sz w:val="28"/>
        </w:rPr>
      </w:pPr>
    </w:p>
    <w:p w14:paraId="5DA4663E" w14:textId="75F1B5CC" w:rsidR="00671CEA" w:rsidRDefault="004E1D58" w:rsidP="004E1D58">
      <w:pPr>
        <w:tabs>
          <w:tab w:val="left" w:pos="2190"/>
        </w:tabs>
        <w:rPr>
          <w:b/>
          <w:caps/>
          <w:sz w:val="28"/>
        </w:rPr>
      </w:pPr>
      <w:r>
        <w:rPr>
          <w:b/>
          <w:caps/>
          <w:sz w:val="28"/>
        </w:rPr>
        <w:tab/>
      </w:r>
    </w:p>
    <w:p w14:paraId="7F4D3562" w14:textId="77777777" w:rsidR="00830A7D" w:rsidRDefault="00830A7D" w:rsidP="00E8699F">
      <w:pPr>
        <w:jc w:val="center"/>
        <w:rPr>
          <w:b/>
          <w:caps/>
          <w:sz w:val="28"/>
        </w:rPr>
      </w:pPr>
    </w:p>
    <w:p w14:paraId="2F1CE4B6" w14:textId="4996CF33" w:rsidR="005158F1" w:rsidRDefault="00762306" w:rsidP="00C57C96">
      <w:pPr>
        <w:spacing w:after="0" w:line="480" w:lineRule="auto"/>
        <w:jc w:val="center"/>
        <w:rPr>
          <w:b/>
          <w:caps/>
          <w:sz w:val="28"/>
        </w:rPr>
      </w:pPr>
      <w:r>
        <w:rPr>
          <w:b/>
          <w:caps/>
          <w:sz w:val="28"/>
        </w:rPr>
        <w:lastRenderedPageBreak/>
        <w:t>list of figures</w:t>
      </w:r>
    </w:p>
    <w:p w14:paraId="01964C58" w14:textId="77777777" w:rsidR="00BB4D6E" w:rsidRPr="00BB4D6E" w:rsidRDefault="005158F1">
      <w:pPr>
        <w:pStyle w:val="TOC1"/>
        <w:tabs>
          <w:tab w:val="right" w:leader="dot" w:pos="9350"/>
        </w:tabs>
        <w:rPr>
          <w:rFonts w:eastAsiaTheme="minorEastAsia"/>
          <w:noProof/>
          <w:sz w:val="24"/>
        </w:rPr>
      </w:pPr>
      <w:r w:rsidRPr="00BB4D6E">
        <w:rPr>
          <w:caps/>
          <w:sz w:val="28"/>
          <w:szCs w:val="24"/>
        </w:rPr>
        <w:fldChar w:fldCharType="begin"/>
      </w:r>
      <w:r w:rsidRPr="00BB4D6E">
        <w:rPr>
          <w:sz w:val="28"/>
          <w:szCs w:val="24"/>
        </w:rPr>
        <w:instrText xml:space="preserve"> TOC \f f \h \z </w:instrText>
      </w:r>
      <w:r w:rsidRPr="00BB4D6E">
        <w:rPr>
          <w:caps/>
          <w:sz w:val="28"/>
          <w:szCs w:val="24"/>
        </w:rPr>
        <w:fldChar w:fldCharType="separate"/>
      </w:r>
      <w:hyperlink w:anchor="_Toc56898489" w:history="1">
        <w:r w:rsidR="00BB4D6E" w:rsidRPr="00BB4D6E">
          <w:rPr>
            <w:rStyle w:val="Hyperlink"/>
            <w:noProof/>
            <w:sz w:val="24"/>
          </w:rPr>
          <w:t>Figure 1: API sample region</w:t>
        </w:r>
        <w:r w:rsidR="00BB4D6E" w:rsidRPr="00BB4D6E">
          <w:rPr>
            <w:noProof/>
            <w:webHidden/>
            <w:sz w:val="24"/>
          </w:rPr>
          <w:tab/>
        </w:r>
        <w:r w:rsidR="00BB4D6E" w:rsidRPr="00BB4D6E">
          <w:rPr>
            <w:noProof/>
            <w:webHidden/>
            <w:sz w:val="24"/>
          </w:rPr>
          <w:fldChar w:fldCharType="begin"/>
        </w:r>
        <w:r w:rsidR="00BB4D6E" w:rsidRPr="00BB4D6E">
          <w:rPr>
            <w:noProof/>
            <w:webHidden/>
            <w:sz w:val="24"/>
          </w:rPr>
          <w:instrText xml:space="preserve"> PAGEREF _Toc56898489 \h </w:instrText>
        </w:r>
        <w:r w:rsidR="00BB4D6E" w:rsidRPr="00BB4D6E">
          <w:rPr>
            <w:noProof/>
            <w:webHidden/>
            <w:sz w:val="24"/>
          </w:rPr>
        </w:r>
        <w:r w:rsidR="00BB4D6E" w:rsidRPr="00BB4D6E">
          <w:rPr>
            <w:noProof/>
            <w:webHidden/>
            <w:sz w:val="24"/>
          </w:rPr>
          <w:fldChar w:fldCharType="separate"/>
        </w:r>
        <w:r w:rsidR="00BB4D6E" w:rsidRPr="00BB4D6E">
          <w:rPr>
            <w:noProof/>
            <w:webHidden/>
            <w:sz w:val="24"/>
          </w:rPr>
          <w:t>18</w:t>
        </w:r>
        <w:r w:rsidR="00BB4D6E" w:rsidRPr="00BB4D6E">
          <w:rPr>
            <w:noProof/>
            <w:webHidden/>
            <w:sz w:val="24"/>
          </w:rPr>
          <w:fldChar w:fldCharType="end"/>
        </w:r>
      </w:hyperlink>
    </w:p>
    <w:p w14:paraId="7DFB83C9" w14:textId="77777777" w:rsidR="00BB4D6E" w:rsidRPr="00BB4D6E" w:rsidRDefault="00BB4D6E">
      <w:pPr>
        <w:pStyle w:val="TOC1"/>
        <w:tabs>
          <w:tab w:val="right" w:leader="dot" w:pos="9350"/>
        </w:tabs>
        <w:rPr>
          <w:rFonts w:eastAsiaTheme="minorEastAsia"/>
          <w:noProof/>
          <w:sz w:val="24"/>
        </w:rPr>
      </w:pPr>
      <w:hyperlink w:anchor="_Toc56898490" w:history="1">
        <w:r w:rsidRPr="00BB4D6E">
          <w:rPr>
            <w:rStyle w:val="Hyperlink"/>
            <w:noProof/>
            <w:sz w:val="24"/>
          </w:rPr>
          <w:t>Figure 2: Irrelevant WSG tweets</w:t>
        </w:r>
        <w:r w:rsidRPr="00BB4D6E">
          <w:rPr>
            <w:noProof/>
            <w:webHidden/>
            <w:sz w:val="24"/>
          </w:rPr>
          <w:tab/>
        </w:r>
        <w:r w:rsidRPr="00BB4D6E">
          <w:rPr>
            <w:noProof/>
            <w:webHidden/>
            <w:sz w:val="24"/>
          </w:rPr>
          <w:fldChar w:fldCharType="begin"/>
        </w:r>
        <w:r w:rsidRPr="00BB4D6E">
          <w:rPr>
            <w:noProof/>
            <w:webHidden/>
            <w:sz w:val="24"/>
          </w:rPr>
          <w:instrText xml:space="preserve"> PAGEREF _Toc56898490 \h </w:instrText>
        </w:r>
        <w:r w:rsidRPr="00BB4D6E">
          <w:rPr>
            <w:noProof/>
            <w:webHidden/>
            <w:sz w:val="24"/>
          </w:rPr>
        </w:r>
        <w:r w:rsidRPr="00BB4D6E">
          <w:rPr>
            <w:noProof/>
            <w:webHidden/>
            <w:sz w:val="24"/>
          </w:rPr>
          <w:fldChar w:fldCharType="separate"/>
        </w:r>
        <w:r w:rsidRPr="00BB4D6E">
          <w:rPr>
            <w:noProof/>
            <w:webHidden/>
            <w:sz w:val="24"/>
          </w:rPr>
          <w:t>25</w:t>
        </w:r>
        <w:r w:rsidRPr="00BB4D6E">
          <w:rPr>
            <w:noProof/>
            <w:webHidden/>
            <w:sz w:val="24"/>
          </w:rPr>
          <w:fldChar w:fldCharType="end"/>
        </w:r>
      </w:hyperlink>
    </w:p>
    <w:p w14:paraId="34FBC296" w14:textId="77777777" w:rsidR="00BB4D6E" w:rsidRPr="00BB4D6E" w:rsidRDefault="00BB4D6E">
      <w:pPr>
        <w:pStyle w:val="TOC1"/>
        <w:tabs>
          <w:tab w:val="right" w:leader="dot" w:pos="9350"/>
        </w:tabs>
        <w:rPr>
          <w:rFonts w:eastAsiaTheme="minorEastAsia"/>
          <w:noProof/>
          <w:sz w:val="24"/>
        </w:rPr>
      </w:pPr>
      <w:hyperlink w:anchor="_Toc56898491" w:history="1">
        <w:r w:rsidRPr="00BB4D6E">
          <w:rPr>
            <w:rStyle w:val="Hyperlink"/>
            <w:noProof/>
            <w:sz w:val="24"/>
          </w:rPr>
          <w:t>Figure 3: Irrel</w:t>
        </w:r>
        <w:bookmarkStart w:id="0" w:name="_GoBack"/>
        <w:bookmarkEnd w:id="0"/>
        <w:r w:rsidRPr="00BB4D6E">
          <w:rPr>
            <w:rStyle w:val="Hyperlink"/>
            <w:noProof/>
            <w:sz w:val="24"/>
          </w:rPr>
          <w:t>evant tornado-outbreak tweets (first filter pass)</w:t>
        </w:r>
        <w:r w:rsidRPr="00BB4D6E">
          <w:rPr>
            <w:noProof/>
            <w:webHidden/>
            <w:sz w:val="24"/>
          </w:rPr>
          <w:tab/>
        </w:r>
        <w:r w:rsidRPr="00BB4D6E">
          <w:rPr>
            <w:noProof/>
            <w:webHidden/>
            <w:sz w:val="24"/>
          </w:rPr>
          <w:fldChar w:fldCharType="begin"/>
        </w:r>
        <w:r w:rsidRPr="00BB4D6E">
          <w:rPr>
            <w:noProof/>
            <w:webHidden/>
            <w:sz w:val="24"/>
          </w:rPr>
          <w:instrText xml:space="preserve"> PAGEREF _Toc56898491 \h </w:instrText>
        </w:r>
        <w:r w:rsidRPr="00BB4D6E">
          <w:rPr>
            <w:noProof/>
            <w:webHidden/>
            <w:sz w:val="24"/>
          </w:rPr>
        </w:r>
        <w:r w:rsidRPr="00BB4D6E">
          <w:rPr>
            <w:noProof/>
            <w:webHidden/>
            <w:sz w:val="24"/>
          </w:rPr>
          <w:fldChar w:fldCharType="separate"/>
        </w:r>
        <w:r w:rsidRPr="00BB4D6E">
          <w:rPr>
            <w:noProof/>
            <w:webHidden/>
            <w:sz w:val="24"/>
          </w:rPr>
          <w:t>27</w:t>
        </w:r>
        <w:r w:rsidRPr="00BB4D6E">
          <w:rPr>
            <w:noProof/>
            <w:webHidden/>
            <w:sz w:val="24"/>
          </w:rPr>
          <w:fldChar w:fldCharType="end"/>
        </w:r>
      </w:hyperlink>
    </w:p>
    <w:p w14:paraId="3964D094" w14:textId="77777777" w:rsidR="00BB4D6E" w:rsidRPr="00BB4D6E" w:rsidRDefault="00BB4D6E">
      <w:pPr>
        <w:pStyle w:val="TOC1"/>
        <w:tabs>
          <w:tab w:val="right" w:leader="dot" w:pos="9350"/>
        </w:tabs>
        <w:rPr>
          <w:rFonts w:eastAsiaTheme="minorEastAsia"/>
          <w:noProof/>
          <w:sz w:val="24"/>
        </w:rPr>
      </w:pPr>
      <w:hyperlink w:anchor="_Toc56898492" w:history="1">
        <w:r w:rsidRPr="00BB4D6E">
          <w:rPr>
            <w:rStyle w:val="Hyperlink"/>
            <w:noProof/>
            <w:sz w:val="24"/>
          </w:rPr>
          <w:t>Figure 4: Irrelevant tornado-outbreak tweets (second filter pass)</w:t>
        </w:r>
        <w:r w:rsidRPr="00BB4D6E">
          <w:rPr>
            <w:noProof/>
            <w:webHidden/>
            <w:sz w:val="24"/>
          </w:rPr>
          <w:tab/>
        </w:r>
        <w:r w:rsidRPr="00BB4D6E">
          <w:rPr>
            <w:noProof/>
            <w:webHidden/>
            <w:sz w:val="24"/>
          </w:rPr>
          <w:fldChar w:fldCharType="begin"/>
        </w:r>
        <w:r w:rsidRPr="00BB4D6E">
          <w:rPr>
            <w:noProof/>
            <w:webHidden/>
            <w:sz w:val="24"/>
          </w:rPr>
          <w:instrText xml:space="preserve"> PAGEREF _Toc56898492 \h </w:instrText>
        </w:r>
        <w:r w:rsidRPr="00BB4D6E">
          <w:rPr>
            <w:noProof/>
            <w:webHidden/>
            <w:sz w:val="24"/>
          </w:rPr>
        </w:r>
        <w:r w:rsidRPr="00BB4D6E">
          <w:rPr>
            <w:noProof/>
            <w:webHidden/>
            <w:sz w:val="24"/>
          </w:rPr>
          <w:fldChar w:fldCharType="separate"/>
        </w:r>
        <w:r w:rsidRPr="00BB4D6E">
          <w:rPr>
            <w:noProof/>
            <w:webHidden/>
            <w:sz w:val="24"/>
          </w:rPr>
          <w:t>28</w:t>
        </w:r>
        <w:r w:rsidRPr="00BB4D6E">
          <w:rPr>
            <w:noProof/>
            <w:webHidden/>
            <w:sz w:val="24"/>
          </w:rPr>
          <w:fldChar w:fldCharType="end"/>
        </w:r>
      </w:hyperlink>
    </w:p>
    <w:p w14:paraId="6BA2A0AB" w14:textId="77777777" w:rsidR="00BB4D6E" w:rsidRPr="00BB4D6E" w:rsidRDefault="00BB4D6E">
      <w:pPr>
        <w:pStyle w:val="TOC1"/>
        <w:tabs>
          <w:tab w:val="right" w:leader="dot" w:pos="9350"/>
        </w:tabs>
        <w:rPr>
          <w:rFonts w:eastAsiaTheme="minorEastAsia"/>
          <w:noProof/>
          <w:sz w:val="24"/>
        </w:rPr>
      </w:pPr>
      <w:hyperlink w:anchor="_Toc56898493" w:history="1">
        <w:r w:rsidRPr="00BB4D6E">
          <w:rPr>
            <w:rStyle w:val="Hyperlink"/>
            <w:noProof/>
            <w:sz w:val="24"/>
          </w:rPr>
          <w:t>Figure 5: Daily tweet counts</w:t>
        </w:r>
        <w:r w:rsidRPr="00BB4D6E">
          <w:rPr>
            <w:noProof/>
            <w:webHidden/>
            <w:sz w:val="24"/>
          </w:rPr>
          <w:tab/>
        </w:r>
        <w:r w:rsidRPr="00BB4D6E">
          <w:rPr>
            <w:noProof/>
            <w:webHidden/>
            <w:sz w:val="24"/>
          </w:rPr>
          <w:fldChar w:fldCharType="begin"/>
        </w:r>
        <w:r w:rsidRPr="00BB4D6E">
          <w:rPr>
            <w:noProof/>
            <w:webHidden/>
            <w:sz w:val="24"/>
          </w:rPr>
          <w:instrText xml:space="preserve"> PAGEREF _Toc56898493 \h </w:instrText>
        </w:r>
        <w:r w:rsidRPr="00BB4D6E">
          <w:rPr>
            <w:noProof/>
            <w:webHidden/>
            <w:sz w:val="24"/>
          </w:rPr>
        </w:r>
        <w:r w:rsidRPr="00BB4D6E">
          <w:rPr>
            <w:noProof/>
            <w:webHidden/>
            <w:sz w:val="24"/>
          </w:rPr>
          <w:fldChar w:fldCharType="separate"/>
        </w:r>
        <w:r w:rsidRPr="00BB4D6E">
          <w:rPr>
            <w:noProof/>
            <w:webHidden/>
            <w:sz w:val="24"/>
          </w:rPr>
          <w:t>35</w:t>
        </w:r>
        <w:r w:rsidRPr="00BB4D6E">
          <w:rPr>
            <w:noProof/>
            <w:webHidden/>
            <w:sz w:val="24"/>
          </w:rPr>
          <w:fldChar w:fldCharType="end"/>
        </w:r>
      </w:hyperlink>
    </w:p>
    <w:p w14:paraId="58FAB755" w14:textId="77777777" w:rsidR="00BB4D6E" w:rsidRPr="00BB4D6E" w:rsidRDefault="00BB4D6E">
      <w:pPr>
        <w:pStyle w:val="TOC1"/>
        <w:tabs>
          <w:tab w:val="right" w:leader="dot" w:pos="9350"/>
        </w:tabs>
        <w:rPr>
          <w:rFonts w:eastAsiaTheme="minorEastAsia"/>
          <w:noProof/>
          <w:sz w:val="24"/>
        </w:rPr>
      </w:pPr>
      <w:hyperlink w:anchor="_Toc56898494" w:history="1">
        <w:r w:rsidRPr="00BB4D6E">
          <w:rPr>
            <w:rStyle w:val="Hyperlink"/>
            <w:noProof/>
            <w:sz w:val="24"/>
          </w:rPr>
          <w:t>Figure 6: WSG tweets on two different days</w:t>
        </w:r>
        <w:r w:rsidRPr="00BB4D6E">
          <w:rPr>
            <w:noProof/>
            <w:webHidden/>
            <w:sz w:val="24"/>
          </w:rPr>
          <w:tab/>
        </w:r>
        <w:r w:rsidRPr="00BB4D6E">
          <w:rPr>
            <w:noProof/>
            <w:webHidden/>
            <w:sz w:val="24"/>
          </w:rPr>
          <w:fldChar w:fldCharType="begin"/>
        </w:r>
        <w:r w:rsidRPr="00BB4D6E">
          <w:rPr>
            <w:noProof/>
            <w:webHidden/>
            <w:sz w:val="24"/>
          </w:rPr>
          <w:instrText xml:space="preserve"> PAGEREF _Toc56898494 \h </w:instrText>
        </w:r>
        <w:r w:rsidRPr="00BB4D6E">
          <w:rPr>
            <w:noProof/>
            <w:webHidden/>
            <w:sz w:val="24"/>
          </w:rPr>
        </w:r>
        <w:r w:rsidRPr="00BB4D6E">
          <w:rPr>
            <w:noProof/>
            <w:webHidden/>
            <w:sz w:val="24"/>
          </w:rPr>
          <w:fldChar w:fldCharType="separate"/>
        </w:r>
        <w:r w:rsidRPr="00BB4D6E">
          <w:rPr>
            <w:noProof/>
            <w:webHidden/>
            <w:sz w:val="24"/>
          </w:rPr>
          <w:t>35</w:t>
        </w:r>
        <w:r w:rsidRPr="00BB4D6E">
          <w:rPr>
            <w:noProof/>
            <w:webHidden/>
            <w:sz w:val="24"/>
          </w:rPr>
          <w:fldChar w:fldCharType="end"/>
        </w:r>
      </w:hyperlink>
    </w:p>
    <w:p w14:paraId="2558116C" w14:textId="77777777" w:rsidR="00BB4D6E" w:rsidRPr="00BB4D6E" w:rsidRDefault="00BB4D6E">
      <w:pPr>
        <w:pStyle w:val="TOC1"/>
        <w:tabs>
          <w:tab w:val="right" w:leader="dot" w:pos="9350"/>
        </w:tabs>
        <w:rPr>
          <w:rFonts w:eastAsiaTheme="minorEastAsia"/>
          <w:noProof/>
          <w:sz w:val="24"/>
        </w:rPr>
      </w:pPr>
      <w:hyperlink w:anchor="_Toc56898495" w:history="1">
        <w:r w:rsidRPr="00BB4D6E">
          <w:rPr>
            <w:rStyle w:val="Hyperlink"/>
            <w:noProof/>
            <w:sz w:val="24"/>
          </w:rPr>
          <w:t>Figure 7: Tornado outbreak tweets on two different days</w:t>
        </w:r>
        <w:r w:rsidRPr="00BB4D6E">
          <w:rPr>
            <w:noProof/>
            <w:webHidden/>
            <w:sz w:val="24"/>
          </w:rPr>
          <w:tab/>
        </w:r>
        <w:r w:rsidRPr="00BB4D6E">
          <w:rPr>
            <w:noProof/>
            <w:webHidden/>
            <w:sz w:val="24"/>
          </w:rPr>
          <w:fldChar w:fldCharType="begin"/>
        </w:r>
        <w:r w:rsidRPr="00BB4D6E">
          <w:rPr>
            <w:noProof/>
            <w:webHidden/>
            <w:sz w:val="24"/>
          </w:rPr>
          <w:instrText xml:space="preserve"> PAGEREF _Toc56898495 \h </w:instrText>
        </w:r>
        <w:r w:rsidRPr="00BB4D6E">
          <w:rPr>
            <w:noProof/>
            <w:webHidden/>
            <w:sz w:val="24"/>
          </w:rPr>
        </w:r>
        <w:r w:rsidRPr="00BB4D6E">
          <w:rPr>
            <w:noProof/>
            <w:webHidden/>
            <w:sz w:val="24"/>
          </w:rPr>
          <w:fldChar w:fldCharType="separate"/>
        </w:r>
        <w:r w:rsidRPr="00BB4D6E">
          <w:rPr>
            <w:noProof/>
            <w:webHidden/>
            <w:sz w:val="24"/>
          </w:rPr>
          <w:t>37</w:t>
        </w:r>
        <w:r w:rsidRPr="00BB4D6E">
          <w:rPr>
            <w:noProof/>
            <w:webHidden/>
            <w:sz w:val="24"/>
          </w:rPr>
          <w:fldChar w:fldCharType="end"/>
        </w:r>
      </w:hyperlink>
    </w:p>
    <w:p w14:paraId="3EA11209" w14:textId="77777777" w:rsidR="00BB4D6E" w:rsidRPr="00BB4D6E" w:rsidRDefault="00BB4D6E">
      <w:pPr>
        <w:pStyle w:val="TOC1"/>
        <w:tabs>
          <w:tab w:val="right" w:leader="dot" w:pos="9350"/>
        </w:tabs>
        <w:rPr>
          <w:rFonts w:eastAsiaTheme="minorEastAsia"/>
          <w:noProof/>
          <w:sz w:val="24"/>
        </w:rPr>
      </w:pPr>
      <w:hyperlink w:anchor="_Toc56898496" w:history="1">
        <w:r w:rsidRPr="00BB4D6E">
          <w:rPr>
            <w:rStyle w:val="Hyperlink"/>
            <w:noProof/>
            <w:sz w:val="24"/>
          </w:rPr>
          <w:t>Figure 8: WSG regression analysis</w:t>
        </w:r>
        <w:r w:rsidRPr="00BB4D6E">
          <w:rPr>
            <w:noProof/>
            <w:webHidden/>
            <w:sz w:val="24"/>
          </w:rPr>
          <w:tab/>
        </w:r>
        <w:r w:rsidRPr="00BB4D6E">
          <w:rPr>
            <w:noProof/>
            <w:webHidden/>
            <w:sz w:val="24"/>
          </w:rPr>
          <w:fldChar w:fldCharType="begin"/>
        </w:r>
        <w:r w:rsidRPr="00BB4D6E">
          <w:rPr>
            <w:noProof/>
            <w:webHidden/>
            <w:sz w:val="24"/>
          </w:rPr>
          <w:instrText xml:space="preserve"> PAGEREF _Toc56898496 \h </w:instrText>
        </w:r>
        <w:r w:rsidRPr="00BB4D6E">
          <w:rPr>
            <w:noProof/>
            <w:webHidden/>
            <w:sz w:val="24"/>
          </w:rPr>
        </w:r>
        <w:r w:rsidRPr="00BB4D6E">
          <w:rPr>
            <w:noProof/>
            <w:webHidden/>
            <w:sz w:val="24"/>
          </w:rPr>
          <w:fldChar w:fldCharType="separate"/>
        </w:r>
        <w:r w:rsidRPr="00BB4D6E">
          <w:rPr>
            <w:noProof/>
            <w:webHidden/>
            <w:sz w:val="24"/>
          </w:rPr>
          <w:t>37</w:t>
        </w:r>
        <w:r w:rsidRPr="00BB4D6E">
          <w:rPr>
            <w:noProof/>
            <w:webHidden/>
            <w:sz w:val="24"/>
          </w:rPr>
          <w:fldChar w:fldCharType="end"/>
        </w:r>
      </w:hyperlink>
    </w:p>
    <w:p w14:paraId="443DA6C8" w14:textId="77777777" w:rsidR="00BB4D6E" w:rsidRPr="00BB4D6E" w:rsidRDefault="00BB4D6E">
      <w:pPr>
        <w:pStyle w:val="TOC1"/>
        <w:tabs>
          <w:tab w:val="right" w:leader="dot" w:pos="9350"/>
        </w:tabs>
        <w:rPr>
          <w:rFonts w:eastAsiaTheme="minorEastAsia"/>
          <w:noProof/>
          <w:sz w:val="24"/>
        </w:rPr>
      </w:pPr>
      <w:hyperlink w:anchor="_Toc56898497" w:history="1">
        <w:r w:rsidRPr="00BB4D6E">
          <w:rPr>
            <w:rStyle w:val="Hyperlink"/>
            <w:noProof/>
            <w:sz w:val="24"/>
          </w:rPr>
          <w:t>Figure 9: Tornado-outbreak regression analysis</w:t>
        </w:r>
        <w:r w:rsidRPr="00BB4D6E">
          <w:rPr>
            <w:noProof/>
            <w:webHidden/>
            <w:sz w:val="24"/>
          </w:rPr>
          <w:tab/>
        </w:r>
        <w:r w:rsidRPr="00BB4D6E">
          <w:rPr>
            <w:noProof/>
            <w:webHidden/>
            <w:sz w:val="24"/>
          </w:rPr>
          <w:fldChar w:fldCharType="begin"/>
        </w:r>
        <w:r w:rsidRPr="00BB4D6E">
          <w:rPr>
            <w:noProof/>
            <w:webHidden/>
            <w:sz w:val="24"/>
          </w:rPr>
          <w:instrText xml:space="preserve"> PAGEREF _Toc56898497 \h </w:instrText>
        </w:r>
        <w:r w:rsidRPr="00BB4D6E">
          <w:rPr>
            <w:noProof/>
            <w:webHidden/>
            <w:sz w:val="24"/>
          </w:rPr>
        </w:r>
        <w:r w:rsidRPr="00BB4D6E">
          <w:rPr>
            <w:noProof/>
            <w:webHidden/>
            <w:sz w:val="24"/>
          </w:rPr>
          <w:fldChar w:fldCharType="separate"/>
        </w:r>
        <w:r w:rsidRPr="00BB4D6E">
          <w:rPr>
            <w:noProof/>
            <w:webHidden/>
            <w:sz w:val="24"/>
          </w:rPr>
          <w:t>39</w:t>
        </w:r>
        <w:r w:rsidRPr="00BB4D6E">
          <w:rPr>
            <w:noProof/>
            <w:webHidden/>
            <w:sz w:val="24"/>
          </w:rPr>
          <w:fldChar w:fldCharType="end"/>
        </w:r>
      </w:hyperlink>
    </w:p>
    <w:p w14:paraId="0C341363" w14:textId="77777777" w:rsidR="00BB4D6E" w:rsidRPr="00BB4D6E" w:rsidRDefault="00BB4D6E">
      <w:pPr>
        <w:pStyle w:val="TOC1"/>
        <w:tabs>
          <w:tab w:val="right" w:leader="dot" w:pos="9350"/>
        </w:tabs>
        <w:rPr>
          <w:rFonts w:eastAsiaTheme="minorEastAsia"/>
          <w:noProof/>
          <w:sz w:val="24"/>
        </w:rPr>
      </w:pPr>
      <w:hyperlink w:anchor="_Toc56898498" w:history="1">
        <w:r w:rsidRPr="00BB4D6E">
          <w:rPr>
            <w:rStyle w:val="Hyperlink"/>
            <w:noProof/>
            <w:sz w:val="24"/>
          </w:rPr>
          <w:t>Figure 10: SDE mean center location reference axes</w:t>
        </w:r>
        <w:r w:rsidRPr="00BB4D6E">
          <w:rPr>
            <w:noProof/>
            <w:webHidden/>
            <w:sz w:val="24"/>
          </w:rPr>
          <w:tab/>
        </w:r>
        <w:r w:rsidRPr="00BB4D6E">
          <w:rPr>
            <w:noProof/>
            <w:webHidden/>
            <w:sz w:val="24"/>
          </w:rPr>
          <w:fldChar w:fldCharType="begin"/>
        </w:r>
        <w:r w:rsidRPr="00BB4D6E">
          <w:rPr>
            <w:noProof/>
            <w:webHidden/>
            <w:sz w:val="24"/>
          </w:rPr>
          <w:instrText xml:space="preserve"> PAGEREF _Toc56898498 \h </w:instrText>
        </w:r>
        <w:r w:rsidRPr="00BB4D6E">
          <w:rPr>
            <w:noProof/>
            <w:webHidden/>
            <w:sz w:val="24"/>
          </w:rPr>
        </w:r>
        <w:r w:rsidRPr="00BB4D6E">
          <w:rPr>
            <w:noProof/>
            <w:webHidden/>
            <w:sz w:val="24"/>
          </w:rPr>
          <w:fldChar w:fldCharType="separate"/>
        </w:r>
        <w:r w:rsidRPr="00BB4D6E">
          <w:rPr>
            <w:noProof/>
            <w:webHidden/>
            <w:sz w:val="24"/>
          </w:rPr>
          <w:t>39</w:t>
        </w:r>
        <w:r w:rsidRPr="00BB4D6E">
          <w:rPr>
            <w:noProof/>
            <w:webHidden/>
            <w:sz w:val="24"/>
          </w:rPr>
          <w:fldChar w:fldCharType="end"/>
        </w:r>
      </w:hyperlink>
    </w:p>
    <w:p w14:paraId="44D87071" w14:textId="77777777" w:rsidR="00BB4D6E" w:rsidRPr="00BB4D6E" w:rsidRDefault="00BB4D6E">
      <w:pPr>
        <w:pStyle w:val="TOC1"/>
        <w:tabs>
          <w:tab w:val="right" w:leader="dot" w:pos="9350"/>
        </w:tabs>
        <w:rPr>
          <w:rFonts w:eastAsiaTheme="minorEastAsia"/>
          <w:noProof/>
          <w:sz w:val="24"/>
        </w:rPr>
      </w:pPr>
      <w:hyperlink w:anchor="_Toc56898499" w:history="1">
        <w:r w:rsidRPr="00BB4D6E">
          <w:rPr>
            <w:rStyle w:val="Hyperlink"/>
            <w:noProof/>
            <w:sz w:val="24"/>
          </w:rPr>
          <w:t>Figure 11: Daily mean center locations for WSG tweets</w:t>
        </w:r>
        <w:r w:rsidRPr="00BB4D6E">
          <w:rPr>
            <w:noProof/>
            <w:webHidden/>
            <w:sz w:val="24"/>
          </w:rPr>
          <w:tab/>
        </w:r>
        <w:r w:rsidRPr="00BB4D6E">
          <w:rPr>
            <w:noProof/>
            <w:webHidden/>
            <w:sz w:val="24"/>
          </w:rPr>
          <w:fldChar w:fldCharType="begin"/>
        </w:r>
        <w:r w:rsidRPr="00BB4D6E">
          <w:rPr>
            <w:noProof/>
            <w:webHidden/>
            <w:sz w:val="24"/>
          </w:rPr>
          <w:instrText xml:space="preserve"> PAGEREF _Toc56898499 \h </w:instrText>
        </w:r>
        <w:r w:rsidRPr="00BB4D6E">
          <w:rPr>
            <w:noProof/>
            <w:webHidden/>
            <w:sz w:val="24"/>
          </w:rPr>
        </w:r>
        <w:r w:rsidRPr="00BB4D6E">
          <w:rPr>
            <w:noProof/>
            <w:webHidden/>
            <w:sz w:val="24"/>
          </w:rPr>
          <w:fldChar w:fldCharType="separate"/>
        </w:r>
        <w:r w:rsidRPr="00BB4D6E">
          <w:rPr>
            <w:noProof/>
            <w:webHidden/>
            <w:sz w:val="24"/>
          </w:rPr>
          <w:t>42</w:t>
        </w:r>
        <w:r w:rsidRPr="00BB4D6E">
          <w:rPr>
            <w:noProof/>
            <w:webHidden/>
            <w:sz w:val="24"/>
          </w:rPr>
          <w:fldChar w:fldCharType="end"/>
        </w:r>
      </w:hyperlink>
    </w:p>
    <w:p w14:paraId="3E5E70B9" w14:textId="77777777" w:rsidR="00BB4D6E" w:rsidRPr="00BB4D6E" w:rsidRDefault="00BB4D6E">
      <w:pPr>
        <w:pStyle w:val="TOC1"/>
        <w:tabs>
          <w:tab w:val="right" w:leader="dot" w:pos="9350"/>
        </w:tabs>
        <w:rPr>
          <w:rFonts w:eastAsiaTheme="minorEastAsia"/>
          <w:noProof/>
          <w:sz w:val="24"/>
        </w:rPr>
      </w:pPr>
      <w:hyperlink w:anchor="_Toc56898500" w:history="1">
        <w:r w:rsidRPr="00BB4D6E">
          <w:rPr>
            <w:rStyle w:val="Hyperlink"/>
            <w:noProof/>
            <w:sz w:val="24"/>
          </w:rPr>
          <w:t>Figure 12: WSG SDE maps</w:t>
        </w:r>
        <w:r w:rsidRPr="00BB4D6E">
          <w:rPr>
            <w:noProof/>
            <w:webHidden/>
            <w:sz w:val="24"/>
          </w:rPr>
          <w:tab/>
        </w:r>
        <w:r w:rsidRPr="00BB4D6E">
          <w:rPr>
            <w:noProof/>
            <w:webHidden/>
            <w:sz w:val="24"/>
          </w:rPr>
          <w:fldChar w:fldCharType="begin"/>
        </w:r>
        <w:r w:rsidRPr="00BB4D6E">
          <w:rPr>
            <w:noProof/>
            <w:webHidden/>
            <w:sz w:val="24"/>
          </w:rPr>
          <w:instrText xml:space="preserve"> PAGEREF _Toc56898500 \h </w:instrText>
        </w:r>
        <w:r w:rsidRPr="00BB4D6E">
          <w:rPr>
            <w:noProof/>
            <w:webHidden/>
            <w:sz w:val="24"/>
          </w:rPr>
        </w:r>
        <w:r w:rsidRPr="00BB4D6E">
          <w:rPr>
            <w:noProof/>
            <w:webHidden/>
            <w:sz w:val="24"/>
          </w:rPr>
          <w:fldChar w:fldCharType="separate"/>
        </w:r>
        <w:r w:rsidRPr="00BB4D6E">
          <w:rPr>
            <w:noProof/>
            <w:webHidden/>
            <w:sz w:val="24"/>
          </w:rPr>
          <w:t>44</w:t>
        </w:r>
        <w:r w:rsidRPr="00BB4D6E">
          <w:rPr>
            <w:noProof/>
            <w:webHidden/>
            <w:sz w:val="24"/>
          </w:rPr>
          <w:fldChar w:fldCharType="end"/>
        </w:r>
      </w:hyperlink>
    </w:p>
    <w:p w14:paraId="48174299" w14:textId="77777777" w:rsidR="00BB4D6E" w:rsidRPr="00BB4D6E" w:rsidRDefault="00BB4D6E">
      <w:pPr>
        <w:pStyle w:val="TOC1"/>
        <w:tabs>
          <w:tab w:val="right" w:leader="dot" w:pos="9350"/>
        </w:tabs>
        <w:rPr>
          <w:rFonts w:eastAsiaTheme="minorEastAsia"/>
          <w:noProof/>
          <w:sz w:val="24"/>
        </w:rPr>
      </w:pPr>
      <w:hyperlink w:anchor="_Toc56898501" w:history="1">
        <w:r w:rsidRPr="00BB4D6E">
          <w:rPr>
            <w:rStyle w:val="Hyperlink"/>
            <w:noProof/>
            <w:sz w:val="24"/>
          </w:rPr>
          <w:t>Figure 13: Daily mean center locations for tornado-outbreak tweets</w:t>
        </w:r>
        <w:r w:rsidRPr="00BB4D6E">
          <w:rPr>
            <w:noProof/>
            <w:webHidden/>
            <w:sz w:val="24"/>
          </w:rPr>
          <w:tab/>
        </w:r>
        <w:r w:rsidRPr="00BB4D6E">
          <w:rPr>
            <w:noProof/>
            <w:webHidden/>
            <w:sz w:val="24"/>
          </w:rPr>
          <w:fldChar w:fldCharType="begin"/>
        </w:r>
        <w:r w:rsidRPr="00BB4D6E">
          <w:rPr>
            <w:noProof/>
            <w:webHidden/>
            <w:sz w:val="24"/>
          </w:rPr>
          <w:instrText xml:space="preserve"> PAGEREF _Toc56898501 \h </w:instrText>
        </w:r>
        <w:r w:rsidRPr="00BB4D6E">
          <w:rPr>
            <w:noProof/>
            <w:webHidden/>
            <w:sz w:val="24"/>
          </w:rPr>
        </w:r>
        <w:r w:rsidRPr="00BB4D6E">
          <w:rPr>
            <w:noProof/>
            <w:webHidden/>
            <w:sz w:val="24"/>
          </w:rPr>
          <w:fldChar w:fldCharType="separate"/>
        </w:r>
        <w:r w:rsidRPr="00BB4D6E">
          <w:rPr>
            <w:noProof/>
            <w:webHidden/>
            <w:sz w:val="24"/>
          </w:rPr>
          <w:t>46</w:t>
        </w:r>
        <w:r w:rsidRPr="00BB4D6E">
          <w:rPr>
            <w:noProof/>
            <w:webHidden/>
            <w:sz w:val="24"/>
          </w:rPr>
          <w:fldChar w:fldCharType="end"/>
        </w:r>
      </w:hyperlink>
    </w:p>
    <w:p w14:paraId="3F62B5CF" w14:textId="77777777" w:rsidR="00BB4D6E" w:rsidRPr="00BB4D6E" w:rsidRDefault="00BB4D6E">
      <w:pPr>
        <w:pStyle w:val="TOC1"/>
        <w:tabs>
          <w:tab w:val="right" w:leader="dot" w:pos="9350"/>
        </w:tabs>
        <w:rPr>
          <w:rFonts w:eastAsiaTheme="minorEastAsia"/>
          <w:noProof/>
          <w:sz w:val="24"/>
        </w:rPr>
      </w:pPr>
      <w:hyperlink w:anchor="_Toc56898502" w:history="1">
        <w:r w:rsidRPr="00BB4D6E">
          <w:rPr>
            <w:rStyle w:val="Hyperlink"/>
            <w:noProof/>
            <w:sz w:val="24"/>
          </w:rPr>
          <w:t>Figure 14: Tornado-outbreak SDE maps</w:t>
        </w:r>
        <w:r w:rsidRPr="00BB4D6E">
          <w:rPr>
            <w:noProof/>
            <w:webHidden/>
            <w:sz w:val="24"/>
          </w:rPr>
          <w:tab/>
        </w:r>
        <w:r w:rsidRPr="00BB4D6E">
          <w:rPr>
            <w:noProof/>
            <w:webHidden/>
            <w:sz w:val="24"/>
          </w:rPr>
          <w:fldChar w:fldCharType="begin"/>
        </w:r>
        <w:r w:rsidRPr="00BB4D6E">
          <w:rPr>
            <w:noProof/>
            <w:webHidden/>
            <w:sz w:val="24"/>
          </w:rPr>
          <w:instrText xml:space="preserve"> PAGEREF _Toc56898502 \h </w:instrText>
        </w:r>
        <w:r w:rsidRPr="00BB4D6E">
          <w:rPr>
            <w:noProof/>
            <w:webHidden/>
            <w:sz w:val="24"/>
          </w:rPr>
        </w:r>
        <w:r w:rsidRPr="00BB4D6E">
          <w:rPr>
            <w:noProof/>
            <w:webHidden/>
            <w:sz w:val="24"/>
          </w:rPr>
          <w:fldChar w:fldCharType="separate"/>
        </w:r>
        <w:r w:rsidRPr="00BB4D6E">
          <w:rPr>
            <w:noProof/>
            <w:webHidden/>
            <w:sz w:val="24"/>
          </w:rPr>
          <w:t>49</w:t>
        </w:r>
        <w:r w:rsidRPr="00BB4D6E">
          <w:rPr>
            <w:noProof/>
            <w:webHidden/>
            <w:sz w:val="24"/>
          </w:rPr>
          <w:fldChar w:fldCharType="end"/>
        </w:r>
      </w:hyperlink>
    </w:p>
    <w:p w14:paraId="3997BA6F" w14:textId="6839B54D" w:rsidR="005158F1" w:rsidRPr="00BB4D6E" w:rsidRDefault="005158F1" w:rsidP="00E8699F">
      <w:pPr>
        <w:jc w:val="center"/>
        <w:rPr>
          <w:caps/>
          <w:sz w:val="28"/>
          <w:szCs w:val="24"/>
        </w:rPr>
      </w:pPr>
      <w:r w:rsidRPr="00BB4D6E">
        <w:rPr>
          <w:caps/>
          <w:sz w:val="28"/>
          <w:szCs w:val="24"/>
        </w:rPr>
        <w:fldChar w:fldCharType="end"/>
      </w:r>
    </w:p>
    <w:p w14:paraId="499DEB90" w14:textId="77777777" w:rsidR="00762306" w:rsidRDefault="00762306" w:rsidP="00E8699F">
      <w:pPr>
        <w:jc w:val="center"/>
        <w:rPr>
          <w:b/>
          <w:caps/>
          <w:sz w:val="28"/>
        </w:rPr>
      </w:pPr>
    </w:p>
    <w:p w14:paraId="4A62BF70" w14:textId="77777777" w:rsidR="00762306" w:rsidRDefault="00762306" w:rsidP="00E8699F">
      <w:pPr>
        <w:jc w:val="center"/>
        <w:rPr>
          <w:b/>
          <w:caps/>
          <w:sz w:val="28"/>
        </w:rPr>
      </w:pPr>
    </w:p>
    <w:p w14:paraId="49571A82" w14:textId="77777777" w:rsidR="00762306" w:rsidRDefault="00762306" w:rsidP="00E8699F">
      <w:pPr>
        <w:jc w:val="center"/>
        <w:rPr>
          <w:b/>
          <w:caps/>
          <w:sz w:val="28"/>
        </w:rPr>
      </w:pPr>
    </w:p>
    <w:p w14:paraId="2DA0B981" w14:textId="77777777" w:rsidR="00762306" w:rsidRDefault="00762306" w:rsidP="00E8699F">
      <w:pPr>
        <w:jc w:val="center"/>
        <w:rPr>
          <w:b/>
          <w:caps/>
          <w:sz w:val="28"/>
        </w:rPr>
      </w:pPr>
    </w:p>
    <w:p w14:paraId="09F96042" w14:textId="77777777" w:rsidR="00DF319E" w:rsidRDefault="00DF319E" w:rsidP="00E8699F">
      <w:pPr>
        <w:jc w:val="center"/>
        <w:rPr>
          <w:b/>
          <w:caps/>
          <w:sz w:val="28"/>
        </w:rPr>
        <w:sectPr w:rsidR="00DF319E" w:rsidSect="00236568">
          <w:footerReference w:type="default" r:id="rId8"/>
          <w:type w:val="continuous"/>
          <w:pgSz w:w="12240" w:h="15840"/>
          <w:pgMar w:top="1440" w:right="1440" w:bottom="1440" w:left="1440" w:header="720" w:footer="720" w:gutter="0"/>
          <w:pgNumType w:fmt="lowerRoman"/>
          <w:cols w:space="720"/>
          <w:titlePg/>
          <w:docGrid w:linePitch="360"/>
        </w:sectPr>
      </w:pPr>
    </w:p>
    <w:p w14:paraId="3EEE8803" w14:textId="77777777" w:rsidR="00762306" w:rsidRPr="00AC3CF9" w:rsidRDefault="00762306" w:rsidP="00AC3CF9">
      <w:pPr>
        <w:jc w:val="center"/>
        <w:rPr>
          <w:b/>
          <w:caps/>
          <w:sz w:val="28"/>
        </w:rPr>
      </w:pPr>
      <w:r w:rsidRPr="00AC3CF9">
        <w:rPr>
          <w:b/>
          <w:caps/>
          <w:sz w:val="28"/>
        </w:rPr>
        <w:lastRenderedPageBreak/>
        <w:t>chapter one</w:t>
      </w:r>
    </w:p>
    <w:p w14:paraId="5FE4B23B" w14:textId="5C015ABE" w:rsidR="00762306" w:rsidRPr="00AC3CF9" w:rsidRDefault="00762306" w:rsidP="005B71EC">
      <w:pPr>
        <w:pStyle w:val="Heading1"/>
        <w:spacing w:line="480" w:lineRule="auto"/>
        <w:jc w:val="center"/>
        <w:rPr>
          <w:rFonts w:asciiTheme="minorHAnsi" w:hAnsiTheme="minorHAnsi"/>
          <w:b/>
          <w:caps/>
          <w:color w:val="auto"/>
          <w:sz w:val="28"/>
        </w:rPr>
      </w:pPr>
      <w:bookmarkStart w:id="1" w:name="_Toc56194374"/>
      <w:bookmarkStart w:id="2" w:name="_Toc56898368"/>
      <w:r w:rsidRPr="00AC3CF9">
        <w:rPr>
          <w:rFonts w:asciiTheme="minorHAnsi" w:hAnsiTheme="minorHAnsi"/>
          <w:b/>
          <w:caps/>
          <w:color w:val="auto"/>
          <w:sz w:val="28"/>
        </w:rPr>
        <w:t>introduction</w:t>
      </w:r>
      <w:bookmarkEnd w:id="1"/>
      <w:bookmarkEnd w:id="2"/>
    </w:p>
    <w:p w14:paraId="639664C9" w14:textId="3EB92DEE" w:rsidR="00EA4C31" w:rsidRDefault="00F670BF" w:rsidP="005B71EC">
      <w:pPr>
        <w:spacing w:line="480" w:lineRule="auto"/>
        <w:rPr>
          <w:sz w:val="24"/>
        </w:rPr>
      </w:pPr>
      <w:r>
        <w:rPr>
          <w:sz w:val="24"/>
        </w:rPr>
        <w:tab/>
      </w:r>
      <w:r w:rsidR="00F656E2">
        <w:rPr>
          <w:sz w:val="24"/>
        </w:rPr>
        <w:t xml:space="preserve">Technologic innovations result in improved weather forecasting and communication, allowing for the public to access and share </w:t>
      </w:r>
      <w:r w:rsidR="00F56CE6">
        <w:rPr>
          <w:sz w:val="24"/>
        </w:rPr>
        <w:t xml:space="preserve">continuous weather information </w:t>
      </w:r>
      <w:r w:rsidR="00F56CE6">
        <w:rPr>
          <w:sz w:val="24"/>
        </w:rPr>
        <w:fldChar w:fldCharType="begin" w:fldLock="1"/>
      </w:r>
      <w:r w:rsidR="0063558B">
        <w:rPr>
          <w:sz w:val="24"/>
        </w:rPr>
        <w:instrText>ADDIN CSL_CITATION {"citationItems":[{"id":"ITEM-1","itemData":{"DOI":"10.1175/BAMS-D-16-0058.1","ISSN":"00030007","abstract":"Understanding the dynamic, interconnected processes that characterize the modern hazard information system can transform the creation, communication, and use of weather and climate information.","author":[{"dropping-particle":"","family":"Morss","given":"Rebecca E.","non-dropping-particle":"","parse-names":false,"suffix":""},{"dropping-particle":"","family":"Demuth","given":"Julie L.","non-dropping-particle":"","parse-names":false,"suffix":""},{"dropping-particle":"","family":"Lazrus","given":"Heather","non-dropping-particle":"","parse-names":false,"suffix":""},{"dropping-particle":"","family":"Palen","given":"Leysia","non-dropping-particle":"","parse-names":false,"suffix":""},{"dropping-particle":"","family":"Barton","given":"C. Michael","non-dropping-particle":"","parse-names":false,"suffix":""},{"dropping-particle":"","family":"Davis","given":"Christopher A.","non-dropping-particle":"","parse-names":false,"suffix":""},{"dropping-particle":"","family":"Snyder","given":"Chris","non-dropping-particle":"","parse-names":false,"suffix":""},{"dropping-particle":"V.","family":"Wilhelmi","given":"Olga","non-dropping-particle":"","parse-names":false,"suffix":""},{"dropping-particle":"","family":"Anderson","given":"Kenneth M.","non-dropping-particle":"","parse-names":false,"suffix":""},{"dropping-particle":"","family":"Ahijevych","given":"David A.","non-dropping-particle":"","parse-names":false,"suffix":""},{"dropping-particle":"","family":"Anderson","given":"Jennings","non-dropping-particle":"","parse-names":false,"suffix":""},{"dropping-particle":"","family":"Bica","given":"Melissa","non-dropping-particle":"","parse-names":false,"suffix":""},{"dropping-particle":"","family":"Fossell","given":"Kathryn R.","non-dropping-particle":"","parse-names":false,"suffix":""},{"dropping-particle":"","family":"Henderson","given":"Jennifer","non-dropping-particle":"","parse-names":false,"suffix":""},{"dropping-particle":"","family":"Kogan","given":"Marina","non-dropping-particle":"","parse-names":false,"suffix":""},{"dropping-particle":"","family":"Stowe","given":"Kevin","non-dropping-particle":"","parse-names":false,"suffix":""},{"dropping-particle":"","family":"Watts","given":"Joshua","non-dropping-particle":"","parse-names":false,"suffix":""}],"container-title":"Bulletin of the American Meteorological Society","id":"ITEM-1","issue":"12","issued":{"date-parts":[["2017"]]},"page":"2653-2674","title":"Hazardous weather prediction and communication in the modern information environment","type":"article-journal","volume":"98"},"uris":["http://www.mendeley.com/documents/?uuid=fbb8af30-ef57-4733-ad13-112d42bdd3a9"]}],"mendeley":{"formattedCitation":"(Morss et al., 2017)","plainTextFormattedCitation":"(Morss et al., 2017)","previouslyFormattedCitation":"(Morss et al., 2017)"},"properties":{"noteIndex":0},"schema":"https://github.com/citation-style-language/schema/raw/master/csl-citation.json"}</w:instrText>
      </w:r>
      <w:r w:rsidR="00F56CE6">
        <w:rPr>
          <w:sz w:val="24"/>
        </w:rPr>
        <w:fldChar w:fldCharType="separate"/>
      </w:r>
      <w:r w:rsidR="00F56CE6" w:rsidRPr="00F56CE6">
        <w:rPr>
          <w:noProof/>
          <w:sz w:val="24"/>
        </w:rPr>
        <w:t>(Morss et al., 2017)</w:t>
      </w:r>
      <w:r w:rsidR="00F56CE6">
        <w:rPr>
          <w:sz w:val="24"/>
        </w:rPr>
        <w:fldChar w:fldCharType="end"/>
      </w:r>
      <w:r w:rsidR="00F56CE6">
        <w:rPr>
          <w:sz w:val="24"/>
        </w:rPr>
        <w:t xml:space="preserve">. </w:t>
      </w:r>
      <w:r w:rsidR="00966F56">
        <w:rPr>
          <w:sz w:val="24"/>
        </w:rPr>
        <w:t>Howeve</w:t>
      </w:r>
      <w:r w:rsidR="003F4CD4">
        <w:rPr>
          <w:sz w:val="24"/>
        </w:rPr>
        <w:t xml:space="preserve">r, lives are still lost </w:t>
      </w:r>
      <w:r w:rsidR="001E7010">
        <w:rPr>
          <w:sz w:val="24"/>
        </w:rPr>
        <w:t>to hazardous weather events</w:t>
      </w:r>
      <w:r w:rsidR="00966F56">
        <w:rPr>
          <w:sz w:val="24"/>
        </w:rPr>
        <w:t xml:space="preserve">, even with </w:t>
      </w:r>
      <w:r w:rsidR="001E7010">
        <w:rPr>
          <w:sz w:val="24"/>
        </w:rPr>
        <w:t>advanced</w:t>
      </w:r>
      <w:r w:rsidR="00966F56">
        <w:rPr>
          <w:sz w:val="24"/>
        </w:rPr>
        <w:t xml:space="preserve"> forecasting </w:t>
      </w:r>
      <w:r w:rsidR="00366406">
        <w:rPr>
          <w:sz w:val="24"/>
        </w:rPr>
        <w:t xml:space="preserve">and communication </w:t>
      </w:r>
      <w:r w:rsidR="009A324F">
        <w:rPr>
          <w:sz w:val="24"/>
        </w:rPr>
        <w:t xml:space="preserve">techniques </w:t>
      </w:r>
      <w:r w:rsidR="000C0CA5">
        <w:rPr>
          <w:sz w:val="24"/>
        </w:rPr>
        <w:t>available. The infamous April 2011 tornado o</w:t>
      </w:r>
      <w:r w:rsidR="003826DF">
        <w:rPr>
          <w:sz w:val="24"/>
        </w:rPr>
        <w:t>utbreak demonstrates this</w:t>
      </w:r>
      <w:r w:rsidR="00047DF7">
        <w:rPr>
          <w:sz w:val="24"/>
        </w:rPr>
        <w:t xml:space="preserve"> discontinuity, as </w:t>
      </w:r>
      <w:r w:rsidR="003B3FDC">
        <w:rPr>
          <w:sz w:val="24"/>
        </w:rPr>
        <w:t>a</w:t>
      </w:r>
      <w:r w:rsidR="009429ED">
        <w:rPr>
          <w:sz w:val="24"/>
        </w:rPr>
        <w:t>ll 30</w:t>
      </w:r>
      <w:r w:rsidR="003F4CD4">
        <w:rPr>
          <w:sz w:val="24"/>
        </w:rPr>
        <w:t xml:space="preserve">0 </w:t>
      </w:r>
      <w:r w:rsidR="003B3FDC">
        <w:rPr>
          <w:sz w:val="24"/>
        </w:rPr>
        <w:t>fatalities from this event</w:t>
      </w:r>
      <w:r w:rsidR="003F4CD4">
        <w:rPr>
          <w:sz w:val="24"/>
        </w:rPr>
        <w:t xml:space="preserve"> </w:t>
      </w:r>
      <w:r w:rsidR="009429ED">
        <w:rPr>
          <w:sz w:val="24"/>
        </w:rPr>
        <w:t>were located within counties warned for severe weather by the National Weather Service</w:t>
      </w:r>
      <w:r w:rsidR="00E10DF7">
        <w:rPr>
          <w:sz w:val="24"/>
        </w:rPr>
        <w:t xml:space="preserve"> (NWS) </w:t>
      </w:r>
      <w:r w:rsidR="00E10DF7">
        <w:rPr>
          <w:sz w:val="24"/>
        </w:rPr>
        <w:fldChar w:fldCharType="begin" w:fldLock="1"/>
      </w:r>
      <w:r w:rsidR="005C1CCE">
        <w:rPr>
          <w:sz w:val="24"/>
        </w:rPr>
        <w:instrText>ADDIN CSL_CITATION {"citationItems":[{"id":"ITEM-1","itemData":{"author":[{"dropping-particle":"","family":"Hayes","given":"John L.","non-dropping-particle":"","parse-names":false,"suffix":""}],"container-title":"National Oceanic and Atmospheric Administration Service Asessment","id":"ITEM-1","issue":"April","issued":{"date-parts":[["2012"]]},"title":"The Historic Tornadoes of April 2011","type":"article-journal"},"uris":["http://www.mendeley.com/documents/?uuid=0b61ea15-1aff-4ddf-9cc9-4562606abbb7"]}],"mendeley":{"formattedCitation":"(J. L. Hayes, 2012)","manualFormatting":"(Hayes, 2012)","plainTextFormattedCitation":"(J. L. Hayes, 2012)","previouslyFormattedCitation":"(J. L. Hayes, 2012)"},"properties":{"noteIndex":0},"schema":"https://github.com/citation-style-language/schema/raw/master/csl-citation.json"}</w:instrText>
      </w:r>
      <w:r w:rsidR="00E10DF7">
        <w:rPr>
          <w:sz w:val="24"/>
        </w:rPr>
        <w:fldChar w:fldCharType="separate"/>
      </w:r>
      <w:r w:rsidR="005C1CCE">
        <w:rPr>
          <w:noProof/>
          <w:sz w:val="24"/>
        </w:rPr>
        <w:t>(</w:t>
      </w:r>
      <w:r w:rsidR="00E8119F" w:rsidRPr="00E8119F">
        <w:rPr>
          <w:noProof/>
          <w:sz w:val="24"/>
        </w:rPr>
        <w:t>Hayes, 2012)</w:t>
      </w:r>
      <w:r w:rsidR="00E10DF7">
        <w:rPr>
          <w:sz w:val="24"/>
        </w:rPr>
        <w:fldChar w:fldCharType="end"/>
      </w:r>
      <w:r w:rsidR="00E10DF7">
        <w:rPr>
          <w:sz w:val="24"/>
        </w:rPr>
        <w:t>.</w:t>
      </w:r>
      <w:r w:rsidR="002314E4">
        <w:rPr>
          <w:sz w:val="24"/>
        </w:rPr>
        <w:t xml:space="preserve"> </w:t>
      </w:r>
      <w:r w:rsidR="00366406">
        <w:rPr>
          <w:sz w:val="24"/>
        </w:rPr>
        <w:t>There appears to be some barrier</w:t>
      </w:r>
      <w:r w:rsidR="00664F05">
        <w:rPr>
          <w:sz w:val="24"/>
        </w:rPr>
        <w:t>s</w:t>
      </w:r>
      <w:r w:rsidR="00047DF7">
        <w:rPr>
          <w:sz w:val="24"/>
        </w:rPr>
        <w:t xml:space="preserve"> to risk communication during hazardous weather</w:t>
      </w:r>
      <w:r w:rsidR="00366406">
        <w:rPr>
          <w:sz w:val="24"/>
        </w:rPr>
        <w:t xml:space="preserve">, as effective weather communication remains </w:t>
      </w:r>
      <w:r w:rsidR="003F4CD4">
        <w:rPr>
          <w:sz w:val="24"/>
        </w:rPr>
        <w:t>a challenge</w:t>
      </w:r>
      <w:r w:rsidR="00366406">
        <w:rPr>
          <w:sz w:val="24"/>
        </w:rPr>
        <w:t xml:space="preserve">. </w:t>
      </w:r>
      <w:r w:rsidR="0063558B">
        <w:rPr>
          <w:sz w:val="24"/>
        </w:rPr>
        <w:fldChar w:fldCharType="begin" w:fldLock="1"/>
      </w:r>
      <w:r w:rsidR="00277E32">
        <w:rPr>
          <w:sz w:val="24"/>
        </w:rPr>
        <w:instrText>ADDIN CSL_CITATION {"citationItems":[{"id":"ITEM-1","itemData":{"DOI":"10.1175/WCAS-D-13-00028.1","ISSN":"1948-8327","abstract":"AbstractEffective communication about severe weather requires that providers of weather information disseminate accurate and timely messages and that the intended recipients (i.e., the population at risk) receive and react to these messages. This article contributes to extant research on the second half of this equation by introducing a “real time” measure of public attention to severe weather risk communication based on the growing stream of data that individuals publish on social media platforms, in this case, Twitter. The authors develop a metric that tracks temporal fluctuations in tornado-related Twitter activity between 25 April 2012 and 11 November 2012 and assess the validity of the metric by systematically comparing fluctuations in Twitter activity to the issuance of tornado watches and warnings, which represent basic but important forms of communication designed to elicit, and therefore correlate with, public attention. The assessment finds that the measure demonstrates a high degree of converge...","author":[{"dropping-particle":"","family":"Ripberger","given":"Joseph T.","non-dropping-particle":"","parse-names":false,"suffix":""},{"dropping-particle":"","family":"Jenkins-Smith","given":"Hank C.","non-dropping-particle":"","parse-names":false,"suffix":""},{"dropping-particle":"","family":"Silva","given":"Carol L.","non-dropping-particle":"","parse-names":false,"suffix":""},{"dropping-particle":"","family":"Carlson","given":"Deven E.","non-dropping-particle":"","parse-names":false,"suffix":""},{"dropping-particle":"","family":"Henderson","given":"Matthew","non-dropping-particle":"","parse-names":false,"suffix":""},{"dropping-particle":"","family":"Ripberger","given":"Joseph T.","non-dropping-particle":"","parse-names":false,"suffix":""},{"dropping-particle":"","family":"Jenkins-Smith","given":"Hank C.","non-dropping-particle":"","parse-names":false,"suffix":""},{"dropping-particle":"","family":"Silva","given":"Carol L.","non-dropping-particle":"","parse-names":false,"suffix":""},{"dropping-particle":"","family":"Carlson","given":"Deven E.","non-dropping-particle":"","parse-names":false,"suffix":""},{"dropping-particle":"","family":"Henderson","given":"Matthew","non-dropping-particle":"","parse-names":false,"suffix":""}],"container-title":"Weather, Climate, and Society","id":"ITEM-1","issue":"4","issued":{"date-parts":[["2014","10","8"]]},"page":"520-530","title":"Social Media and Severe Weather: Do Tweets Provide a Valid Indicator of Public Attention to Severe Weather Risk Communication?","type":"article-journal","volume":"6"},"uris":["http://www.mendeley.com/documents/?uuid=d4b421b3-9e43-39c8-9a3d-66fc008fee27"]}],"mendeley":{"formattedCitation":"(Ripberger et al., 2014)","manualFormatting":"Ripberger et al. (2014)","plainTextFormattedCitation":"(Ripberger et al., 2014)","previouslyFormattedCitation":"(Ripberger et al., 2014)"},"properties":{"noteIndex":0},"schema":"https://github.com/citation-style-language/schema/raw/master/csl-citation.json"}</w:instrText>
      </w:r>
      <w:r w:rsidR="0063558B">
        <w:rPr>
          <w:sz w:val="24"/>
        </w:rPr>
        <w:fldChar w:fldCharType="separate"/>
      </w:r>
      <w:r w:rsidR="0063558B">
        <w:rPr>
          <w:noProof/>
          <w:sz w:val="24"/>
        </w:rPr>
        <w:t>Ripberger et al. (</w:t>
      </w:r>
      <w:r w:rsidR="0063558B" w:rsidRPr="0063558B">
        <w:rPr>
          <w:noProof/>
          <w:sz w:val="24"/>
        </w:rPr>
        <w:t>2014)</w:t>
      </w:r>
      <w:r w:rsidR="0063558B">
        <w:rPr>
          <w:sz w:val="24"/>
        </w:rPr>
        <w:fldChar w:fldCharType="end"/>
      </w:r>
      <w:r w:rsidR="0063558B">
        <w:rPr>
          <w:sz w:val="24"/>
        </w:rPr>
        <w:t xml:space="preserve"> found</w:t>
      </w:r>
      <w:r w:rsidR="00EA5069">
        <w:rPr>
          <w:sz w:val="24"/>
        </w:rPr>
        <w:t xml:space="preserve"> the public listens to some, but not all tornado-related information, </w:t>
      </w:r>
      <w:r w:rsidR="00EA4C31">
        <w:rPr>
          <w:sz w:val="24"/>
        </w:rPr>
        <w:t>communicated</w:t>
      </w:r>
      <w:r w:rsidR="00E87849">
        <w:rPr>
          <w:sz w:val="24"/>
        </w:rPr>
        <w:t xml:space="preserve"> by the NWS.</w:t>
      </w:r>
      <w:r w:rsidR="0035686D">
        <w:rPr>
          <w:sz w:val="24"/>
        </w:rPr>
        <w:t xml:space="preserve"> Communication issues are likely seen across many natural hazard events</w:t>
      </w:r>
      <w:r w:rsidR="00047DF7">
        <w:rPr>
          <w:sz w:val="24"/>
        </w:rPr>
        <w:t>, and these barriers are not just specific to weather events</w:t>
      </w:r>
      <w:r w:rsidR="0035686D">
        <w:rPr>
          <w:sz w:val="24"/>
        </w:rPr>
        <w:t>.</w:t>
      </w:r>
    </w:p>
    <w:p w14:paraId="1BA56DAE" w14:textId="76010FA7" w:rsidR="00434C35" w:rsidRDefault="003B3FDC" w:rsidP="008632B6">
      <w:pPr>
        <w:spacing w:line="480" w:lineRule="auto"/>
        <w:rPr>
          <w:sz w:val="24"/>
        </w:rPr>
      </w:pPr>
      <w:r>
        <w:rPr>
          <w:sz w:val="24"/>
        </w:rPr>
        <w:tab/>
      </w:r>
      <w:r w:rsidR="00366406">
        <w:rPr>
          <w:sz w:val="24"/>
        </w:rPr>
        <w:t xml:space="preserve">Social media is a relatively new technology that can be used to help spread information before, during, and after weather events </w:t>
      </w:r>
      <w:r w:rsidR="004906BC">
        <w:rPr>
          <w:sz w:val="24"/>
        </w:rPr>
        <w:fldChar w:fldCharType="begin" w:fldLock="1"/>
      </w:r>
      <w:r w:rsidR="00E3026D">
        <w:rPr>
          <w:sz w:val="24"/>
        </w:rPr>
        <w:instrText>ADDIN CSL_CITATION {"citationItems":[{"id":"ITEM-1","itemData":{"DOI":"10.1111/disa.12092","ISBN":"0361-3666","ISSN":"14677717","PMID":"25243593","abstract":"A comprehensive review of online, official, and scientific literature was carried out in 2012-13 to develop a framework of disaster social media. This framework can be used to facilitate the creation of disaster social media tools, the formulation of disaster social media implementation processes, and the scientific study of disaster social media effects. Disaster social media users in the framework include communities, government, individuals, organisations, and media outlets. Fifteen distinct disaster social media uses were identified, ranging from preparing and receiving disaster preparedness information and warnings and signalling and detecting disasters prior to an event to (re)connecting community members following a disaster. The framework illustrates that a variety of entities may utilise and produce disaster social media content. Consequently, disaster social media use can be conceptualised as occurring at a number of levels, even within the same disaster. Suggestions are provided on how the proposed framework can inform future disaster social media development and research.","author":[{"dropping-particle":"","family":"Houston","given":"J. Brian","non-dropping-particle":"","parse-names":false,"suffix":""},{"dropping-particle":"","family":"Hawthorne","given":"Joshua","non-dropping-particle":"","parse-names":false,"suffix":""},{"dropping-particle":"","family":"Perreault","given":"Mildred F.","non-dropping-particle":"","parse-names":false,"suffix":""},{"dropping-particle":"","family":"Park","given":"Eun Hae","non-dropping-particle":"","parse-names":false,"suffix":""},{"dropping-particle":"","family":"Goldstein Hode","given":"Marlo","non-dropping-particle":"","parse-names":false,"suffix":""},{"dropping-particle":"","family":"Halliwell","given":"Michael R.","non-dropping-particle":"","parse-names":false,"suffix":""},{"dropping-particle":"","family":"Turner Mcgowen","given":"Sarah E.","non-dropping-particle":"","parse-names":false,"suffix":""},{"dropping-particle":"","family":"Davis","given":"Rachel","non-dropping-particle":"","parse-names":false,"suffix":""},{"dropping-particle":"","family":"Vaid","given":"Shivani","non-dropping-particle":"","parse-names":false,"suffix":""},{"dropping-particle":"","family":"Mcelderry","given":"Jonathan A.","non-dropping-particle":"","parse-names":false,"suffix":""},{"dropping-particle":"","family":"Griffith","given":"Stanford A.","non-dropping-particle":"","parse-names":false,"suffix":""}],"container-title":"Disasters","id":"ITEM-1","issue":"1","issued":{"date-parts":[["2015"]]},"page":"1-22","title":"Social media and disasters: A functional framework for social media use in disaster planning, response, and research","type":"article-journal","volume":"39"},"uris":["http://www.mendeley.com/documents/?uuid=e2a5dc0f-90f4-4ded-bc83-dd6cacdcff4b"]}],"mendeley":{"formattedCitation":"(Houston et al., 2015)","plainTextFormattedCitation":"(Houston et al., 2015)","previouslyFormattedCitation":"(Houston et al., 2015)"},"properties":{"noteIndex":0},"schema":"https://github.com/citation-style-language/schema/raw/master/csl-citation.json"}</w:instrText>
      </w:r>
      <w:r w:rsidR="004906BC">
        <w:rPr>
          <w:sz w:val="24"/>
        </w:rPr>
        <w:fldChar w:fldCharType="separate"/>
      </w:r>
      <w:r w:rsidR="004906BC" w:rsidRPr="004906BC">
        <w:rPr>
          <w:noProof/>
          <w:sz w:val="24"/>
        </w:rPr>
        <w:t>(Houston et al., 2015)</w:t>
      </w:r>
      <w:r w:rsidR="004906BC">
        <w:rPr>
          <w:sz w:val="24"/>
        </w:rPr>
        <w:fldChar w:fldCharType="end"/>
      </w:r>
      <w:r w:rsidR="00901474">
        <w:rPr>
          <w:sz w:val="24"/>
        </w:rPr>
        <w:t>.</w:t>
      </w:r>
      <w:r w:rsidR="008F7AE6">
        <w:rPr>
          <w:sz w:val="24"/>
        </w:rPr>
        <w:t xml:space="preserve"> </w:t>
      </w:r>
      <w:r w:rsidR="00664F05">
        <w:rPr>
          <w:sz w:val="24"/>
        </w:rPr>
        <w:t>There are several social media platforms</w:t>
      </w:r>
      <w:r w:rsidR="00CA629C">
        <w:rPr>
          <w:sz w:val="24"/>
        </w:rPr>
        <w:t>, one of them being Twitter.</w:t>
      </w:r>
      <w:r w:rsidR="00664F05">
        <w:rPr>
          <w:sz w:val="24"/>
        </w:rPr>
        <w:t xml:space="preserve"> </w:t>
      </w:r>
      <w:r w:rsidR="00735878">
        <w:rPr>
          <w:sz w:val="24"/>
        </w:rPr>
        <w:t xml:space="preserve">Twitter </w:t>
      </w:r>
      <w:r w:rsidR="001A6FF3">
        <w:rPr>
          <w:sz w:val="24"/>
        </w:rPr>
        <w:t>is consistently ranked</w:t>
      </w:r>
      <w:r w:rsidR="00735878">
        <w:rPr>
          <w:sz w:val="24"/>
        </w:rPr>
        <w:t xml:space="preserve"> a top social media platform annually across usage surveys </w:t>
      </w:r>
      <w:r w:rsidR="003A6153">
        <w:rPr>
          <w:sz w:val="24"/>
        </w:rPr>
        <w:fldChar w:fldCharType="begin" w:fldLock="1"/>
      </w:r>
      <w:r w:rsidR="0021653A">
        <w:rPr>
          <w:sz w:val="24"/>
        </w:rPr>
        <w:instrText>ADDIN CSL_CITATION {"citationItems":[{"id":"ITEM-1","itemData":{"URL":"https://www.pewresearch.org/fact-tank/2019/04/10/share-of-u-s-adults-using-social-media-including-facebook-is-mostly-unchanged-since-2018/","accessed":{"date-parts":[["2020","6","24"]]},"author":[{"dropping-particle":"","family":"Perrin","given":"Andrew","non-dropping-particle":"","parse-names":false,"suffix":""},{"dropping-particle":"","family":"Anderson","given":"Monica","non-dropping-particle":"","parse-names":false,"suffix":""}],"container-title":"Fact Tank","id":"ITEM-1","issued":{"date-parts":[["2019"]]},"title":"Social media usage in the U.S. in 2019 | Pew Research Center","type":"webpage"},"uris":["http://www.mendeley.com/documents/?uuid=a8e3e22c-ad2a-3210-860c-f16e4c73b53b"]}],"mendeley":{"formattedCitation":"(Perrin &amp; Anderson, 2019)","plainTextFormattedCitation":"(Perrin &amp; Anderson, 2019)","previouslyFormattedCitation":"(Perrin &amp; Anderson, 2019)"},"properties":{"noteIndex":0},"schema":"https://github.com/citation-style-language/schema/raw/master/csl-citation.json"}</w:instrText>
      </w:r>
      <w:r w:rsidR="003A6153">
        <w:rPr>
          <w:sz w:val="24"/>
        </w:rPr>
        <w:fldChar w:fldCharType="separate"/>
      </w:r>
      <w:r w:rsidR="00000734" w:rsidRPr="00000734">
        <w:rPr>
          <w:noProof/>
          <w:sz w:val="24"/>
        </w:rPr>
        <w:t>(Perrin &amp; Anderson, 2019)</w:t>
      </w:r>
      <w:r w:rsidR="003A6153">
        <w:rPr>
          <w:sz w:val="24"/>
        </w:rPr>
        <w:fldChar w:fldCharType="end"/>
      </w:r>
      <w:r w:rsidR="001A6FF3">
        <w:rPr>
          <w:sz w:val="24"/>
        </w:rPr>
        <w:t>, and is used during hazardous weather events</w:t>
      </w:r>
      <w:r w:rsidR="00A31D85">
        <w:rPr>
          <w:sz w:val="24"/>
        </w:rPr>
        <w:t xml:space="preserve"> </w:t>
      </w:r>
      <w:r w:rsidR="00A31D85">
        <w:rPr>
          <w:sz w:val="24"/>
        </w:rPr>
        <w:fldChar w:fldCharType="begin" w:fldLock="1"/>
      </w:r>
      <w:r w:rsidR="004733AA">
        <w:rPr>
          <w:sz w:val="24"/>
        </w:rPr>
        <w:instrText>ADDIN CSL_CITATION {"citationItems":[{"id":"ITEM-1","itemData":{"DOI":"10.1371/currents.dis.f2e5b9e979af6174d2f97c1f0349be5c","ISSN":"2157-3999","PMID":"26203396","abstract":"BACKGROUND This article describes a novel triangulation methodological approach for identifying twitter activity of regional active twitter users during the 2013 Hattiesburg EF-4 Tornado. METHODOLOGY A data extraction and geographically centered filtration approach was utilized to generate Twitter data for 48 hrs pre- and post-Tornado. The data was further validated using six sigma approach utilizing GPS data. RESULTS The regional analysis revealed a total of 81,441 tweets, 10,646 Twitter users, 27,309 retweets and 2637 tweets with GPS coordinates. CONCLUSIONS Twitter tweet activity increased 5 fold during the response to the Hattiesburg Tornado.  Retweeting activity increased 2.2 fold. Tweets with a hashtag increased 1.4 fold. Twitter was an effective disaster risk reduction tool for the Hattiesburg EF-4 Tornado 2013.","author":[{"dropping-particle":"","family":"Cooper","given":"Guy Paul","non-dropping-particle":"","parse-names":false,"suffix":""},{"dropping-particle":"","family":"Yeager","given":"Violet","non-dropping-particle":"","parse-names":false,"suffix":""},{"dropping-particle":"","family":"Burkle","given":"Frederick M","non-dropping-particle":"","parse-names":false,"suffix":""},{"dropping-particle":"","family":"Subbarao","given":"Italo","non-dropping-particle":"","parse-names":false,"suffix":""},{"dropping-particle":"","family":"Jr.","given":"","non-dropping-particle":"","parse-names":false,"suffix":""},{"dropping-particle":"","family":"Subbarao","given":"Italo","non-dropping-particle":"","parse-names":false,"suffix":""}],"container-title":"PLoS currents","id":"ITEM-1","issued":{"date-parts":[["2015","6","29"]]},"publisher":"Public Library of Science","title":"Twitter as a Potential Disaster Risk Reduction Tool. Part II: Descriptive Analysis of Identified Twitter Activity during the 2013 Hattiesburg F4 Tornado.","type":"article-journal","volume":"7"},"uris":["http://www.mendeley.com/documents/?uuid=fb5c1cd8-2891-35e2-81bf-53209ff71172"]},{"id":"ITEM-2","itemData":{"DOI":"10.1371/currents.dis.b305fe1b479528fda724c6f84f546471","ISSN":"2157-3999","PMID":"26203397","abstract":"INTRODUCTION Study goals attempt to identify the variables most commonly associated with successful tweeted messages and determine which variables have the most influence in promoting exponential dissemination of information (viral spreading of the message) and trending (becoming popular) in the given disaster affected region. METHODS Part II describes the detailed extraction and triangulation filtration methodological approach to acquiring twitter data for the 2013 Hattiesburg Tornado. The data was then divided into two 48 hour windows before and after the tornado impact with a 2 hour pre-tornado buffer to capture tweets just prior to impact. Criteria-based analysis was completed for Tweets and users. The top 100 pre-Tornado and post-Tornado retweeted users were compared to establish the variability among the top retweeted users during the 4 day span.  RESULTS Pre-Tornado variables that were correlated to higher retweeted rates include total user tweets (0.324), and total times message retweeted (0.530).  Post-Tornado variables that were correlated to higher retweeted rates include total hashtags in a retweet (0.538) and hashtags #Tornado (0.378) and #Hattiesburg (0.254). Overall hashtags usage significantly increased during the storm. Pre-storm there were 5,763 tweets with a hashtag and post-storm there was 13,598 using hashtags. CONCLUSIONS Twitter's unique features allow it to be considered a unique social media tool applicable for emergency managers and public health officials for rapid and accurate two way communication.  Additionally, understanding how variables can be properly manipulated plays a key role in understanding how to use this social media platform for effective, accurate, and rapid mass information communication.","author":[{"dropping-particle":"","family":"Cooper","given":"Guy Paul","non-dropping-particle":"","parse-names":false,"suffix":""},{"dropping-particle":"","family":"Yeager","given":"Violet","non-dropping-particle":"","parse-names":false,"suffix":""},{"dropping-particle":"","family":"Burkle","given":"Frederick M","non-dropping-particle":"","parse-names":false,"suffix":""},{"dropping-particle":"","family":"Subbarao","given":"Italo","non-dropping-particle":"","parse-names":false,"suffix":""},{"dropping-particle":"","family":"Jr.","given":"","non-dropping-particle":"","parse-names":false,"suffix":""},{"dropping-particle":"","family":"Subbarao","given":"Italo","non-dropping-particle":"","parse-names":false,"suffix":""}],"container-title":"PLoS currents","id":"ITEM-2","issued":{"date-parts":[["2015","6","29"]]},"publisher":"Public Library of Science","title":"Twitter as a Potential Disaster Risk Reduction Tool. Part III: Evaluating Variables that Promoted Regional Twitter Use for At-risk Populations During the 2013 Hattiesburg F4 Tornado.","type":"article-journal","volume":"7"},"uris":["http://www.mendeley.com/documents/?uuid=1fcf1389-939a-3dfa-b48e-9dafd2aeae43"]},{"id":"ITEM-3","itemData":{"DOI":"10.1175/WCAS-D-13-00028.1","ISSN":"1948-8327","abstract":"AbstractEffective communication about severe weather requires that providers of weather information disseminate accurate and timely messages and that the intended recipients (i.e., the population at risk) receive and react to these messages. This article contributes to extant research on the second half of this equation by introducing a “real time” measure of public attention to severe weather risk communication based on the growing stream of data that individuals publish on social media platforms, in this case, Twitter. The authors develop a metric that tracks temporal fluctuations in tornado-related Twitter activity between 25 April 2012 and 11 November 2012 and assess the validity of the metric by systematically comparing fluctuations in Twitter activity to the issuance of tornado watches and warnings, which represent basic but important forms of communication designed to elicit, and therefore correlate with, public attention. The assessment finds that the measure demonstrates a high degree of converge...","author":[{"dropping-particle":"","family":"Ripberger","given":"Joseph T.","non-dropping-particle":"","parse-names":false,"suffix":""},{"dropping-particle":"","family":"Jenkins-Smith","given":"Hank C.","non-dropping-particle":"","parse-names":false,"suffix":""},{"dropping-particle":"","family":"Silva","given":"Carol L.","non-dropping-particle":"","parse-names":false,"suffix":""},{"dropping-particle":"","family":"Carlson","given":"Deven E.","non-dropping-particle":"","parse-names":false,"suffix":""},{"dropping-particle":"","family":"Henderson","given":"Matthew","non-dropping-particle":"","parse-names":false,"suffix":""},{"dropping-particle":"","family":"Ripberger","given":"Joseph T.","non-dropping-particle":"","parse-names":false,"suffix":""},{"dropping-particle":"","family":"Jenkins-Smith","given":"Hank C.","non-dropping-particle":"","parse-names":false,"suffix":""},{"dropping-particle":"","family":"Silva","given":"Carol L.","non-dropping-particle":"","parse-names":false,"suffix":""},{"dropping-particle":"","family":"Carlson","given":"Deven E.","non-dropping-particle":"","parse-names":false,"suffix":""},{"dropping-particle":"","family":"Henderson","given":"Matthew","non-dropping-particle":"","parse-names":false,"suffix":""}],"container-title":"Weather, Climate, and Society","id":"ITEM-3","issue":"4","issued":{"date-parts":[["2014","10","8"]]},"page":"520-530","title":"Social Media and Severe Weather: Do Tweets Provide a Valid Indicator of Public Attention to Severe Weather Risk Communication?","type":"article-journal","volume":"6"},"uris":["http://www.mendeley.com/documents/?uuid=d4b421b3-9e43-39c8-9a3d-66fc008fee27"]}],"mendeley":{"formattedCitation":"(Cooper et al., 2015a, 2015b; Ripberger et al., 2014)","plainTextFormattedCitation":"(Cooper et al., 2015a, 2015b; Ripberger et al., 2014)","previouslyFormattedCitation":"(Cooper et al., 2015a, 2015b; Ripberger et al., 2014)"},"properties":{"noteIndex":0},"schema":"https://github.com/citation-style-language/schema/raw/master/csl-citation.json"}</w:instrText>
      </w:r>
      <w:r w:rsidR="00A31D85">
        <w:rPr>
          <w:sz w:val="24"/>
        </w:rPr>
        <w:fldChar w:fldCharType="separate"/>
      </w:r>
      <w:r w:rsidR="00A31D85" w:rsidRPr="00A31D85">
        <w:rPr>
          <w:noProof/>
          <w:sz w:val="24"/>
        </w:rPr>
        <w:t>(Cooper et al., 2015a, 2015b; Ripberger et al., 2014)</w:t>
      </w:r>
      <w:r w:rsidR="00A31D85">
        <w:rPr>
          <w:sz w:val="24"/>
        </w:rPr>
        <w:fldChar w:fldCharType="end"/>
      </w:r>
      <w:r w:rsidR="00F83C23">
        <w:rPr>
          <w:sz w:val="24"/>
        </w:rPr>
        <w:t xml:space="preserve">. </w:t>
      </w:r>
      <w:r w:rsidR="00735878">
        <w:rPr>
          <w:sz w:val="24"/>
        </w:rPr>
        <w:t xml:space="preserve">The demographic of Twitter users </w:t>
      </w:r>
      <w:r w:rsidR="00B5487E">
        <w:rPr>
          <w:sz w:val="24"/>
        </w:rPr>
        <w:t xml:space="preserve">largely </w:t>
      </w:r>
      <w:r w:rsidR="00735878">
        <w:rPr>
          <w:sz w:val="24"/>
        </w:rPr>
        <w:t>include</w:t>
      </w:r>
      <w:r w:rsidR="008F69E7">
        <w:rPr>
          <w:sz w:val="24"/>
        </w:rPr>
        <w:t>s</w:t>
      </w:r>
      <w:r w:rsidR="00735878">
        <w:rPr>
          <w:sz w:val="24"/>
        </w:rPr>
        <w:t xml:space="preserve"> young </w:t>
      </w:r>
      <w:r w:rsidR="005B1464">
        <w:rPr>
          <w:sz w:val="24"/>
        </w:rPr>
        <w:t>(18 to 24 years old)</w:t>
      </w:r>
      <w:r w:rsidR="008F69E7">
        <w:rPr>
          <w:sz w:val="24"/>
        </w:rPr>
        <w:t>,</w:t>
      </w:r>
      <w:r w:rsidR="005B1464">
        <w:rPr>
          <w:sz w:val="24"/>
        </w:rPr>
        <w:t xml:space="preserve"> </w:t>
      </w:r>
      <w:r w:rsidR="00735878">
        <w:rPr>
          <w:sz w:val="24"/>
        </w:rPr>
        <w:t xml:space="preserve">educated </w:t>
      </w:r>
      <w:r w:rsidR="005B1464">
        <w:rPr>
          <w:sz w:val="24"/>
        </w:rPr>
        <w:t xml:space="preserve">(college-level) </w:t>
      </w:r>
      <w:r w:rsidR="00735878">
        <w:rPr>
          <w:sz w:val="24"/>
        </w:rPr>
        <w:t>individu</w:t>
      </w:r>
      <w:r w:rsidR="00B5487E">
        <w:rPr>
          <w:sz w:val="24"/>
        </w:rPr>
        <w:t xml:space="preserve">als who live in urban locations </w:t>
      </w:r>
      <w:r w:rsidR="00F83C23">
        <w:rPr>
          <w:sz w:val="24"/>
        </w:rPr>
        <w:fldChar w:fldCharType="begin" w:fldLock="1"/>
      </w:r>
      <w:r w:rsidR="0021653A">
        <w:rPr>
          <w:sz w:val="24"/>
        </w:rPr>
        <w:instrText>ADDIN CSL_CITATION {"citationItems":[{"id":"ITEM-1","itemData":{"URL":"https://www.pewresearch.org/fact-tank/2019/04/10/share-of-u-s-adults-using-social-media-including-facebook-is-mostly-unchanged-since-2018/","accessed":{"date-parts":[["2020","6","24"]]},"author":[{"dropping-particle":"","family":"Perrin","given":"Andrew","non-dropping-particle":"","parse-names":false,"suffix":""},{"dropping-particle":"","family":"Anderson","given":"Monica","non-dropping-particle":"","parse-names":false,"suffix":""}],"container-title":"Fact Tank","id":"ITEM-1","issued":{"date-parts":[["2019"]]},"title":"Social media usage in the U.S. in 2019 | Pew Research Center","type":"webpage"},"uris":["http://www.mendeley.com/documents/?uuid=a8e3e22c-ad2a-3210-860c-f16e4c73b53b"]}],"mendeley":{"formattedCitation":"(Perrin &amp; Anderson, 2019)","plainTextFormattedCitation":"(Perrin &amp; Anderson, 2019)","previouslyFormattedCitation":"(Perrin &amp; Anderson, 2019)"},"properties":{"noteIndex":0},"schema":"https://github.com/citation-style-language/schema/raw/master/csl-citation.json"}</w:instrText>
      </w:r>
      <w:r w:rsidR="00F83C23">
        <w:rPr>
          <w:sz w:val="24"/>
        </w:rPr>
        <w:fldChar w:fldCharType="separate"/>
      </w:r>
      <w:r w:rsidR="00000734" w:rsidRPr="00000734">
        <w:rPr>
          <w:noProof/>
          <w:sz w:val="24"/>
        </w:rPr>
        <w:t>(Perrin &amp; Anderson, 2019)</w:t>
      </w:r>
      <w:r w:rsidR="00F83C23">
        <w:rPr>
          <w:sz w:val="24"/>
        </w:rPr>
        <w:fldChar w:fldCharType="end"/>
      </w:r>
      <w:r w:rsidR="00265AEA">
        <w:rPr>
          <w:sz w:val="24"/>
        </w:rPr>
        <w:t>.</w:t>
      </w:r>
      <w:r w:rsidR="005923DD">
        <w:rPr>
          <w:sz w:val="24"/>
        </w:rPr>
        <w:t xml:space="preserve"> </w:t>
      </w:r>
      <w:r w:rsidR="00407177">
        <w:rPr>
          <w:sz w:val="24"/>
        </w:rPr>
        <w:t>Twitte</w:t>
      </w:r>
      <w:r w:rsidR="00A313B3">
        <w:rPr>
          <w:sz w:val="24"/>
        </w:rPr>
        <w:t>r users interact through tweets that</w:t>
      </w:r>
      <w:r w:rsidR="00407177">
        <w:rPr>
          <w:sz w:val="24"/>
        </w:rPr>
        <w:t xml:space="preserve"> include wr</w:t>
      </w:r>
      <w:r w:rsidR="00110CF9">
        <w:rPr>
          <w:sz w:val="24"/>
        </w:rPr>
        <w:t>itten o</w:t>
      </w:r>
      <w:r w:rsidR="00A313B3">
        <w:rPr>
          <w:sz w:val="24"/>
        </w:rPr>
        <w:t xml:space="preserve">r multimedia commentary, </w:t>
      </w:r>
      <w:r w:rsidR="005658C2">
        <w:rPr>
          <w:sz w:val="24"/>
        </w:rPr>
        <w:t xml:space="preserve">formatted in </w:t>
      </w:r>
      <w:r w:rsidR="00110CF9">
        <w:rPr>
          <w:sz w:val="24"/>
        </w:rPr>
        <w:t>280 characters or less</w:t>
      </w:r>
      <w:r w:rsidR="00B7390E">
        <w:rPr>
          <w:sz w:val="24"/>
        </w:rPr>
        <w:t xml:space="preserve"> </w:t>
      </w:r>
      <w:r w:rsidR="00B7390E">
        <w:rPr>
          <w:sz w:val="24"/>
        </w:rPr>
        <w:fldChar w:fldCharType="begin" w:fldLock="1"/>
      </w:r>
      <w:r w:rsidR="002B6F7B">
        <w:rPr>
          <w:sz w:val="24"/>
        </w:rPr>
        <w:instrText>ADDIN CSL_CITATION {"citationItems":[{"id":"ITEM-1","itemData":{"URL":"https://developer.twitter.com/en/docs/basics/counting-characters","accessed":{"date-parts":[["2020","6","24"]]},"id":"ITEM-1","issued":{"date-parts":[["2020"]]},"title":"Counting characters","type":"webpage"},"uris":["http://www.mendeley.com/documents/?uuid=7968503c-d116-3ac4-9f14-d248669e9c01"]}],"mendeley":{"formattedCitation":"(“Counting characters,” 2020)","plainTextFormattedCitation":"(“Counting characters,” 2020)","previouslyFormattedCitation":"(“Counting characters,” 2020)"},"properties":{"noteIndex":0},"schema":"https://github.com/citation-style-language/schema/raw/master/csl-citation.json"}</w:instrText>
      </w:r>
      <w:r w:rsidR="00B7390E">
        <w:rPr>
          <w:sz w:val="24"/>
        </w:rPr>
        <w:fldChar w:fldCharType="separate"/>
      </w:r>
      <w:r w:rsidR="00411D98" w:rsidRPr="00411D98">
        <w:rPr>
          <w:noProof/>
          <w:sz w:val="24"/>
        </w:rPr>
        <w:t>(“Counting characters,” 2020)</w:t>
      </w:r>
      <w:r w:rsidR="00B7390E">
        <w:rPr>
          <w:sz w:val="24"/>
        </w:rPr>
        <w:fldChar w:fldCharType="end"/>
      </w:r>
      <w:r w:rsidR="00110CF9">
        <w:rPr>
          <w:sz w:val="24"/>
        </w:rPr>
        <w:t xml:space="preserve">. Tweets can include words, pictures, videos, or links to other online content </w:t>
      </w:r>
      <w:r w:rsidR="00B7390E">
        <w:rPr>
          <w:sz w:val="24"/>
        </w:rPr>
        <w:fldChar w:fldCharType="begin" w:fldLock="1"/>
      </w:r>
      <w:r w:rsidR="00B7390E">
        <w:rPr>
          <w:sz w:val="24"/>
        </w:rPr>
        <w:instrText>ADDIN CSL_CITATION {"citationItems":[{"id":"ITEM-1","itemData":{"URL":"https://help.twitter.com/en/using-twitter/types-of-tweets","accessed":{"date-parts":[["2020","6","24"]]},"id":"ITEM-1","issued":{"date-parts":[["2020"]]},"title":"About different types of Tweets","type":"webpage"},"uris":["http://www.mendeley.com/documents/?uuid=f101d6b4-a6ea-35e6-a2ca-50a788e80cb3"]}],"mendeley":{"formattedCitation":"(“About different types of Tweets,” 2020)","plainTextFormattedCitation":"(“About different types of Tweets,” 2020)","previouslyFormattedCitation":"(“About different types of Tweets,” 2020)"},"properties":{"noteIndex":0},"schema":"https://github.com/citation-style-language/schema/raw/master/csl-citation.json"}</w:instrText>
      </w:r>
      <w:r w:rsidR="00B7390E">
        <w:rPr>
          <w:sz w:val="24"/>
        </w:rPr>
        <w:fldChar w:fldCharType="separate"/>
      </w:r>
      <w:r w:rsidR="00B7390E" w:rsidRPr="00B7390E">
        <w:rPr>
          <w:noProof/>
          <w:sz w:val="24"/>
        </w:rPr>
        <w:t xml:space="preserve">(“About </w:t>
      </w:r>
      <w:r w:rsidR="00B7390E" w:rsidRPr="00B7390E">
        <w:rPr>
          <w:noProof/>
          <w:sz w:val="24"/>
        </w:rPr>
        <w:lastRenderedPageBreak/>
        <w:t>different types of Tweets,” 2020)</w:t>
      </w:r>
      <w:r w:rsidR="00B7390E">
        <w:rPr>
          <w:sz w:val="24"/>
        </w:rPr>
        <w:fldChar w:fldCharType="end"/>
      </w:r>
      <w:r w:rsidR="008F75A1">
        <w:rPr>
          <w:sz w:val="24"/>
        </w:rPr>
        <w:t>.</w:t>
      </w:r>
      <w:r w:rsidR="00F76B20">
        <w:rPr>
          <w:sz w:val="24"/>
        </w:rPr>
        <w:t xml:space="preserve"> It is not uncommon to see tweets that discuss or debate current events </w:t>
      </w:r>
      <w:r w:rsidR="002B6F7B">
        <w:rPr>
          <w:sz w:val="24"/>
        </w:rPr>
        <w:fldChar w:fldCharType="begin" w:fldLock="1"/>
      </w:r>
      <w:r w:rsidR="00131502">
        <w:rPr>
          <w:sz w:val="24"/>
        </w:rPr>
        <w:instrText>ADDIN CSL_CITATION {"citationItems":[{"id":"ITEM-1","itemData":{"DOI":"10.1177/0894439309332302","ISBN":"0894-4393","ISSN":"0894-4393","PMID":"24845361","abstract":"Crises and disasters have micro and macro social arrangements that differ from routine situations, as the field of disaster studies has described over its 100-year history. With increasingly pervasive information and communications technology and a changing political arena where terrorism is perceived as a major threat, the attention to crisis is high. Some of these new features of social life have created changes in disaster response that we are only beginning to understand. The University of Colorado is establishing an area of sociologically informed research and information and communications technology development in crisis informatics. This article reports on research that examines features of computer-mediated communication and information sharing activity during and after the April 16, 2007, crisis at Virginia Tech by members of the public. The authors consider consequences that these technology-supported social interactions have on emergency response and implications for methods in e-Social Science.","author":[{"dropping-particle":"","family":"Palen","given":"Leysia","non-dropping-particle":"","parse-names":false,"suffix":""},{"dropping-particle":"","family":"Vieweg","given":"Sarah","non-dropping-particle":"","parse-names":false,"suffix":""},{"dropping-particle":"","family":"Liu","given":"Sophia B.","non-dropping-particle":"","parse-names":false,"suffix":""},{"dropping-particle":"","family":"Hughes","given":"Amanda Lee","non-dropping-particle":"","parse-names":false,"suffix":""}],"container-title":"Social Science Computer Review","id":"ITEM-1","issue":"4","issued":{"date-parts":[["2009"]]},"page":"467-480","title":"Crisis in a Networked World","type":"article-journal","volume":"27"},"uris":["http://www.mendeley.com/documents/?uuid=8e7f9371-2aa1-43e4-a5ba-e0dc61b84d3a"]},{"id":"ITEM-2","itemData":{"DOI":"10.1109/HICSS.2009.330","ISBN":"978-0-7695-3450-3","author":[{"dropping-particle":"","family":"Qu","given":"Yan","non-dropping-particle":"","parse-names":false,"suffix":""},{"dropping-particle":"","family":"Wu","given":"P.F.","non-dropping-particle":"","parse-names":false,"suffix":""},{"dropping-particle":"","family":"Wang","given":"Xiaoqing","non-dropping-particle":"","parse-names":false,"suffix":""}],"container-title":"2009 42nd Hawaii International Conference on System Sciences","id":"ITEM-2","issued":{"date-parts":[["2009","1"]]},"page":"1-11","publisher":"IEEE","title":"Online Community Response to Major Disaster: A Study of Tianya Forum in the 2008 Sichuan Earthquake","type":"paper-conference"},"uris":["http://www.mendeley.com/documents/?uuid=755a4ed9-2aee-36fc-8c72-0da8ea111e3f"]}],"mendeley":{"formattedCitation":"(Palen, Vieweg, Liu, &amp; Hughes, 2009; Qu, Wu, &amp; Wang, 2009)","plainTextFormattedCitation":"(Palen, Vieweg, Liu, &amp; Hughes, 2009; Qu, Wu, &amp; Wang, 2009)","previouslyFormattedCitation":"(Palen, Vieweg, Liu, &amp; Hughes, 2009; Qu, Wu, &amp; Wang, 2009)"},"properties":{"noteIndex":0},"schema":"https://github.com/citation-style-language/schema/raw/master/csl-citation.json"}</w:instrText>
      </w:r>
      <w:r w:rsidR="002B6F7B">
        <w:rPr>
          <w:sz w:val="24"/>
        </w:rPr>
        <w:fldChar w:fldCharType="separate"/>
      </w:r>
      <w:r w:rsidR="00200A55" w:rsidRPr="00200A55">
        <w:rPr>
          <w:noProof/>
          <w:sz w:val="24"/>
        </w:rPr>
        <w:t>(Palen, Vieweg, Liu, &amp; Hughes, 2009; Qu, Wu, &amp; Wang, 2009)</w:t>
      </w:r>
      <w:r w:rsidR="002B6F7B">
        <w:rPr>
          <w:sz w:val="24"/>
        </w:rPr>
        <w:fldChar w:fldCharType="end"/>
      </w:r>
      <w:r w:rsidR="00F76B20">
        <w:rPr>
          <w:sz w:val="24"/>
        </w:rPr>
        <w:t>.</w:t>
      </w:r>
      <w:r w:rsidR="008856F3">
        <w:rPr>
          <w:sz w:val="24"/>
        </w:rPr>
        <w:t xml:space="preserve"> </w:t>
      </w:r>
    </w:p>
    <w:p w14:paraId="346D6CF3" w14:textId="36075C85" w:rsidR="002A0BC0" w:rsidRDefault="00434C35" w:rsidP="008632B6">
      <w:pPr>
        <w:spacing w:line="480" w:lineRule="auto"/>
        <w:rPr>
          <w:sz w:val="24"/>
        </w:rPr>
      </w:pPr>
      <w:r>
        <w:rPr>
          <w:sz w:val="24"/>
        </w:rPr>
        <w:tab/>
      </w:r>
      <w:r w:rsidR="00ED2728">
        <w:rPr>
          <w:sz w:val="24"/>
        </w:rPr>
        <w:t>During a hazardous weather event, Twitter may be used to spread information from forecasters to the public.</w:t>
      </w:r>
      <w:r w:rsidR="004733AA">
        <w:rPr>
          <w:sz w:val="24"/>
        </w:rPr>
        <w:t xml:space="preserve"> </w:t>
      </w:r>
      <w:r w:rsidR="004733AA">
        <w:rPr>
          <w:sz w:val="24"/>
        </w:rPr>
        <w:fldChar w:fldCharType="begin" w:fldLock="1"/>
      </w:r>
      <w:r w:rsidR="00FD4D4D">
        <w:rPr>
          <w:sz w:val="24"/>
        </w:rPr>
        <w:instrText>ADDIN CSL_CITATION {"citationItems":[{"id":"ITEM-1","itemData":{"DOI":"10.1175/WCAS-D-13-00028.1","ISSN":"1948-8327","abstract":"AbstractEffective communication about severe weather requires that providers of weather information disseminate accurate and timely messages and that the intended recipients (i.e., the population at risk) receive and react to these messages. This article contributes to extant research on the second half of this equation by introducing a “real time” measure of public attention to severe weather risk communication based on the growing stream of data that individuals publish on social media platforms, in this case, Twitter. The authors develop a metric that tracks temporal fluctuations in tornado-related Twitter activity between 25 April 2012 and 11 November 2012 and assess the validity of the metric by systematically comparing fluctuations in Twitter activity to the issuance of tornado watches and warnings, which represent basic but important forms of communication designed to elicit, and therefore correlate with, public attention. The assessment finds that the measure demonstrates a high degree of converge...","author":[{"dropping-particle":"","family":"Ripberger","given":"Joseph T.","non-dropping-particle":"","parse-names":false,"suffix":""},{"dropping-particle":"","family":"Jenkins-Smith","given":"Hank C.","non-dropping-particle":"","parse-names":false,"suffix":""},{"dropping-particle":"","family":"Silva","given":"Carol L.","non-dropping-particle":"","parse-names":false,"suffix":""},{"dropping-particle":"","family":"Carlson","given":"Deven E.","non-dropping-particle":"","parse-names":false,"suffix":""},{"dropping-particle":"","family":"Henderson","given":"Matthew","non-dropping-particle":"","parse-names":false,"suffix":""},{"dropping-particle":"","family":"Ripberger","given":"Joseph T.","non-dropping-particle":"","parse-names":false,"suffix":""},{"dropping-particle":"","family":"Jenkins-Smith","given":"Hank C.","non-dropping-particle":"","parse-names":false,"suffix":""},{"dropping-particle":"","family":"Silva","given":"Carol L.","non-dropping-particle":"","parse-names":false,"suffix":""},{"dropping-particle":"","family":"Carlson","given":"Deven E.","non-dropping-particle":"","parse-names":false,"suffix":""},{"dropping-particle":"","family":"Henderson","given":"Matthew","non-dropping-particle":"","parse-names":false,"suffix":""}],"container-title":"Weather, Climate, and Society","id":"ITEM-1","issue":"4","issued":{"date-parts":[["2014","10","8"]]},"page":"520-530","title":"Social Media and Severe Weather: Do Tweets Provide a Valid Indicator of Public Attention to Severe Weather Risk Communication?","type":"article-journal","volume":"6"},"uris":["http://www.mendeley.com/documents/?uuid=d4b421b3-9e43-39c8-9a3d-66fc008fee27"]}],"mendeley":{"formattedCitation":"(Ripberger et al., 2014)","manualFormatting":"Ripberger et al. (2014)","plainTextFormattedCitation":"(Ripberger et al., 2014)","previouslyFormattedCitation":"(Ripberger et al., 2014)"},"properties":{"noteIndex":0},"schema":"https://github.com/citation-style-language/schema/raw/master/csl-citation.json"}</w:instrText>
      </w:r>
      <w:r w:rsidR="004733AA">
        <w:rPr>
          <w:sz w:val="24"/>
        </w:rPr>
        <w:fldChar w:fldCharType="separate"/>
      </w:r>
      <w:r w:rsidR="004733AA">
        <w:rPr>
          <w:noProof/>
          <w:sz w:val="24"/>
        </w:rPr>
        <w:t>Ripberger et al. (</w:t>
      </w:r>
      <w:r w:rsidR="004733AA" w:rsidRPr="004733AA">
        <w:rPr>
          <w:noProof/>
          <w:sz w:val="24"/>
        </w:rPr>
        <w:t>2014)</w:t>
      </w:r>
      <w:r w:rsidR="004733AA">
        <w:rPr>
          <w:sz w:val="24"/>
        </w:rPr>
        <w:fldChar w:fldCharType="end"/>
      </w:r>
      <w:r w:rsidR="004733AA">
        <w:rPr>
          <w:sz w:val="24"/>
        </w:rPr>
        <w:t xml:space="preserve"> </w:t>
      </w:r>
      <w:r w:rsidR="00074C13">
        <w:rPr>
          <w:sz w:val="24"/>
        </w:rPr>
        <w:t xml:space="preserve">analyzed tweets during the 2012 summer season and found </w:t>
      </w:r>
      <w:r w:rsidR="009B3148">
        <w:rPr>
          <w:sz w:val="24"/>
        </w:rPr>
        <w:t>the presence of tornado watches and warnings triggered heightened tornado-risk awareness in Twitter users.</w:t>
      </w:r>
      <w:r w:rsidR="00180AB8">
        <w:rPr>
          <w:sz w:val="24"/>
        </w:rPr>
        <w:t xml:space="preserve"> Ripberger et al. (2014) </w:t>
      </w:r>
      <w:r w:rsidR="008F69E7">
        <w:rPr>
          <w:sz w:val="24"/>
        </w:rPr>
        <w:t>claimed</w:t>
      </w:r>
      <w:r w:rsidR="00180AB8">
        <w:rPr>
          <w:sz w:val="24"/>
        </w:rPr>
        <w:t xml:space="preserve"> hazardous weather messaging </w:t>
      </w:r>
      <w:r w:rsidR="00242BD4">
        <w:rPr>
          <w:sz w:val="24"/>
        </w:rPr>
        <w:t>must be “</w:t>
      </w:r>
      <w:r w:rsidR="00D64732">
        <w:rPr>
          <w:sz w:val="24"/>
        </w:rPr>
        <w:t>receive[d], [pa</w:t>
      </w:r>
      <w:r w:rsidR="00242BD4">
        <w:rPr>
          <w:sz w:val="24"/>
        </w:rPr>
        <w:t xml:space="preserve">id] attention to, and </w:t>
      </w:r>
      <w:r w:rsidR="00D64732">
        <w:rPr>
          <w:sz w:val="24"/>
        </w:rPr>
        <w:t>[under</w:t>
      </w:r>
      <w:r w:rsidR="009356AD">
        <w:rPr>
          <w:sz w:val="24"/>
        </w:rPr>
        <w:t xml:space="preserve">stood]” </w:t>
      </w:r>
      <w:r w:rsidR="006618E2">
        <w:rPr>
          <w:sz w:val="24"/>
        </w:rPr>
        <w:t xml:space="preserve">to </w:t>
      </w:r>
      <w:r w:rsidR="00242BD4">
        <w:rPr>
          <w:sz w:val="24"/>
        </w:rPr>
        <w:t>re</w:t>
      </w:r>
      <w:r w:rsidR="00FD4D4D">
        <w:rPr>
          <w:sz w:val="24"/>
        </w:rPr>
        <w:t xml:space="preserve">sonate with the general public. The public’s receptiveness to weather risks may even contain a temporal element. </w:t>
      </w:r>
      <w:r w:rsidR="001308A6">
        <w:rPr>
          <w:sz w:val="24"/>
        </w:rPr>
        <w:t xml:space="preserve">According to </w:t>
      </w:r>
      <w:r w:rsidR="00FD4D4D">
        <w:rPr>
          <w:sz w:val="24"/>
        </w:rPr>
        <w:fldChar w:fldCharType="begin" w:fldLock="1"/>
      </w:r>
      <w:r w:rsidR="00496138">
        <w:rPr>
          <w:sz w:val="24"/>
        </w:rPr>
        <w:instrText>ADDIN CSL_CITATION {"citationItems":[{"id":"ITEM-1","itemData":{"DOI":"10.1175/WCAS-D-17-0114.1","ISSN":"1948-8327","abstract":"AbstractNocturnal tornadoes are a public health threat, over twice as likely to have fatalities as tornadoes during the day. While tornado warning receipt is an important factor in models of indivi...","author":[{"dropping-particle":"","family":"Mason","given":"Lisa Reyes","non-dropping-particle":"","parse-names":false,"suffix":""},{"dropping-particle":"","family":"Ellis","given":"Kelsey N.","non-dropping-particle":"","parse-names":false,"suffix":""},{"dropping-particle":"","family":"Winchester","given":"Betsy","non-dropping-particle":"","parse-names":false,"suffix":""},{"dropping-particle":"","family":"Schexnayder","given":"Susan","non-dropping-particle":"","parse-names":false,"suffix":""},{"dropping-particle":"","family":"Mason","given":"Lisa Reyes","non-dropping-particle":"","parse-names":false,"suffix":""},{"dropping-particle":"","family":"Ellis","given":"Kelsey N.","non-dropping-particle":"","parse-names":false,"suffix":""},{"dropping-particle":"","family":"Winchester","given":"Betsy","non-dropping-particle":"","parse-names":false,"suffix":""},{"dropping-particle":"","family":"Schexnayder","given":"Susan","non-dropping-particle":"","parse-names":false,"suffix":""}],"container-title":"Weather, Climate, and Society","id":"ITEM-1","issue":"3","issued":{"date-parts":[["2018","7","29"]]},"page":"561-568","title":"Tornado Warnings at Night: Who Gets the Message?","type":"article-journal","volume":"10"},"uris":["http://www.mendeley.com/documents/?uuid=1384cd47-066a-3b3b-a6bc-cff35773b782"]}],"mendeley":{"formattedCitation":"(Mason et al., 2018)","manualFormatting":"Mason et al. (2018)","plainTextFormattedCitation":"(Mason et al., 2018)","previouslyFormattedCitation":"(Mason et al., 2018)"},"properties":{"noteIndex":0},"schema":"https://github.com/citation-style-language/schema/raw/master/csl-citation.json"}</w:instrText>
      </w:r>
      <w:r w:rsidR="00FD4D4D">
        <w:rPr>
          <w:sz w:val="24"/>
        </w:rPr>
        <w:fldChar w:fldCharType="separate"/>
      </w:r>
      <w:r w:rsidR="00FD4D4D">
        <w:rPr>
          <w:noProof/>
          <w:sz w:val="24"/>
        </w:rPr>
        <w:t>Mason et al. (</w:t>
      </w:r>
      <w:r w:rsidR="00FD4D4D" w:rsidRPr="00FD4D4D">
        <w:rPr>
          <w:noProof/>
          <w:sz w:val="24"/>
        </w:rPr>
        <w:t>2018)</w:t>
      </w:r>
      <w:r w:rsidR="00FD4D4D">
        <w:rPr>
          <w:sz w:val="24"/>
        </w:rPr>
        <w:fldChar w:fldCharType="end"/>
      </w:r>
      <w:r w:rsidR="001308A6">
        <w:rPr>
          <w:sz w:val="24"/>
        </w:rPr>
        <w:t xml:space="preserve">, Tennesseans believed their likelihood of receiving information about tornado risks </w:t>
      </w:r>
      <w:r w:rsidR="00C270EB">
        <w:rPr>
          <w:sz w:val="24"/>
        </w:rPr>
        <w:t xml:space="preserve">is lower </w:t>
      </w:r>
      <w:r w:rsidR="00D5120E">
        <w:rPr>
          <w:sz w:val="24"/>
        </w:rPr>
        <w:t xml:space="preserve">at night. </w:t>
      </w:r>
      <w:r w:rsidR="00E24969">
        <w:rPr>
          <w:sz w:val="24"/>
        </w:rPr>
        <w:t>Additionally, a</w:t>
      </w:r>
      <w:r w:rsidR="00D5120E">
        <w:rPr>
          <w:sz w:val="24"/>
        </w:rPr>
        <w:t>pproximately 25% of Tennesseans use</w:t>
      </w:r>
      <w:r w:rsidR="00B20AEF">
        <w:rPr>
          <w:sz w:val="24"/>
        </w:rPr>
        <w:t>d</w:t>
      </w:r>
      <w:r w:rsidR="00D5120E">
        <w:rPr>
          <w:sz w:val="24"/>
        </w:rPr>
        <w:t xml:space="preserve"> social media to receive weather updates (Mason et al.</w:t>
      </w:r>
      <w:r w:rsidR="00DE1C66">
        <w:rPr>
          <w:sz w:val="24"/>
        </w:rPr>
        <w:t>,</w:t>
      </w:r>
      <w:r w:rsidR="00D5120E">
        <w:rPr>
          <w:sz w:val="24"/>
        </w:rPr>
        <w:t xml:space="preserve"> 2018).</w:t>
      </w:r>
      <w:r w:rsidR="002A0BC0">
        <w:rPr>
          <w:sz w:val="24"/>
        </w:rPr>
        <w:t xml:space="preserve"> Thus, social media’s use during weather events should </w:t>
      </w:r>
      <w:r w:rsidR="009356AD">
        <w:rPr>
          <w:sz w:val="24"/>
        </w:rPr>
        <w:t xml:space="preserve">continue to </w:t>
      </w:r>
      <w:r w:rsidR="002A0BC0">
        <w:rPr>
          <w:sz w:val="24"/>
        </w:rPr>
        <w:t>be explored.</w:t>
      </w:r>
    </w:p>
    <w:p w14:paraId="34E50DEE" w14:textId="69A57A0E" w:rsidR="00877A36" w:rsidRDefault="00E44E1D" w:rsidP="00420EEE">
      <w:pPr>
        <w:spacing w:line="480" w:lineRule="auto"/>
        <w:rPr>
          <w:sz w:val="24"/>
        </w:rPr>
      </w:pPr>
      <w:r>
        <w:rPr>
          <w:sz w:val="24"/>
        </w:rPr>
        <w:tab/>
        <w:t>In my thesis, I compare</w:t>
      </w:r>
      <w:r w:rsidR="005F0ACE">
        <w:rPr>
          <w:sz w:val="24"/>
        </w:rPr>
        <w:t>d</w:t>
      </w:r>
      <w:r>
        <w:rPr>
          <w:sz w:val="24"/>
        </w:rPr>
        <w:t xml:space="preserve"> how the diffusion of tweets </w:t>
      </w:r>
      <w:r w:rsidR="00E75A03">
        <w:rPr>
          <w:sz w:val="24"/>
        </w:rPr>
        <w:t>varied</w:t>
      </w:r>
      <w:r>
        <w:rPr>
          <w:sz w:val="24"/>
        </w:rPr>
        <w:t xml:space="preserve"> across two natural hazard case studies</w:t>
      </w:r>
      <w:r w:rsidR="00151CA2">
        <w:rPr>
          <w:sz w:val="24"/>
        </w:rPr>
        <w:t xml:space="preserve"> in the United States</w:t>
      </w:r>
      <w:r>
        <w:rPr>
          <w:sz w:val="24"/>
        </w:rPr>
        <w:t>. Winter Storm Gia (WSG), a winter event given this n</w:t>
      </w:r>
      <w:r w:rsidR="00753753">
        <w:rPr>
          <w:sz w:val="24"/>
        </w:rPr>
        <w:t>ame by The Weather Channel</w:t>
      </w:r>
      <w:r>
        <w:rPr>
          <w:sz w:val="24"/>
        </w:rPr>
        <w:t>, is my first case study. WSG developed in early to mid-January 2019. It caused flight delays and power outages ac</w:t>
      </w:r>
      <w:r w:rsidR="0046751B">
        <w:rPr>
          <w:sz w:val="24"/>
        </w:rPr>
        <w:t>ross the Rockies, Mid-West</w:t>
      </w:r>
      <w:r>
        <w:rPr>
          <w:sz w:val="24"/>
        </w:rPr>
        <w:t>, Ohio</w:t>
      </w:r>
      <w:r w:rsidR="00F278A9">
        <w:rPr>
          <w:sz w:val="24"/>
        </w:rPr>
        <w:t xml:space="preserve"> River Valley, and Mid-Atlantic from 11 to 14 January 2019.</w:t>
      </w:r>
      <w:r w:rsidR="00301D4A">
        <w:rPr>
          <w:sz w:val="24"/>
        </w:rPr>
        <w:t xml:space="preserve"> A tornado outbreak, located in the </w:t>
      </w:r>
      <w:r w:rsidR="00971829">
        <w:rPr>
          <w:sz w:val="24"/>
        </w:rPr>
        <w:t>Southeast</w:t>
      </w:r>
      <w:r w:rsidR="00301D4A">
        <w:rPr>
          <w:sz w:val="24"/>
        </w:rPr>
        <w:t>, is my second case study.</w:t>
      </w:r>
      <w:r w:rsidR="00266F59">
        <w:rPr>
          <w:sz w:val="24"/>
        </w:rPr>
        <w:t xml:space="preserve"> </w:t>
      </w:r>
      <w:r w:rsidR="00FE0FAE">
        <w:rPr>
          <w:sz w:val="24"/>
        </w:rPr>
        <w:t>It caused 80 tornadoes</w:t>
      </w:r>
      <w:r w:rsidR="00DB5677">
        <w:rPr>
          <w:sz w:val="24"/>
        </w:rPr>
        <w:t xml:space="preserve">, 23 fatalities, and </w:t>
      </w:r>
      <w:r w:rsidR="001803F5">
        <w:rPr>
          <w:sz w:val="24"/>
        </w:rPr>
        <w:t>104</w:t>
      </w:r>
      <w:r w:rsidR="00DB5677">
        <w:rPr>
          <w:sz w:val="24"/>
        </w:rPr>
        <w:t xml:space="preserve"> injuries</w:t>
      </w:r>
      <w:r w:rsidR="001F6443">
        <w:rPr>
          <w:sz w:val="24"/>
        </w:rPr>
        <w:t xml:space="preserve"> in early March 2019</w:t>
      </w:r>
      <w:r w:rsidR="00FE0FAE">
        <w:rPr>
          <w:sz w:val="24"/>
        </w:rPr>
        <w:t xml:space="preserve"> </w:t>
      </w:r>
      <w:r w:rsidR="00FE0FAE">
        <w:rPr>
          <w:sz w:val="24"/>
        </w:rPr>
        <w:fldChar w:fldCharType="begin" w:fldLock="1"/>
      </w:r>
      <w:r w:rsidR="00FE6188">
        <w:rPr>
          <w:sz w:val="24"/>
        </w:rPr>
        <w:instrText>ADDIN CSL_CITATION {"citationItems":[{"id":"ITEM-1","itemData":{"URL":"https://www.spc.noaa.gov/climo/reports/190303_rpts.html","abstract":"SPC Storm Reports Page","accessed":{"date-parts":[["2020","10","17"]]},"container-title":"SPC Storm Reports","id":"ITEM-1","issued":{"date-parts":[["2019"]]},"publisher":"NOAA's National Weather Service","title":"Storm Prediction Center Storm Reports for 3/3/19","type":"webpage"},"uris":["http://www.mendeley.com/documents/?uuid=affc593d-292c-3795-ab3d-d3455187871c"]}],"mendeley":{"formattedCitation":"(“Storm Prediction Center Storm Reports for 3/3/19,” 2019)","plainTextFormattedCitation":"(“Storm Prediction Center Storm Reports for 3/3/19,” 2019)","previouslyFormattedCitation":"(“Storm Prediction Center Storm Reports for 3/3/19,” 2019)"},"properties":{"noteIndex":0},"schema":"https://github.com/citation-style-language/schema/raw/master/csl-citation.json"}</w:instrText>
      </w:r>
      <w:r w:rsidR="00FE0FAE">
        <w:rPr>
          <w:sz w:val="24"/>
        </w:rPr>
        <w:fldChar w:fldCharType="separate"/>
      </w:r>
      <w:r w:rsidR="00FE0FAE" w:rsidRPr="00FE0FAE">
        <w:rPr>
          <w:noProof/>
          <w:sz w:val="24"/>
        </w:rPr>
        <w:t>(“Storm Prediction Center Storm Reports for 3/3/19,” 2019)</w:t>
      </w:r>
      <w:r w:rsidR="00FE0FAE">
        <w:rPr>
          <w:sz w:val="24"/>
        </w:rPr>
        <w:fldChar w:fldCharType="end"/>
      </w:r>
      <w:r w:rsidR="002F52C7">
        <w:rPr>
          <w:sz w:val="24"/>
        </w:rPr>
        <w:t>.</w:t>
      </w:r>
      <w:r w:rsidR="00420EEE">
        <w:rPr>
          <w:sz w:val="24"/>
        </w:rPr>
        <w:t xml:space="preserve"> The research question I aim to answer about these events is: How does the diffusion of </w:t>
      </w:r>
      <w:r w:rsidR="00B20AEF">
        <w:rPr>
          <w:sz w:val="24"/>
        </w:rPr>
        <w:t xml:space="preserve">tweets vary between a multi-day, </w:t>
      </w:r>
      <w:r w:rsidR="00420EEE">
        <w:rPr>
          <w:sz w:val="24"/>
        </w:rPr>
        <w:t>synoptic-le</w:t>
      </w:r>
      <w:r w:rsidR="00B20AEF">
        <w:rPr>
          <w:sz w:val="24"/>
        </w:rPr>
        <w:t xml:space="preserve">vel winter storm and a regional, </w:t>
      </w:r>
      <w:r w:rsidR="00420EEE">
        <w:rPr>
          <w:sz w:val="24"/>
        </w:rPr>
        <w:t>one-day tornado outbreak.</w:t>
      </w:r>
    </w:p>
    <w:p w14:paraId="525425B2" w14:textId="77777777" w:rsidR="0073422F" w:rsidRPr="00AC3CF9" w:rsidRDefault="008632B6" w:rsidP="00AC3CF9">
      <w:pPr>
        <w:jc w:val="center"/>
        <w:rPr>
          <w:b/>
          <w:caps/>
          <w:sz w:val="28"/>
          <w:szCs w:val="28"/>
        </w:rPr>
      </w:pPr>
      <w:r w:rsidRPr="00AC3CF9">
        <w:rPr>
          <w:b/>
          <w:caps/>
          <w:sz w:val="28"/>
          <w:szCs w:val="28"/>
        </w:rPr>
        <w:lastRenderedPageBreak/>
        <w:t>Chapter Two</w:t>
      </w:r>
    </w:p>
    <w:p w14:paraId="01370D63" w14:textId="7DE19929" w:rsidR="008632B6" w:rsidRPr="00AC3CF9" w:rsidRDefault="008632B6" w:rsidP="005B71EC">
      <w:pPr>
        <w:pStyle w:val="Heading1"/>
        <w:spacing w:line="480" w:lineRule="auto"/>
        <w:jc w:val="center"/>
        <w:rPr>
          <w:rFonts w:asciiTheme="minorHAnsi" w:hAnsiTheme="minorHAnsi"/>
          <w:b/>
          <w:caps/>
          <w:color w:val="auto"/>
          <w:sz w:val="28"/>
          <w:szCs w:val="28"/>
        </w:rPr>
      </w:pPr>
      <w:bookmarkStart w:id="3" w:name="_Toc56194376"/>
      <w:bookmarkStart w:id="4" w:name="_Toc56898369"/>
      <w:r w:rsidRPr="00AC3CF9">
        <w:rPr>
          <w:rFonts w:asciiTheme="minorHAnsi" w:hAnsiTheme="minorHAnsi"/>
          <w:b/>
          <w:caps/>
          <w:color w:val="auto"/>
          <w:sz w:val="28"/>
          <w:szCs w:val="28"/>
        </w:rPr>
        <w:t>Background</w:t>
      </w:r>
      <w:bookmarkEnd w:id="3"/>
      <w:bookmarkEnd w:id="4"/>
    </w:p>
    <w:p w14:paraId="38093BC6" w14:textId="4542E058" w:rsidR="007826C1" w:rsidRPr="004429A7" w:rsidRDefault="00AC3CF9" w:rsidP="005B71EC">
      <w:pPr>
        <w:pStyle w:val="Heading2"/>
        <w:spacing w:line="480" w:lineRule="auto"/>
        <w:rPr>
          <w:rFonts w:asciiTheme="minorHAnsi" w:hAnsiTheme="minorHAnsi"/>
          <w:b/>
          <w:color w:val="auto"/>
          <w:sz w:val="24"/>
        </w:rPr>
      </w:pPr>
      <w:bookmarkStart w:id="5" w:name="_Toc56898370"/>
      <w:r>
        <w:rPr>
          <w:rFonts w:asciiTheme="minorHAnsi" w:hAnsiTheme="minorHAnsi"/>
          <w:b/>
          <w:color w:val="auto"/>
          <w:sz w:val="24"/>
        </w:rPr>
        <w:t xml:space="preserve">2.1 </w:t>
      </w:r>
      <w:r w:rsidR="007826C1" w:rsidRPr="004429A7">
        <w:rPr>
          <w:rFonts w:asciiTheme="minorHAnsi" w:hAnsiTheme="minorHAnsi"/>
          <w:b/>
          <w:color w:val="auto"/>
          <w:sz w:val="24"/>
        </w:rPr>
        <w:t xml:space="preserve">Twitter </w:t>
      </w:r>
      <w:r w:rsidR="00E931A5" w:rsidRPr="004429A7">
        <w:rPr>
          <w:rFonts w:asciiTheme="minorHAnsi" w:hAnsiTheme="minorHAnsi"/>
          <w:b/>
          <w:color w:val="auto"/>
          <w:sz w:val="24"/>
        </w:rPr>
        <w:t>data in</w:t>
      </w:r>
      <w:r w:rsidR="007826C1" w:rsidRPr="004429A7">
        <w:rPr>
          <w:rFonts w:asciiTheme="minorHAnsi" w:hAnsiTheme="minorHAnsi"/>
          <w:b/>
          <w:color w:val="auto"/>
          <w:sz w:val="24"/>
        </w:rPr>
        <w:t xml:space="preserve"> academic research</w:t>
      </w:r>
      <w:bookmarkEnd w:id="5"/>
    </w:p>
    <w:p w14:paraId="5546E63C" w14:textId="56A8D36C" w:rsidR="002D242B" w:rsidRDefault="00F670BF" w:rsidP="004429A7">
      <w:pPr>
        <w:spacing w:line="480" w:lineRule="auto"/>
        <w:rPr>
          <w:sz w:val="24"/>
        </w:rPr>
      </w:pPr>
      <w:r>
        <w:rPr>
          <w:sz w:val="24"/>
        </w:rPr>
        <w:tab/>
      </w:r>
      <w:r w:rsidR="00810EE1">
        <w:rPr>
          <w:sz w:val="24"/>
        </w:rPr>
        <w:t>Twitter data are research</w:t>
      </w:r>
      <w:r w:rsidR="00BC1EAF">
        <w:rPr>
          <w:sz w:val="24"/>
        </w:rPr>
        <w:t>ed</w:t>
      </w:r>
      <w:r w:rsidR="00810EE1">
        <w:rPr>
          <w:sz w:val="24"/>
        </w:rPr>
        <w:t xml:space="preserve"> across many academic disciplines. </w:t>
      </w:r>
      <w:r w:rsidR="006921EC">
        <w:rPr>
          <w:sz w:val="24"/>
        </w:rPr>
        <w:t>A</w:t>
      </w:r>
      <w:r w:rsidR="00765151">
        <w:rPr>
          <w:sz w:val="24"/>
        </w:rPr>
        <w:t xml:space="preserve">tmospheric science </w:t>
      </w:r>
      <w:r w:rsidR="00765151">
        <w:rPr>
          <w:sz w:val="24"/>
        </w:rPr>
        <w:fldChar w:fldCharType="begin" w:fldLock="1"/>
      </w:r>
      <w:r w:rsidR="00765151">
        <w:rPr>
          <w:sz w:val="24"/>
        </w:rPr>
        <w:instrText>ADDIN CSL_CITATION {"citationItems":[{"id":"ITEM-1","itemData":{"DOI":"10.1175/WCAS-D-13-00028.1","ISSN":"1948-8327","abstract":"AbstractEffective communication about severe weather requires that providers of weather information disseminate accurate and timely messages and that the intended recipients (i.e., the population at risk) receive and react to these messages. This article contributes to extant research on the second half of this equation by introducing a “real time” measure of public attention to severe weather risk communication based on the growing stream of data that individuals publish on social media platforms, in this case, Twitter. The authors develop a metric that tracks temporal fluctuations in tornado-related Twitter activity between 25 April 2012 and 11 November 2012 and assess the validity of the metric by systematically comparing fluctuations in Twitter activity to the issuance of tornado watches and warnings, which represent basic but important forms of communication designed to elicit, and therefore correlate with, public attention. The assessment finds that the measure demonstrates a high degree of converge...","author":[{"dropping-particle":"","family":"Ripberger","given":"Joseph T.","non-dropping-particle":"","parse-names":false,"suffix":""},{"dropping-particle":"","family":"Jenkins-Smith","given":"Hank C.","non-dropping-particle":"","parse-names":false,"suffix":""},{"dropping-particle":"","family":"Silva","given":"Carol L.","non-dropping-particle":"","parse-names":false,"suffix":""},{"dropping-particle":"","family":"Carlson","given":"Deven E.","non-dropping-particle":"","parse-names":false,"suffix":""},{"dropping-particle":"","family":"Henderson","given":"Matthew","non-dropping-particle":"","parse-names":false,"suffix":""},{"dropping-particle":"","family":"Ripberger","given":"Joseph T.","non-dropping-particle":"","parse-names":false,"suffix":""},{"dropping-particle":"","family":"Jenkins-Smith","given":"Hank C.","non-dropping-particle":"","parse-names":false,"suffix":""},{"dropping-particle":"","family":"Silva","given":"Carol L.","non-dropping-particle":"","parse-names":false,"suffix":""},{"dropping-particle":"","family":"Carlson","given":"Deven E.","non-dropping-particle":"","parse-names":false,"suffix":""},{"dropping-particle":"","family":"Henderson","given":"Matthew","non-dropping-particle":"","parse-names":false,"suffix":""}],"container-title":"Weather, Climate, and Society","id":"ITEM-1","issue":"4","issued":{"date-parts":[["2014","10","8"]]},"page":"520-530","title":"Social Media and Severe Weather: Do Tweets Provide a Valid Indicator of Public Attention to Severe Weather Risk Communication?","type":"article-journal","volume":"6"},"uris":["http://www.mendeley.com/documents/?uuid=d4b421b3-9e43-39c8-9a3d-66fc008fee27"]}],"mendeley":{"formattedCitation":"(Ripberger et al., 2014)","plainTextFormattedCitation":"(Ripberger et al., 2014)","previouslyFormattedCitation":"(Ripberger et al., 2014)"},"properties":{"noteIndex":0},"schema":"https://github.com/citation-style-language/schema/raw/master/csl-citation.json"}</w:instrText>
      </w:r>
      <w:r w:rsidR="00765151">
        <w:rPr>
          <w:sz w:val="24"/>
        </w:rPr>
        <w:fldChar w:fldCharType="separate"/>
      </w:r>
      <w:r w:rsidR="00765151" w:rsidRPr="00765151">
        <w:rPr>
          <w:noProof/>
          <w:sz w:val="24"/>
        </w:rPr>
        <w:t>(Ripberger et al., 2014)</w:t>
      </w:r>
      <w:r w:rsidR="00765151">
        <w:rPr>
          <w:sz w:val="24"/>
        </w:rPr>
        <w:fldChar w:fldCharType="end"/>
      </w:r>
      <w:r w:rsidR="00765151">
        <w:rPr>
          <w:sz w:val="24"/>
        </w:rPr>
        <w:t xml:space="preserve">, </w:t>
      </w:r>
      <w:r w:rsidR="00923827">
        <w:rPr>
          <w:sz w:val="24"/>
        </w:rPr>
        <w:t xml:space="preserve">emergency management </w:t>
      </w:r>
      <w:r w:rsidR="00923827">
        <w:rPr>
          <w:sz w:val="24"/>
        </w:rPr>
        <w:fldChar w:fldCharType="begin" w:fldLock="1"/>
      </w:r>
      <w:r w:rsidR="00F93704">
        <w:rPr>
          <w:sz w:val="24"/>
        </w:rPr>
        <w:instrText>ADDIN CSL_CITATION {"citationItems":[{"id":"ITEM-1","itemData":{"DOI":"10.1126/science.aaf4182","ISSN":"0036-8075","author":[{"dropping-particle":"","family":"Bohannon","given":"John","non-dropping-particle":"","parse-names":false,"suffix":""}],"container-title":"Science","id":"ITEM-1","issued":{"date-parts":[["2016","3","11"]]},"title":"Twitter can predict hurricane damage as well as emergency agencies","type":"article-journal"},"uris":["http://www.mendeley.com/documents/?uuid=857e219c-4649-32aa-aacb-332ac22d3433"]}],"mendeley":{"formattedCitation":"(Bohannon, 2016)","plainTextFormattedCitation":"(Bohannon, 2016)","previouslyFormattedCitation":"(Bohannon, 2016)"},"properties":{"noteIndex":0},"schema":"https://github.com/citation-style-language/schema/raw/master/csl-citation.json"}</w:instrText>
      </w:r>
      <w:r w:rsidR="00923827">
        <w:rPr>
          <w:sz w:val="24"/>
        </w:rPr>
        <w:fldChar w:fldCharType="separate"/>
      </w:r>
      <w:r w:rsidR="00A05FB2" w:rsidRPr="00A05FB2">
        <w:rPr>
          <w:noProof/>
          <w:sz w:val="24"/>
        </w:rPr>
        <w:t>(Bohannon, 2016)</w:t>
      </w:r>
      <w:r w:rsidR="00923827">
        <w:rPr>
          <w:sz w:val="24"/>
        </w:rPr>
        <w:fldChar w:fldCharType="end"/>
      </w:r>
      <w:r w:rsidR="00923827">
        <w:rPr>
          <w:sz w:val="24"/>
        </w:rPr>
        <w:t xml:space="preserve">, </w:t>
      </w:r>
      <w:r w:rsidR="00765151">
        <w:rPr>
          <w:sz w:val="24"/>
        </w:rPr>
        <w:t xml:space="preserve">epidemiology </w:t>
      </w:r>
      <w:r w:rsidR="00765151">
        <w:rPr>
          <w:sz w:val="24"/>
        </w:rPr>
        <w:fldChar w:fldCharType="begin" w:fldLock="1"/>
      </w:r>
      <w:r w:rsidR="00923827">
        <w:rPr>
          <w:sz w:val="24"/>
        </w:rPr>
        <w:instrText>ADDIN CSL_CITATION {"citationItems":[{"id":"ITEM-1","itemData":{"DOI":"10.1377/hlthaff.2015.1092","ISSN":"1544-5208 (Electronic)","PMID":"26858390","abstract":"Real-time monitoring of mainstream and social media can inform public health practitioners and policy makers about vaccine sentiment and hesitancy. We describe a publicly available platform for monitoring vaccination-related content, called the Vaccine Sentimeter. With automated data collection from 100,000 mainstream media sources and Twitter, natural-language processing for automated filtering, and manual curation to ensure accuracy, the Vaccine Sentimeter offers a global real-time view of vaccination conversations online. To assess the system's utility, we followed two events: polio vaccination in Pakistan after a news story about a Central Intelligence Agency vaccination ruse and subsequent attacks on health care workers, and a controversial episode in a television program about adverse events following human papillomavirus vaccination. For both events, increased online activity was detected and characterized. For the first event, Twitter response to the attacks on health care workers decreased drastically after the first attack, in contrast to mainstream media coverage. For the second event, the mainstream and social media response was largely positive about the HPV vaccine, but antivaccine conversations persisted longer than the provaccine reaction. Using the Vaccine Sentimeter could enable public health professionals to detect increased online activity or sudden shifts in sentiment that could affect vaccination uptake.","author":[{"dropping-particle":"","family":"Bahk","given":"Chi Y","non-dropping-particle":"","parse-names":false,"suffix":""},{"dropping-particle":"","family":"Cumming","given":"Melissa","non-dropping-particle":"","parse-names":false,"suffix":""},{"dropping-particle":"","family":"Paushter","given":"Louisa","non-dropping-particle":"","parse-names":false,"suffix":""},{"dropping-particle":"","family":"Madoff","given":"Lawrence C","non-dropping-particle":"","parse-names":false,"suffix":""},{"dropping-particle":"","family":"Thomson","given":"Angus","non-dropping-particle":"","parse-names":false,"suffix":""},{"dropping-particle":"","family":"Brownstein","given":"John S","non-dropping-particle":"","parse-names":false,"suffix":""}],"container-title":"Health affairs (Project Hope)","id":"ITEM-1","issue":"2","issued":{"date-parts":[["2016"]]},"page":"341-347","title":"Publicly Available Online Tool Facilitates Real-Time Monitoring Of Vaccine Conversations And Sentiments.","type":"article-journal","volume":"35"},"uris":["http://www.mendeley.com/documents/?uuid=f1b8bfe0-edc1-4a0b-a492-df1c2dd2199b"]}],"mendeley":{"formattedCitation":"(Bahk et al., 2016)","plainTextFormattedCitation":"(Bahk et al., 2016)","previouslyFormattedCitation":"(Bahk et al., 2016)"},"properties":{"noteIndex":0},"schema":"https://github.com/citation-style-language/schema/raw/master/csl-citation.json"}</w:instrText>
      </w:r>
      <w:r w:rsidR="00765151">
        <w:rPr>
          <w:sz w:val="24"/>
        </w:rPr>
        <w:fldChar w:fldCharType="separate"/>
      </w:r>
      <w:r w:rsidR="00765151" w:rsidRPr="00765151">
        <w:rPr>
          <w:noProof/>
          <w:sz w:val="24"/>
        </w:rPr>
        <w:t>(Bahk et al., 2016)</w:t>
      </w:r>
      <w:r w:rsidR="00765151">
        <w:rPr>
          <w:sz w:val="24"/>
        </w:rPr>
        <w:fldChar w:fldCharType="end"/>
      </w:r>
      <w:r w:rsidR="00765151">
        <w:rPr>
          <w:sz w:val="24"/>
        </w:rPr>
        <w:t>,</w:t>
      </w:r>
      <w:r w:rsidR="00923827">
        <w:rPr>
          <w:sz w:val="24"/>
        </w:rPr>
        <w:t xml:space="preserve"> marketing</w:t>
      </w:r>
      <w:r w:rsidR="00765151">
        <w:rPr>
          <w:sz w:val="24"/>
        </w:rPr>
        <w:t xml:space="preserve"> </w:t>
      </w:r>
      <w:r w:rsidR="00923827">
        <w:rPr>
          <w:sz w:val="24"/>
        </w:rPr>
        <w:fldChar w:fldCharType="begin" w:fldLock="1"/>
      </w:r>
      <w:r w:rsidR="00923827">
        <w:rPr>
          <w:sz w:val="24"/>
        </w:rPr>
        <w:instrText>ADDIN CSL_CITATION {"citationItems":[{"id":"ITEM-1","itemData":{"DOI":"10.1016/j.bushor.2014.07.005","ISSN":"00076813","abstract":"The social media space has become a common place for communication, networking, and content sharing. Many companies seek marketing and business opportunities via these platforms. However, the link between resources generated from these sites and business performance remains largely unexploited. Both managers and financial advisors can profit from the lessons learned in this study. We conceptualize four channels by which social media impacts financial, operational, and corporate social performance: social capital, customers' revealed preferences, social marketing, and social corporate networking. An empirical test of our framework shows that 'followers' and 'likes' positively influence a firm's share value, but only after a critical mass of followers is attained. Our estimates suggest that Twitter is a more powerful tool to enhance business performance than Facebook.","author":[{"dropping-particle":"","family":"Paniagua","given":"Jordi","non-dropping-particle":"","parse-names":false,"suffix":""},{"dropping-particle":"","family":"Sapena","given":"Juan","non-dropping-particle":"","parse-names":false,"suffix":""}],"container-title":"Business Horizons","id":"ITEM-1","issue":"6","issued":{"date-parts":[["2014"]]},"page":"719-728","publisher":"\"Kelley School of Business, Indiana University\"","title":"Business performance and social media: Love or hate?","type":"article-journal","volume":"57"},"uris":["http://www.mendeley.com/documents/?uuid=d8e2910b-cdde-42af-b85c-694f2d14fb45"]}],"mendeley":{"formattedCitation":"(Paniagua &amp; Sapena, 2014)","plainTextFormattedCitation":"(Paniagua &amp; Sapena, 2014)","previouslyFormattedCitation":"(Paniagua &amp; Sapena, 2014)"},"properties":{"noteIndex":0},"schema":"https://github.com/citation-style-language/schema/raw/master/csl-citation.json"}</w:instrText>
      </w:r>
      <w:r w:rsidR="00923827">
        <w:rPr>
          <w:sz w:val="24"/>
        </w:rPr>
        <w:fldChar w:fldCharType="separate"/>
      </w:r>
      <w:r w:rsidR="00923827" w:rsidRPr="00923827">
        <w:rPr>
          <w:noProof/>
          <w:sz w:val="24"/>
        </w:rPr>
        <w:t>(Paniagua &amp; Sapena, 2014)</w:t>
      </w:r>
      <w:r w:rsidR="00923827">
        <w:rPr>
          <w:sz w:val="24"/>
        </w:rPr>
        <w:fldChar w:fldCharType="end"/>
      </w:r>
      <w:r w:rsidR="00923827">
        <w:rPr>
          <w:sz w:val="24"/>
        </w:rPr>
        <w:t xml:space="preserve">, </w:t>
      </w:r>
      <w:r w:rsidR="006921EC">
        <w:rPr>
          <w:sz w:val="24"/>
        </w:rPr>
        <w:t xml:space="preserve">risk perception </w:t>
      </w:r>
      <w:r w:rsidR="006921EC">
        <w:rPr>
          <w:sz w:val="24"/>
        </w:rPr>
        <w:fldChar w:fldCharType="begin" w:fldLock="1"/>
      </w:r>
      <w:r w:rsidR="006921EC">
        <w:rPr>
          <w:sz w:val="24"/>
        </w:rPr>
        <w:instrText>ADDIN CSL_CITATION {"citationItems":[{"id":"ITEM-1","itemData":{"DOI":"10.1175/2011wcas1076.1","ISSN":"1948-8327","abstract":"Tornado warnings are currently issued an average of 13 min in advance of a tornado and are based on a warn-on-detection paradigm. However, computer model improvements may allow for a new warning paradigm, warn-on-forecast, to be established in the future. This would mean that tornado warnings could be issued one to two hours in advance, prior to storm initiation. In anticipation of the technological innovation, this study inquires whether the warn-on-forecast paradigm for tornado warnings may be preferred by the public (i.e., individuals and households). The authors sample is drawn from visitors to the National Weather Center in Norman, Oklahoma. During the summer and fall of 2009, surveys were distributed to 320 participants to assess their understanding and perception of weather risks and preferred tornado warning lead time. Responses were analyzed according to several different parameters including age, region of residency, educational level, number of children, and prior tornado experience. A majority of the respondents answered many of the weather risk questions correctly. They seemed to be familiar with tornado seasons; however, they were unaware of the relative number of fatalities caused by tornadoes and several additional weather phenomena each year in the United States. The preferred lead time was 34.3 min according to average survey responses. This suggests that while the general public may currently prefer a longer average lead time than the present system offers, the preference does not extend to the 1–2-h time frame theoretically offered by the warn-on-forecast system. When asked what they would do if given a 1-h lead time, respondents reported that taking shelter was a lesser priority than when given a 15-min lead time, and fleeing the area became a slightly more popular alternative. A majority of respondents also reported the situation would feel less life threatening if given a 1-h lead time. These results suggest that how the public responds to longer lead times may be complex and situationally dependent, and further study must be conducted to ascertain the users for whom the longer lead times would carry the most value. These results form the basis of an informative stated-preference approach to predicting public response to long (&gt;1 h) warning lead times, using public understanding of the risks posed by severe weather events to contextualize lead-time demand.","author":[{"dropping-particle":"","family":"Hoekstra","given":"S.","non-dropping-particle":"","parse-names":false,"suffix":""},{"dropping-particle":"","family":"Klockow","given":"K.","non-dropping-particle":"","parse-names":false,"suffix":""},{"dropping-particle":"","family":"Riley","given":"R.","non-dropping-particle":"","parse-names":false,"suffix":""},{"dropping-particle":"","family":"Brotzge","given":"J.","non-dropping-particle":"","parse-names":false,"suffix":""},{"dropping-particle":"","family":"Brooks","given":"H.","non-dropping-particle":"","parse-names":false,"suffix":""},{"dropping-particle":"","family":"Erickson","given":"S.","non-dropping-particle":"","parse-names":false,"suffix":""}],"container-title":"Weather, Climate, and Society","id":"ITEM-1","issue":"2","issued":{"date-parts":[["2011"]]},"page":"128-140","title":"A Preliminary Look at the Social Perspective of Warn-on-Forecast: Preferred Tornado Warning Lead Time and the General Public’s Perceptions of Weather Risks","type":"article-journal","volume":"3"},"uris":["http://www.mendeley.com/documents/?uuid=982cdfe7-3bf5-4d79-a4f8-35d80f9c6a8d"]}],"mendeley":{"formattedCitation":"(Hoekstra et al., 2011)","plainTextFormattedCitation":"(Hoekstra et al., 2011)","previouslyFormattedCitation":"(Hoekstra et al., 2011)"},"properties":{"noteIndex":0},"schema":"https://github.com/citation-style-language/schema/raw/master/csl-citation.json"}</w:instrText>
      </w:r>
      <w:r w:rsidR="006921EC">
        <w:rPr>
          <w:sz w:val="24"/>
        </w:rPr>
        <w:fldChar w:fldCharType="separate"/>
      </w:r>
      <w:r w:rsidR="006921EC" w:rsidRPr="006921EC">
        <w:rPr>
          <w:noProof/>
          <w:sz w:val="24"/>
        </w:rPr>
        <w:t>(Hoekstra et al., 2011)</w:t>
      </w:r>
      <w:r w:rsidR="006921EC">
        <w:rPr>
          <w:sz w:val="24"/>
        </w:rPr>
        <w:fldChar w:fldCharType="end"/>
      </w:r>
      <w:r w:rsidR="006921EC">
        <w:rPr>
          <w:sz w:val="24"/>
        </w:rPr>
        <w:t xml:space="preserve">, </w:t>
      </w:r>
      <w:r w:rsidR="00923827">
        <w:rPr>
          <w:sz w:val="24"/>
        </w:rPr>
        <w:t xml:space="preserve">and data science </w:t>
      </w:r>
      <w:r w:rsidR="00923827">
        <w:rPr>
          <w:sz w:val="24"/>
        </w:rPr>
        <w:fldChar w:fldCharType="begin" w:fldLock="1"/>
      </w:r>
      <w:r w:rsidR="006921EC">
        <w:rPr>
          <w:sz w:val="24"/>
        </w:rPr>
        <w:instrText>ADDIN CSL_CITATION {"citationItems":[{"id":"ITEM-1","itemData":{"DOI":"10.1111/gec3.12404","ISSN":"17498198","abstract":"Many datasets nowadays contain links between geographic locations and natural language texts. These links can be geotags, such as geotagged tweets or geotagged Wikipedia pages, in which location coordinates are explicitly attached to texts. These links can also be place mentions, such as those in news articles, travel blogs, or historical archives, in which texts are implicitly connected to the mentioned places. This kind of data is referred to as geo-text data. The availability of large amounts of geo-text data brings both challenges and opportunities. On the one hand, it is challenging to automatically process this kind of data due to the unstructured texts and the complex spatial footprints of some places. On the other hand, geo-text data offers unique research opportunities through the rich information contained in texts and the special links between texts and geography. As a result, geo-text data facilitates various studies especially those in data-driven geospatial semantics. This paper discusses geo-text data and related concepts. With a focus on data-driven research, this paper systematically reviews a large number of studies that have discovered multiple types of knowledge from geo-text data. Based on the literature review, a generalized workflow is extracted and key challenges for future work are discussed.","author":[{"dropping-particle":"","family":"Hu","given":"Yingjie","non-dropping-particle":"","parse-names":false,"suffix":""}],"container-title":"Geography Compass","id":"ITEM-1","issue":"11","issued":{"date-parts":[["2018"]]},"title":"Geo-text data and data-driven geospatial semantics","type":"article-journal","volume":"12"},"uris":["http://www.mendeley.com/documents/?uuid=a857c527-fac8-4e01-97d8-749afd528b29"]}],"mendeley":{"formattedCitation":"(Hu, 2018)","plainTextFormattedCitation":"(Hu, 2018)","previouslyFormattedCitation":"(Hu, 2018)"},"properties":{"noteIndex":0},"schema":"https://github.com/citation-style-language/schema/raw/master/csl-citation.json"}</w:instrText>
      </w:r>
      <w:r w:rsidR="00923827">
        <w:rPr>
          <w:sz w:val="24"/>
        </w:rPr>
        <w:fldChar w:fldCharType="separate"/>
      </w:r>
      <w:r w:rsidR="00923827" w:rsidRPr="00923827">
        <w:rPr>
          <w:noProof/>
          <w:sz w:val="24"/>
        </w:rPr>
        <w:t>(Hu, 2018)</w:t>
      </w:r>
      <w:r w:rsidR="00923827">
        <w:rPr>
          <w:sz w:val="24"/>
        </w:rPr>
        <w:fldChar w:fldCharType="end"/>
      </w:r>
      <w:r w:rsidR="00923827">
        <w:rPr>
          <w:sz w:val="24"/>
        </w:rPr>
        <w:t xml:space="preserve"> </w:t>
      </w:r>
      <w:r w:rsidR="00092EAB">
        <w:rPr>
          <w:sz w:val="24"/>
        </w:rPr>
        <w:t>are</w:t>
      </w:r>
      <w:r w:rsidR="003178F8">
        <w:rPr>
          <w:sz w:val="24"/>
        </w:rPr>
        <w:t xml:space="preserve"> among the </w:t>
      </w:r>
      <w:r w:rsidR="00923827">
        <w:rPr>
          <w:sz w:val="24"/>
        </w:rPr>
        <w:t xml:space="preserve">disciplines with peer-reviewed literature involving Twitter. </w:t>
      </w:r>
      <w:r w:rsidR="006921EC">
        <w:rPr>
          <w:sz w:val="24"/>
        </w:rPr>
        <w:t xml:space="preserve">Tweets can reveal socioeconomic health patterns </w:t>
      </w:r>
      <w:r w:rsidR="006921EC">
        <w:rPr>
          <w:sz w:val="24"/>
        </w:rPr>
        <w:fldChar w:fldCharType="begin" w:fldLock="1"/>
      </w:r>
      <w:r w:rsidR="006921EC">
        <w:rPr>
          <w:sz w:val="24"/>
        </w:rPr>
        <w:instrText>ADDIN CSL_CITATION {"citationItems":[{"id":"ITEM-1","itemData":{"DOI":"10.2105/AJPH.2017.303993","ISBN":"0090-0036","ISSN":"15410048","PMID":"28933925","abstract":"To leverage geotagged Twitter data to create national indicators of the social environment, with small-area indicators of prevalent sentiment and social modeling of health behaviors, and to test associations with county-level health outcomes, while controlling for demographic characteristics. We used Twitter's streaming application programming interface to continuously collect a random 1% subset of publicly available geo-located tweets in the contiguous United States. We collected approximately 80 million geotagged tweets from 603 363 unique Twitter users in a 12-month period (April 2015-March 2016). Across 3135 US counties, Twitter indicators of happiness, food, and physical activity were associated with lower premature mortality, obesity, and physical inactivity. Alcohol-use tweets predicted higher alcohol-use-related mortality. Social media represents a new type of real-time data that may enable public health officials to examine movement of norms, sentiment, and behaviors that may portend emerging issues or outbreaks-thus providing a way to intervene to prevent adverse health events and measure the impact of health interventions.","author":[{"dropping-particle":"","family":"Nguyen","given":"Quynh C.","non-dropping-particle":"","parse-names":false,"suffix":""},{"dropping-particle":"","family":"McCullough","given":"Matt","non-dropping-particle":"","parse-names":false,"suffix":""},{"dropping-particle":"","family":"Meng","given":"Hsien Wen","non-dropping-particle":"","parse-names":false,"suffix":""},{"dropping-particle":"","family":"Paul","given":"Debjyoti","non-dropping-particle":"","parse-names":false,"suffix":""},{"dropping-particle":"","family":"Li","given":"Dapeng","non-dropping-particle":"","parse-names":false,"suffix":""},{"dropping-particle":"","family":"Kath","given":"Suraj","non-dropping-particle":"","parse-names":false,"suffix":""},{"dropping-particle":"","family":"Loomis","given":"Geoffrey","non-dropping-particle":"","parse-names":false,"suffix":""},{"dropping-particle":"","family":"Nsoesie","given":"Elaine O.","non-dropping-particle":"","parse-names":false,"suffix":""},{"dropping-particle":"","family":"Wen","given":"Ming","non-dropping-particle":"","parse-names":false,"suffix":""},{"dropping-particle":"","family":"Smith","given":"Ken R.","non-dropping-particle":"","parse-names":false,"suffix":""},{"dropping-particle":"","family":"Li","given":"Feifei","non-dropping-particle":"","parse-names":false,"suffix":""}],"container-title":"American Journal of Public Health","id":"ITEM-1","issue":"11","issued":{"date-parts":[["2017"]]},"page":"1776-1782","title":"Geotagged US tweets as predictors of county-level health outcomes, 2015-2016","type":"article-journal","volume":"107"},"uris":["http://www.mendeley.com/documents/?uuid=a332bbec-e032-49cc-a654-5c99ee34af6f"]}],"mendeley":{"formattedCitation":"(Nguyen et al., 2017)","plainTextFormattedCitation":"(Nguyen et al., 2017)","previouslyFormattedCitation":"(Nguyen et al., 2017)"},"properties":{"noteIndex":0},"schema":"https://github.com/citation-style-language/schema/raw/master/csl-citation.json"}</w:instrText>
      </w:r>
      <w:r w:rsidR="006921EC">
        <w:rPr>
          <w:sz w:val="24"/>
        </w:rPr>
        <w:fldChar w:fldCharType="separate"/>
      </w:r>
      <w:r w:rsidR="006921EC" w:rsidRPr="006921EC">
        <w:rPr>
          <w:noProof/>
          <w:sz w:val="24"/>
        </w:rPr>
        <w:t>(Nguyen et al., 2017)</w:t>
      </w:r>
      <w:r w:rsidR="006921EC">
        <w:rPr>
          <w:sz w:val="24"/>
        </w:rPr>
        <w:fldChar w:fldCharType="end"/>
      </w:r>
      <w:r w:rsidR="006921EC">
        <w:rPr>
          <w:sz w:val="24"/>
        </w:rPr>
        <w:t xml:space="preserve">, spatial movement of individuals during a hurricane evacuation </w:t>
      </w:r>
      <w:r w:rsidR="006921EC">
        <w:rPr>
          <w:sz w:val="24"/>
        </w:rPr>
        <w:fldChar w:fldCharType="begin" w:fldLock="1"/>
      </w:r>
      <w:r w:rsidR="00FD4D4D">
        <w:rPr>
          <w:sz w:val="24"/>
        </w:rPr>
        <w:instrText>ADDIN CSL_CITATION {"citationItems":[{"id":"ITEM-1","itemData":{"DOI":"10.1371/journal.pone.0181701","ISBN":"1111111111","ISSN":"19326203","PMID":"28753667","abstract":"Hurricane Matthew was the deadliest Atlantic storm since Katrina in 2005 and prompted one of the largest recent hurricane evacuations along the Southeastern coast of the United States. The storm and its projected landfall triggered a massive social media reaction. Using Twitter data, this paper examines the spatiotemporal variability in social media response and develops a novel approach to leverage geotagged tweets to assess the evacuation responses of residents. The approach involves the retrieval of tweets from the Twitter Stream, the creation and filtering of different datasets, and the statistical and spatial processing and treatment to extract, plot and map the results. As expected, peak Twitter response was reached during the pre-impact and preparedness phase, and decreased abruptly after the passage of the storm. A comparison between two time periods-pre-evacuation (October 2th-4th) and post-evacuation (October 7th-9 th)-indicates that 54% of Twitter users moved away from the coast to a safer location, with observed differences by state on the timing of the evacuation. A specific sub-state analysis of South Carolina illustrated overall compliance with evacuation orders and detailed information on the timing of departure from the coast as well as the destination location. These findings advance the use of big data and citizen-as-sensor approaches for public safety issues, providing an effective and near real-time alternative for measuring compliance with evacuation orders.","author":[{"dropping-particle":"","family":"Martín","given":"Yago","non-dropping-particle":"","parse-names":false,"suffix":""},{"dropping-particle":"","family":"Li","given":"Zhenlong","non-dropping-particle":"","parse-names":false,"suffix":""},{"dropping-particle":"","family":"Cutter","given":"Susan L.","non-dropping-particle":"","parse-names":false,"suffix":""}],"container-title":"PLoS ONE","id":"ITEM-1","issue":"7","issued":{"date-parts":[["2017"]]},"page":"1-22","title":"Leveraging Twitter to gauge evacuation compliance: Spatiotemporal analysis of Hurricane Matthew","type":"article-journal","volume":"12"},"uris":["http://www.mendeley.com/documents/?uuid=62e164c1-264d-4280-af85-d716a2e1237f"]}],"mendeley":{"formattedCitation":"(Martín, Li, &amp; Cutter, 2017)","plainTextFormattedCitation":"(Martín, Li, &amp; Cutter, 2017)","previouslyFormattedCitation":"(Martín, Li, &amp; Cutter, 2017)"},"properties":{"noteIndex":0},"schema":"https://github.com/citation-style-language/schema/raw/master/csl-citation.json"}</w:instrText>
      </w:r>
      <w:r w:rsidR="006921EC">
        <w:rPr>
          <w:sz w:val="24"/>
        </w:rPr>
        <w:fldChar w:fldCharType="separate"/>
      </w:r>
      <w:r w:rsidR="004733AA" w:rsidRPr="004733AA">
        <w:rPr>
          <w:noProof/>
          <w:sz w:val="24"/>
        </w:rPr>
        <w:t>(Martín, Li, &amp; Cutter, 2017)</w:t>
      </w:r>
      <w:r w:rsidR="006921EC">
        <w:rPr>
          <w:sz w:val="24"/>
        </w:rPr>
        <w:fldChar w:fldCharType="end"/>
      </w:r>
      <w:r w:rsidR="006921EC">
        <w:rPr>
          <w:sz w:val="24"/>
        </w:rPr>
        <w:t xml:space="preserve">, </w:t>
      </w:r>
      <w:r w:rsidR="00F31226">
        <w:rPr>
          <w:sz w:val="24"/>
        </w:rPr>
        <w:t xml:space="preserve">skepticism regarding vaccines </w:t>
      </w:r>
      <w:r w:rsidR="00F31226">
        <w:rPr>
          <w:sz w:val="24"/>
        </w:rPr>
        <w:fldChar w:fldCharType="begin" w:fldLock="1"/>
      </w:r>
      <w:r w:rsidR="00F31226">
        <w:rPr>
          <w:sz w:val="24"/>
        </w:rPr>
        <w:instrText>ADDIN CSL_CITATION {"citationItems":[{"id":"ITEM-1","itemData":{"DOI":"10.1377/hlthaff.2015.1092","ISSN":"1544-5208 (Electronic)","PMID":"26858390","abstract":"Real-time monitoring of mainstream and social media can inform public health practitioners and policy makers about vaccine sentiment and hesitancy. We describe a publicly available platform for monitoring vaccination-related content, called the Vaccine Sentimeter. With automated data collection from 100,000 mainstream media sources and Twitter, natural-language processing for automated filtering, and manual curation to ensure accuracy, the Vaccine Sentimeter offers a global real-time view of vaccination conversations online. To assess the system's utility, we followed two events: polio vaccination in Pakistan after a news story about a Central Intelligence Agency vaccination ruse and subsequent attacks on health care workers, and a controversial episode in a television program about adverse events following human papillomavirus vaccination. For both events, increased online activity was detected and characterized. For the first event, Twitter response to the attacks on health care workers decreased drastically after the first attack, in contrast to mainstream media coverage. For the second event, the mainstream and social media response was largely positive about the HPV vaccine, but antivaccine conversations persisted longer than the provaccine reaction. Using the Vaccine Sentimeter could enable public health professionals to detect increased online activity or sudden shifts in sentiment that could affect vaccination uptake.","author":[{"dropping-particle":"","family":"Bahk","given":"Chi Y","non-dropping-particle":"","parse-names":false,"suffix":""},{"dropping-particle":"","family":"Cumming","given":"Melissa","non-dropping-particle":"","parse-names":false,"suffix":""},{"dropping-particle":"","family":"Paushter","given":"Louisa","non-dropping-particle":"","parse-names":false,"suffix":""},{"dropping-particle":"","family":"Madoff","given":"Lawrence C","non-dropping-particle":"","parse-names":false,"suffix":""},{"dropping-particle":"","family":"Thomson","given":"Angus","non-dropping-particle":"","parse-names":false,"suffix":""},{"dropping-particle":"","family":"Brownstein","given":"John S","non-dropping-particle":"","parse-names":false,"suffix":""}],"container-title":"Health affairs (Project Hope)","id":"ITEM-1","issue":"2","issued":{"date-parts":[["2016"]]},"page":"341-347","title":"Publicly Available Online Tool Facilitates Real-Time Monitoring Of Vaccine Conversations And Sentiments.","type":"article-journal","volume":"35"},"uris":["http://www.mendeley.com/documents/?uuid=f1b8bfe0-edc1-4a0b-a492-df1c2dd2199b"]}],"mendeley":{"formattedCitation":"(Bahk et al., 2016)","plainTextFormattedCitation":"(Bahk et al., 2016)","previouslyFormattedCitation":"(Bahk et al., 2016)"},"properties":{"noteIndex":0},"schema":"https://github.com/citation-style-language/schema/raw/master/csl-citation.json"}</w:instrText>
      </w:r>
      <w:r w:rsidR="00F31226">
        <w:rPr>
          <w:sz w:val="24"/>
        </w:rPr>
        <w:fldChar w:fldCharType="separate"/>
      </w:r>
      <w:r w:rsidR="00F31226" w:rsidRPr="00F31226">
        <w:rPr>
          <w:noProof/>
          <w:sz w:val="24"/>
        </w:rPr>
        <w:t>(Bahk et al., 2016)</w:t>
      </w:r>
      <w:r w:rsidR="00F31226">
        <w:rPr>
          <w:sz w:val="24"/>
        </w:rPr>
        <w:fldChar w:fldCharType="end"/>
      </w:r>
      <w:r w:rsidR="00F31226">
        <w:rPr>
          <w:sz w:val="24"/>
        </w:rPr>
        <w:t xml:space="preserve">, and hysteria over </w:t>
      </w:r>
      <w:r w:rsidR="00810EE1">
        <w:rPr>
          <w:sz w:val="24"/>
        </w:rPr>
        <w:t xml:space="preserve">H1N1 </w:t>
      </w:r>
      <w:r w:rsidR="00F31226">
        <w:rPr>
          <w:sz w:val="24"/>
        </w:rPr>
        <w:fldChar w:fldCharType="begin" w:fldLock="1"/>
      </w:r>
      <w:r w:rsidR="00F31226">
        <w:rPr>
          <w:sz w:val="24"/>
        </w:rPr>
        <w:instrText>ADDIN CSL_CITATION {"citationItems":[{"id":"ITEM-1","itemData":{"DOI":"10.1371/journal.pone.0014118","ISSN":"19326203","abstract":"Surveys are popular methods to measure public perceptions in emergencies but can be costly and time consuming. We suggest and evaluate a complementary “infoveillance” approach using Twitter during the 2009 H1N1 pandemic. Our study aimed to: 1) monitor the use of the terms “H1N1” versus “swine flu” over time; 2) conduct a content analysis of “tweets”; and 3) validate Twitter as a real-time content, sentiment, and public attention trend-tracking tool.\\n\\nBetween May 1 and December 31, 2009, we archived over 2 million Twitter posts containing keywords “swine flu,” “swineflu,” and/or “H1N1.” using Infovigil, an infoveillance system. Tweets using “H1N1” increased from 8.8% to 40.5% (R2 = .788; p&lt;.001), indicating a gradual adoption of World Health Organization-recommended terminology. 5,395 tweets were randomly selected from 9 days, 4 weeks apart and coded using a tri-axial coding scheme. To track tweet content and to test the feasibility of automated coding, we created database queries for keywords and correlated these results with manual coding. Content analysis indicated resource-related posts were most commonly shared (52.6%). 4.5% of cases were identified as misinformation. News websites were the most popular sources (23.2%), while government and health agencies were linked only 1.5% of the time. 7/10 automated queries correlated with manual coding. Several Twitter activity peaks coincided with major news stories. Our results correlated well with H1N1 incidence data.\\n\\nThis study illustrates the potential of using social media to conduct “infodemiology” studies for public health. 2009 H1N1-related tweets were primarily used to disseminate information from credible sources, but were also a source of opinions and experiences. Tweets can be used for real-time content analysis and knowledge translation research, allowing health authorities to respond to public concerns.","author":[{"dropping-particle":"","family":"Chew","given":"Cynthia","non-dropping-particle":"","parse-names":false,"suffix":""},{"dropping-particle":"","family":"Eysenbach","given":"Gunther","non-dropping-particle":"","parse-names":false,"suffix":""}],"container-title":"PLoS ONE","id":"ITEM-1","issue":"11","issued":{"date-parts":[["2010"]]},"page":"1-13","title":"Pandemics in the age of Twitter: Content analysis of tweets during the 2009 H1N1 outbreak","type":"article-journal","volume":"5"},"uris":["http://www.mendeley.com/documents/?uuid=17a97888-cbfc-447a-9459-de62691d8d08"]}],"mendeley":{"formattedCitation":"(Chew &amp; Eysenbach, 2010)","plainTextFormattedCitation":"(Chew &amp; Eysenbach, 2010)","previouslyFormattedCitation":"(Chew &amp; Eysenbach, 2010)"},"properties":{"noteIndex":0},"schema":"https://github.com/citation-style-language/schema/raw/master/csl-citation.json"}</w:instrText>
      </w:r>
      <w:r w:rsidR="00F31226">
        <w:rPr>
          <w:sz w:val="24"/>
        </w:rPr>
        <w:fldChar w:fldCharType="separate"/>
      </w:r>
      <w:r w:rsidR="00F31226" w:rsidRPr="00F31226">
        <w:rPr>
          <w:noProof/>
          <w:sz w:val="24"/>
        </w:rPr>
        <w:t>(Chew &amp; Eysenbach, 2010)</w:t>
      </w:r>
      <w:r w:rsidR="00F31226">
        <w:rPr>
          <w:sz w:val="24"/>
        </w:rPr>
        <w:fldChar w:fldCharType="end"/>
      </w:r>
      <w:r w:rsidR="00F31226">
        <w:rPr>
          <w:sz w:val="24"/>
        </w:rPr>
        <w:t xml:space="preserve"> or influenza</w:t>
      </w:r>
      <w:r w:rsidR="00810EE1">
        <w:rPr>
          <w:sz w:val="24"/>
        </w:rPr>
        <w:t xml:space="preserve"> outbreaks</w:t>
      </w:r>
      <w:r w:rsidR="00F31226">
        <w:rPr>
          <w:sz w:val="24"/>
        </w:rPr>
        <w:t xml:space="preserve"> </w:t>
      </w:r>
      <w:r w:rsidR="00F31226">
        <w:rPr>
          <w:sz w:val="24"/>
        </w:rPr>
        <w:fldChar w:fldCharType="begin" w:fldLock="1"/>
      </w:r>
      <w:r w:rsidR="00B962CF">
        <w:rPr>
          <w:sz w:val="24"/>
        </w:rPr>
        <w:instrText>ADDIN CSL_CITATION {"citationItems":[{"id":"ITEM-1","itemData":{"DOI":"10.1007/978-3-319-09891-3_16","author":[{"dropping-particle":"","family":"Stilo","given":"Giovanni","non-dropping-particle":"","parse-names":false,"suffix":""},{"dropping-particle":"","family":"Velardi","given":"Paola","non-dropping-particle":"","parse-names":false,"suffix":""},{"dropping-particle":"","family":"Tozzi","given":"Alberto E.","non-dropping-particle":"","parse-names":false,"suffix":""},{"dropping-particle":"","family":"Gesualdo","given":"Francesco","non-dropping-particle":"","parse-names":false,"suffix":""}],"id":"ITEM-1","issued":{"date-parts":[["2014"]]},"page":"164-177","publisher":"Springer, Cham","title":"Predicting Flu Epidemics Using Twitter and Historical Data","type":"chapter"},"uris":["http://www.mendeley.com/documents/?uuid=b75cf4c8-d11c-358b-8a82-9522ad1c35b3"]}],"mendeley":{"formattedCitation":"(Stilo, Velardi, Tozzi, &amp; Gesualdo, 2014)","plainTextFormattedCitation":"(Stilo, Velardi, Tozzi, &amp; Gesualdo, 2014)","previouslyFormattedCitation":"(Stilo, Velardi, Tozzi, &amp; Gesualdo, 2014)"},"properties":{"noteIndex":0},"schema":"https://github.com/citation-style-language/schema/raw/master/csl-citation.json"}</w:instrText>
      </w:r>
      <w:r w:rsidR="00F31226">
        <w:rPr>
          <w:sz w:val="24"/>
        </w:rPr>
        <w:fldChar w:fldCharType="separate"/>
      </w:r>
      <w:r w:rsidR="00F31226" w:rsidRPr="00F31226">
        <w:rPr>
          <w:noProof/>
          <w:sz w:val="24"/>
        </w:rPr>
        <w:t>(Stilo, Velardi, Tozzi, &amp; Gesualdo, 2014)</w:t>
      </w:r>
      <w:r w:rsidR="00F31226">
        <w:rPr>
          <w:sz w:val="24"/>
        </w:rPr>
        <w:fldChar w:fldCharType="end"/>
      </w:r>
      <w:r w:rsidR="00F31226">
        <w:rPr>
          <w:sz w:val="24"/>
        </w:rPr>
        <w:t>.</w:t>
      </w:r>
      <w:r w:rsidR="00A25638">
        <w:rPr>
          <w:sz w:val="24"/>
        </w:rPr>
        <w:t xml:space="preserve"> Twitter, therefore, offers exciting research opportunities.</w:t>
      </w:r>
    </w:p>
    <w:p w14:paraId="51B20669" w14:textId="77777777" w:rsidR="00D531A9" w:rsidRDefault="00C11D73" w:rsidP="00D531A9">
      <w:pPr>
        <w:spacing w:line="480" w:lineRule="auto"/>
        <w:rPr>
          <w:sz w:val="24"/>
        </w:rPr>
      </w:pPr>
      <w:r>
        <w:rPr>
          <w:sz w:val="24"/>
        </w:rPr>
        <w:tab/>
      </w:r>
      <w:r w:rsidRPr="00477173">
        <w:rPr>
          <w:sz w:val="24"/>
        </w:rPr>
        <w:t>Since</w:t>
      </w:r>
      <w:r>
        <w:rPr>
          <w:sz w:val="24"/>
        </w:rPr>
        <w:t xml:space="preserve"> many social media users write in the first-person, tweets can provide insight into one’s life experience </w:t>
      </w:r>
      <w:r>
        <w:rPr>
          <w:sz w:val="24"/>
        </w:rPr>
        <w:fldChar w:fldCharType="begin" w:fldLock="1"/>
      </w:r>
      <w:r>
        <w:rPr>
          <w:sz w:val="24"/>
        </w:rPr>
        <w:instrText>ADDIN CSL_CITATION {"citationItems":[{"id":"ITEM-1","itemData":{"DOI":"10.1007/s11948-013-9502-z","ISBN":"1353-3452","ISSN":"16605454","PMID":"24306994","abstract":"This paper reviews the actual and potential use of social media in emergency, disaster and crisis situations. This is a field that has generated intense interest. It is characterised by a burgeoning but small and very recent literature. In the emergencies field, social media (blogs, messaging, sites such as Facebook, wikis and so on) are used in seven different ways: listening to public debate, monitoring situations, extending emergency response and management, crowd-sourcing and collaborative development, creating social cohesion, furthering causes (including charitable donation) and enhancing research. Appreciation of the positive side of social media is balanced by their potential for negative developments, such as disseminating rumours, undermining authority and promoting terrorist acts. This leads to an examination of the ethics of social media usage in crisis situations. Despite some clearly identifiable risks, for example regarding the violation of privacy, it appears that public consensus on ethics will tend to override unscrupulous attempts to subvert the media. Moreover, social media are a robust means of exposing corruption and malpractice. In synthesis, the widespread adoption and use of social media by members of the public throughout the world heralds a new age in which it is imperative that emergency managers adapt their working practices to the challenge and potential of this development. At the same time, they must heed the ethical warnings and ensure that social media are not abused or misused when crises and emergencies occur.","author":[{"dropping-particle":"","family":"Alexander","given":"David E.","non-dropping-particle":"","parse-names":false,"suffix":""}],"container-title":"Science and Engineering Ethics","id":"ITEM-1","issue":"3","issued":{"date-parts":[["2014"]]},"page":"717-733","title":"Social Media in Disaster Risk Reduction and Crisis Management","type":"article-journal","volume":"20"},"uris":["http://www.mendeley.com/documents/?uuid=6378af68-1013-48a8-b593-d7fa33cc3da5"]},{"id":"ITEM-2","itemData":{"DOI":"10.3141/2459-13","ISSN":"0361-1981","abstract":"Microblogs posted to Twitter after the tornado in Moore, Oklahoma, on May 20, 2013, were analyzed in this study. The potential of social media data was explored for the extraction of relevant and useful information during natural disasters and as an additional data source for better understanding of individual behavior during a crisis. Data records were attributed to user groups, and the most frequently used words were ranked to track the variation of common interests for each user group. In addition, the data were classified into different content categories, and the temporal variation patterns were analyzed. A sentiment analysis, which revealed variations in public mood and perception over time, was conducted to quantify the sentiment in the data. The techniques presented can be applied to the analysis of similar major social crises and natural disasters (e.g., hurricanes and earthquakes) to provide valuable complementary information in crisis awareness and response to users, first responders, and emerg...","author":[{"dropping-particle":"V.","family":"Ukkusuri","given":"Satish","non-dropping-particle":"","parse-names":false,"suffix":""},{"dropping-particle":"","family":"Zhan","given":"Xianyuan","non-dropping-particle":"","parse-names":false,"suffix":""},{"dropping-particle":"","family":"Sadri","given":"Arif Mohaimin","non-dropping-particle":"","parse-names":false,"suffix":""},{"dropping-particle":"","family":"Ye","given":"Qing","non-dropping-particle":"","parse-names":false,"suffix":""}],"container-title":"Transportation Research Record: Journal of the Transportation Research Board","id":"ITEM-2","issue":"1","issued":{"date-parts":[["2014","1","22"]]},"page":"110-118","publisher":" Transportation Research Board of the National Academies ","title":"Use of Social Media Data to Explore Crisis Informatics","type":"article-journal","volume":"2459"},"uris":["http://www.mendeley.com/documents/?uuid=c7870e55-2acc-3793-af24-a42e79b4205f"]}],"mendeley":{"formattedCitation":"(Alexander, 2014; Ukkusuri, Zhan, Sadri, &amp; Ye, 2014)","plainTextFormattedCitation":"(Alexander, 2014; Ukkusuri, Zhan, Sadri, &amp; Ye, 2014)","previouslyFormattedCitation":"(Alexander, 2014; Ukkusuri, Zhan, Sadri, &amp; Ye, 2014)"},"properties":{"noteIndex":0},"schema":"https://github.com/citation-style-language/schema/raw/master/csl-citation.json"}</w:instrText>
      </w:r>
      <w:r>
        <w:rPr>
          <w:sz w:val="24"/>
        </w:rPr>
        <w:fldChar w:fldCharType="separate"/>
      </w:r>
      <w:r w:rsidRPr="002B6F7B">
        <w:rPr>
          <w:noProof/>
          <w:sz w:val="24"/>
        </w:rPr>
        <w:t>(Alexander, 2014; Ukkusuri, Zhan, Sadri, &amp; Ye, 2014)</w:t>
      </w:r>
      <w:r>
        <w:rPr>
          <w:sz w:val="24"/>
        </w:rPr>
        <w:fldChar w:fldCharType="end"/>
      </w:r>
      <w:r>
        <w:rPr>
          <w:sz w:val="24"/>
        </w:rPr>
        <w:t xml:space="preserve">. For example, tweets posted during a severe weather event can </w:t>
      </w:r>
      <w:r w:rsidR="00CB1EFC">
        <w:rPr>
          <w:sz w:val="24"/>
        </w:rPr>
        <w:t>reveal</w:t>
      </w:r>
      <w:r>
        <w:rPr>
          <w:sz w:val="24"/>
        </w:rPr>
        <w:t xml:space="preserve"> what people are thinking, feeling, seeing, and experiencing before, during, and after the event </w:t>
      </w:r>
      <w:r>
        <w:rPr>
          <w:sz w:val="24"/>
        </w:rPr>
        <w:fldChar w:fldCharType="begin" w:fldLock="1"/>
      </w:r>
      <w:r w:rsidR="00131502">
        <w:rPr>
          <w:sz w:val="24"/>
        </w:rPr>
        <w:instrText>ADDIN CSL_CITATION {"citationItems":[{"id":"ITEM-1","itemData":{"DOI":"10.1007/s11948-013-9502-z","ISBN":"1353-3452","ISSN":"16605454","PMID":"24306994","abstract":"This paper reviews the actual and potential use of social media in emergency, disaster and crisis situations. This is a field that has generated intense interest. It is characterised by a burgeoning but small and very recent literature. In the emergencies field, social media (blogs, messaging, sites such as Facebook, wikis and so on) are used in seven different ways: listening to public debate, monitoring situations, extending emergency response and management, crowd-sourcing and collaborative development, creating social cohesion, furthering causes (including charitable donation) and enhancing research. Appreciation of the positive side of social media is balanced by their potential for negative developments, such as disseminating rumours, undermining authority and promoting terrorist acts. This leads to an examination of the ethics of social media usage in crisis situations. Despite some clearly identifiable risks, for example regarding the violation of privacy, it appears that public consensus on ethics will tend to override unscrupulous attempts to subvert the media. Moreover, social media are a robust means of exposing corruption and malpractice. In synthesis, the widespread adoption and use of social media by members of the public throughout the world heralds a new age in which it is imperative that emergency managers adapt their working practices to the challenge and potential of this development. At the same time, they must heed the ethical warnings and ensure that social media are not abused or misused when crises and emergencies occur.","author":[{"dropping-particle":"","family":"Alexander","given":"David E.","non-dropping-particle":"","parse-names":false,"suffix":""}],"container-title":"Science and Engineering Ethics","id":"ITEM-1","issue":"3","issued":{"date-parts":[["2014"]]},"page":"717-733","title":"Social Media in Disaster Risk Reduction and Crisis Management","type":"article-journal","volume":"20"},"uris":["http://www.mendeley.com/documents/?uuid=6378af68-1013-48a8-b593-d7fa33cc3da5"]},{"id":"ITEM-2","itemData":{"DOI":"10.1111/disa.12092","ISBN":"0361-3666","ISSN":"14677717","PMID":"25243593","abstract":"A comprehensive review of online, official, and scientific literature was carried out in 2012-13 to develop a framework of disaster social media. This framework can be used to facilitate the creation of disaster social media tools, the formulation of disaster social media implementation processes, and the scientific study of disaster social media effects. Disaster social media users in the framework include communities, government, individuals, organisations, and media outlets. Fifteen distinct disaster social media uses were identified, ranging from preparing and receiving disaster preparedness information and warnings and signalling and detecting disasters prior to an event to (re)connecting community members following a disaster. The framework illustrates that a variety of entities may utilise and produce disaster social media content. Consequently, disaster social media use can be conceptualised as occurring at a number of levels, even within the same disaster. Suggestions are provided on how the proposed framework can inform future disaster social media development and research.","author":[{"dropping-particle":"","family":"Houston","given":"J. Brian","non-dropping-particle":"","parse-names":false,"suffix":""},{"dropping-particle":"","family":"Hawthorne","given":"Joshua","non-dropping-particle":"","parse-names":false,"suffix":""},{"dropping-particle":"","family":"Perreault","given":"Mildred F.","non-dropping-particle":"","parse-names":false,"suffix":""},{"dropping-particle":"","family":"Park","given":"Eun Hae","non-dropping-particle":"","parse-names":false,"suffix":""},{"dropping-particle":"","family":"Goldstein Hode","given":"Marlo","non-dropping-particle":"","parse-names":false,"suffix":""},{"dropping-particle":"","family":"Halliwell","given":"Michael R.","non-dropping-particle":"","parse-names":false,"suffix":""},{"dropping-particle":"","family":"Turner Mcgowen","given":"Sarah E.","non-dropping-particle":"","parse-names":false,"suffix":""},{"dropping-particle":"","family":"Davis","given":"Rachel","non-dropping-particle":"","parse-names":false,"suffix":""},{"dropping-particle":"","family":"Vaid","given":"Shivani","non-dropping-particle":"","parse-names":false,"suffix":""},{"dropping-particle":"","family":"Mcelderry","given":"Jonathan A.","non-dropping-particle":"","parse-names":false,"suffix":""},{"dropping-particle":"","family":"Griffith","given":"Stanford A.","non-dropping-particle":"","parse-names":false,"suffix":""}],"container-title":"Disasters","id":"ITEM-2","issue":"1","issued":{"date-parts":[["2015"]]},"page":"1-22","title":"Social media and disasters: A functional framework for social media use in disaster planning, response, and research","type":"article-journal","volume":"39"},"uris":["http://www.mendeley.com/documents/?uuid=e2a5dc0f-90f4-4ded-bc83-dd6cacdcff4b"]},{"id":"ITEM-3","itemData":{"DOI":"10.1175/WCAS-D-13-00028.1","ISSN":"1948-8327","abstract":"AbstractEffective communication about severe weather requires that providers of weather information disseminate accurate and timely messages and that the intended recipients (i.e., the population at risk) receive and react to these messages. This article contributes to extant research on the second half of this equation by introducing a “real time” measure of public attention to severe weather risk communication based on the growing stream of data that individuals publish on social media platforms, in this case, Twitter. The authors develop a metric that tracks temporal fluctuations in tornado-related Twitter activity between 25 April 2012 and 11 November 2012 and assess the validity of the metric by systematically comparing fluctuations in Twitter activity to the issuance of tornado watches and warnings, which represent basic but important forms of communication designed to elicit, and therefore correlate with, public attention. The assessment finds that the measure demonstrates a high degree of converge...","author":[{"dropping-particle":"","family":"Ripberger","given":"Joseph T.","non-dropping-particle":"","parse-names":false,"suffix":""},{"dropping-particle":"","family":"Jenkins-Smith","given":"Hank C.","non-dropping-particle":"","parse-names":false,"suffix":""},{"dropping-particle":"","family":"Silva","given":"Carol L.","non-dropping-particle":"","parse-names":false,"suffix":""},{"dropping-particle":"","family":"Carlson","given":"Deven E.","non-dropping-particle":"","parse-names":false,"suffix":""},{"dropping-particle":"","family":"Henderson","given":"Matthew","non-dropping-particle":"","parse-names":false,"suffix":""},{"dropping-particle":"","family":"Ripberger","given":"Joseph T.","non-dropping-particle":"","parse-names":false,"suffix":""},{"dropping-particle":"","family":"Jenkins-Smith","given":"Hank C.","non-dropping-particle":"","parse-names":false,"suffix":""},{"dropping-particle":"","family":"Silva","given":"Carol L.","non-dropping-particle":"","parse-names":false,"suffix":""},{"dropping-particle":"","family":"Carlson","given":"Deven E.","non-dropping-particle":"","parse-names":false,"suffix":""},{"dropping-particle":"","family":"Henderson","given":"Matthew","non-dropping-particle":"","parse-names":false,"suffix":""}],"container-title":"Weather, Climate, and Society","id":"ITEM-3","issue":"4","issued":{"date-parts":[["2014","10","8"]]},"page":"520-530","title":"Social Media and Severe Weather: Do Tweets Provide a Valid Indicator of Public Attention to Severe Weather Risk Communication?","type":"article-journal","volume":"6"},"uris":["http://www.mendeley.com/documents/?uuid=d4b421b3-9e43-39c8-9a3d-66fc008fee27"]},{"id":"ITEM-4","itemData":{"DOI":"10.1109/HICSS.2009.330","ISBN":"978-0-7695-3450-3","author":[{"dropping-particle":"","family":"Qu","given":"Yan","non-dropping-particle":"","parse-names":false,"suffix":""},{"dropping-particle":"","family":"Wu","given":"P.F.","non-dropping-particle":"","parse-names":false,"suffix":""},{"dropping-particle":"","family":"Wang","given":"Xiaoqing","non-dropping-particle":"","parse-names":false,"suffix":""}],"container-title":"2009 42nd Hawaii International Conference on System Sciences","id":"ITEM-4","issued":{"date-parts":[["2009","1"]]},"page":"1-11","publisher":"IEEE","title":"Online Community Response to Major Disaster: A Study of Tianya Forum in the 2008 Sichuan Earthquake","type":"paper-conference"},"uris":["http://www.mendeley.com/documents/?uuid=755a4ed9-2aee-36fc-8c72-0da8ea111e3f"]}],"mendeley":{"formattedCitation":"(Alexander, 2014; Houston et al., 2015; Qu et al., 2009; Ripberger et al., 2014)","plainTextFormattedCitation":"(Alexander, 2014; Houston et al., 2015; Qu et al., 2009; Ripberger et al., 2014)","previouslyFormattedCitation":"(Alexander, 2014; Houston et al., 2015; Qu et al., 2009; Ripberger et al., 2014)"},"properties":{"noteIndex":0},"schema":"https://github.com/citation-style-language/schema/raw/master/csl-citation.json"}</w:instrText>
      </w:r>
      <w:r>
        <w:rPr>
          <w:sz w:val="24"/>
        </w:rPr>
        <w:fldChar w:fldCharType="separate"/>
      </w:r>
      <w:r w:rsidR="00200A55" w:rsidRPr="00200A55">
        <w:rPr>
          <w:noProof/>
          <w:sz w:val="24"/>
        </w:rPr>
        <w:t>(Alexander, 2014; Houston et al., 2015; Qu et al., 2009; Ripberger et al., 2014)</w:t>
      </w:r>
      <w:r>
        <w:rPr>
          <w:sz w:val="24"/>
        </w:rPr>
        <w:fldChar w:fldCharType="end"/>
      </w:r>
      <w:r>
        <w:rPr>
          <w:sz w:val="24"/>
        </w:rPr>
        <w:t xml:space="preserve">. Scholars also find Twitter an interesting data source for research because tweets are posted in “quasi-real time” </w:t>
      </w:r>
      <w:r>
        <w:rPr>
          <w:sz w:val="24"/>
        </w:rPr>
        <w:fldChar w:fldCharType="begin" w:fldLock="1"/>
      </w:r>
      <w:r w:rsidR="00FD4D4D">
        <w:rPr>
          <w:sz w:val="24"/>
        </w:rPr>
        <w:instrText>ADDIN CSL_CITATION {"citationItems":[{"id":"ITEM-1","itemData":{"DOI":"10.1007/s11948-013-9502-z","ISBN":"1353-3452","ISSN":"16605454","PMID":"24306994","abstract":"This paper reviews the actual and potential use of social media in emergency, disaster and crisis situations. This is a field that has generated intense interest. It is characterised by a burgeoning but small and very recent literature. In the emergencies field, social media (blogs, messaging, sites such as Facebook, wikis and so on) are used in seven different ways: listening to public debate, monitoring situations, extending emergency response and management, crowd-sourcing and collaborative development, creating social cohesion, furthering causes (including charitable donation) and enhancing research. Appreciation of the positive side of social media is balanced by their potential for negative developments, such as disseminating rumours, undermining authority and promoting terrorist acts. This leads to an examination of the ethics of social media usage in crisis situations. Despite some clearly identifiable risks, for example regarding the violation of privacy, it appears that public consensus on ethics will tend to override unscrupulous attempts to subvert the media. Moreover, social media are a robust means of exposing corruption and malpractice. In synthesis, the widespread adoption and use of social media by members of the public throughout the world heralds a new age in which it is imperative that emergency managers adapt their working practices to the challenge and potential of this development. At the same time, they must heed the ethical warnings and ensure that social media are not abused or misused when crises and emergencies occur.","author":[{"dropping-particle":"","family":"Alexander","given":"David E.","non-dropping-particle":"","parse-names":false,"suffix":""}],"container-title":"Science and Engineering Ethics","id":"ITEM-1","issue":"3","issued":{"date-parts":[["2014"]]},"page":"717-733","title":"Social Media in Disaster Risk Reduction and Crisis Management","type":"article-journal","volume":"20"},"uris":["http://www.mendeley.com/documents/?uuid=6378af68-1013-48a8-b593-d7fa33cc3da5"]},{"id":"ITEM-2","itemData":{"DOI":"10.1111/disa.12092","ISBN":"0361-3666","ISSN":"14677717","PMID":"25243593","abstract":"A comprehensive review of online, official, and scientific literature was carried out in 2012-13 to develop a framework of disaster social media. This framework can be used to facilitate the creation of disaster social media tools, the formulation of disaster social media implementation processes, and the scientific study of disaster social media effects. Disaster social media users in the framework include communities, government, individuals, organisations, and media outlets. Fifteen distinct disaster social media uses were identified, ranging from preparing and receiving disaster preparedness information and warnings and signalling and detecting disasters prior to an event to (re)connecting community members following a disaster. The framework illustrates that a variety of entities may utilise and produce disaster social media content. Consequently, disaster social media use can be conceptualised as occurring at a number of levels, even within the same disaster. Suggestions are provided on how the proposed framework can inform future disaster social media development and research.","author":[{"dropping-particle":"","family":"Houston","given":"J. Brian","non-dropping-particle":"","parse-names":false,"suffix":""},{"dropping-particle":"","family":"Hawthorne","given":"Joshua","non-dropping-particle":"","parse-names":false,"suffix":""},{"dropping-particle":"","family":"Perreault","given":"Mildred F.","non-dropping-particle":"","parse-names":false,"suffix":""},{"dropping-particle":"","family":"Park","given":"Eun Hae","non-dropping-particle":"","parse-names":false,"suffix":""},{"dropping-particle":"","family":"Goldstein Hode","given":"Marlo","non-dropping-particle":"","parse-names":false,"suffix":""},{"dropping-particle":"","family":"Halliwell","given":"Michael R.","non-dropping-particle":"","parse-names":false,"suffix":""},{"dropping-particle":"","family":"Turner Mcgowen","given":"Sarah E.","non-dropping-particle":"","parse-names":false,"suffix":""},{"dropping-particle":"","family":"Davis","given":"Rachel","non-dropping-particle":"","parse-names":false,"suffix":""},{"dropping-particle":"","family":"Vaid","given":"Shivani","non-dropping-particle":"","parse-names":false,"suffix":""},{"dropping-particle":"","family":"Mcelderry","given":"Jonathan A.","non-dropping-particle":"","parse-names":false,"suffix":""},{"dropping-particle":"","family":"Griffith","given":"Stanford A.","non-dropping-particle":"","parse-names":false,"suffix":""}],"container-title":"Disasters","id":"ITEM-2","issue":"1","issued":{"date-parts":[["2015"]]},"page":"1-22","title":"Social media and disasters: A functional framework for social media use in disaster planning, response, and research","type":"article-journal","volume":"39"},"uris":["http://www.mendeley.com/documents/?uuid=e2a5dc0f-90f4-4ded-bc83-dd6cacdcff4b"]},{"id":"ITEM-3","itemData":{"DOI":"10.1371/journal.pone.0181701","ISBN":"1111111111","ISSN":"19326203","PMID":"28753667","abstract":"Hurricane Matthew was the deadliest Atlantic storm since Katrina in 2005 and prompted one of the largest recent hurricane evacuations along the Southeastern coast of the United States. The storm and its projected landfall triggered a massive social media reaction. Using Twitter data, this paper examines the spatiotemporal variability in social media response and develops a novel approach to leverage geotagged tweets to assess the evacuation responses of residents. The approach involves the retrieval of tweets from the Twitter Stream, the creation and filtering of different datasets, and the statistical and spatial processing and treatment to extract, plot and map the results. As expected, peak Twitter response was reached during the pre-impact and preparedness phase, and decreased abruptly after the passage of the storm. A comparison between two time periods-pre-evacuation (October 2th-4th) and post-evacuation (October 7th-9 th)-indicates that 54% of Twitter users moved away from the coast to a safer location, with observed differences by state on the timing of the evacuation. A specific sub-state analysis of South Carolina illustrated overall compliance with evacuation orders and detailed information on the timing of departure from the coast as well as the destination location. These findings advance the use of big data and citizen-as-sensor approaches for public safety issues, providing an effective and near real-time alternative for measuring compliance with evacuation orders.","author":[{"dropping-particle":"","family":"Martín","given":"Yago","non-dropping-particle":"","parse-names":false,"suffix":""},{"dropping-particle":"","family":"Li","given":"Zhenlong","non-dropping-particle":"","parse-names":false,"suffix":""},{"dropping-particle":"","family":"Cutter","given":"Susan L.","non-dropping-particle":"","parse-names":false,"suffix":""}],"container-title":"PLoS ONE","id":"ITEM-3","issue":"7","issued":{"date-parts":[["2017"]]},"page":"1-22","title":"Leveraging Twitter to gauge evacuation compliance: Spatiotemporal analysis of Hurricane Matthew","type":"article-journal","volume":"12"},"uris":["http://www.mendeley.com/documents/?uuid=62e164c1-264d-4280-af85-d716a2e1237f"]}],"mendeley":{"formattedCitation":"(Alexander, 2014; Houston et al., 2015; Martín et al., 2017)","plainTextFormattedCitation":"(Alexander, 2014; Houston et al., 2015; Martín et al., 2017)","previouslyFormattedCitation":"(Alexander, 2014; Houston et al., 2015; Martín et al., 2017)"},"properties":{"noteIndex":0},"schema":"https://github.com/citation-style-language/schema/raw/master/csl-citation.json"}</w:instrText>
      </w:r>
      <w:r>
        <w:rPr>
          <w:sz w:val="24"/>
        </w:rPr>
        <w:fldChar w:fldCharType="separate"/>
      </w:r>
      <w:r w:rsidR="004733AA" w:rsidRPr="004733AA">
        <w:rPr>
          <w:noProof/>
          <w:sz w:val="24"/>
        </w:rPr>
        <w:t>(Alexander, 2014; Houston et al., 2015; Martín et al., 2017)</w:t>
      </w:r>
      <w:r>
        <w:rPr>
          <w:sz w:val="24"/>
        </w:rPr>
        <w:fldChar w:fldCharType="end"/>
      </w:r>
      <w:r>
        <w:rPr>
          <w:sz w:val="24"/>
        </w:rPr>
        <w:t>. Thus, researchers can analyze first-hand accounts as weather events a</w:t>
      </w:r>
      <w:r w:rsidR="00D531A9">
        <w:rPr>
          <w:sz w:val="24"/>
        </w:rPr>
        <w:t>re happening in near real-time.</w:t>
      </w:r>
    </w:p>
    <w:p w14:paraId="5E23E820" w14:textId="77777777" w:rsidR="00D742D6" w:rsidRDefault="00D742D6" w:rsidP="00D531A9">
      <w:pPr>
        <w:spacing w:line="480" w:lineRule="auto"/>
        <w:rPr>
          <w:sz w:val="24"/>
        </w:rPr>
      </w:pPr>
    </w:p>
    <w:p w14:paraId="2A641A85" w14:textId="35ACD9F0" w:rsidR="00143455" w:rsidRPr="00AC7F67" w:rsidRDefault="004A16A5" w:rsidP="00AC7F67">
      <w:pPr>
        <w:pStyle w:val="Heading2"/>
        <w:spacing w:line="480" w:lineRule="auto"/>
        <w:rPr>
          <w:rFonts w:asciiTheme="minorHAnsi" w:hAnsiTheme="minorHAnsi"/>
          <w:b/>
          <w:color w:val="auto"/>
          <w:sz w:val="24"/>
        </w:rPr>
      </w:pPr>
      <w:bookmarkStart w:id="6" w:name="_Toc56898371"/>
      <w:r w:rsidRPr="00AC7F67">
        <w:rPr>
          <w:rFonts w:asciiTheme="minorHAnsi" w:hAnsiTheme="minorHAnsi"/>
          <w:b/>
          <w:color w:val="auto"/>
          <w:sz w:val="24"/>
        </w:rPr>
        <w:lastRenderedPageBreak/>
        <w:t xml:space="preserve">2.2 </w:t>
      </w:r>
      <w:r w:rsidR="002D242B" w:rsidRPr="00AC7F67">
        <w:rPr>
          <w:rFonts w:asciiTheme="minorHAnsi" w:hAnsiTheme="minorHAnsi"/>
          <w:b/>
          <w:color w:val="auto"/>
          <w:sz w:val="24"/>
        </w:rPr>
        <w:t>Twitter Application Programing Interfaces</w:t>
      </w:r>
      <w:r w:rsidR="007A5E8C" w:rsidRPr="00AC7F67">
        <w:rPr>
          <w:rFonts w:asciiTheme="minorHAnsi" w:hAnsiTheme="minorHAnsi"/>
          <w:b/>
          <w:color w:val="auto"/>
          <w:sz w:val="24"/>
        </w:rPr>
        <w:t xml:space="preserve"> (APIs)</w:t>
      </w:r>
      <w:bookmarkEnd w:id="6"/>
    </w:p>
    <w:p w14:paraId="52696D62" w14:textId="5EC040D6" w:rsidR="00BD1642" w:rsidRDefault="00F670BF" w:rsidP="00AC7F67">
      <w:pPr>
        <w:spacing w:line="480" w:lineRule="auto"/>
        <w:rPr>
          <w:sz w:val="24"/>
        </w:rPr>
      </w:pPr>
      <w:r>
        <w:rPr>
          <w:sz w:val="24"/>
        </w:rPr>
        <w:tab/>
      </w:r>
      <w:r w:rsidR="00BD7A68">
        <w:rPr>
          <w:sz w:val="24"/>
        </w:rPr>
        <w:t>Application Programming Interfaces (APIs) are required to access Twitter data and associated metadata</w:t>
      </w:r>
      <w:r w:rsidR="00DB775E">
        <w:rPr>
          <w:sz w:val="24"/>
        </w:rPr>
        <w:t xml:space="preserve"> </w:t>
      </w:r>
      <w:r w:rsidR="00DB775E">
        <w:rPr>
          <w:sz w:val="24"/>
        </w:rPr>
        <w:fldChar w:fldCharType="begin" w:fldLock="1"/>
      </w:r>
      <w:r w:rsidR="007216E4">
        <w:rPr>
          <w:sz w:val="24"/>
        </w:rPr>
        <w:instrText>ADDIN CSL_CITATION {"citationItems":[{"id":"ITEM-1","itemData":{"URL":"https://medium.com/@jaimezornoza/downloading-data-from-twitter-using-the-streaming-api-3ac6766ba96c","accessed":{"date-parts":[["2020","6","24"]]},"author":[{"dropping-particle":"","family":"Zornoza","given":"Jaime","non-dropping-particle":"","parse-names":false,"suffix":""}],"id":"ITEM-1","issued":{"date-parts":[["2019"]]},"title":"Downloading Data From Twitter Using the Streaming API","type":"webpage"},"uris":["http://www.mendeley.com/documents/?uuid=0b8bc088-9824-36f9-8c41-971433afed60"]}],"mendeley":{"formattedCitation":"(Zornoza, 2019)","plainTextFormattedCitation":"(Zornoza, 2019)","previouslyFormattedCitation":"(Zornoza, 2019)"},"properties":{"noteIndex":0},"schema":"https://github.com/citation-style-language/schema/raw/master/csl-citation.json"}</w:instrText>
      </w:r>
      <w:r w:rsidR="00DB775E">
        <w:rPr>
          <w:sz w:val="24"/>
        </w:rPr>
        <w:fldChar w:fldCharType="separate"/>
      </w:r>
      <w:r w:rsidR="00DB775E" w:rsidRPr="00DB775E">
        <w:rPr>
          <w:noProof/>
          <w:sz w:val="24"/>
        </w:rPr>
        <w:t>(Zornoza, 2019)</w:t>
      </w:r>
      <w:r w:rsidR="00DB775E">
        <w:rPr>
          <w:sz w:val="24"/>
        </w:rPr>
        <w:fldChar w:fldCharType="end"/>
      </w:r>
      <w:r w:rsidR="00BD7A68">
        <w:rPr>
          <w:sz w:val="24"/>
        </w:rPr>
        <w:t>. APIs act as conduits and connect researchers to databases where information is stored</w:t>
      </w:r>
      <w:r w:rsidR="007216E4">
        <w:rPr>
          <w:sz w:val="24"/>
        </w:rPr>
        <w:t xml:space="preserve"> </w:t>
      </w:r>
      <w:r w:rsidR="007216E4">
        <w:rPr>
          <w:sz w:val="24"/>
        </w:rPr>
        <w:fldChar w:fldCharType="begin" w:fldLock="1"/>
      </w:r>
      <w:r w:rsidR="007216E4">
        <w:rPr>
          <w:sz w:val="24"/>
        </w:rPr>
        <w:instrText>ADDIN CSL_CITATION {"citationItems":[{"id":"ITEM-1","itemData":{"URL":"https://www.howtogeek.com/343877/what-is-an-api/","accessed":{"date-parts":[["2020","6","28"]]},"author":[{"dropping-particle":"","family":"Hoffman","given":"Chris","non-dropping-particle":"","parse-names":false,"suffix":""}],"id":"ITEM-1","issued":{"date-parts":[["2018"]]},"title":"What Is an API?","type":"webpage"},"uris":["http://www.mendeley.com/documents/?uuid=c2d3e748-b403-35cf-bc96-a39605031b15"]}],"mendeley":{"formattedCitation":"(Hoffman, 2018)","plainTextFormattedCitation":"(Hoffman, 2018)","previouslyFormattedCitation":"(Hoffman, 2018)"},"properties":{"noteIndex":0},"schema":"https://github.com/citation-style-language/schema/raw/master/csl-citation.json"}</w:instrText>
      </w:r>
      <w:r w:rsidR="007216E4">
        <w:rPr>
          <w:sz w:val="24"/>
        </w:rPr>
        <w:fldChar w:fldCharType="separate"/>
      </w:r>
      <w:r w:rsidR="007216E4" w:rsidRPr="007216E4">
        <w:rPr>
          <w:noProof/>
          <w:sz w:val="24"/>
        </w:rPr>
        <w:t>(Hoffman, 2018)</w:t>
      </w:r>
      <w:r w:rsidR="007216E4">
        <w:rPr>
          <w:sz w:val="24"/>
        </w:rPr>
        <w:fldChar w:fldCharType="end"/>
      </w:r>
      <w:r w:rsidR="00BD7A68">
        <w:rPr>
          <w:sz w:val="24"/>
        </w:rPr>
        <w:t>. Individuals must adhere to spec</w:t>
      </w:r>
      <w:r w:rsidR="00C44731">
        <w:rPr>
          <w:sz w:val="24"/>
        </w:rPr>
        <w:t xml:space="preserve">ific Twitter protocols </w:t>
      </w:r>
      <w:r w:rsidR="00BD7A68">
        <w:rPr>
          <w:sz w:val="24"/>
        </w:rPr>
        <w:t>to gain API access.</w:t>
      </w:r>
      <w:r w:rsidR="00C00C96">
        <w:rPr>
          <w:sz w:val="24"/>
        </w:rPr>
        <w:t xml:space="preserve"> </w:t>
      </w:r>
      <w:r w:rsidR="006C1EB7">
        <w:rPr>
          <w:sz w:val="24"/>
        </w:rPr>
        <w:t>A special type of login, known as a Developer Account, must be created and authorized</w:t>
      </w:r>
      <w:r w:rsidR="007216E4">
        <w:rPr>
          <w:sz w:val="24"/>
        </w:rPr>
        <w:t xml:space="preserve"> </w:t>
      </w:r>
      <w:r w:rsidR="007216E4">
        <w:rPr>
          <w:sz w:val="24"/>
        </w:rPr>
        <w:fldChar w:fldCharType="begin" w:fldLock="1"/>
      </w:r>
      <w:r w:rsidR="00343059">
        <w:rPr>
          <w:sz w:val="24"/>
        </w:rPr>
        <w:instrText>ADDIN CSL_CITATION {"citationItems":[{"id":"ITEM-1","itemData":{"URL":"https://medium.com/@jaimezornoza/downloading-data-from-twitter-using-the-streaming-api-3ac6766ba96c","accessed":{"date-parts":[["2020","6","24"]]},"author":[{"dropping-particle":"","family":"Zornoza","given":"Jaime","non-dropping-particle":"","parse-names":false,"suffix":""}],"id":"ITEM-1","issued":{"date-parts":[["2019"]]},"title":"Downloading Data From Twitter Using the Streaming API","type":"webpage"},"uris":["http://www.mendeley.com/documents/?uuid=0b8bc088-9824-36f9-8c41-971433afed60"]}],"mendeley":{"formattedCitation":"(Zornoza, 2019)","plainTextFormattedCitation":"(Zornoza, 2019)","previouslyFormattedCitation":"(Zornoza, 2019)"},"properties":{"noteIndex":0},"schema":"https://github.com/citation-style-language/schema/raw/master/csl-citation.json"}</w:instrText>
      </w:r>
      <w:r w:rsidR="007216E4">
        <w:rPr>
          <w:sz w:val="24"/>
        </w:rPr>
        <w:fldChar w:fldCharType="separate"/>
      </w:r>
      <w:r w:rsidR="007216E4" w:rsidRPr="007216E4">
        <w:rPr>
          <w:noProof/>
          <w:sz w:val="24"/>
        </w:rPr>
        <w:t>(Zornoza, 2019)</w:t>
      </w:r>
      <w:r w:rsidR="007216E4">
        <w:rPr>
          <w:sz w:val="24"/>
        </w:rPr>
        <w:fldChar w:fldCharType="end"/>
      </w:r>
      <w:r w:rsidR="006C1EB7">
        <w:rPr>
          <w:sz w:val="24"/>
        </w:rPr>
        <w:t xml:space="preserve">. </w:t>
      </w:r>
      <w:r w:rsidR="00D85215">
        <w:rPr>
          <w:sz w:val="24"/>
        </w:rPr>
        <w:t xml:space="preserve">Developers are assigned </w:t>
      </w:r>
      <w:r w:rsidR="00D90CD5">
        <w:rPr>
          <w:sz w:val="24"/>
        </w:rPr>
        <w:t xml:space="preserve">an application with </w:t>
      </w:r>
      <w:r w:rsidR="00D85215">
        <w:rPr>
          <w:sz w:val="24"/>
        </w:rPr>
        <w:t xml:space="preserve">four passwords </w:t>
      </w:r>
      <w:r w:rsidR="00D90CD5">
        <w:rPr>
          <w:sz w:val="24"/>
        </w:rPr>
        <w:t>that</w:t>
      </w:r>
      <w:r w:rsidR="00BC1EAF">
        <w:rPr>
          <w:sz w:val="24"/>
        </w:rPr>
        <w:t xml:space="preserve"> together</w:t>
      </w:r>
      <w:r w:rsidR="009A0A44">
        <w:rPr>
          <w:sz w:val="24"/>
        </w:rPr>
        <w:t xml:space="preserve"> </w:t>
      </w:r>
      <w:r w:rsidR="00D85215">
        <w:rPr>
          <w:sz w:val="24"/>
        </w:rPr>
        <w:t>allow API access</w:t>
      </w:r>
      <w:r w:rsidR="00C9203F">
        <w:rPr>
          <w:sz w:val="24"/>
        </w:rPr>
        <w:t xml:space="preserve"> </w:t>
      </w:r>
      <w:r w:rsidR="004E03F7">
        <w:rPr>
          <w:sz w:val="24"/>
        </w:rPr>
        <w:fldChar w:fldCharType="begin" w:fldLock="1"/>
      </w:r>
      <w:r w:rsidR="009A7A45">
        <w:rPr>
          <w:sz w:val="24"/>
        </w:rPr>
        <w:instrText>ADDIN CSL_CITATION {"citationItems":[{"id":"ITEM-1","itemData":{"URL":"https://developer.twitter.com/en/docs/basics/authentication/guides/access-tokens.html","accessed":{"date-parts":[["2019","9","8"]]},"id":"ITEM-1","issued":{"date-parts":[["2019"]]},"title":"Access tokens","type":"webpage"},"uris":["http://www.mendeley.com/documents/?uuid=b679b58e-d43d-3865-bc1a-af5f82309277"]}],"mendeley":{"formattedCitation":"(“Access tokens,” 2019)","plainTextFormattedCitation":"(“Access tokens,” 2019)","previouslyFormattedCitation":"(“Access tokens,” 2019)"},"properties":{"noteIndex":0},"schema":"https://github.com/citation-style-language/schema/raw/master/csl-citation.json"}</w:instrText>
      </w:r>
      <w:r w:rsidR="004E03F7">
        <w:rPr>
          <w:sz w:val="24"/>
        </w:rPr>
        <w:fldChar w:fldCharType="separate"/>
      </w:r>
      <w:r w:rsidR="00826A1E" w:rsidRPr="00826A1E">
        <w:rPr>
          <w:noProof/>
          <w:sz w:val="24"/>
        </w:rPr>
        <w:t>(“Access tokens,” 2019)</w:t>
      </w:r>
      <w:r w:rsidR="004E03F7">
        <w:rPr>
          <w:sz w:val="24"/>
        </w:rPr>
        <w:fldChar w:fldCharType="end"/>
      </w:r>
      <w:r w:rsidR="00311EAA">
        <w:rPr>
          <w:sz w:val="24"/>
        </w:rPr>
        <w:t>: Access token; Access token secret; Consume</w:t>
      </w:r>
      <w:r w:rsidR="009A0A44">
        <w:rPr>
          <w:sz w:val="24"/>
        </w:rPr>
        <w:t xml:space="preserve">r key; and Consumer key secret. </w:t>
      </w:r>
      <w:r w:rsidR="00911EE5">
        <w:rPr>
          <w:sz w:val="24"/>
        </w:rPr>
        <w:t>When these four passwords are incorporated into coding scripts with additional conditional logic, tweets</w:t>
      </w:r>
      <w:r w:rsidR="00DD5258">
        <w:rPr>
          <w:sz w:val="24"/>
        </w:rPr>
        <w:t xml:space="preserve"> specific to the researcher’s qu</w:t>
      </w:r>
      <w:r w:rsidR="003079A7">
        <w:rPr>
          <w:sz w:val="24"/>
        </w:rPr>
        <w:t>estions can be obtained</w:t>
      </w:r>
      <w:r w:rsidR="00DD5258">
        <w:rPr>
          <w:sz w:val="24"/>
        </w:rPr>
        <w:t>.</w:t>
      </w:r>
      <w:r w:rsidR="00BD1642">
        <w:rPr>
          <w:sz w:val="24"/>
        </w:rPr>
        <w:t xml:space="preserve"> </w:t>
      </w:r>
      <w:r w:rsidR="002D242B">
        <w:rPr>
          <w:sz w:val="24"/>
        </w:rPr>
        <w:t xml:space="preserve">Twitter </w:t>
      </w:r>
      <w:r w:rsidR="00C44731">
        <w:rPr>
          <w:sz w:val="24"/>
        </w:rPr>
        <w:t xml:space="preserve">offers various official APIs that have </w:t>
      </w:r>
      <w:r w:rsidR="002D242B">
        <w:rPr>
          <w:sz w:val="24"/>
        </w:rPr>
        <w:t>different capabilities, shortcomings, data limits, and prices</w:t>
      </w:r>
      <w:r w:rsidR="00D90CD5">
        <w:rPr>
          <w:sz w:val="24"/>
        </w:rPr>
        <w:t xml:space="preserve"> </w:t>
      </w:r>
      <w:r w:rsidR="00D90CD5">
        <w:rPr>
          <w:sz w:val="24"/>
        </w:rPr>
        <w:fldChar w:fldCharType="begin" w:fldLock="1"/>
      </w:r>
      <w:r w:rsidR="001C46ED">
        <w:rPr>
          <w:sz w:val="24"/>
        </w:rPr>
        <w:instrText>ADDIN CSL_CITATION {"citationItems":[{"id":"ITEM-1","itemData":{"DOI":"10.3390/ijerph17030864","ISSN":"16604601","abstract":"Public health and social science increasingly use Twitter for behavioral and marketing surveillance. However, few studies provide sufficient detail about Twitter data collection to allow either direct comparisons between studies or to support replication. The three primary application programming interfaces (API) of Twitter data sources are Streaming, Search, and Firehose. To date, no clear guidance exists about the advantages and limitations of each API, or about the comparability of the amount, content, and user accounts of retrieved tweets from each API. Such information is crucial to the validity, interpretation, and replicability of research findings. This study examines whether tweets collected using the same search filters over the same time period, but calling different APIs, would retrieve comparable datasets. We collected tweets about anti-smoking, e-cigarettes, and tobacco using the aforementioned APIs. The retrieved tweets largely overlapped between three APIs, but each also retrieved unique tweets, and the extent of overlap varied over time and by topic, resulting in different trends and potentially supporting diverging inferences. Researchers need to understand how different data sources can influence both the amount, content, and user accounts of data they retrieve from social media, in order to assess the implications of their choice of data source.","author":[{"dropping-particle":"","family":"Kim","given":"Yoonsang","non-dropping-particle":"","parse-names":false,"suffix":""},{"dropping-particle":"","family":"Nordgren","given":"Rachel","non-dropping-particle":"","parse-names":false,"suffix":""},{"dropping-particle":"","family":"Emery","given":"Sherry","non-dropping-particle":"","parse-names":false,"suffix":""}],"container-title":"International Journal of Environmental Research and Public Health","id":"ITEM-1","issue":"3","issued":{"date-parts":[["2020"]]},"page":"1-15","title":"The story of goldilocks and three twitter’s APIs: A pilot study on twitter data sources and disclosure","type":"article-journal","volume":"17"},"uris":["http://www.mendeley.com/documents/?uuid=bc0e2898-a5ec-4b02-b253-090c6f236698"]}],"mendeley":{"formattedCitation":"(Kim, Nordgren, &amp; Emery, 2020)","plainTextFormattedCitation":"(Kim, Nordgren, &amp; Emery, 2020)","previouslyFormattedCitation":"(Kim, Nordgren, &amp; Emery, 2020)"},"properties":{"noteIndex":0},"schema":"https://github.com/citation-style-language/schema/raw/master/csl-citation.json"}</w:instrText>
      </w:r>
      <w:r w:rsidR="00D90CD5">
        <w:rPr>
          <w:sz w:val="24"/>
        </w:rPr>
        <w:fldChar w:fldCharType="separate"/>
      </w:r>
      <w:r w:rsidR="00D90CD5" w:rsidRPr="00D90CD5">
        <w:rPr>
          <w:noProof/>
          <w:sz w:val="24"/>
        </w:rPr>
        <w:t>(Kim, Nordgren, &amp; Emery, 2020)</w:t>
      </w:r>
      <w:r w:rsidR="00D90CD5">
        <w:rPr>
          <w:sz w:val="24"/>
        </w:rPr>
        <w:fldChar w:fldCharType="end"/>
      </w:r>
      <w:r w:rsidR="002D242B">
        <w:rPr>
          <w:sz w:val="24"/>
        </w:rPr>
        <w:t xml:space="preserve">. </w:t>
      </w:r>
      <w:r w:rsidR="00A56C85">
        <w:rPr>
          <w:sz w:val="24"/>
        </w:rPr>
        <w:t>Some APIs are free (</w:t>
      </w:r>
      <w:r w:rsidR="00C44731">
        <w:rPr>
          <w:sz w:val="24"/>
        </w:rPr>
        <w:t xml:space="preserve">e.g., </w:t>
      </w:r>
      <w:r w:rsidR="00A56C85">
        <w:rPr>
          <w:sz w:val="24"/>
        </w:rPr>
        <w:t>Streaming and Searching) while o</w:t>
      </w:r>
      <w:r w:rsidR="00BD1642">
        <w:rPr>
          <w:sz w:val="24"/>
        </w:rPr>
        <w:t xml:space="preserve">thers cost money </w:t>
      </w:r>
      <w:r w:rsidR="00A56C85">
        <w:rPr>
          <w:sz w:val="24"/>
        </w:rPr>
        <w:t>(</w:t>
      </w:r>
      <w:r w:rsidR="00C44731">
        <w:rPr>
          <w:sz w:val="24"/>
        </w:rPr>
        <w:t xml:space="preserve">e.g., </w:t>
      </w:r>
      <w:r w:rsidR="00A56C85">
        <w:rPr>
          <w:sz w:val="24"/>
        </w:rPr>
        <w:t>Firehose and PowerTrack).</w:t>
      </w:r>
      <w:r w:rsidR="003313EE">
        <w:rPr>
          <w:sz w:val="24"/>
        </w:rPr>
        <w:t xml:space="preserve"> </w:t>
      </w:r>
    </w:p>
    <w:p w14:paraId="31961FF8" w14:textId="20655E1A" w:rsidR="009F3304" w:rsidRDefault="00F670BF" w:rsidP="00923827">
      <w:pPr>
        <w:spacing w:line="480" w:lineRule="auto"/>
        <w:rPr>
          <w:sz w:val="24"/>
        </w:rPr>
      </w:pPr>
      <w:r>
        <w:rPr>
          <w:sz w:val="24"/>
        </w:rPr>
        <w:tab/>
      </w:r>
      <w:r w:rsidR="003848A7">
        <w:rPr>
          <w:sz w:val="24"/>
        </w:rPr>
        <w:t xml:space="preserve">Streaming and Searching </w:t>
      </w:r>
      <w:r w:rsidR="000F0AD6">
        <w:rPr>
          <w:sz w:val="24"/>
        </w:rPr>
        <w:t>are</w:t>
      </w:r>
      <w:r w:rsidR="003848A7">
        <w:rPr>
          <w:sz w:val="24"/>
        </w:rPr>
        <w:t xml:space="preserve"> Twitter’s two free APIs. </w:t>
      </w:r>
      <w:r w:rsidR="001E23F3">
        <w:rPr>
          <w:sz w:val="24"/>
        </w:rPr>
        <w:t xml:space="preserve">They differ in the way tweets are returned to the researcher. The Streaming API </w:t>
      </w:r>
      <w:r w:rsidR="005517D0">
        <w:rPr>
          <w:sz w:val="24"/>
        </w:rPr>
        <w:t>is</w:t>
      </w:r>
      <w:r w:rsidR="001E23F3">
        <w:rPr>
          <w:sz w:val="24"/>
        </w:rPr>
        <w:t xml:space="preserve"> a “push” system because tweets are delivered (pushed) in real-time, </w:t>
      </w:r>
      <w:r w:rsidR="002E399B">
        <w:rPr>
          <w:sz w:val="24"/>
        </w:rPr>
        <w:t xml:space="preserve">as </w:t>
      </w:r>
      <w:r w:rsidR="00430D80">
        <w:rPr>
          <w:sz w:val="24"/>
        </w:rPr>
        <w:t>they</w:t>
      </w:r>
      <w:r w:rsidR="002E399B">
        <w:rPr>
          <w:sz w:val="24"/>
        </w:rPr>
        <w:t xml:space="preserve"> are posted to Twitter </w:t>
      </w:r>
      <w:r w:rsidR="002E399B">
        <w:rPr>
          <w:sz w:val="24"/>
        </w:rPr>
        <w:fldChar w:fldCharType="begin" w:fldLock="1"/>
      </w:r>
      <w:r w:rsidR="00DB775E">
        <w:rPr>
          <w:sz w:val="24"/>
        </w:rPr>
        <w:instrText>ADDIN CSL_CITATION {"citationItems":[{"id":"ITEM-1","itemData":{"DOI":"10.3390/ijerph17030864","ISSN":"16604601","abstract":"Public health and social science increasingly use Twitter for behavioral and marketing surveillance. However, few studies provide sufficient detail about Twitter data collection to allow either direct comparisons between studies or to support replication. The three primary application programming interfaces (API) of Twitter data sources are Streaming, Search, and Firehose. To date, no clear guidance exists about the advantages and limitations of each API, or about the comparability of the amount, content, and user accounts of retrieved tweets from each API. Such information is crucial to the validity, interpretation, and replicability of research findings. This study examines whether tweets collected using the same search filters over the same time period, but calling different APIs, would retrieve comparable datasets. We collected tweets about anti-smoking, e-cigarettes, and tobacco using the aforementioned APIs. The retrieved tweets largely overlapped between three APIs, but each also retrieved unique tweets, and the extent of overlap varied over time and by topic, resulting in different trends and potentially supporting diverging inferences. Researchers need to understand how different data sources can influence both the amount, content, and user accounts of data they retrieve from social media, in order to assess the implications of their choice of data source.","author":[{"dropping-particle":"","family":"Kim","given":"Yoonsang","non-dropping-particle":"","parse-names":false,"suffix":""},{"dropping-particle":"","family":"Nordgren","given":"Rachel","non-dropping-particle":"","parse-names":false,"suffix":""},{"dropping-particle":"","family":"Emery","given":"Sherry","non-dropping-particle":"","parse-names":false,"suffix":""}],"container-title":"International Journal of Environmental Research and Public Health","id":"ITEM-1","issue":"3","issued":{"date-parts":[["2020"]]},"page":"1-15","title":"The story of goldilocks and three twitter’s APIs: A pilot study on twitter data sources and disclosure","type":"article-journal","volume":"17"},"uris":["http://www.mendeley.com/documents/?uuid=bc0e2898-a5ec-4b02-b253-090c6f236698"]}],"mendeley":{"formattedCitation":"(Kim et al., 2020)","plainTextFormattedCitation":"(Kim et al., 2020)","previouslyFormattedCitation":"(Kim et al., 2020)"},"properties":{"noteIndex":0},"schema":"https://github.com/citation-style-language/schema/raw/master/csl-citation.json"}</w:instrText>
      </w:r>
      <w:r w:rsidR="002E399B">
        <w:rPr>
          <w:sz w:val="24"/>
        </w:rPr>
        <w:fldChar w:fldCharType="separate"/>
      </w:r>
      <w:r w:rsidR="002E399B" w:rsidRPr="002E399B">
        <w:rPr>
          <w:noProof/>
          <w:sz w:val="24"/>
        </w:rPr>
        <w:t>(Kim et al., 2020)</w:t>
      </w:r>
      <w:r w:rsidR="002E399B">
        <w:rPr>
          <w:sz w:val="24"/>
        </w:rPr>
        <w:fldChar w:fldCharType="end"/>
      </w:r>
      <w:r w:rsidR="002E399B">
        <w:rPr>
          <w:sz w:val="24"/>
        </w:rPr>
        <w:t xml:space="preserve">. </w:t>
      </w:r>
      <w:r w:rsidR="00092EAB">
        <w:rPr>
          <w:sz w:val="24"/>
        </w:rPr>
        <w:t xml:space="preserve">Meanwhile, </w:t>
      </w:r>
      <w:r w:rsidR="002E399B">
        <w:rPr>
          <w:sz w:val="24"/>
        </w:rPr>
        <w:t xml:space="preserve">the Searching API </w:t>
      </w:r>
      <w:r w:rsidR="005517D0">
        <w:rPr>
          <w:sz w:val="24"/>
        </w:rPr>
        <w:t xml:space="preserve">is </w:t>
      </w:r>
      <w:r w:rsidR="002E399B">
        <w:rPr>
          <w:sz w:val="24"/>
        </w:rPr>
        <w:t>a “pull” system because tweets are queried (pulled) from storage upon request</w:t>
      </w:r>
      <w:r w:rsidR="00092EAB">
        <w:rPr>
          <w:sz w:val="24"/>
        </w:rPr>
        <w:t xml:space="preserve"> (Kim et al., 2020)</w:t>
      </w:r>
      <w:r w:rsidR="002E399B">
        <w:rPr>
          <w:sz w:val="24"/>
        </w:rPr>
        <w:t>.</w:t>
      </w:r>
      <w:r w:rsidR="00B246F9">
        <w:rPr>
          <w:sz w:val="24"/>
        </w:rPr>
        <w:t xml:space="preserve"> </w:t>
      </w:r>
      <w:r w:rsidR="0071472C">
        <w:rPr>
          <w:sz w:val="24"/>
        </w:rPr>
        <w:t>The Searching API is subjected to a seven-day window</w:t>
      </w:r>
      <w:r w:rsidR="00343059">
        <w:rPr>
          <w:sz w:val="24"/>
        </w:rPr>
        <w:t xml:space="preserve"> </w:t>
      </w:r>
      <w:r w:rsidR="00343059">
        <w:rPr>
          <w:sz w:val="24"/>
        </w:rPr>
        <w:fldChar w:fldCharType="begin" w:fldLock="1"/>
      </w:r>
      <w:r w:rsidR="00455243">
        <w:rPr>
          <w:sz w:val="24"/>
        </w:rPr>
        <w:instrText>ADDIN CSL_CITATION {"citationItems":[{"id":"ITEM-1","itemData":{"URL":"https://developer.twitter.com/en/docs/tweets/search/api-reference/get-search-tweets","accessed":{"date-parts":[["2020","6","28"]]},"id":"ITEM-1","issued":{"date-parts":[["2020"]]},"title":"Search Tweets Standard search API","type":"webpage"},"uris":["http://www.mendeley.com/documents/?uuid=fa061ef4-c2da-34a6-b050-e875918b1f42"]}],"mendeley":{"formattedCitation":"(“Search Tweets Standard search API,” 2020)","plainTextFormattedCitation":"(“Search Tweets Standard search API,” 2020)","previouslyFormattedCitation":"(“Search Tweets Standard search API,” 2020)"},"properties":{"noteIndex":0},"schema":"https://github.com/citation-style-language/schema/raw/master/csl-citation.json"}</w:instrText>
      </w:r>
      <w:r w:rsidR="00343059">
        <w:rPr>
          <w:sz w:val="24"/>
        </w:rPr>
        <w:fldChar w:fldCharType="separate"/>
      </w:r>
      <w:r w:rsidR="00343059" w:rsidRPr="00343059">
        <w:rPr>
          <w:noProof/>
          <w:sz w:val="24"/>
        </w:rPr>
        <w:t>(“Search Tweets Standard search API,” 2020)</w:t>
      </w:r>
      <w:r w:rsidR="00343059">
        <w:rPr>
          <w:sz w:val="24"/>
        </w:rPr>
        <w:fldChar w:fldCharType="end"/>
      </w:r>
      <w:r w:rsidR="00F179D9">
        <w:rPr>
          <w:sz w:val="24"/>
        </w:rPr>
        <w:t>, meaning o</w:t>
      </w:r>
      <w:r w:rsidR="0071472C">
        <w:rPr>
          <w:sz w:val="24"/>
        </w:rPr>
        <w:t xml:space="preserve">nly tweets from the prior week are </w:t>
      </w:r>
      <w:r w:rsidR="0071472C" w:rsidRPr="007202E1">
        <w:rPr>
          <w:sz w:val="24"/>
        </w:rPr>
        <w:t xml:space="preserve">searchable. </w:t>
      </w:r>
      <w:r w:rsidR="00483580" w:rsidRPr="007202E1">
        <w:rPr>
          <w:sz w:val="24"/>
        </w:rPr>
        <w:t>Searching the history of a specific Twitter user’s</w:t>
      </w:r>
      <w:r w:rsidR="00137B50" w:rsidRPr="007202E1">
        <w:rPr>
          <w:sz w:val="24"/>
        </w:rPr>
        <w:t xml:space="preserve"> profile</w:t>
      </w:r>
      <w:r w:rsidR="00483580" w:rsidRPr="007202E1">
        <w:rPr>
          <w:sz w:val="24"/>
        </w:rPr>
        <w:t xml:space="preserve"> is one work around</w:t>
      </w:r>
      <w:r w:rsidR="002933C1" w:rsidRPr="007202E1">
        <w:rPr>
          <w:sz w:val="24"/>
        </w:rPr>
        <w:t xml:space="preserve"> to this limited time window</w:t>
      </w:r>
      <w:r w:rsidR="00483580" w:rsidRPr="007202E1">
        <w:rPr>
          <w:sz w:val="24"/>
        </w:rPr>
        <w:t>.</w:t>
      </w:r>
      <w:r w:rsidR="002D5632" w:rsidRPr="007202E1">
        <w:rPr>
          <w:sz w:val="24"/>
        </w:rPr>
        <w:t xml:space="preserve"> </w:t>
      </w:r>
      <w:r w:rsidR="000F0AD6" w:rsidRPr="007202E1">
        <w:rPr>
          <w:sz w:val="24"/>
        </w:rPr>
        <w:t>The</w:t>
      </w:r>
      <w:r w:rsidR="000F0AD6">
        <w:rPr>
          <w:sz w:val="24"/>
        </w:rPr>
        <w:t xml:space="preserve"> Streaming API</w:t>
      </w:r>
      <w:r w:rsidR="00B04BB4">
        <w:rPr>
          <w:sz w:val="24"/>
        </w:rPr>
        <w:t xml:space="preserve"> is not limited to seven days; </w:t>
      </w:r>
      <w:r w:rsidR="00FA10E2">
        <w:rPr>
          <w:sz w:val="24"/>
        </w:rPr>
        <w:t xml:space="preserve">however, due to its “on-demand” nature and inability to search into the past, the Streaming API is most appropriate when researchers have </w:t>
      </w:r>
      <w:r w:rsidR="00FA10E2">
        <w:rPr>
          <w:sz w:val="24"/>
        </w:rPr>
        <w:lastRenderedPageBreak/>
        <w:t>adequately planned and strategized parameters to enter into the API (Kim et al., 2020).</w:t>
      </w:r>
      <w:r w:rsidR="006F3ACA">
        <w:rPr>
          <w:sz w:val="24"/>
        </w:rPr>
        <w:t xml:space="preserve"> The Searching API is better suited for</w:t>
      </w:r>
      <w:r w:rsidR="007B68A3">
        <w:rPr>
          <w:sz w:val="24"/>
        </w:rPr>
        <w:t xml:space="preserve"> more spontaneous </w:t>
      </w:r>
      <w:r w:rsidR="006F3ACA">
        <w:rPr>
          <w:sz w:val="24"/>
        </w:rPr>
        <w:t>events</w:t>
      </w:r>
      <w:r w:rsidR="009F3304">
        <w:rPr>
          <w:sz w:val="24"/>
        </w:rPr>
        <w:t xml:space="preserve"> where the researcher may want to look back in time for tweets.</w:t>
      </w:r>
    </w:p>
    <w:p w14:paraId="67553EFD" w14:textId="690F8178" w:rsidR="008D6D4D" w:rsidRDefault="00F670BF" w:rsidP="00923827">
      <w:pPr>
        <w:spacing w:line="480" w:lineRule="auto"/>
        <w:rPr>
          <w:sz w:val="24"/>
        </w:rPr>
      </w:pPr>
      <w:r>
        <w:rPr>
          <w:sz w:val="24"/>
        </w:rPr>
        <w:tab/>
      </w:r>
      <w:r w:rsidR="000825E7" w:rsidRPr="005517D0">
        <w:rPr>
          <w:sz w:val="24"/>
        </w:rPr>
        <w:t>The</w:t>
      </w:r>
      <w:r w:rsidR="000825E7">
        <w:rPr>
          <w:sz w:val="24"/>
        </w:rPr>
        <w:t xml:space="preserve"> Searching and Streaming APIs are not</w:t>
      </w:r>
      <w:r w:rsidR="00876EE2">
        <w:rPr>
          <w:sz w:val="24"/>
        </w:rPr>
        <w:t xml:space="preserve"> without limitations.</w:t>
      </w:r>
      <w:r w:rsidR="00C670E0">
        <w:rPr>
          <w:sz w:val="24"/>
        </w:rPr>
        <w:t xml:space="preserve"> </w:t>
      </w:r>
      <w:r w:rsidR="005D5E1A">
        <w:rPr>
          <w:sz w:val="24"/>
        </w:rPr>
        <w:t>Concerns begin with the API tweet sampling itself</w:t>
      </w:r>
      <w:r w:rsidR="00300B40">
        <w:rPr>
          <w:sz w:val="24"/>
        </w:rPr>
        <w:t xml:space="preserve"> </w:t>
      </w:r>
      <w:r w:rsidR="00300B40">
        <w:rPr>
          <w:sz w:val="24"/>
        </w:rPr>
        <w:fldChar w:fldCharType="begin" w:fldLock="1"/>
      </w:r>
      <w:r w:rsidR="00C72001">
        <w:rPr>
          <w:sz w:val="24"/>
        </w:rPr>
        <w:instrText>ADDIN CSL_CITATION {"citationItems":[{"id":"ITEM-1","itemData":{"DOI":"10.1145/2746366","ISSN":"1559114X","abstract":"Researchers have begun studying content obtained from microblogging services such as Twitter to address a variety of technological, social, and commercial research questions. The large number of Twitter users and even larger volume of tweets often make it impractical to collect and maintain a complete record of activity; therefore, most research and some commercial software applications rely on samples, often relatively small samples, of Twitter data. For the most part, sample sizes have been based on availability and practical considerations. Relatively little attention has been paid to how well these samples represent the underlying stream of Twitter data. To fill this gap, this article performs a comparative analysis on samples obtained from two of Twitter's streaming APIs with a more complete Twitter dataset to gain an in-depth understanding of the nature of Twitter data samples and their potential for use in various data mining tasks.","author":[{"dropping-particle":"","family":"Wang","given":"Yazhe","non-dropping-particle":"","parse-names":false,"suffix":""},{"dropping-particle":"","family":"Callan","given":"Jamie","non-dropping-particle":"","parse-names":false,"suffix":""},{"dropping-particle":"","family":"Zheng","given":"Baihua","non-dropping-particle":"","parse-names":false,"suffix":""}],"container-title":"ACM Transactions on the Web","id":"ITEM-1","issue":"3","issued":{"date-parts":[["2015"]]},"title":"Should we use the sample? Analyzing datasets sampled from Twitter's stream API","type":"article-journal","volume":"9"},"uris":["http://www.mendeley.com/documents/?uuid=36be31e2-9ba2-4439-a076-46c2d303e854"]}],"mendeley":{"formattedCitation":"(Wang, Callan, &amp; Zheng, 2015)","plainTextFormattedCitation":"(Wang, Callan, &amp; Zheng, 2015)","previouslyFormattedCitation":"(Wang, Callan, &amp; Zheng, 2015)"},"properties":{"noteIndex":0},"schema":"https://github.com/citation-style-language/schema/raw/master/csl-citation.json"}</w:instrText>
      </w:r>
      <w:r w:rsidR="00300B40">
        <w:rPr>
          <w:sz w:val="24"/>
        </w:rPr>
        <w:fldChar w:fldCharType="separate"/>
      </w:r>
      <w:r w:rsidR="00300B40" w:rsidRPr="00300B40">
        <w:rPr>
          <w:noProof/>
          <w:sz w:val="24"/>
        </w:rPr>
        <w:t>(Wang, Callan, &amp; Zheng, 2015)</w:t>
      </w:r>
      <w:r w:rsidR="00300B40">
        <w:rPr>
          <w:sz w:val="24"/>
        </w:rPr>
        <w:fldChar w:fldCharType="end"/>
      </w:r>
      <w:r w:rsidR="00300B40">
        <w:rPr>
          <w:sz w:val="24"/>
        </w:rPr>
        <w:t>.</w:t>
      </w:r>
      <w:r w:rsidR="003B0E45">
        <w:rPr>
          <w:sz w:val="24"/>
        </w:rPr>
        <w:t xml:space="preserve"> </w:t>
      </w:r>
      <w:r w:rsidR="005D5E1A">
        <w:rPr>
          <w:sz w:val="24"/>
        </w:rPr>
        <w:t>The Streamin</w:t>
      </w:r>
      <w:r w:rsidR="00935EF9">
        <w:rPr>
          <w:sz w:val="24"/>
        </w:rPr>
        <w:t xml:space="preserve">g API returns up </w:t>
      </w:r>
      <w:r w:rsidR="008C4315">
        <w:rPr>
          <w:sz w:val="24"/>
        </w:rPr>
        <w:t>to 1% of tweets shared public</w:t>
      </w:r>
      <w:r w:rsidR="005D5E1A">
        <w:rPr>
          <w:sz w:val="24"/>
        </w:rPr>
        <w:t xml:space="preserve">ly that match queried criteria </w:t>
      </w:r>
      <w:r w:rsidR="00EB28D1">
        <w:rPr>
          <w:sz w:val="24"/>
        </w:rPr>
        <w:fldChar w:fldCharType="begin" w:fldLock="1"/>
      </w:r>
      <w:r w:rsidR="002C48C4">
        <w:rPr>
          <w:sz w:val="24"/>
        </w:rPr>
        <w:instrText>ADDIN CSL_CITATION {"citationItems":[{"id":"ITEM-1","itemData":{"DOI":"10.1145/2567948.2576952","ISBN":"9781450327459","abstract":"Twitter shares a free 1% sample of its tweets through the Streaming API\". Recently, research has pointed to evidence of bias in this source. The methodologies proposed in previous work rely on the restrictive and expensive Firehose to find the bias in the Streaming API data. We tackle the problem of finding sample bias without costly and restrictive Firehose data. We propose a solution that focuses on using an open data source to find bias in the Streaming API.","author":[{"dropping-particle":"","family":"Morstatter","given":"Fred","non-dropping-particle":"","parse-names":false,"suffix":""},{"dropping-particle":"","family":"Pfeffer","given":"Jürgen","non-dropping-particle":"","parse-names":false,"suffix":""},{"dropping-particle":"","family":"Liu","given":"Huan","non-dropping-particle":"","parse-names":false,"suffix":""}],"container-title":"WWW 2014 Companion - Proceedings of the 23rd International Conference on World Wide Web","id":"ITEM-1","issued":{"date-parts":[["2014"]]},"page":"555-556","title":"When is it biased? Assessing the representativeness of twitter's streaming API","type":"article-journal"},"uris":["http://www.mendeley.com/documents/?uuid=aa412fd9-e78b-415d-bf25-b0fa1f67568c"]}],"mendeley":{"formattedCitation":"(Morstatter, Pfeffer, &amp; Liu, 2014)","plainTextFormattedCitation":"(Morstatter, Pfeffer, &amp; Liu, 2014)","previouslyFormattedCitation":"(Morstatter, Pfeffer, &amp; Liu, 2014)"},"properties":{"noteIndex":0},"schema":"https://github.com/citation-style-language/schema/raw/master/csl-citation.json"}</w:instrText>
      </w:r>
      <w:r w:rsidR="00EB28D1">
        <w:rPr>
          <w:sz w:val="24"/>
        </w:rPr>
        <w:fldChar w:fldCharType="separate"/>
      </w:r>
      <w:r w:rsidR="00EB28D1" w:rsidRPr="00EB28D1">
        <w:rPr>
          <w:noProof/>
          <w:sz w:val="24"/>
        </w:rPr>
        <w:t>(Morstatter, Pfeffer, &amp; Liu, 2014)</w:t>
      </w:r>
      <w:r w:rsidR="00EB28D1">
        <w:rPr>
          <w:sz w:val="24"/>
        </w:rPr>
        <w:fldChar w:fldCharType="end"/>
      </w:r>
      <w:r w:rsidR="00C670E0">
        <w:rPr>
          <w:sz w:val="24"/>
        </w:rPr>
        <w:t xml:space="preserve">. </w:t>
      </w:r>
      <w:r w:rsidR="00664672">
        <w:rPr>
          <w:sz w:val="24"/>
        </w:rPr>
        <w:t xml:space="preserve">It is important to note that </w:t>
      </w:r>
      <w:r w:rsidR="005D5E1A">
        <w:rPr>
          <w:sz w:val="24"/>
        </w:rPr>
        <w:t>samples re</w:t>
      </w:r>
      <w:r w:rsidR="003E2DC1">
        <w:rPr>
          <w:sz w:val="24"/>
        </w:rPr>
        <w:t xml:space="preserve">turned by APIs are inconsistent, and probably not truly indicative </w:t>
      </w:r>
      <w:r w:rsidR="007A5DC2">
        <w:rPr>
          <w:sz w:val="24"/>
        </w:rPr>
        <w:t xml:space="preserve">of </w:t>
      </w:r>
      <w:r w:rsidR="003E2DC1">
        <w:rPr>
          <w:sz w:val="24"/>
        </w:rPr>
        <w:t xml:space="preserve">all possible tweets that meet certain criteria. </w:t>
      </w:r>
      <w:r w:rsidR="009E31DD">
        <w:rPr>
          <w:sz w:val="24"/>
        </w:rPr>
        <w:t>Kim et al. (2020)</w:t>
      </w:r>
      <w:r w:rsidR="005D5E1A">
        <w:rPr>
          <w:sz w:val="24"/>
        </w:rPr>
        <w:t>, for example,</w:t>
      </w:r>
      <w:r w:rsidR="009E31DD">
        <w:rPr>
          <w:sz w:val="24"/>
        </w:rPr>
        <w:t xml:space="preserve"> noticed vast differences in sampled tweet</w:t>
      </w:r>
      <w:r w:rsidR="00D5170C">
        <w:rPr>
          <w:sz w:val="24"/>
        </w:rPr>
        <w:t xml:space="preserve"> quality </w:t>
      </w:r>
      <w:r w:rsidR="009E31DD">
        <w:rPr>
          <w:sz w:val="24"/>
        </w:rPr>
        <w:t xml:space="preserve">throughout </w:t>
      </w:r>
      <w:r w:rsidR="005D5E1A">
        <w:rPr>
          <w:sz w:val="24"/>
        </w:rPr>
        <w:t>the</w:t>
      </w:r>
      <w:r w:rsidR="009E31DD">
        <w:rPr>
          <w:sz w:val="24"/>
        </w:rPr>
        <w:t xml:space="preserve"> duration of </w:t>
      </w:r>
      <w:r w:rsidR="00070A21">
        <w:rPr>
          <w:sz w:val="24"/>
        </w:rPr>
        <w:t xml:space="preserve">their </w:t>
      </w:r>
      <w:r w:rsidR="009E31DD">
        <w:rPr>
          <w:sz w:val="24"/>
        </w:rPr>
        <w:t>study.</w:t>
      </w:r>
      <w:r w:rsidR="006B2FFF">
        <w:rPr>
          <w:sz w:val="24"/>
        </w:rPr>
        <w:t xml:space="preserve"> Additionally</w:t>
      </w:r>
      <w:r w:rsidR="0046751B">
        <w:rPr>
          <w:sz w:val="24"/>
        </w:rPr>
        <w:t>,</w:t>
      </w:r>
      <w:r w:rsidR="00935EF9">
        <w:rPr>
          <w:sz w:val="24"/>
        </w:rPr>
        <w:t xml:space="preserve"> confusion results from Twitter lacking </w:t>
      </w:r>
      <w:r w:rsidR="006B2FFF">
        <w:rPr>
          <w:sz w:val="24"/>
        </w:rPr>
        <w:t xml:space="preserve">adequate </w:t>
      </w:r>
      <w:r w:rsidR="00C57774">
        <w:rPr>
          <w:sz w:val="24"/>
        </w:rPr>
        <w:t xml:space="preserve">API </w:t>
      </w:r>
      <w:r w:rsidR="006B2FFF">
        <w:rPr>
          <w:sz w:val="24"/>
        </w:rPr>
        <w:t xml:space="preserve">documentation. </w:t>
      </w:r>
      <w:r w:rsidR="00936AAC">
        <w:rPr>
          <w:sz w:val="24"/>
        </w:rPr>
        <w:t xml:space="preserve">Many researchers accept the APIs as “black boxes,” and do not fully understand how they work </w:t>
      </w:r>
      <w:r w:rsidR="00180B0C">
        <w:rPr>
          <w:sz w:val="24"/>
        </w:rPr>
        <w:fldChar w:fldCharType="begin" w:fldLock="1"/>
      </w:r>
      <w:r w:rsidR="00C901BD">
        <w:rPr>
          <w:sz w:val="24"/>
        </w:rPr>
        <w:instrText>ADDIN CSL_CITATION {"citationItems":[{"id":"ITEM-1","itemData":{"DOI":"10.1145/2746366","ISSN":"1559114X","abstract":"Researchers have begun studying content obtained from microblogging services such as Twitter to address a variety of technological, social, and commercial research questions. The large number of Twitter users and even larger volume of tweets often make it impractical to collect and maintain a complete record of activity; therefore, most research and some commercial software applications rely on samples, often relatively small samples, of Twitter data. For the most part, sample sizes have been based on availability and practical considerations. Relatively little attention has been paid to how well these samples represent the underlying stream of Twitter data. To fill this gap, this article performs a comparative analysis on samples obtained from two of Twitter's streaming APIs with a more complete Twitter dataset to gain an in-depth understanding of the nature of Twitter data samples and their potential for use in various data mining tasks.","author":[{"dropping-particle":"","family":"Wang","given":"Yazhe","non-dropping-particle":"","parse-names":false,"suffix":""},{"dropping-particle":"","family":"Callan","given":"Jamie","non-dropping-particle":"","parse-names":false,"suffix":""},{"dropping-particle":"","family":"Zheng","given":"Baihua","non-dropping-particle":"","parse-names":false,"suffix":""}],"container-title":"ACM Transactions on the Web","id":"ITEM-1","issue":"3","issued":{"date-parts":[["2015"]]},"title":"Should we use the sample? Analyzing datasets sampled from Twitter's stream API","type":"article-journal","volume":"9"},"uris":["http://www.mendeley.com/documents/?uuid=36be31e2-9ba2-4439-a076-46c2d303e854"]},{"id":"ITEM-2","itemData":{"DOI":"10.1145/2567948.2576952","ISBN":"9781450327459","abstract":"Twitter shares a free 1% sample of its tweets through the Streaming API\". Recently, research has pointed to evidence of bias in this source. The methodologies proposed in previous work rely on the restrictive and expensive Firehose to find the bias in the Streaming API data. We tackle the problem of finding sample bias without costly and restrictive Firehose data. We propose a solution that focuses on using an open data source to find bias in the Streaming API.","author":[{"dropping-particle":"","family":"Morstatter","given":"Fred","non-dropping-particle":"","parse-names":false,"suffix":""},{"dropping-particle":"","family":"Pfeffer","given":"Jürgen","non-dropping-particle":"","parse-names":false,"suffix":""},{"dropping-particle":"","family":"Liu","given":"Huan","non-dropping-particle":"","parse-names":false,"suffix":""}],"container-title":"WWW 2014 Companion - Proceedings of the 23rd International Conference on World Wide Web","id":"ITEM-2","issued":{"date-parts":[["2014"]]},"page":"555-556","title":"When is it biased? Assessing the representativeness of twitter's streaming API","type":"article-journal"},"uris":["http://www.mendeley.com/documents/?uuid=aa412fd9-e78b-415d-bf25-b0fa1f67568c"]}],"mendeley":{"formattedCitation":"(Morstatter et al., 2014; Wang et al., 2015)","plainTextFormattedCitation":"(Morstatter et al., 2014; Wang et al., 2015)","previouslyFormattedCitation":"(Morstatter et al., 2014; Wang et al., 2015)"},"properties":{"noteIndex":0},"schema":"https://github.com/citation-style-language/schema/raw/master/csl-citation.json"}</w:instrText>
      </w:r>
      <w:r w:rsidR="00180B0C">
        <w:rPr>
          <w:sz w:val="24"/>
        </w:rPr>
        <w:fldChar w:fldCharType="separate"/>
      </w:r>
      <w:r w:rsidR="00180B0C" w:rsidRPr="00180B0C">
        <w:rPr>
          <w:noProof/>
          <w:sz w:val="24"/>
        </w:rPr>
        <w:t>(Morstatter et al., 2014; Wang et al., 2015)</w:t>
      </w:r>
      <w:r w:rsidR="00180B0C">
        <w:rPr>
          <w:sz w:val="24"/>
        </w:rPr>
        <w:fldChar w:fldCharType="end"/>
      </w:r>
      <w:r w:rsidR="00300B40">
        <w:rPr>
          <w:sz w:val="24"/>
        </w:rPr>
        <w:t>.</w:t>
      </w:r>
      <w:r w:rsidR="009F0451">
        <w:rPr>
          <w:sz w:val="24"/>
        </w:rPr>
        <w:t xml:space="preserve"> </w:t>
      </w:r>
      <w:r w:rsidR="00534430" w:rsidRPr="004C441A">
        <w:rPr>
          <w:rFonts w:eastAsiaTheme="minorEastAsia"/>
          <w:sz w:val="24"/>
        </w:rPr>
        <w:t xml:space="preserve">I found documentation lacking, vague, and too advanced for the layperson. </w:t>
      </w:r>
      <w:r w:rsidR="00534430" w:rsidRPr="004C441A">
        <w:rPr>
          <w:rFonts w:eastAsiaTheme="minorEastAsia"/>
          <w:sz w:val="24"/>
        </w:rPr>
        <w:fldChar w:fldCharType="begin" w:fldLock="1"/>
      </w:r>
      <w:r w:rsidR="00534430" w:rsidRPr="004C441A">
        <w:rPr>
          <w:rFonts w:eastAsiaTheme="minorEastAsia"/>
          <w:sz w:val="24"/>
        </w:rPr>
        <w:instrText>ADDIN CSL_CITATION {"citationItems":[{"id":"ITEM-1","itemData":{"DOI":"10.3390/ijerph17030864","ISSN":"16604601","abstract":"Public health and social science increasingly use Twitter for behavioral and marketing surveillance. However, few studies provide sufficient detail about Twitter data collection to allow either direct comparisons between studies or to support replication. The three primary application programming interfaces (API) of Twitter data sources are Streaming, Search, and Firehose. To date, no clear guidance exists about the advantages and limitations of each API, or about the comparability of the amount, content, and user accounts of retrieved tweets from each API. Such information is crucial to the validity, interpretation, and replicability of research findings. This study examines whether tweets collected using the same search filters over the same time period, but calling different APIs, would retrieve comparable datasets. We collected tweets about anti-smoking, e-cigarettes, and tobacco using the aforementioned APIs. The retrieved tweets largely overlapped between three APIs, but each also retrieved unique tweets, and the extent of overlap varied over time and by topic, resulting in different trends and potentially supporting diverging inferences. Researchers need to understand how different data sources can influence both the amount, content, and user accounts of data they retrieve from social media, in order to assess the implications of their choice of data source.","author":[{"dropping-particle":"","family":"Kim","given":"Yoonsang","non-dropping-particle":"","parse-names":false,"suffix":""},{"dropping-particle":"","family":"Nordgren","given":"Rachel","non-dropping-particle":"","parse-names":false,"suffix":""},{"dropping-particle":"","family":"Emery","given":"Sherry","non-dropping-particle":"","parse-names":false,"suffix":""}],"container-title":"International Journal of Environmental Research and Public Health","id":"ITEM-1","issue":"3","issued":{"date-parts":[["2020"]]},"page":"1-15","title":"The story of goldilocks and three twitter’s APIs: A pilot study on twitter data sources and disclosure","type":"article-journal","volume":"17"},"uris":["http://www.mendeley.com/documents/?uuid=bc0e2898-a5ec-4b02-b253-090c6f236698"]}],"mendeley":{"formattedCitation":"(Kim et al., 2020)","manualFormatting":"Kim et al. (2020)","plainTextFormattedCitation":"(Kim et al., 2020)","previouslyFormattedCitation":"(Kim et al., 2020)"},"properties":{"noteIndex":0},"schema":"https://github.com/citation-style-language/schema/raw/master/csl-citation.json"}</w:instrText>
      </w:r>
      <w:r w:rsidR="00534430" w:rsidRPr="004C441A">
        <w:rPr>
          <w:rFonts w:eastAsiaTheme="minorEastAsia"/>
          <w:sz w:val="24"/>
        </w:rPr>
        <w:fldChar w:fldCharType="separate"/>
      </w:r>
      <w:r w:rsidR="00534430" w:rsidRPr="004C441A">
        <w:rPr>
          <w:rFonts w:eastAsiaTheme="minorEastAsia"/>
          <w:noProof/>
          <w:sz w:val="24"/>
        </w:rPr>
        <w:t>Kim et al. (2020)</w:t>
      </w:r>
      <w:r w:rsidR="00534430" w:rsidRPr="004C441A">
        <w:rPr>
          <w:rFonts w:eastAsiaTheme="minorEastAsia"/>
          <w:sz w:val="24"/>
        </w:rPr>
        <w:fldChar w:fldCharType="end"/>
      </w:r>
      <w:r w:rsidR="00534430">
        <w:rPr>
          <w:rFonts w:eastAsiaTheme="minorEastAsia"/>
          <w:sz w:val="24"/>
        </w:rPr>
        <w:t xml:space="preserve"> agreed, writing, “to date, no clear guidance exists about the advantages and limitations of each API” and “data vendors provide insufficient technical guidance [for researchers] to make informed or transparent decisions” (page 1). </w:t>
      </w:r>
      <w:r w:rsidR="00C158C9">
        <w:rPr>
          <w:sz w:val="24"/>
        </w:rPr>
        <w:t xml:space="preserve">Biases—via Twitter’s API sampling algorithm </w:t>
      </w:r>
      <w:r w:rsidR="00C158C9">
        <w:rPr>
          <w:sz w:val="24"/>
        </w:rPr>
        <w:fldChar w:fldCharType="begin" w:fldLock="1"/>
      </w:r>
      <w:r w:rsidR="00C158C9">
        <w:rPr>
          <w:sz w:val="24"/>
        </w:rPr>
        <w:instrText>ADDIN CSL_CITATION {"citationItems":[{"id":"ITEM-1","itemData":{"DOI":"10.1145/2567948.2576952","ISBN":"9781450327459","abstract":"Twitter shares a free 1% sample of its tweets through the Streaming API\". Recently, research has pointed to evidence of bias in this source. The methodologies proposed in previous work rely on the restrictive and expensive Firehose to find the bias in the Streaming API data. We tackle the problem of finding sample bias without costly and restrictive Firehose data. We propose a solution that focuses on using an open data source to find bias in the Streaming API.","author":[{"dropping-particle":"","family":"Morstatter","given":"Fred","non-dropping-particle":"","parse-names":false,"suffix":""},{"dropping-particle":"","family":"Pfeffer","given":"Jürgen","non-dropping-particle":"","parse-names":false,"suffix":""},{"dropping-particle":"","family":"Liu","given":"Huan","non-dropping-particle":"","parse-names":false,"suffix":""}],"container-title":"WWW 2014 Companion - Proceedings of the 23rd International Conference on World Wide Web","id":"ITEM-1","issued":{"date-parts":[["2014"]]},"page":"555-556","title":"When is it biased? Assessing the representativeness of twitter's streaming API","type":"article-journal"},"uris":["http://www.mendeley.com/documents/?uuid=aa412fd9-e78b-415d-bf25-b0fa1f67568c"]}],"mendeley":{"formattedCitation":"(Morstatter et al., 2014)","plainTextFormattedCitation":"(Morstatter et al., 2014)","previouslyFormattedCitation":"(Morstatter et al., 2014)"},"properties":{"noteIndex":0},"schema":"https://github.com/citation-style-language/schema/raw/master/csl-citation.json"}</w:instrText>
      </w:r>
      <w:r w:rsidR="00C158C9">
        <w:rPr>
          <w:sz w:val="24"/>
        </w:rPr>
        <w:fldChar w:fldCharType="separate"/>
      </w:r>
      <w:r w:rsidR="00C158C9" w:rsidRPr="00C158C9">
        <w:rPr>
          <w:noProof/>
          <w:sz w:val="24"/>
        </w:rPr>
        <w:t>(Morstatter et al., 2014)</w:t>
      </w:r>
      <w:r w:rsidR="00C158C9">
        <w:rPr>
          <w:sz w:val="24"/>
        </w:rPr>
        <w:fldChar w:fldCharType="end"/>
      </w:r>
      <w:r w:rsidR="0088414D">
        <w:rPr>
          <w:sz w:val="24"/>
        </w:rPr>
        <w:t xml:space="preserve"> </w:t>
      </w:r>
      <w:r w:rsidR="00C158C9">
        <w:rPr>
          <w:sz w:val="24"/>
        </w:rPr>
        <w:t xml:space="preserve">as well as socioeconomic </w:t>
      </w:r>
      <w:r w:rsidR="00405BA0">
        <w:rPr>
          <w:sz w:val="24"/>
        </w:rPr>
        <w:t>status, geographic location</w:t>
      </w:r>
      <w:r w:rsidR="00C158C9">
        <w:rPr>
          <w:sz w:val="24"/>
        </w:rPr>
        <w:t xml:space="preserve">, age, and demographics </w:t>
      </w:r>
      <w:r w:rsidR="00C158C9">
        <w:rPr>
          <w:sz w:val="24"/>
        </w:rPr>
        <w:fldChar w:fldCharType="begin" w:fldLock="1"/>
      </w:r>
      <w:r w:rsidR="00F475EB">
        <w:rPr>
          <w:sz w:val="24"/>
        </w:rPr>
        <w:instrText>ADDIN CSL_CITATION {"citationItems":[{"id":"ITEM-1","itemData":{"author":[{"dropping-particle":"","family":"Malik","given":"Momin M","non-dropping-particle":"","parse-names":false,"suffix":""},{"dropping-particle":"","family":"Lamba","given":"Hemank","non-dropping-particle":"","parse-names":false,"suffix":""},{"dropping-particle":"","family":"Nakos","given":"Constantine","non-dropping-particle":"","parse-names":false,"suffix":""}],"container-title":"Standards and Practices in Large-Scale Social Media Research: Papers from the 2015 ICWSM Workshop","editor":[{"dropping-particle":"","family":"Ruths","given":"Derek","non-dropping-particle":"","parse-names":false,"suffix":""},{"dropping-particle":"","family":"Pfeffer","given":"Juergen","non-dropping-particle":"","parse-names":false,"suffix":""}],"id":"ITEM-1","issued":{"date-parts":[["2015"]]},"number-of-pages":"18-27","publisher":"The Association for the Advancement of Artifical Intelligence","publisher-place":"Palo Alto","title":"Population Bias in Geotagged Tweets","type":"report"},"uris":["http://www.mendeley.com/documents/?uuid=56cccea7-f0af-486b-afd4-8de568d583aa"]}],"mendeley":{"formattedCitation":"(Malik, Lamba, &amp; Nakos, 2015)","plainTextFormattedCitation":"(Malik, Lamba, &amp; Nakos, 2015)","previouslyFormattedCitation":"(Malik, Lamba, &amp; Nakos, 2015)"},"properties":{"noteIndex":0},"schema":"https://github.com/citation-style-language/schema/raw/master/csl-citation.json"}</w:instrText>
      </w:r>
      <w:r w:rsidR="00C158C9">
        <w:rPr>
          <w:sz w:val="24"/>
        </w:rPr>
        <w:fldChar w:fldCharType="separate"/>
      </w:r>
      <w:r w:rsidR="00C158C9" w:rsidRPr="00C158C9">
        <w:rPr>
          <w:noProof/>
          <w:sz w:val="24"/>
        </w:rPr>
        <w:t>(Malik, Lamba, &amp; Nakos, 2015)</w:t>
      </w:r>
      <w:r w:rsidR="00C158C9">
        <w:rPr>
          <w:sz w:val="24"/>
        </w:rPr>
        <w:fldChar w:fldCharType="end"/>
      </w:r>
      <w:r w:rsidR="00C158C9">
        <w:rPr>
          <w:sz w:val="24"/>
        </w:rPr>
        <w:t xml:space="preserve">—are </w:t>
      </w:r>
      <w:r w:rsidR="00936AAC">
        <w:rPr>
          <w:sz w:val="24"/>
        </w:rPr>
        <w:t xml:space="preserve">also </w:t>
      </w:r>
      <w:r w:rsidR="00C158C9">
        <w:rPr>
          <w:sz w:val="24"/>
        </w:rPr>
        <w:t>reported.</w:t>
      </w:r>
      <w:r w:rsidR="00936AAC">
        <w:rPr>
          <w:sz w:val="24"/>
        </w:rPr>
        <w:t xml:space="preserve"> Nevertheless, despite known limitations, many researchers continue to use Twitter’s free APIs over more expensive options. </w:t>
      </w:r>
    </w:p>
    <w:p w14:paraId="4C5E5E34" w14:textId="51E29024" w:rsidR="00566C82" w:rsidRDefault="00F670BF" w:rsidP="00923827">
      <w:pPr>
        <w:spacing w:line="480" w:lineRule="auto"/>
        <w:rPr>
          <w:sz w:val="24"/>
        </w:rPr>
      </w:pPr>
      <w:r>
        <w:rPr>
          <w:sz w:val="24"/>
        </w:rPr>
        <w:tab/>
      </w:r>
      <w:r w:rsidR="00024549">
        <w:rPr>
          <w:sz w:val="24"/>
        </w:rPr>
        <w:t>Firehose and PowerTrack are two of Twitter’s paid API options.</w:t>
      </w:r>
      <w:r w:rsidR="00F06A3B">
        <w:rPr>
          <w:sz w:val="24"/>
        </w:rPr>
        <w:t xml:space="preserve"> </w:t>
      </w:r>
      <w:r w:rsidR="007A5DC2">
        <w:rPr>
          <w:sz w:val="24"/>
        </w:rPr>
        <w:t xml:space="preserve">Though arguably more powerful than the free APIs, sources suggest that Firehose and PowerTrack are quite expensive </w:t>
      </w:r>
      <w:r w:rsidR="007A5DC2">
        <w:rPr>
          <w:sz w:val="24"/>
        </w:rPr>
        <w:fldChar w:fldCharType="begin" w:fldLock="1"/>
      </w:r>
      <w:r w:rsidR="007A5DC2">
        <w:rPr>
          <w:sz w:val="24"/>
        </w:rPr>
        <w:instrText>ADDIN CSL_CITATION {"citationItems":[{"id":"ITEM-1","itemData":{"author":[{"dropping-particle":"","family":"Morstatter","given":"Fred","non-dropping-particle":"","parse-names":false,"suffix":""},{"dropping-particle":"","family":"Pfeffer","given":"Jurgen","non-dropping-particle":"","parse-names":false,"suffix":""},{"dropping-particle":"","family":"Liu","given":"Huan","non-dropping-particle":"","parse-names":false,"suffix":""},{"dropping-particle":"","family":"Carley","given":"Kathleen M.","non-dropping-particle":"","parse-names":false,"suffix":""}],"container-title":"Association for the Advancement of Artificial Intelligence","id":"ITEM-1","issued":{"date-parts":[["2013"]]},"page":"400-408","title":"Is the Sample Good Enough ? Comparing Data from Twitter ’ s Streaming API with Twitter ’ s Firehose","type":"article-journal"},"uris":["http://www.mendeley.com/documents/?uuid=caa77904-9a00-4535-9804-f733a99f5347"]},{"id":"ITEM-2","itemData":{"DOI":"10.1145/2567948.2576952","ISBN":"9781450327459","abstract":"Twitter shares a free 1% sample of its tweets through the Streaming API\". Recently, research has pointed to evidence of bias in this source. The methodologies proposed in previous work rely on the restrictive and expensive Firehose to find the bias in the Streaming API data. We tackle the problem of finding sample bias without costly and restrictive Firehose data. We propose a solution that focuses on using an open data source to find bias in the Streaming API.","author":[{"dropping-particle":"","family":"Morstatter","given":"Fred","non-dropping-particle":"","parse-names":false,"suffix":""},{"dropping-particle":"","family":"Pfeffer","given":"Jürgen","non-dropping-particle":"","parse-names":false,"suffix":""},{"dropping-particle":"","family":"Liu","given":"Huan","non-dropping-particle":"","parse-names":false,"suffix":""}],"container-title":"WWW 2014 Companion - Proceedings of the 23rd International Conference on World Wide Web","id":"ITEM-2","issued":{"date-parts":[["2014"]]},"page":"555-556","title":"When is it biased? Assessing the representativeness of twitter's streaming API","type":"article-journal"},"uris":["http://www.mendeley.com/documents/?uuid=aa412fd9-e78b-415d-bf25-b0fa1f67568c"]}],"mendeley":{"formattedCitation":"(Morstatter et al., 2014; Morstatter, Pfeffer, Liu, &amp; Carley, 2013)","plainTextFormattedCitation":"(Morstatter et al., 2014; Morstatter, Pfeffer, Liu, &amp; Carley, 2013)","previouslyFormattedCitation":"(Morstatter et al., 2014; Morstatter, Pfeffer, Liu, &amp; Carley, 2013)"},"properties":{"noteIndex":0},"schema":"https://github.com/citation-style-language/schema/raw/master/csl-citation.json"}</w:instrText>
      </w:r>
      <w:r w:rsidR="007A5DC2">
        <w:rPr>
          <w:sz w:val="24"/>
        </w:rPr>
        <w:fldChar w:fldCharType="separate"/>
      </w:r>
      <w:r w:rsidR="007A5DC2" w:rsidRPr="0088552C">
        <w:rPr>
          <w:noProof/>
          <w:sz w:val="24"/>
        </w:rPr>
        <w:t>(Morstatter et al., 2014; Morstatter, Pfeffer, Liu, &amp; Carley, 2013)</w:t>
      </w:r>
      <w:r w:rsidR="007A5DC2">
        <w:rPr>
          <w:sz w:val="24"/>
        </w:rPr>
        <w:fldChar w:fldCharType="end"/>
      </w:r>
      <w:r w:rsidR="007A5DC2">
        <w:rPr>
          <w:sz w:val="24"/>
        </w:rPr>
        <w:t xml:space="preserve">. </w:t>
      </w:r>
      <w:r w:rsidR="007704D5">
        <w:rPr>
          <w:sz w:val="24"/>
        </w:rPr>
        <w:t xml:space="preserve">Both claim access to every </w:t>
      </w:r>
      <w:r w:rsidR="007704D5">
        <w:rPr>
          <w:sz w:val="24"/>
        </w:rPr>
        <w:lastRenderedPageBreak/>
        <w:t>public tweet since Twitter began in 2006</w:t>
      </w:r>
      <w:r w:rsidR="00697B4A">
        <w:rPr>
          <w:sz w:val="24"/>
        </w:rPr>
        <w:t xml:space="preserve"> </w:t>
      </w:r>
      <w:r w:rsidR="00697B4A">
        <w:rPr>
          <w:sz w:val="24"/>
        </w:rPr>
        <w:fldChar w:fldCharType="begin" w:fldLock="1"/>
      </w:r>
      <w:r w:rsidR="00697B4A">
        <w:rPr>
          <w:sz w:val="24"/>
        </w:rPr>
        <w:instrText>ADDIN CSL_CITATION {"citationItems":[{"id":"ITEM-1","itemData":{"DOI":"10.3390/ijerph17030864","ISSN":"16604601","abstract":"Public health and social science increasingly use Twitter for behavioral and marketing surveillance. However, few studies provide sufficient detail about Twitter data collection to allow either direct comparisons between studies or to support replication. The three primary application programming interfaces (API) of Twitter data sources are Streaming, Search, and Firehose. To date, no clear guidance exists about the advantages and limitations of each API, or about the comparability of the amount, content, and user accounts of retrieved tweets from each API. Such information is crucial to the validity, interpretation, and replicability of research findings. This study examines whether tweets collected using the same search filters over the same time period, but calling different APIs, would retrieve comparable datasets. We collected tweets about anti-smoking, e-cigarettes, and tobacco using the aforementioned APIs. The retrieved tweets largely overlapped between three APIs, but each also retrieved unique tweets, and the extent of overlap varied over time and by topic, resulting in different trends and potentially supporting diverging inferences. Researchers need to understand how different data sources can influence both the amount, content, and user accounts of data they retrieve from social media, in order to assess the implications of their choice of data source.","author":[{"dropping-particle":"","family":"Kim","given":"Yoonsang","non-dropping-particle":"","parse-names":false,"suffix":""},{"dropping-particle":"","family":"Nordgren","given":"Rachel","non-dropping-particle":"","parse-names":false,"suffix":""},{"dropping-particle":"","family":"Emery","given":"Sherry","non-dropping-particle":"","parse-names":false,"suffix":""}],"container-title":"International Journal of Environmental Research and Public Health","id":"ITEM-1","issue":"3","issued":{"date-parts":[["2020"]]},"page":"1-15","title":"The story of goldilocks and three twitter’s APIs: A pilot study on twitter data sources and disclosure","type":"article-journal","volume":"17"},"uris":["http://www.mendeley.com/documents/?uuid=bc0e2898-a5ec-4b02-b253-090c6f236698"]}],"mendeley":{"formattedCitation":"(Kim et al., 2020)","plainTextFormattedCitation":"(Kim et al., 2020)","previouslyFormattedCitation":"(Kim et al., 2020)"},"properties":{"noteIndex":0},"schema":"https://github.com/citation-style-language/schema/raw/master/csl-citation.json"}</w:instrText>
      </w:r>
      <w:r w:rsidR="00697B4A">
        <w:rPr>
          <w:sz w:val="24"/>
        </w:rPr>
        <w:fldChar w:fldCharType="separate"/>
      </w:r>
      <w:r w:rsidR="00697B4A" w:rsidRPr="00697B4A">
        <w:rPr>
          <w:noProof/>
          <w:sz w:val="24"/>
        </w:rPr>
        <w:t>(Kim et al., 2020)</w:t>
      </w:r>
      <w:r w:rsidR="00697B4A">
        <w:rPr>
          <w:sz w:val="24"/>
        </w:rPr>
        <w:fldChar w:fldCharType="end"/>
      </w:r>
      <w:r w:rsidR="007704D5">
        <w:rPr>
          <w:sz w:val="24"/>
        </w:rPr>
        <w:t xml:space="preserve">; thus, a large advantage over </w:t>
      </w:r>
      <w:r w:rsidR="00CB1EFC">
        <w:rPr>
          <w:sz w:val="24"/>
        </w:rPr>
        <w:t xml:space="preserve">the </w:t>
      </w:r>
      <w:r w:rsidR="007704D5">
        <w:rPr>
          <w:sz w:val="24"/>
        </w:rPr>
        <w:t>free APIs is the sheer number of tweets available.</w:t>
      </w:r>
      <w:r w:rsidR="00944B3E">
        <w:rPr>
          <w:sz w:val="24"/>
        </w:rPr>
        <w:t xml:space="preserve"> The main difference between Firehose and PowerTrack is the way the data are processed.</w:t>
      </w:r>
      <w:r w:rsidR="007704D5">
        <w:rPr>
          <w:sz w:val="24"/>
        </w:rPr>
        <w:t xml:space="preserve"> </w:t>
      </w:r>
      <w:r w:rsidR="00944070">
        <w:rPr>
          <w:sz w:val="24"/>
        </w:rPr>
        <w:t xml:space="preserve">PowerTrack improves tweet accessibility because it allows greater control, flexibility, and filtering techniques than Firehose </w:t>
      </w:r>
      <w:r w:rsidR="00697B4A">
        <w:rPr>
          <w:sz w:val="24"/>
        </w:rPr>
        <w:fldChar w:fldCharType="begin" w:fldLock="1"/>
      </w:r>
      <w:r w:rsidR="00697B4A">
        <w:rPr>
          <w:sz w:val="24"/>
        </w:rPr>
        <w:instrText>ADDIN CSL_CITATION {"citationItems":[{"id":"ITEM-1","itemData":{"DOI":"10.3390/ijerph17030864","ISSN":"16604601","abstract":"Public health and social science increasingly use Twitter for behavioral and marketing surveillance. However, few studies provide sufficient detail about Twitter data collection to allow either direct comparisons between studies or to support replication. The three primary application programming interfaces (API) of Twitter data sources are Streaming, Search, and Firehose. To date, no clear guidance exists about the advantages and limitations of each API, or about the comparability of the amount, content, and user accounts of retrieved tweets from each API. Such information is crucial to the validity, interpretation, and replicability of research findings. This study examines whether tweets collected using the same search filters over the same time period, but calling different APIs, would retrieve comparable datasets. We collected tweets about anti-smoking, e-cigarettes, and tobacco using the aforementioned APIs. The retrieved tweets largely overlapped between three APIs, but each also retrieved unique tweets, and the extent of overlap varied over time and by topic, resulting in different trends and potentially supporting diverging inferences. Researchers need to understand how different data sources can influence both the amount, content, and user accounts of data they retrieve from social media, in order to assess the implications of their choice of data source.","author":[{"dropping-particle":"","family":"Kim","given":"Yoonsang","non-dropping-particle":"","parse-names":false,"suffix":""},{"dropping-particle":"","family":"Nordgren","given":"Rachel","non-dropping-particle":"","parse-names":false,"suffix":""},{"dropping-particle":"","family":"Emery","given":"Sherry","non-dropping-particle":"","parse-names":false,"suffix":""}],"container-title":"International Journal of Environmental Research and Public Health","id":"ITEM-1","issue":"3","issued":{"date-parts":[["2020"]]},"page":"1-15","title":"The story of goldilocks and three twitter’s APIs: A pilot study on twitter data sources and disclosure","type":"article-journal","volume":"17"},"uris":["http://www.mendeley.com/documents/?uuid=bc0e2898-a5ec-4b02-b253-090c6f236698"]}],"mendeley":{"formattedCitation":"(Kim et al., 2020)","plainTextFormattedCitation":"(Kim et al., 2020)","previouslyFormattedCitation":"(Kim et al., 2020)"},"properties":{"noteIndex":0},"schema":"https://github.com/citation-style-language/schema/raw/master/csl-citation.json"}</w:instrText>
      </w:r>
      <w:r w:rsidR="00697B4A">
        <w:rPr>
          <w:sz w:val="24"/>
        </w:rPr>
        <w:fldChar w:fldCharType="separate"/>
      </w:r>
      <w:r w:rsidR="00697B4A" w:rsidRPr="00697B4A">
        <w:rPr>
          <w:noProof/>
          <w:sz w:val="24"/>
        </w:rPr>
        <w:t>(Kim et al., 2020)</w:t>
      </w:r>
      <w:r w:rsidR="00697B4A">
        <w:rPr>
          <w:sz w:val="24"/>
        </w:rPr>
        <w:fldChar w:fldCharType="end"/>
      </w:r>
      <w:r w:rsidR="00564B80">
        <w:rPr>
          <w:sz w:val="24"/>
        </w:rPr>
        <w:t>.</w:t>
      </w:r>
      <w:r w:rsidR="00680BD3">
        <w:rPr>
          <w:sz w:val="24"/>
        </w:rPr>
        <w:t xml:space="preserve"> </w:t>
      </w:r>
      <w:r w:rsidR="00382A29">
        <w:rPr>
          <w:sz w:val="24"/>
        </w:rPr>
        <w:t xml:space="preserve">Because </w:t>
      </w:r>
      <w:r w:rsidR="00566C82">
        <w:rPr>
          <w:sz w:val="24"/>
        </w:rPr>
        <w:t xml:space="preserve">Firehose and PowerTrack </w:t>
      </w:r>
      <w:r w:rsidR="005E4600">
        <w:rPr>
          <w:sz w:val="24"/>
        </w:rPr>
        <w:t>can easily return</w:t>
      </w:r>
      <w:r w:rsidR="00382A29">
        <w:rPr>
          <w:sz w:val="24"/>
        </w:rPr>
        <w:t xml:space="preserve"> one million </w:t>
      </w:r>
      <w:r w:rsidR="005E4600">
        <w:rPr>
          <w:sz w:val="24"/>
        </w:rPr>
        <w:t xml:space="preserve">tweets </w:t>
      </w:r>
      <w:r w:rsidR="00382A29">
        <w:rPr>
          <w:sz w:val="24"/>
        </w:rPr>
        <w:t>or more per search, w</w:t>
      </w:r>
      <w:r w:rsidR="00823441">
        <w:rPr>
          <w:sz w:val="24"/>
        </w:rPr>
        <w:t>ithout access</w:t>
      </w:r>
      <w:r w:rsidR="00566C82">
        <w:rPr>
          <w:sz w:val="24"/>
        </w:rPr>
        <w:t xml:space="preserve"> to computer scientists or individuals specializing in machine learning, </w:t>
      </w:r>
      <w:r w:rsidR="00084882">
        <w:rPr>
          <w:sz w:val="24"/>
        </w:rPr>
        <w:t xml:space="preserve">data processing and cleaning can quickly become overwhelming. </w:t>
      </w:r>
    </w:p>
    <w:p w14:paraId="5B50D91D" w14:textId="506A0F67" w:rsidR="00A27584" w:rsidRPr="007C091F" w:rsidRDefault="004A16A5" w:rsidP="007C091F">
      <w:pPr>
        <w:pStyle w:val="Heading2"/>
        <w:spacing w:line="480" w:lineRule="auto"/>
        <w:rPr>
          <w:rFonts w:asciiTheme="minorHAnsi" w:hAnsiTheme="minorHAnsi"/>
          <w:b/>
          <w:color w:val="auto"/>
          <w:sz w:val="24"/>
        </w:rPr>
      </w:pPr>
      <w:bookmarkStart w:id="7" w:name="_Toc56898372"/>
      <w:r>
        <w:rPr>
          <w:rFonts w:asciiTheme="minorHAnsi" w:hAnsiTheme="minorHAnsi"/>
          <w:b/>
          <w:color w:val="auto"/>
          <w:sz w:val="24"/>
        </w:rPr>
        <w:t xml:space="preserve">2.3 </w:t>
      </w:r>
      <w:r w:rsidR="00C90269" w:rsidRPr="007C091F">
        <w:rPr>
          <w:rFonts w:asciiTheme="minorHAnsi" w:hAnsiTheme="minorHAnsi"/>
          <w:b/>
          <w:color w:val="auto"/>
          <w:sz w:val="24"/>
        </w:rPr>
        <w:t>Twitter within the weather community</w:t>
      </w:r>
      <w:bookmarkEnd w:id="7"/>
    </w:p>
    <w:p w14:paraId="47A620C6" w14:textId="2BD4A0BC" w:rsidR="00BE6D45" w:rsidRDefault="00F670BF" w:rsidP="007C091F">
      <w:pPr>
        <w:spacing w:line="480" w:lineRule="auto"/>
        <w:rPr>
          <w:sz w:val="24"/>
        </w:rPr>
      </w:pPr>
      <w:r>
        <w:rPr>
          <w:sz w:val="24"/>
        </w:rPr>
        <w:tab/>
      </w:r>
      <w:r w:rsidR="008C3BAC" w:rsidRPr="001C1F55">
        <w:rPr>
          <w:sz w:val="24"/>
        </w:rPr>
        <w:t>The</w:t>
      </w:r>
      <w:r w:rsidR="008C3BAC">
        <w:rPr>
          <w:sz w:val="24"/>
        </w:rPr>
        <w:t xml:space="preserve"> weather community </w:t>
      </w:r>
      <w:r w:rsidR="004A6A00">
        <w:rPr>
          <w:sz w:val="24"/>
        </w:rPr>
        <w:t xml:space="preserve">has begun using </w:t>
      </w:r>
      <w:r w:rsidR="008C3BAC">
        <w:rPr>
          <w:sz w:val="24"/>
        </w:rPr>
        <w:t xml:space="preserve">Twitter data to observe how the general public experiences weather. </w:t>
      </w:r>
      <w:r w:rsidR="008C3BAC">
        <w:rPr>
          <w:sz w:val="24"/>
        </w:rPr>
        <w:fldChar w:fldCharType="begin" w:fldLock="1"/>
      </w:r>
      <w:r w:rsidR="00B0210D">
        <w:rPr>
          <w:sz w:val="24"/>
        </w:rPr>
        <w:instrText>ADDIN CSL_CITATION {"citationItems":[{"id":"ITEM-1","itemData":{"DOI":"10.1111/disa.12092","ISBN":"0361-3666","ISSN":"14677717","PMID":"25243593","abstract":"A comprehensive review of online, official, and scientific literature was carried out in 2012-13 to develop a framework of disaster social media. This framework can be used to facilitate the creation of disaster social media tools, the formulation of disaster social media implementation processes, and the scientific study of disaster social media effects. Disaster social media users in the framework include communities, government, individuals, organisations, and media outlets. Fifteen distinct disaster social media uses were identified, ranging from preparing and receiving disaster preparedness information and warnings and signalling and detecting disasters prior to an event to (re)connecting community members following a disaster. The framework illustrates that a variety of entities may utilise and produce disaster social media content. Consequently, disaster social media use can be conceptualised as occurring at a number of levels, even within the same disaster. Suggestions are provided on how the proposed framework can inform future disaster social media development and research.","author":[{"dropping-particle":"","family":"Houston","given":"J. Brian","non-dropping-particle":"","parse-names":false,"suffix":""},{"dropping-particle":"","family":"Hawthorne","given":"Joshua","non-dropping-particle":"","parse-names":false,"suffix":""},{"dropping-particle":"","family":"Perreault","given":"Mildred F.","non-dropping-particle":"","parse-names":false,"suffix":""},{"dropping-particle":"","family":"Park","given":"Eun Hae","non-dropping-particle":"","parse-names":false,"suffix":""},{"dropping-particle":"","family":"Goldstein Hode","given":"Marlo","non-dropping-particle":"","parse-names":false,"suffix":""},{"dropping-particle":"","family":"Halliwell","given":"Michael R.","non-dropping-particle":"","parse-names":false,"suffix":""},{"dropping-particle":"","family":"Turner Mcgowen","given":"Sarah E.","non-dropping-particle":"","parse-names":false,"suffix":""},{"dropping-particle":"","family":"Davis","given":"Rachel","non-dropping-particle":"","parse-names":false,"suffix":""},{"dropping-particle":"","family":"Vaid","given":"Shivani","non-dropping-particle":"","parse-names":false,"suffix":""},{"dropping-particle":"","family":"Mcelderry","given":"Jonathan A.","non-dropping-particle":"","parse-names":false,"suffix":""},{"dropping-particle":"","family":"Griffith","given":"Stanford A.","non-dropping-particle":"","parse-names":false,"suffix":""}],"container-title":"Disasters","id":"ITEM-1","issue":"1","issued":{"date-parts":[["2015"]]},"page":"1-22","title":"Social media and disasters: A functional framework for social media use in disaster planning, response, and research","type":"article-journal","volume":"39"},"uris":["http://www.mendeley.com/documents/?uuid=e2a5dc0f-90f4-4ded-bc83-dd6cacdcff4b"]}],"mendeley":{"formattedCitation":"(Houston et al., 2015)","manualFormatting":"Houston et al. (2015)","plainTextFormattedCitation":"(Houston et al., 2015)","previouslyFormattedCitation":"(Houston et al., 2015)"},"properties":{"noteIndex":0},"schema":"https://github.com/citation-style-language/schema/raw/master/csl-citation.json"}</w:instrText>
      </w:r>
      <w:r w:rsidR="008C3BAC">
        <w:rPr>
          <w:sz w:val="24"/>
        </w:rPr>
        <w:fldChar w:fldCharType="separate"/>
      </w:r>
      <w:r w:rsidR="008C3BAC">
        <w:rPr>
          <w:noProof/>
          <w:sz w:val="24"/>
        </w:rPr>
        <w:t>Houston et al. (</w:t>
      </w:r>
      <w:r w:rsidR="008C3BAC" w:rsidRPr="008C3BAC">
        <w:rPr>
          <w:noProof/>
          <w:sz w:val="24"/>
        </w:rPr>
        <w:t>2015)</w:t>
      </w:r>
      <w:r w:rsidR="008C3BAC">
        <w:rPr>
          <w:sz w:val="24"/>
        </w:rPr>
        <w:fldChar w:fldCharType="end"/>
      </w:r>
      <w:r w:rsidR="008C3BAC">
        <w:rPr>
          <w:sz w:val="24"/>
        </w:rPr>
        <w:t xml:space="preserve"> </w:t>
      </w:r>
      <w:r w:rsidR="00A46572">
        <w:rPr>
          <w:sz w:val="24"/>
        </w:rPr>
        <w:t>detailed</w:t>
      </w:r>
      <w:r w:rsidR="008C3BAC">
        <w:rPr>
          <w:sz w:val="24"/>
        </w:rPr>
        <w:t xml:space="preserve"> how people use social media before, during, and after disasters. </w:t>
      </w:r>
      <w:r w:rsidR="008745D1">
        <w:rPr>
          <w:sz w:val="24"/>
        </w:rPr>
        <w:t xml:space="preserve">Before a disastrous weather event, governmental </w:t>
      </w:r>
      <w:r w:rsidR="003D04D7">
        <w:rPr>
          <w:sz w:val="24"/>
        </w:rPr>
        <w:t>leaders</w:t>
      </w:r>
      <w:r w:rsidR="008745D1">
        <w:rPr>
          <w:sz w:val="24"/>
        </w:rPr>
        <w:t xml:space="preserve"> or local news sources might tweet informative or educational content.</w:t>
      </w:r>
      <w:r w:rsidR="00FE67B6">
        <w:rPr>
          <w:sz w:val="24"/>
        </w:rPr>
        <w:t xml:space="preserve"> The general public can engage with these posts and learn how to </w:t>
      </w:r>
      <w:r w:rsidR="000934D2">
        <w:rPr>
          <w:sz w:val="24"/>
        </w:rPr>
        <w:t>remain safe</w:t>
      </w:r>
      <w:r w:rsidR="004C3B64">
        <w:rPr>
          <w:sz w:val="24"/>
        </w:rPr>
        <w:t xml:space="preserve"> (Houston et al., 2015).</w:t>
      </w:r>
      <w:r w:rsidR="004A1E41">
        <w:rPr>
          <w:sz w:val="24"/>
        </w:rPr>
        <w:t xml:space="preserve"> During a weather event, the general public may share</w:t>
      </w:r>
      <w:r w:rsidR="008B771A">
        <w:rPr>
          <w:sz w:val="24"/>
        </w:rPr>
        <w:t xml:space="preserve"> live reports or </w:t>
      </w:r>
      <w:r w:rsidR="004A1E41">
        <w:rPr>
          <w:sz w:val="24"/>
        </w:rPr>
        <w:t>alert loved ones of safety via Twitter</w:t>
      </w:r>
      <w:r w:rsidR="00AF2060">
        <w:rPr>
          <w:sz w:val="24"/>
        </w:rPr>
        <w:t xml:space="preserve"> (Houston et al., 2015</w:t>
      </w:r>
      <w:r w:rsidR="004A1E41">
        <w:rPr>
          <w:sz w:val="24"/>
        </w:rPr>
        <w:t xml:space="preserve">). </w:t>
      </w:r>
      <w:r w:rsidR="00BE6D45">
        <w:rPr>
          <w:sz w:val="24"/>
        </w:rPr>
        <w:t xml:space="preserve">Tweets after weather events may </w:t>
      </w:r>
      <w:r w:rsidR="003B0E47">
        <w:rPr>
          <w:sz w:val="24"/>
        </w:rPr>
        <w:t>lead to</w:t>
      </w:r>
      <w:r w:rsidR="00BE6D45">
        <w:rPr>
          <w:sz w:val="24"/>
        </w:rPr>
        <w:t xml:space="preserve"> </w:t>
      </w:r>
      <w:r w:rsidR="00AF2060">
        <w:rPr>
          <w:sz w:val="24"/>
        </w:rPr>
        <w:t xml:space="preserve">disaster-related </w:t>
      </w:r>
      <w:r w:rsidR="00BE6D45">
        <w:rPr>
          <w:sz w:val="24"/>
        </w:rPr>
        <w:t xml:space="preserve">volunteering or fundraising opportunities </w:t>
      </w:r>
      <w:r w:rsidR="00AF2060">
        <w:rPr>
          <w:sz w:val="24"/>
        </w:rPr>
        <w:t xml:space="preserve">(Houston et al., 2015). </w:t>
      </w:r>
      <w:r w:rsidR="003C6ACB">
        <w:rPr>
          <w:sz w:val="24"/>
        </w:rPr>
        <w:t>Houston et al. (2015) also note</w:t>
      </w:r>
      <w:r w:rsidR="00A46572">
        <w:rPr>
          <w:sz w:val="24"/>
        </w:rPr>
        <w:t>d</w:t>
      </w:r>
      <w:r w:rsidR="003C6ACB">
        <w:rPr>
          <w:sz w:val="24"/>
        </w:rPr>
        <w:t xml:space="preserve"> that socio</w:t>
      </w:r>
      <w:r w:rsidR="00967D75">
        <w:rPr>
          <w:sz w:val="24"/>
        </w:rPr>
        <w:t xml:space="preserve">economics may be a </w:t>
      </w:r>
      <w:r w:rsidR="003C6ACB">
        <w:rPr>
          <w:sz w:val="24"/>
        </w:rPr>
        <w:t xml:space="preserve">conversation topic after disasters, </w:t>
      </w:r>
      <w:r w:rsidR="00967D75">
        <w:rPr>
          <w:sz w:val="24"/>
        </w:rPr>
        <w:t xml:space="preserve">as people become more aware of </w:t>
      </w:r>
      <w:r w:rsidR="00A46572">
        <w:rPr>
          <w:sz w:val="24"/>
        </w:rPr>
        <w:t>the affected communities</w:t>
      </w:r>
      <w:r w:rsidR="00967D75">
        <w:rPr>
          <w:sz w:val="24"/>
        </w:rPr>
        <w:t xml:space="preserve"> and recognize any social injustices.</w:t>
      </w:r>
    </w:p>
    <w:p w14:paraId="4B4433B4" w14:textId="57FBD07C" w:rsidR="00426E66" w:rsidRDefault="001C1F55" w:rsidP="00E00420">
      <w:pPr>
        <w:spacing w:line="480" w:lineRule="auto"/>
        <w:rPr>
          <w:sz w:val="24"/>
        </w:rPr>
      </w:pPr>
      <w:r>
        <w:rPr>
          <w:sz w:val="24"/>
        </w:rPr>
        <w:tab/>
      </w:r>
      <w:r w:rsidR="0025136D">
        <w:rPr>
          <w:sz w:val="24"/>
        </w:rPr>
        <w:t xml:space="preserve">Major weather events are sometimes studied using Twitter data. </w:t>
      </w:r>
      <w:r w:rsidR="00DE68EA">
        <w:rPr>
          <w:sz w:val="24"/>
        </w:rPr>
        <w:fldChar w:fldCharType="begin" w:fldLock="1"/>
      </w:r>
      <w:r w:rsidR="00DE68EA">
        <w:rPr>
          <w:sz w:val="24"/>
        </w:rPr>
        <w:instrText>ADDIN CSL_CITATION {"citationItems":[{"id":"ITEM-1","itemData":{"DOI":"10.3141/2459-13","ISSN":"0361-1981","abstract":"Microblogs posted to Twitter after the tornado in Moore, Oklahoma, on May 20, 2013, were analyzed in this study. The potential of social media data was explored for the extraction of relevant and useful information during natural disasters and as an additional data source for better understanding of individual behavior during a crisis. Data records were attributed to user groups, and the most frequently used words were ranked to track the variation of common interests for each user group. In addition, the data were classified into different content categories, and the temporal variation patterns were analyzed. A sentiment analysis, which revealed variations in public mood and perception over time, was conducted to quantify the sentiment in the data. The techniques presented can be applied to the analysis of similar major social crises and natural disasters (e.g., hurricanes and earthquakes) to provide valuable complementary information in crisis awareness and response to users, first responders, and emerg...","author":[{"dropping-particle":"V.","family":"Ukkusuri","given":"Satish","non-dropping-particle":"","parse-names":false,"suffix":""},{"dropping-particle":"","family":"Zhan","given":"Xianyuan","non-dropping-particle":"","parse-names":false,"suffix":""},{"dropping-particle":"","family":"Sadri","given":"Arif Mohaimin","non-dropping-particle":"","parse-names":false,"suffix":""},{"dropping-particle":"","family":"Ye","given":"Qing","non-dropping-particle":"","parse-names":false,"suffix":""}],"container-title":"Transportation Research Record: Journal of the Transportation Research Board","id":"ITEM-1","issue":"1","issued":{"date-parts":[["2014","1","22"]]},"page":"110-118","publisher":" Transportation Research Board of the National Academies ","title":"Use of Social Media Data to Explore Crisis Informatics","type":"article-journal","volume":"2459"},"uris":["http://www.mendeley.com/documents/?uuid=c7870e55-2acc-3793-af24-a42e79b4205f"]}],"mendeley":{"formattedCitation":"(Ukkusuri et al., 2014)","manualFormatting":"Ukkusuri et al. (2014)","plainTextFormattedCitation":"(Ukkusuri et al., 2014)","previouslyFormattedCitation":"(Ukkusuri et al., 2014)"},"properties":{"noteIndex":0},"schema":"https://github.com/citation-style-language/schema/raw/master/csl-citation.json"}</w:instrText>
      </w:r>
      <w:r w:rsidR="00DE68EA">
        <w:rPr>
          <w:sz w:val="24"/>
        </w:rPr>
        <w:fldChar w:fldCharType="separate"/>
      </w:r>
      <w:r w:rsidR="00DE68EA">
        <w:rPr>
          <w:noProof/>
          <w:sz w:val="24"/>
        </w:rPr>
        <w:t>Ukkusuri et al.</w:t>
      </w:r>
      <w:r w:rsidR="00DE68EA" w:rsidRPr="0060135B">
        <w:rPr>
          <w:noProof/>
          <w:sz w:val="24"/>
        </w:rPr>
        <w:t xml:space="preserve"> </w:t>
      </w:r>
      <w:r w:rsidR="00DE68EA">
        <w:rPr>
          <w:noProof/>
          <w:sz w:val="24"/>
        </w:rPr>
        <w:t>(</w:t>
      </w:r>
      <w:r w:rsidR="00DE68EA" w:rsidRPr="0060135B">
        <w:rPr>
          <w:noProof/>
          <w:sz w:val="24"/>
        </w:rPr>
        <w:t>2014)</w:t>
      </w:r>
      <w:r w:rsidR="00DE68EA">
        <w:rPr>
          <w:sz w:val="24"/>
        </w:rPr>
        <w:fldChar w:fldCharType="end"/>
      </w:r>
      <w:r w:rsidR="00DE68EA">
        <w:rPr>
          <w:sz w:val="24"/>
        </w:rPr>
        <w:t xml:space="preserve"> </w:t>
      </w:r>
      <w:r w:rsidR="00036FF9">
        <w:rPr>
          <w:sz w:val="24"/>
        </w:rPr>
        <w:t xml:space="preserve">examined the content of tweets from the 2013 tornado in Moore, Oklahoma. Many tweets exhibited themes similar to those discussed by Houston et al. </w:t>
      </w:r>
      <w:r w:rsidR="00264BC3">
        <w:rPr>
          <w:sz w:val="24"/>
        </w:rPr>
        <w:t xml:space="preserve">(2015); for example, </w:t>
      </w:r>
      <w:r w:rsidR="001730C7">
        <w:rPr>
          <w:sz w:val="24"/>
        </w:rPr>
        <w:t xml:space="preserve">there were </w:t>
      </w:r>
      <w:r w:rsidR="00264BC3">
        <w:rPr>
          <w:sz w:val="24"/>
        </w:rPr>
        <w:t xml:space="preserve">tweets </w:t>
      </w:r>
      <w:r w:rsidR="001730C7">
        <w:rPr>
          <w:sz w:val="24"/>
        </w:rPr>
        <w:t xml:space="preserve">reporting </w:t>
      </w:r>
      <w:r w:rsidR="005F7545">
        <w:rPr>
          <w:sz w:val="24"/>
        </w:rPr>
        <w:t>torna</w:t>
      </w:r>
      <w:r w:rsidR="001730C7">
        <w:rPr>
          <w:sz w:val="24"/>
        </w:rPr>
        <w:t xml:space="preserve">do damage locations, identifying </w:t>
      </w:r>
      <w:r w:rsidR="005F7545">
        <w:rPr>
          <w:sz w:val="24"/>
        </w:rPr>
        <w:t>needs of l</w:t>
      </w:r>
      <w:r w:rsidR="001730C7">
        <w:rPr>
          <w:sz w:val="24"/>
        </w:rPr>
        <w:t xml:space="preserve">ocal residents, and </w:t>
      </w:r>
      <w:r w:rsidR="001730C7">
        <w:rPr>
          <w:sz w:val="24"/>
        </w:rPr>
        <w:lastRenderedPageBreak/>
        <w:t xml:space="preserve">coordinating </w:t>
      </w:r>
      <w:r w:rsidR="005F7545">
        <w:rPr>
          <w:sz w:val="24"/>
        </w:rPr>
        <w:t>fundraising efforts</w:t>
      </w:r>
      <w:r w:rsidR="00264BC3">
        <w:rPr>
          <w:sz w:val="24"/>
        </w:rPr>
        <w:t xml:space="preserve"> (Ukkusuri et al. 2014)</w:t>
      </w:r>
      <w:r w:rsidR="005F7545">
        <w:rPr>
          <w:sz w:val="24"/>
        </w:rPr>
        <w:t>.</w:t>
      </w:r>
      <w:r w:rsidR="00BC30FF">
        <w:rPr>
          <w:sz w:val="24"/>
        </w:rPr>
        <w:t xml:space="preserve"> </w:t>
      </w:r>
      <w:r w:rsidR="00BC30FF">
        <w:rPr>
          <w:noProof/>
          <w:sz w:val="24"/>
        </w:rPr>
        <w:t>Bohannon (</w:t>
      </w:r>
      <w:r w:rsidR="00BC30FF" w:rsidRPr="00A05FB2">
        <w:rPr>
          <w:noProof/>
          <w:sz w:val="24"/>
        </w:rPr>
        <w:t>2016</w:t>
      </w:r>
      <w:r w:rsidR="00BC30FF">
        <w:rPr>
          <w:noProof/>
          <w:sz w:val="24"/>
        </w:rPr>
        <w:t>) and Kryvasheyeu et al.</w:t>
      </w:r>
      <w:r w:rsidR="00BC30FF" w:rsidRPr="00A05FB2">
        <w:rPr>
          <w:noProof/>
          <w:sz w:val="24"/>
        </w:rPr>
        <w:t xml:space="preserve"> </w:t>
      </w:r>
      <w:r w:rsidR="00BC30FF">
        <w:rPr>
          <w:noProof/>
          <w:sz w:val="24"/>
        </w:rPr>
        <w:t>(</w:t>
      </w:r>
      <w:r w:rsidR="00BC30FF" w:rsidRPr="00A05FB2">
        <w:rPr>
          <w:noProof/>
          <w:sz w:val="24"/>
        </w:rPr>
        <w:t>2016)</w:t>
      </w:r>
      <w:r w:rsidR="006E7310">
        <w:rPr>
          <w:noProof/>
          <w:sz w:val="24"/>
        </w:rPr>
        <w:t xml:space="preserve"> </w:t>
      </w:r>
      <w:r w:rsidR="00BD4A80">
        <w:rPr>
          <w:noProof/>
          <w:sz w:val="24"/>
        </w:rPr>
        <w:t>analyzed</w:t>
      </w:r>
      <w:r w:rsidR="006E7310">
        <w:rPr>
          <w:noProof/>
          <w:sz w:val="24"/>
        </w:rPr>
        <w:t xml:space="preserve"> Twitter data from Su</w:t>
      </w:r>
      <w:r w:rsidR="00BC30FF">
        <w:rPr>
          <w:noProof/>
          <w:sz w:val="24"/>
        </w:rPr>
        <w:t>perstorm Sandy (2012).</w:t>
      </w:r>
      <w:r w:rsidR="008D7B6A">
        <w:rPr>
          <w:noProof/>
          <w:sz w:val="24"/>
        </w:rPr>
        <w:t xml:space="preserve"> </w:t>
      </w:r>
      <w:r w:rsidR="00F33F83">
        <w:rPr>
          <w:noProof/>
          <w:sz w:val="24"/>
        </w:rPr>
        <w:t xml:space="preserve">Their results showed that </w:t>
      </w:r>
      <w:r w:rsidR="008D7B6A">
        <w:rPr>
          <w:noProof/>
          <w:sz w:val="24"/>
        </w:rPr>
        <w:t xml:space="preserve">east coast emergency management agencies used Twitter to coordinate storm relief </w:t>
      </w:r>
      <w:r w:rsidR="00C72846">
        <w:rPr>
          <w:noProof/>
          <w:sz w:val="24"/>
        </w:rPr>
        <w:t>efforts</w:t>
      </w:r>
      <w:r w:rsidR="008D7B6A">
        <w:rPr>
          <w:noProof/>
          <w:sz w:val="24"/>
        </w:rPr>
        <w:t xml:space="preserve"> </w:t>
      </w:r>
      <w:r w:rsidR="00A05FB2">
        <w:rPr>
          <w:sz w:val="24"/>
        </w:rPr>
        <w:fldChar w:fldCharType="begin" w:fldLock="1"/>
      </w:r>
      <w:r w:rsidR="00F93704">
        <w:rPr>
          <w:sz w:val="24"/>
        </w:rPr>
        <w:instrText>ADDIN CSL_CITATION {"citationItems":[{"id":"ITEM-1","itemData":{"DOI":"10.1126/science.aaf4182","ISSN":"0036-8075","author":[{"dropping-particle":"","family":"Bohannon","given":"John","non-dropping-particle":"","parse-names":false,"suffix":""}],"container-title":"Science","id":"ITEM-1","issued":{"date-parts":[["2016","3","11"]]},"title":"Twitter can predict hurricane damage as well as emergency agencies","type":"article-journal"},"uris":["http://www.mendeley.com/documents/?uuid=857e219c-4649-32aa-aacb-332ac22d3433"]},{"id":"ITEM-2","itemData":{"DOI":"10.1126/sciadv.1500779","ISSN":"2375-2548","PMID":"27034978","author":[{"dropping-particle":"","family":"Kryvasheyeu","given":"Yury","non-dropping-particle":"","parse-names":false,"suffix":""},{"dropping-particle":"","family":"Chen","given":"Haohui","non-dropping-particle":"","parse-names":false,"suffix":""},{"dropping-particle":"","family":"Obradovich","given":"Nick","non-dropping-particle":"","parse-names":false,"suffix":""},{"dropping-particle":"","family":"Moro","given":"Esteban","non-dropping-particle":"","parse-names":false,"suffix":""},{"dropping-particle":"Van","family":"Hentenryck","given":"Pascal","non-dropping-particle":"","parse-names":false,"suffix":""},{"dropping-particle":"","family":"Fowler","given":"James","non-dropping-particle":"","parse-names":false,"suffix":""},{"dropping-particle":"","family":"Cebrian","given":"Manuel","non-dropping-particle":"","parse-names":false,"suffix":""}],"container-title":"Science Advance","id":"ITEM-2","issue":"March","issued":{"date-parts":[["2016"]]},"page":"1-12","title":"Rapid assessment of disaster damage using social media activity","type":"article-journal"},"uris":["http://www.mendeley.com/documents/?uuid=41b5bd4a-53ee-4226-97c7-780ce8ad5dfa"]}],"mendeley":{"formattedCitation":"(Bohannon, 2016; Kryvasheyeu et al., 2016)","plainTextFormattedCitation":"(Bohannon, 2016; Kryvasheyeu et al., 2016)","previouslyFormattedCitation":"(Bohannon, 2016; Kryvasheyeu et al., 2016)"},"properties":{"noteIndex":0},"schema":"https://github.com/citation-style-language/schema/raw/master/csl-citation.json"}</w:instrText>
      </w:r>
      <w:r w:rsidR="00A05FB2">
        <w:rPr>
          <w:sz w:val="24"/>
        </w:rPr>
        <w:fldChar w:fldCharType="separate"/>
      </w:r>
      <w:r w:rsidR="00A05FB2" w:rsidRPr="00A05FB2">
        <w:rPr>
          <w:noProof/>
          <w:sz w:val="24"/>
        </w:rPr>
        <w:t>(Bohannon, 2016; Kryvasheyeu et al., 2016)</w:t>
      </w:r>
      <w:r w:rsidR="00A05FB2">
        <w:rPr>
          <w:sz w:val="24"/>
        </w:rPr>
        <w:fldChar w:fldCharType="end"/>
      </w:r>
      <w:r w:rsidR="00A05FB2">
        <w:rPr>
          <w:sz w:val="24"/>
        </w:rPr>
        <w:t>.</w:t>
      </w:r>
      <w:r w:rsidR="003055E8">
        <w:rPr>
          <w:sz w:val="24"/>
        </w:rPr>
        <w:t xml:space="preserve"> Emergency managers tracked Sandy-related tweets</w:t>
      </w:r>
      <w:r w:rsidR="00FA13B4">
        <w:rPr>
          <w:sz w:val="24"/>
        </w:rPr>
        <w:t xml:space="preserve"> and </w:t>
      </w:r>
      <w:r w:rsidR="0097040F">
        <w:rPr>
          <w:sz w:val="24"/>
        </w:rPr>
        <w:t xml:space="preserve">immediately </w:t>
      </w:r>
      <w:r w:rsidR="00FA13B4">
        <w:rPr>
          <w:sz w:val="24"/>
        </w:rPr>
        <w:t xml:space="preserve">allocated resources to locations </w:t>
      </w:r>
      <w:r w:rsidR="00D7773E">
        <w:rPr>
          <w:sz w:val="24"/>
        </w:rPr>
        <w:t>of</w:t>
      </w:r>
      <w:r w:rsidR="00FA13B4">
        <w:rPr>
          <w:sz w:val="24"/>
        </w:rPr>
        <w:t xml:space="preserve"> Sandy tweet hotspots (Bohannon, 2016).</w:t>
      </w:r>
      <w:r w:rsidR="00C645D8">
        <w:rPr>
          <w:sz w:val="24"/>
        </w:rPr>
        <w:t xml:space="preserve"> </w:t>
      </w:r>
      <w:r w:rsidR="00C645D8">
        <w:rPr>
          <w:sz w:val="24"/>
        </w:rPr>
        <w:fldChar w:fldCharType="begin" w:fldLock="1"/>
      </w:r>
      <w:r w:rsidR="00C645D8">
        <w:rPr>
          <w:sz w:val="24"/>
        </w:rPr>
        <w:instrText>ADDIN CSL_CITATION {"citationItems":[{"id":"ITEM-1","itemData":{"DOI":"10.1371/journal.pone.0181701","ISBN":"1111111111","ISSN":"19326203","PMID":"28753667","abstract":"Hurricane Matthew was the deadliest Atlantic storm since Katrina in 2005 and prompted one of the largest recent hurricane evacuations along the Southeastern coast of the United States. The storm and its projected landfall triggered a massive social media reaction. Using Twitter data, this paper examines the spatiotemporal variability in social media response and develops a novel approach to leverage geotagged tweets to assess the evacuation responses of residents. The approach involves the retrieval of tweets from the Twitter Stream, the creation and filtering of different datasets, and the statistical and spatial processing and treatment to extract, plot and map the results. As expected, peak Twitter response was reached during the pre-impact and preparedness phase, and decreased abruptly after the passage of the storm. A comparison between two time periods-pre-evacuation (October 2th-4th) and post-evacuation (October 7th-9 th)-indicates that 54% of Twitter users moved away from the coast to a safer location, with observed differences by state on the timing of the evacuation. A specific sub-state analysis of South Carolina illustrated overall compliance with evacuation orders and detailed information on the timing of departure from the coast as well as the destination location. These findings advance the use of big data and citizen-as-sensor approaches for public safety issues, providing an effective and near real-time alternative for measuring compliance with evacuation orders.","author":[{"dropping-particle":"","family":"Martín","given":"Yago","non-dropping-particle":"","parse-names":false,"suffix":""},{"dropping-particle":"","family":"Li","given":"Zhenlong","non-dropping-particle":"","parse-names":false,"suffix":""},{"dropping-particle":"","family":"Cutter","given":"Susan L.","non-dropping-particle":"","parse-names":false,"suffix":""}],"container-title":"PLoS ONE","id":"ITEM-1","issue":"7","issued":{"date-parts":[["2017"]]},"page":"1-22","title":"Leveraging Twitter to gauge evacuation compliance: Spatiotemporal analysis of Hurricane Matthew","type":"article-journal","volume":"12"},"uris":["http://www.mendeley.com/documents/?uuid=62e164c1-264d-4280-af85-d716a2e1237f"]}],"mendeley":{"formattedCitation":"(Martín et al., 2017)","manualFormatting":"Martín et al. (2017)","plainTextFormattedCitation":"(Martín et al., 2017)","previouslyFormattedCitation":"(Martín et al., 2017)"},"properties":{"noteIndex":0},"schema":"https://github.com/citation-style-language/schema/raw/master/csl-citation.json"}</w:instrText>
      </w:r>
      <w:r w:rsidR="00C645D8">
        <w:rPr>
          <w:sz w:val="24"/>
        </w:rPr>
        <w:fldChar w:fldCharType="separate"/>
      </w:r>
      <w:r w:rsidR="00C645D8">
        <w:rPr>
          <w:noProof/>
          <w:sz w:val="24"/>
        </w:rPr>
        <w:t>Martín et al.</w:t>
      </w:r>
      <w:r w:rsidR="00C645D8" w:rsidRPr="00F93704">
        <w:rPr>
          <w:noProof/>
          <w:sz w:val="24"/>
        </w:rPr>
        <w:t xml:space="preserve"> </w:t>
      </w:r>
      <w:r w:rsidR="00C645D8">
        <w:rPr>
          <w:noProof/>
          <w:sz w:val="24"/>
        </w:rPr>
        <w:t>(</w:t>
      </w:r>
      <w:r w:rsidR="00C645D8" w:rsidRPr="00F93704">
        <w:rPr>
          <w:noProof/>
          <w:sz w:val="24"/>
        </w:rPr>
        <w:t>2017)</w:t>
      </w:r>
      <w:r w:rsidR="00C645D8">
        <w:rPr>
          <w:sz w:val="24"/>
        </w:rPr>
        <w:fldChar w:fldCharType="end"/>
      </w:r>
      <w:r w:rsidR="0000594F">
        <w:rPr>
          <w:sz w:val="24"/>
        </w:rPr>
        <w:t xml:space="preserve"> </w:t>
      </w:r>
      <w:r w:rsidR="00A15C4F">
        <w:rPr>
          <w:sz w:val="24"/>
        </w:rPr>
        <w:t>studied Twitter activity in coastal South Carolina</w:t>
      </w:r>
      <w:r w:rsidR="00BF5B91">
        <w:rPr>
          <w:sz w:val="24"/>
        </w:rPr>
        <w:t xml:space="preserve"> before and after Hurricane Matthew (2016) warnings were issued.</w:t>
      </w:r>
      <w:r w:rsidR="000A5913">
        <w:rPr>
          <w:sz w:val="24"/>
        </w:rPr>
        <w:t xml:space="preserve"> Based upon </w:t>
      </w:r>
      <w:r w:rsidR="005B26F0">
        <w:rPr>
          <w:sz w:val="24"/>
        </w:rPr>
        <w:t>locations of Twitter usage</w:t>
      </w:r>
      <w:r w:rsidR="000A5913">
        <w:rPr>
          <w:sz w:val="24"/>
        </w:rPr>
        <w:t xml:space="preserve">, </w:t>
      </w:r>
      <w:r w:rsidR="000A5913">
        <w:rPr>
          <w:sz w:val="24"/>
        </w:rPr>
        <w:fldChar w:fldCharType="begin" w:fldLock="1"/>
      </w:r>
      <w:r w:rsidR="000A5913">
        <w:rPr>
          <w:sz w:val="24"/>
        </w:rPr>
        <w:instrText>ADDIN CSL_CITATION {"citationItems":[{"id":"ITEM-1","itemData":{"DOI":"10.1371/journal.pone.0181701","ISBN":"1111111111","ISSN":"19326203","PMID":"28753667","abstract":"Hurricane Matthew was the deadliest Atlantic storm since Katrina in 2005 and prompted one of the largest recent hurricane evacuations along the Southeastern coast of the United States. The storm and its projected landfall triggered a massive social media reaction. Using Twitter data, this paper examines the spatiotemporal variability in social media response and develops a novel approach to leverage geotagged tweets to assess the evacuation responses of residents. The approach involves the retrieval of tweets from the Twitter Stream, the creation and filtering of different datasets, and the statistical and spatial processing and treatment to extract, plot and map the results. As expected, peak Twitter response was reached during the pre-impact and preparedness phase, and decreased abruptly after the passage of the storm. A comparison between two time periods-pre-evacuation (October 2th-4th) and post-evacuation (October 7th-9 th)-indicates that 54% of Twitter users moved away from the coast to a safer location, with observed differences by state on the timing of the evacuation. A specific sub-state analysis of South Carolina illustrated overall compliance with evacuation orders and detailed information on the timing of departure from the coast as well as the destination location. These findings advance the use of big data and citizen-as-sensor approaches for public safety issues, providing an effective and near real-time alternative for measuring compliance with evacuation orders.","author":[{"dropping-particle":"","family":"Martín","given":"Yago","non-dropping-particle":"","parse-names":false,"suffix":""},{"dropping-particle":"","family":"Li","given":"Zhenlong","non-dropping-particle":"","parse-names":false,"suffix":""},{"dropping-particle":"","family":"Cutter","given":"Susan L.","non-dropping-particle":"","parse-names":false,"suffix":""}],"container-title":"PLoS ONE","id":"ITEM-1","issue":"7","issued":{"date-parts":[["2017"]]},"page":"1-22","title":"Leveraging Twitter to gauge evacuation compliance: Spatiotemporal analysis of Hurricane Matthew","type":"article-journal","volume":"12"},"uris":["http://www.mendeley.com/documents/?uuid=62e164c1-264d-4280-af85-d716a2e1237f"]}],"mendeley":{"formattedCitation":"(Martín et al., 2017)","manualFormatting":"Martín et al. (2017)","plainTextFormattedCitation":"(Martín et al., 2017)","previouslyFormattedCitation":"(Martín et al., 2017)"},"properties":{"noteIndex":0},"schema":"https://github.com/citation-style-language/schema/raw/master/csl-citation.json"}</w:instrText>
      </w:r>
      <w:r w:rsidR="000A5913">
        <w:rPr>
          <w:sz w:val="24"/>
        </w:rPr>
        <w:fldChar w:fldCharType="separate"/>
      </w:r>
      <w:r w:rsidR="000A5913">
        <w:rPr>
          <w:noProof/>
          <w:sz w:val="24"/>
        </w:rPr>
        <w:t>Martín et al.</w:t>
      </w:r>
      <w:r w:rsidR="000A5913" w:rsidRPr="00F93704">
        <w:rPr>
          <w:noProof/>
          <w:sz w:val="24"/>
        </w:rPr>
        <w:t xml:space="preserve"> </w:t>
      </w:r>
      <w:r w:rsidR="000A5913">
        <w:rPr>
          <w:noProof/>
          <w:sz w:val="24"/>
        </w:rPr>
        <w:t>(</w:t>
      </w:r>
      <w:r w:rsidR="000A5913" w:rsidRPr="00F93704">
        <w:rPr>
          <w:noProof/>
          <w:sz w:val="24"/>
        </w:rPr>
        <w:t>2017)</w:t>
      </w:r>
      <w:r w:rsidR="000A5913">
        <w:rPr>
          <w:sz w:val="24"/>
        </w:rPr>
        <w:fldChar w:fldCharType="end"/>
      </w:r>
      <w:r w:rsidR="000A5913">
        <w:rPr>
          <w:sz w:val="24"/>
        </w:rPr>
        <w:t xml:space="preserve"> </w:t>
      </w:r>
      <w:r w:rsidR="00513FC6">
        <w:rPr>
          <w:sz w:val="24"/>
        </w:rPr>
        <w:t>extrapolated</w:t>
      </w:r>
      <w:r w:rsidR="005B26F0">
        <w:rPr>
          <w:sz w:val="24"/>
        </w:rPr>
        <w:t xml:space="preserve"> </w:t>
      </w:r>
      <w:r w:rsidR="00FA0166">
        <w:rPr>
          <w:sz w:val="24"/>
        </w:rPr>
        <w:t xml:space="preserve">the percentage of </w:t>
      </w:r>
      <w:r w:rsidR="001E4D30">
        <w:rPr>
          <w:sz w:val="24"/>
        </w:rPr>
        <w:t xml:space="preserve">community members who </w:t>
      </w:r>
      <w:r w:rsidR="00FA0166">
        <w:rPr>
          <w:sz w:val="24"/>
        </w:rPr>
        <w:t xml:space="preserve">evacuated </w:t>
      </w:r>
      <w:r w:rsidR="00B731A8">
        <w:rPr>
          <w:sz w:val="24"/>
        </w:rPr>
        <w:t xml:space="preserve">due to the hurricane, and their result </w:t>
      </w:r>
      <w:r w:rsidR="00A10038">
        <w:rPr>
          <w:sz w:val="24"/>
        </w:rPr>
        <w:t xml:space="preserve">nearly </w:t>
      </w:r>
      <w:r w:rsidR="001E4D30">
        <w:rPr>
          <w:sz w:val="24"/>
        </w:rPr>
        <w:t>matched</w:t>
      </w:r>
      <w:r w:rsidR="00700B88">
        <w:rPr>
          <w:sz w:val="24"/>
        </w:rPr>
        <w:t xml:space="preserve"> the</w:t>
      </w:r>
      <w:r w:rsidR="00A10038">
        <w:rPr>
          <w:sz w:val="24"/>
        </w:rPr>
        <w:t xml:space="preserve"> </w:t>
      </w:r>
      <w:r w:rsidR="00B803E0">
        <w:rPr>
          <w:sz w:val="24"/>
        </w:rPr>
        <w:t xml:space="preserve">evacuation </w:t>
      </w:r>
      <w:r w:rsidR="00700B88">
        <w:rPr>
          <w:sz w:val="24"/>
        </w:rPr>
        <w:t>rate often seen in</w:t>
      </w:r>
      <w:r w:rsidR="00426E66">
        <w:rPr>
          <w:sz w:val="24"/>
        </w:rPr>
        <w:t xml:space="preserve"> post-hurricane surveys </w:t>
      </w:r>
      <w:r w:rsidR="00331FA5">
        <w:rPr>
          <w:sz w:val="24"/>
        </w:rPr>
        <w:fldChar w:fldCharType="begin" w:fldLock="1"/>
      </w:r>
      <w:r w:rsidR="004906BC">
        <w:rPr>
          <w:sz w:val="24"/>
        </w:rPr>
        <w:instrText>ADDIN CSL_CITATION {"citationItems":[{"id":"ITEM-1","itemData":{"DOI":"10.1371/journal.pone.0181701","ISBN":"1111111111","ISSN":"19326203","PMID":"28753667","abstract":"Hurricane Matthew was the deadliest Atlantic storm since Katrina in 2005 and prompted one of the largest recent hurricane evacuations along the Southeastern coast of the United States. The storm and its projected landfall triggered a massive social media reaction. Using Twitter data, this paper examines the spatiotemporal variability in social media response and develops a novel approach to leverage geotagged tweets to assess the evacuation responses of residents. The approach involves the retrieval of tweets from the Twitter Stream, the creation and filtering of different datasets, and the statistical and spatial processing and treatment to extract, plot and map the results. As expected, peak Twitter response was reached during the pre-impact and preparedness phase, and decreased abruptly after the passage of the storm. A comparison between two time periods-pre-evacuation (October 2th-4th) and post-evacuation (October 7th-9 th)-indicates that 54% of Twitter users moved away from the coast to a safer location, with observed differences by state on the timing of the evacuation. A specific sub-state analysis of South Carolina illustrated overall compliance with evacuation orders and detailed information on the timing of departure from the coast as well as the destination location. These findings advance the use of big data and citizen-as-sensor approaches for public safety issues, providing an effective and near real-time alternative for measuring compliance with evacuation orders.","author":[{"dropping-particle":"","family":"Martín","given":"Yago","non-dropping-particle":"","parse-names":false,"suffix":""},{"dropping-particle":"","family":"Li","given":"Zhenlong","non-dropping-particle":"","parse-names":false,"suffix":""},{"dropping-particle":"","family":"Cutter","given":"Susan L.","non-dropping-particle":"","parse-names":false,"suffix":""}],"container-title":"PLoS ONE","id":"ITEM-1","issue":"7","issued":{"date-parts":[["2017"]]},"page":"1-22","title":"Leveraging Twitter to gauge evacuation compliance: Spatiotemporal analysis of Hurricane Matthew","type":"article-journal","volume":"12"},"uris":["http://www.mendeley.com/documents/?uuid=62e164c1-264d-4280-af85-d716a2e1237f"]}],"mendeley":{"formattedCitation":"(Martín et al., 2017)","plainTextFormattedCitation":"(Martín et al., 2017)","previouslyFormattedCitation":"(Martín et al., 2017)"},"properties":{"noteIndex":0},"schema":"https://github.com/citation-style-language/schema/raw/master/csl-citation.json"}</w:instrText>
      </w:r>
      <w:r w:rsidR="00331FA5">
        <w:rPr>
          <w:sz w:val="24"/>
        </w:rPr>
        <w:fldChar w:fldCharType="separate"/>
      </w:r>
      <w:r w:rsidR="00331FA5" w:rsidRPr="00331FA5">
        <w:rPr>
          <w:noProof/>
          <w:sz w:val="24"/>
        </w:rPr>
        <w:t>(Martín et al., 2017)</w:t>
      </w:r>
      <w:r w:rsidR="00331FA5">
        <w:rPr>
          <w:sz w:val="24"/>
        </w:rPr>
        <w:fldChar w:fldCharType="end"/>
      </w:r>
      <w:r w:rsidR="00331FA5">
        <w:rPr>
          <w:sz w:val="24"/>
        </w:rPr>
        <w:t>.</w:t>
      </w:r>
    </w:p>
    <w:p w14:paraId="12807030" w14:textId="0FDDCCBF" w:rsidR="0017022B" w:rsidRPr="00CD0909" w:rsidRDefault="004A16A5" w:rsidP="00CD0909">
      <w:pPr>
        <w:pStyle w:val="Heading2"/>
        <w:spacing w:line="480" w:lineRule="auto"/>
        <w:rPr>
          <w:rFonts w:asciiTheme="minorHAnsi" w:hAnsiTheme="minorHAnsi"/>
          <w:b/>
        </w:rPr>
      </w:pPr>
      <w:bookmarkStart w:id="8" w:name="_Toc56898373"/>
      <w:r>
        <w:rPr>
          <w:rFonts w:asciiTheme="minorHAnsi" w:hAnsiTheme="minorHAnsi"/>
          <w:b/>
          <w:color w:val="auto"/>
          <w:sz w:val="24"/>
        </w:rPr>
        <w:t xml:space="preserve">2.4 </w:t>
      </w:r>
      <w:r w:rsidR="0017022B" w:rsidRPr="00CD0909">
        <w:rPr>
          <w:rFonts w:asciiTheme="minorHAnsi" w:hAnsiTheme="minorHAnsi"/>
          <w:b/>
          <w:color w:val="auto"/>
          <w:sz w:val="24"/>
        </w:rPr>
        <w:t>Causes and types of diffusion</w:t>
      </w:r>
      <w:bookmarkEnd w:id="8"/>
    </w:p>
    <w:p w14:paraId="645C9536" w14:textId="27323E25" w:rsidR="00F01922" w:rsidRDefault="00F670BF" w:rsidP="00CD0909">
      <w:pPr>
        <w:spacing w:line="480" w:lineRule="auto"/>
        <w:rPr>
          <w:sz w:val="24"/>
        </w:rPr>
      </w:pPr>
      <w:r>
        <w:rPr>
          <w:sz w:val="24"/>
        </w:rPr>
        <w:tab/>
      </w:r>
      <w:r w:rsidR="00226D81">
        <w:rPr>
          <w:sz w:val="24"/>
        </w:rPr>
        <w:t>Agents are anything that cause</w:t>
      </w:r>
      <w:r w:rsidR="00C72846">
        <w:rPr>
          <w:sz w:val="24"/>
        </w:rPr>
        <w:t>s</w:t>
      </w:r>
      <w:r w:rsidR="00226D81">
        <w:rPr>
          <w:sz w:val="24"/>
        </w:rPr>
        <w:t xml:space="preserve">, </w:t>
      </w:r>
      <w:r w:rsidR="00750C0D">
        <w:rPr>
          <w:sz w:val="24"/>
        </w:rPr>
        <w:t>propagate</w:t>
      </w:r>
      <w:r w:rsidR="00C72846">
        <w:rPr>
          <w:sz w:val="24"/>
        </w:rPr>
        <w:t>s</w:t>
      </w:r>
      <w:r w:rsidR="00750C0D">
        <w:rPr>
          <w:sz w:val="24"/>
        </w:rPr>
        <w:t>, or lead</w:t>
      </w:r>
      <w:r w:rsidR="00C72846">
        <w:rPr>
          <w:sz w:val="24"/>
        </w:rPr>
        <w:t>s</w:t>
      </w:r>
      <w:r w:rsidR="00750C0D">
        <w:rPr>
          <w:sz w:val="24"/>
        </w:rPr>
        <w:t xml:space="preserve"> to diffusion—the spread of events or information over space and time.</w:t>
      </w:r>
      <w:r w:rsidR="00226D81">
        <w:rPr>
          <w:sz w:val="24"/>
        </w:rPr>
        <w:t xml:space="preserve"> Diffusion and agents were not clearly defined in any </w:t>
      </w:r>
      <w:r w:rsidR="00C121D0">
        <w:rPr>
          <w:sz w:val="24"/>
        </w:rPr>
        <w:t xml:space="preserve">particular </w:t>
      </w:r>
      <w:r w:rsidR="00226D81">
        <w:rPr>
          <w:sz w:val="24"/>
        </w:rPr>
        <w:t>study; rather</w:t>
      </w:r>
      <w:r w:rsidR="00B8091C">
        <w:rPr>
          <w:sz w:val="24"/>
        </w:rPr>
        <w:t xml:space="preserve">, </w:t>
      </w:r>
      <w:r w:rsidR="00807693">
        <w:rPr>
          <w:sz w:val="24"/>
        </w:rPr>
        <w:t xml:space="preserve">these definitions came from a synthesis of </w:t>
      </w:r>
      <w:r w:rsidR="0026439C">
        <w:rPr>
          <w:sz w:val="24"/>
        </w:rPr>
        <w:t xml:space="preserve">ideas </w:t>
      </w:r>
      <w:r w:rsidR="00C121D0">
        <w:rPr>
          <w:sz w:val="24"/>
        </w:rPr>
        <w:t xml:space="preserve">from various studies </w:t>
      </w:r>
      <w:r w:rsidR="008226C4">
        <w:rPr>
          <w:sz w:val="24"/>
        </w:rPr>
        <w:fldChar w:fldCharType="begin" w:fldLock="1"/>
      </w:r>
      <w:r w:rsidR="0016202F">
        <w:rPr>
          <w:sz w:val="24"/>
        </w:rPr>
        <w:instrText>ADDIN CSL_CITATION {"citationItems":[{"id":"ITEM-1","itemData":{"DOI":"10.1111/poms.12102","ISSN":"19375956","abstract":"The basis for this article is an information-processing view of the UN's cluster approach. We use agent-based modeling and simulations to show that clusters, if properly utilized, encourage better information flow and thus facilitate effective response to disasters. The article intends to turn the attention of the humanitarian community to the importance of sharing information and the role of cluster leads in facilitating humanitarian aid. Our results indicate that if cluster leads act as information hubs, information reaches its target faster, enabling a prompt humanitarian response. In addition, we show that information quality is critical for effective resource utilization - if cluster leads filter information, it moves faster. We also found evidence that the willingness to exchange information plays a larger role in transmitting information than that of an information hub, particularly during later stages of response operations. © 2013 Production and Operations Management Society.","author":[{"dropping-particle":"","family":"Altay","given":"Nezih","non-dropping-particle":"","parse-names":false,"suffix":""},{"dropping-particle":"","family":"Pal","given":"Raktim","non-dropping-particle":"","parse-names":false,"suffix":""}],"container-title":"Production and Operations Management","id":"ITEM-1","issue":"6","issued":{"date-parts":[["2014"]]},"page":"1015-1027","title":"Information diffusion among agents: Implications for humanitarian operations","type":"article-journal","volume":"23"},"uris":["http://www.mendeley.com/documents/?uuid=681bed54-347c-4158-b7e7-b8a8468634ae"]},{"id":"ITEM-2","itemData":{"DOI":"10.1016/j.dss.2010.08.004","ISSN":"01679236","abstract":"Market members interact within a complex, adaptive system to effect adoption decisions and the resulting diffusion of innovations. Agent-based modeling (ABM) is a methodology well suited for simulating this system. It complements and extends econometric approaches by incorporating interactions among system members, and adaptation in the system, revealing emergent results. Since ABM allows study at the individual unit level, heterogeneity among system members is reflected and modeling at the brand level is possible. Here an ABM with consumer and brand agents is described. The brand and product diffusion curve output allows study of diffusion at micro and macro levels, respectively. © 2010 Elsevier B.V. All rights reserved.","author":[{"dropping-particle":"","family":"Schramm","given":"Mary E.","non-dropping-particle":"","parse-names":false,"suffix":""},{"dropping-particle":"","family":"Trainor","given":"Kevin J.","non-dropping-particle":"","parse-names":false,"suffix":""},{"dropping-particle":"","family":"Shanker","given":"Murali","non-dropping-particle":"","parse-names":false,"suffix":""},{"dropping-particle":"","family":"Hu","given":"Michael Y.","non-dropping-particle":"","parse-names":false,"suffix":""}],"container-title":"Decision Support Systems","id":"ITEM-2","issue":"1","issued":{"date-parts":[["2010"]]},"page":"234-242","publisher":"Elsevier B.V.","title":"An agent-based diffusion model with consumer and brand agents","type":"article-journal","volume":"50"},"uris":["http://www.mendeley.com/documents/?uuid=39a96be0-087a-42e1-ad4e-179a1d7facf9"]},{"id":"ITEM-3","itemData":{"DOI":"10.1016/j.compenvurbsys.2016.08.003","ISSN":"01989715","abstract":"We examine how geographical structures impact diffusion processes within a regional system. From the example of euro coin diffusion across countries, we show how the relative position and population endowment of regions impact our understanding of interregional mobility, beyond simple spatial interaction effects. The mix of coins of different origins is a complex but unique trace of the movement of individuals within a common currency area, potentially revealing a new facet of European integration. We simulate an individual-based dynamic model where agents move and exchange coins across regions. We analyse the convergence towards a homogeneous mix of coins through time for a series of different theoretical spatial systems. This sensitivity analysis demonstrates the impact of the regularity and aggregation levels, or centrality/periphery effects, on spatial diffusion dynamics. We then calibrate the model against empirical data for the regions of 5 European countries and provide estimates of mobility rates, distance decay and population attractiveness factors, affecting the diffusion of coins, hence international movements and European integration.","author":[{"dropping-particle":"","family":"Texier","given":"Marion","non-dropping-particle":"Le","parse-names":false,"suffix":""},{"dropping-particle":"","family":"Caruso","given":"Geoffrey","non-dropping-particle":"","parse-names":false,"suffix":""}],"container-title":"Computers, Environment and Urban Systems","id":"ITEM-3","issued":{"date-parts":[["2017"]]},"page":"81-93","publisher":"Elsevier Ltd","title":"Assessing geographical effects in spatial diffusion processes: The case of euro coins","type":"article-journal","volume":"61"},"uris":["http://www.mendeley.com/documents/?uuid=4543c26c-9253-495a-96b3-9243bce2331c"]}],"mendeley":{"formattedCitation":"(Altay &amp; Pal, 2014; Le Texier &amp; Caruso, 2017; Schramm, Trainor, Shanker, &amp; Hu, 2010)","plainTextFormattedCitation":"(Altay &amp; Pal, 2014; Le Texier &amp; Caruso, 2017; Schramm, Trainor, Shanker, &amp; Hu, 2010)","previouslyFormattedCitation":"(Altay &amp; Pal, 2014; Le Texier &amp; Caruso, 2017; Schramm, Trainor, Shanker, &amp; Hu, 2010)"},"properties":{"noteIndex":0},"schema":"https://github.com/citation-style-language/schema/raw/master/csl-citation.json"}</w:instrText>
      </w:r>
      <w:r w:rsidR="008226C4">
        <w:rPr>
          <w:sz w:val="24"/>
        </w:rPr>
        <w:fldChar w:fldCharType="separate"/>
      </w:r>
      <w:r w:rsidR="008226C4" w:rsidRPr="008226C4">
        <w:rPr>
          <w:noProof/>
          <w:sz w:val="24"/>
        </w:rPr>
        <w:t>(Altay &amp; Pal, 2014; Le Texier &amp; Caruso, 2017; Schramm, Trainor, Shanker, &amp; Hu, 2010)</w:t>
      </w:r>
      <w:r w:rsidR="008226C4">
        <w:rPr>
          <w:sz w:val="24"/>
        </w:rPr>
        <w:fldChar w:fldCharType="end"/>
      </w:r>
      <w:r w:rsidR="00754702">
        <w:rPr>
          <w:sz w:val="24"/>
        </w:rPr>
        <w:t>.</w:t>
      </w:r>
      <w:r w:rsidR="00C37D99">
        <w:rPr>
          <w:sz w:val="24"/>
        </w:rPr>
        <w:t xml:space="preserve"> </w:t>
      </w:r>
      <w:r w:rsidR="0087281C">
        <w:rPr>
          <w:sz w:val="24"/>
        </w:rPr>
        <w:t xml:space="preserve">The term agent is also commonly found in epidemiology literature. The Centers for Disease Control and Prevention defines agents as factors that lead to disease </w:t>
      </w:r>
      <w:r w:rsidR="0087281C">
        <w:rPr>
          <w:sz w:val="24"/>
        </w:rPr>
        <w:fldChar w:fldCharType="begin" w:fldLock="1"/>
      </w:r>
      <w:r w:rsidR="00B607F3">
        <w:rPr>
          <w:sz w:val="24"/>
        </w:rPr>
        <w:instrText>ADDIN CSL_CITATION {"citationItems":[{"id":"ITEM-1","itemData":{"URL":"https://www.cdc.gov/csels/dsepd/ss1978/glossary.html","accessed":{"date-parts":[["2020","10","17"]]},"id":"ITEM-1","issued":{"date-parts":[["2014"]]},"title":"Principles of Epidemiology: Glossary","type":"webpage"},"uris":["http://www.mendeley.com/documents/?uuid=d687fc34-db28-3a82-a1f3-190ec41d0085"]}],"mendeley":{"formattedCitation":"(“Principles of Epidemiology: Glossary,” 2014)","plainTextFormattedCitation":"(“Principles of Epidemiology: Glossary,” 2014)","previouslyFormattedCitation":"(“Principles of Epidemiology: Glossary,” 2014)"},"properties":{"noteIndex":0},"schema":"https://github.com/citation-style-language/schema/raw/master/csl-citation.json"}</w:instrText>
      </w:r>
      <w:r w:rsidR="0087281C">
        <w:rPr>
          <w:sz w:val="24"/>
        </w:rPr>
        <w:fldChar w:fldCharType="separate"/>
      </w:r>
      <w:r w:rsidR="0087281C" w:rsidRPr="0087281C">
        <w:rPr>
          <w:noProof/>
          <w:sz w:val="24"/>
        </w:rPr>
        <w:t>(“Principles of Epidemiology: Glossary,” 2014)</w:t>
      </w:r>
      <w:r w:rsidR="0087281C">
        <w:rPr>
          <w:sz w:val="24"/>
        </w:rPr>
        <w:fldChar w:fldCharType="end"/>
      </w:r>
      <w:r w:rsidR="0087281C">
        <w:rPr>
          <w:sz w:val="24"/>
        </w:rPr>
        <w:t>.</w:t>
      </w:r>
      <w:r w:rsidR="003C7996">
        <w:rPr>
          <w:sz w:val="24"/>
        </w:rPr>
        <w:t xml:space="preserve"> </w:t>
      </w:r>
      <w:r w:rsidR="00F01922">
        <w:rPr>
          <w:sz w:val="24"/>
        </w:rPr>
        <w:t xml:space="preserve">Twitter is an agent because it </w:t>
      </w:r>
      <w:r w:rsidR="003B0E47">
        <w:rPr>
          <w:sz w:val="24"/>
        </w:rPr>
        <w:t>leads to the spread of information</w:t>
      </w:r>
      <w:r w:rsidR="00F01922">
        <w:rPr>
          <w:sz w:val="24"/>
        </w:rPr>
        <w:t>.</w:t>
      </w:r>
      <w:r w:rsidR="0038218B">
        <w:rPr>
          <w:sz w:val="24"/>
        </w:rPr>
        <w:t xml:space="preserve"> Tweets are also examples of agents because they spread ideas.</w:t>
      </w:r>
    </w:p>
    <w:p w14:paraId="4ED52629" w14:textId="0F0A2295" w:rsidR="008015D4" w:rsidRDefault="00F670BF" w:rsidP="00E00420">
      <w:pPr>
        <w:spacing w:line="480" w:lineRule="auto"/>
        <w:rPr>
          <w:sz w:val="24"/>
        </w:rPr>
      </w:pPr>
      <w:r>
        <w:rPr>
          <w:sz w:val="24"/>
        </w:rPr>
        <w:tab/>
      </w:r>
      <w:r w:rsidR="00C326C2">
        <w:rPr>
          <w:sz w:val="24"/>
        </w:rPr>
        <w:t xml:space="preserve">Gould (1969) described four </w:t>
      </w:r>
      <w:r w:rsidR="00096FD7">
        <w:rPr>
          <w:sz w:val="24"/>
        </w:rPr>
        <w:t>types of diffusion</w:t>
      </w:r>
      <w:r w:rsidR="00C326C2">
        <w:rPr>
          <w:sz w:val="24"/>
        </w:rPr>
        <w:t xml:space="preserve">: </w:t>
      </w:r>
      <w:r w:rsidR="000B3A8E">
        <w:rPr>
          <w:sz w:val="24"/>
        </w:rPr>
        <w:t>hierarchical, expansion, contag</w:t>
      </w:r>
      <w:r w:rsidR="00B16C8B">
        <w:rPr>
          <w:sz w:val="24"/>
        </w:rPr>
        <w:t xml:space="preserve">ious, and relocation diffusion. </w:t>
      </w:r>
      <w:r w:rsidR="00096FD7">
        <w:rPr>
          <w:sz w:val="24"/>
        </w:rPr>
        <w:t xml:space="preserve">Spatiotemporal events likely exhibit </w:t>
      </w:r>
      <w:r w:rsidR="002A553A">
        <w:rPr>
          <w:sz w:val="24"/>
        </w:rPr>
        <w:t xml:space="preserve">at </w:t>
      </w:r>
      <w:r w:rsidR="001C6F08">
        <w:rPr>
          <w:sz w:val="24"/>
        </w:rPr>
        <w:t xml:space="preserve">least </w:t>
      </w:r>
      <w:r w:rsidR="002A553A">
        <w:rPr>
          <w:sz w:val="24"/>
        </w:rPr>
        <w:t xml:space="preserve">one </w:t>
      </w:r>
      <w:r w:rsidR="0026439C">
        <w:rPr>
          <w:sz w:val="24"/>
        </w:rPr>
        <w:t>type of diffusion</w:t>
      </w:r>
      <w:r w:rsidR="00096FD7">
        <w:rPr>
          <w:sz w:val="24"/>
        </w:rPr>
        <w:t>.</w:t>
      </w:r>
      <w:r w:rsidR="001C6F08">
        <w:rPr>
          <w:sz w:val="24"/>
        </w:rPr>
        <w:t xml:space="preserve"> </w:t>
      </w:r>
      <w:r w:rsidR="00E02C4A">
        <w:rPr>
          <w:sz w:val="24"/>
        </w:rPr>
        <w:t xml:space="preserve">However, since diffusion is largely a byproduct of human dynamics, </w:t>
      </w:r>
      <w:r w:rsidR="00EB0D39">
        <w:rPr>
          <w:sz w:val="24"/>
        </w:rPr>
        <w:t xml:space="preserve">diffusion type </w:t>
      </w:r>
      <w:r w:rsidR="00E02C4A">
        <w:rPr>
          <w:sz w:val="24"/>
        </w:rPr>
        <w:t>c</w:t>
      </w:r>
      <w:r w:rsidR="00EB0D39">
        <w:rPr>
          <w:sz w:val="24"/>
        </w:rPr>
        <w:t>lassification</w:t>
      </w:r>
      <w:r w:rsidR="00E02C4A">
        <w:rPr>
          <w:sz w:val="24"/>
        </w:rPr>
        <w:t xml:space="preserve"> </w:t>
      </w:r>
      <w:r w:rsidR="00E02C4A">
        <w:rPr>
          <w:sz w:val="24"/>
        </w:rPr>
        <w:lastRenderedPageBreak/>
        <w:t>may</w:t>
      </w:r>
      <w:r w:rsidR="00EB0D39">
        <w:rPr>
          <w:sz w:val="24"/>
        </w:rPr>
        <w:t xml:space="preserve"> change over time. Spatiotemporal events may even simultaneously display multiple diffusion types (Gould, 1969).</w:t>
      </w:r>
      <w:r w:rsidR="00FC5F6B">
        <w:rPr>
          <w:sz w:val="24"/>
        </w:rPr>
        <w:t xml:space="preserve"> </w:t>
      </w:r>
    </w:p>
    <w:p w14:paraId="6225E229" w14:textId="41488C57" w:rsidR="0038218B" w:rsidRDefault="00F670BF" w:rsidP="00E00420">
      <w:pPr>
        <w:spacing w:line="480" w:lineRule="auto"/>
        <w:rPr>
          <w:sz w:val="24"/>
        </w:rPr>
      </w:pPr>
      <w:r>
        <w:rPr>
          <w:sz w:val="24"/>
        </w:rPr>
        <w:tab/>
      </w:r>
      <w:r w:rsidR="0020153A">
        <w:rPr>
          <w:sz w:val="24"/>
        </w:rPr>
        <w:t xml:space="preserve">Hierarchical diffusion occurs when </w:t>
      </w:r>
      <w:r w:rsidR="0038218B">
        <w:rPr>
          <w:sz w:val="24"/>
        </w:rPr>
        <w:t>information</w:t>
      </w:r>
      <w:r w:rsidR="0020153A">
        <w:rPr>
          <w:sz w:val="24"/>
        </w:rPr>
        <w:t xml:space="preserve"> </w:t>
      </w:r>
      <w:r w:rsidR="0038218B">
        <w:rPr>
          <w:sz w:val="24"/>
        </w:rPr>
        <w:t>is</w:t>
      </w:r>
      <w:r w:rsidR="0020153A">
        <w:rPr>
          <w:sz w:val="24"/>
        </w:rPr>
        <w:t xml:space="preserve"> vetted </w:t>
      </w:r>
      <w:r w:rsidR="00C72846">
        <w:rPr>
          <w:sz w:val="24"/>
        </w:rPr>
        <w:t>before</w:t>
      </w:r>
      <w:r w:rsidR="0020153A">
        <w:rPr>
          <w:sz w:val="24"/>
        </w:rPr>
        <w:t xml:space="preserve"> spreading (Gould, 1969)</w:t>
      </w:r>
      <w:r w:rsidR="00A50F7D">
        <w:rPr>
          <w:sz w:val="24"/>
        </w:rPr>
        <w:t xml:space="preserve">, and is similar to the idea of “gate keeping” in </w:t>
      </w:r>
      <w:r w:rsidR="00B56576">
        <w:rPr>
          <w:sz w:val="24"/>
        </w:rPr>
        <w:t>communication studies</w:t>
      </w:r>
      <w:r w:rsidR="00170064">
        <w:rPr>
          <w:sz w:val="24"/>
        </w:rPr>
        <w:t xml:space="preserve"> </w:t>
      </w:r>
      <w:r w:rsidR="00170064">
        <w:rPr>
          <w:sz w:val="24"/>
        </w:rPr>
        <w:fldChar w:fldCharType="begin" w:fldLock="1"/>
      </w:r>
      <w:r w:rsidR="006D78A7">
        <w:rPr>
          <w:sz w:val="24"/>
        </w:rPr>
        <w:instrText>ADDIN CSL_CITATION {"citationItems":[{"id":"ITEM-1","itemData":{"DOI":"10.1177/1461444818784302","ISSN":"14617315","abstract":"Due to the rising importance of social media platforms for news diffusion, newspapers are relying on social media editors to promote the distribution of their news items on these platforms. In this study, we investigate how much of an impact these social media editors really have, focusing on the impact of newspapers’ public pages on Facebook. Since the actions of individual users are not visible on many platforms due to privacy consideration, we propose a method that leverages time series of aggregated scores for total user engagement, which are available for various platforms. We use this method to study and compare the influence of Facebook pages for six newspapers from the United Kingdom, the Netherlands, and Flanders, for all news items published over 2 weeks in 2017.","author":[{"dropping-particle":"","family":"Welbers","given":"Kasper","non-dropping-particle":"","parse-names":false,"suffix":""},{"dropping-particle":"","family":"Opgenhaffen","given":"Michaël","non-dropping-particle":"","parse-names":false,"suffix":""}],"container-title":"New Media and Society","id":"ITEM-1","issue":"12","issued":{"date-parts":[["2018"]]},"page":"4728-4747","title":"Social media gatekeeping: An analysis of the gatekeeping influence of newspapers’ public Facebook pages","type":"article-journal","volume":"20"},"uris":["http://www.mendeley.com/documents/?uuid=84ba4b20-d12e-458b-a1cf-027f5a5c5662"]}],"mendeley":{"formattedCitation":"(Welbers &amp; Opgenhaffen, 2018)","plainTextFormattedCitation":"(Welbers &amp; Opgenhaffen, 2018)","previouslyFormattedCitation":"(Welbers &amp; Opgenhaffen, 2018)"},"properties":{"noteIndex":0},"schema":"https://github.com/citation-style-language/schema/raw/master/csl-citation.json"}</w:instrText>
      </w:r>
      <w:r w:rsidR="00170064">
        <w:rPr>
          <w:sz w:val="24"/>
        </w:rPr>
        <w:fldChar w:fldCharType="separate"/>
      </w:r>
      <w:r w:rsidR="00170064" w:rsidRPr="00170064">
        <w:rPr>
          <w:noProof/>
          <w:sz w:val="24"/>
        </w:rPr>
        <w:t>(Welbers &amp; Opgenhaffen, 2018)</w:t>
      </w:r>
      <w:r w:rsidR="00170064">
        <w:rPr>
          <w:sz w:val="24"/>
        </w:rPr>
        <w:fldChar w:fldCharType="end"/>
      </w:r>
      <w:r w:rsidR="00B56576">
        <w:rPr>
          <w:sz w:val="24"/>
        </w:rPr>
        <w:t>.</w:t>
      </w:r>
      <w:r w:rsidR="000321AF">
        <w:rPr>
          <w:sz w:val="24"/>
        </w:rPr>
        <w:t xml:space="preserve"> </w:t>
      </w:r>
      <w:r w:rsidR="00A50F7D">
        <w:rPr>
          <w:sz w:val="24"/>
        </w:rPr>
        <w:t>Certain authoritative individuals</w:t>
      </w:r>
      <w:r w:rsidR="00111DC9">
        <w:rPr>
          <w:sz w:val="24"/>
        </w:rPr>
        <w:t>, known as “gate keepers</w:t>
      </w:r>
      <w:r w:rsidR="008F3A6D">
        <w:rPr>
          <w:sz w:val="24"/>
        </w:rPr>
        <w:t>,</w:t>
      </w:r>
      <w:r w:rsidR="00111DC9">
        <w:rPr>
          <w:sz w:val="24"/>
        </w:rPr>
        <w:t>”</w:t>
      </w:r>
      <w:r w:rsidR="00A50F7D">
        <w:rPr>
          <w:sz w:val="24"/>
        </w:rPr>
        <w:t xml:space="preserve"> decide and selectively filter what information is shared </w:t>
      </w:r>
      <w:r w:rsidR="00B17EF7">
        <w:rPr>
          <w:sz w:val="24"/>
        </w:rPr>
        <w:fldChar w:fldCharType="begin" w:fldLock="1"/>
      </w:r>
      <w:r w:rsidR="008D27F9">
        <w:rPr>
          <w:sz w:val="24"/>
        </w:rPr>
        <w:instrText>ADDIN CSL_CITATION {"citationItems":[{"id":"ITEM-1","itemData":{"DOI":"10.1177/1461444818784302","ISSN":"14617315","abstract":"Due to the rising importance of social media platforms for news diffusion, newspapers are relying on social media editors to promote the distribution of their news items on these platforms. In this study, we investigate how much of an impact these social media editors really have, focusing on the impact of newspapers’ public pages on Facebook. Since the actions of individual users are not visible on many platforms due to privacy consideration, we propose a method that leverages time series of aggregated scores for total user engagement, which are available for various platforms. We use this method to study and compare the influence of Facebook pages for six newspapers from the United Kingdom, the Netherlands, and Flanders, for all news items published over 2 weeks in 2017.","author":[{"dropping-particle":"","family":"Welbers","given":"Kasper","non-dropping-particle":"","parse-names":false,"suffix":""},{"dropping-particle":"","family":"Opgenhaffen","given":"Michaël","non-dropping-particle":"","parse-names":false,"suffix":""}],"container-title":"New Media and Society","id":"ITEM-1","issue":"12","issued":{"date-parts":[["2018"]]},"page":"4728-4747","title":"Social media gatekeeping: An analysis of the gatekeeping influence of newspapers’ public Facebook pages","type":"article-journal","volume":"20"},"uris":["http://www.mendeley.com/documents/?uuid=84ba4b20-d12e-458b-a1cf-027f5a5c5662"]}],"mendeley":{"formattedCitation":"(Welbers &amp; Opgenhaffen, 2018)","plainTextFormattedCitation":"(Welbers &amp; Opgenhaffen, 2018)","previouslyFormattedCitation":"(Welbers &amp; Opgenhaffen, 2018)"},"properties":{"noteIndex":0},"schema":"https://github.com/citation-style-language/schema/raw/master/csl-citation.json"}</w:instrText>
      </w:r>
      <w:r w:rsidR="00B17EF7">
        <w:rPr>
          <w:sz w:val="24"/>
        </w:rPr>
        <w:fldChar w:fldCharType="separate"/>
      </w:r>
      <w:r w:rsidR="00B17EF7" w:rsidRPr="00B17EF7">
        <w:rPr>
          <w:noProof/>
          <w:sz w:val="24"/>
        </w:rPr>
        <w:t>(Welbers &amp; Opgenhaffen, 2018)</w:t>
      </w:r>
      <w:r w:rsidR="00B17EF7">
        <w:rPr>
          <w:sz w:val="24"/>
        </w:rPr>
        <w:fldChar w:fldCharType="end"/>
      </w:r>
      <w:r w:rsidR="000321AF">
        <w:rPr>
          <w:sz w:val="24"/>
        </w:rPr>
        <w:t xml:space="preserve">. </w:t>
      </w:r>
      <w:r w:rsidR="00F47876">
        <w:rPr>
          <w:sz w:val="24"/>
        </w:rPr>
        <w:t>As Gould (1969) explained</w:t>
      </w:r>
      <w:r w:rsidR="00A50F7D">
        <w:rPr>
          <w:sz w:val="24"/>
        </w:rPr>
        <w:t>,</w:t>
      </w:r>
      <w:r w:rsidR="00F36C16">
        <w:rPr>
          <w:sz w:val="24"/>
        </w:rPr>
        <w:t xml:space="preserve"> a hierarchical structure is evident as the idea or object spreads. </w:t>
      </w:r>
      <w:r w:rsidR="00BA3CF8">
        <w:rPr>
          <w:sz w:val="24"/>
        </w:rPr>
        <w:t xml:space="preserve">Few people are at the top of the hierarchy. </w:t>
      </w:r>
      <w:r w:rsidR="0038218B">
        <w:rPr>
          <w:sz w:val="24"/>
        </w:rPr>
        <w:t xml:space="preserve">The number of people interacting and exposed </w:t>
      </w:r>
      <w:r w:rsidR="00F47876">
        <w:rPr>
          <w:sz w:val="24"/>
        </w:rPr>
        <w:t xml:space="preserve">to </w:t>
      </w:r>
      <w:r w:rsidR="0038218B">
        <w:rPr>
          <w:sz w:val="24"/>
        </w:rPr>
        <w:t>the agent increases over time.</w:t>
      </w:r>
    </w:p>
    <w:p w14:paraId="626234FB" w14:textId="16786FE8" w:rsidR="00B2024A" w:rsidRDefault="00005A1D" w:rsidP="00E00420">
      <w:pPr>
        <w:spacing w:line="480" w:lineRule="auto"/>
        <w:rPr>
          <w:sz w:val="24"/>
        </w:rPr>
      </w:pPr>
      <w:r>
        <w:rPr>
          <w:sz w:val="24"/>
        </w:rPr>
        <w:tab/>
      </w:r>
      <w:r w:rsidR="001D58F8">
        <w:rPr>
          <w:sz w:val="24"/>
        </w:rPr>
        <w:t>Expansion diffusion occurs when</w:t>
      </w:r>
      <w:r w:rsidR="001855A8">
        <w:rPr>
          <w:sz w:val="24"/>
        </w:rPr>
        <w:t xml:space="preserve"> diffusion increases with time </w:t>
      </w:r>
      <w:r w:rsidR="006D78A7">
        <w:rPr>
          <w:sz w:val="24"/>
        </w:rPr>
        <w:fldChar w:fldCharType="begin" w:fldLock="1"/>
      </w:r>
      <w:r w:rsidR="006D78A7">
        <w:rPr>
          <w:sz w:val="24"/>
        </w:rPr>
        <w:instrText>ADDIN CSL_CITATION {"citationItems":[{"id":"ITEM-1","itemData":{"DOI":"10.1016/0143-6228(89)90060-x","ISSN":"01436228","abstract":"This resource paper on geographical spatial diffusion is part of a series designed to supplement undergraduate geography courses. Focusing on the unfolding of man's patterns over geographic space and through time, the paper provides the basic theoretical background of this new, rapidly growing area of geography. Following a short introductory section, chapter two outlines the various carriers and barriers to both physical and cultural diffusion. Carrier processes may take the form of expansion, relocation, hierarchical filtering, or contagious diffusion as with diseases. Barriers to diffusion may be physical or cultural, such as differences in languages or levels of technology. Since spatial diffusion takes place on many different scales, chapter three focuses on the various models of individual or micro-level diffusion, urban diffusion, regional diffusion, and macro-level (or national and international) diffusion. Chapter four discusses the frontiers of diffusion research. Also included is a list of further readings and illustrative references. (Author/DE)","author":[{"dropping-particle":"","family":"Gould","given":"Peter R.","non-dropping-particle":"","parse-names":false,"suffix":""}],"container-title":"Spatial Diffusion","id":"ITEM-1","issued":{"date-parts":[["1969"]]},"number-of-pages":"1-80","publisher-place":"Washington, D.C.","title":"Spatial Diffusion, Resource Paper No. 4","type":"report"},"uris":["http://www.mendeley.com/documents/?uuid=0aa10407-8bca-4393-b040-5ebbea1e2934"]}],"mendeley":{"formattedCitation":"(Gould, 1969)","plainTextFormattedCitation":"(Gould, 1969)","previouslyFormattedCitation":"(Gould, 1969)"},"properties":{"noteIndex":0},"schema":"https://github.com/citation-style-language/schema/raw/master/csl-citation.json"}</w:instrText>
      </w:r>
      <w:r w:rsidR="006D78A7">
        <w:rPr>
          <w:sz w:val="24"/>
        </w:rPr>
        <w:fldChar w:fldCharType="separate"/>
      </w:r>
      <w:r w:rsidR="006D78A7" w:rsidRPr="006D78A7">
        <w:rPr>
          <w:noProof/>
          <w:sz w:val="24"/>
        </w:rPr>
        <w:t>(Gould, 1969)</w:t>
      </w:r>
      <w:r w:rsidR="006D78A7">
        <w:rPr>
          <w:sz w:val="24"/>
        </w:rPr>
        <w:fldChar w:fldCharType="end"/>
      </w:r>
      <w:r w:rsidR="003E31DE">
        <w:rPr>
          <w:sz w:val="24"/>
        </w:rPr>
        <w:t xml:space="preserve">. </w:t>
      </w:r>
      <w:r w:rsidR="007E57E1">
        <w:rPr>
          <w:sz w:val="24"/>
        </w:rPr>
        <w:t>“Gate keeping,” bureaucratic levels, and regulations are not present in expansion diffusion</w:t>
      </w:r>
      <w:r w:rsidR="008F3A6D">
        <w:rPr>
          <w:sz w:val="24"/>
        </w:rPr>
        <w:t>,</w:t>
      </w:r>
      <w:r w:rsidR="007E57E1">
        <w:rPr>
          <w:sz w:val="24"/>
        </w:rPr>
        <w:t xml:space="preserve"> which differentiates it from hierarchical diffusion. Certain individuals can, however, affect the rate of expansion diffusion </w:t>
      </w:r>
      <w:r w:rsidR="00EB202C">
        <w:rPr>
          <w:sz w:val="24"/>
        </w:rPr>
        <w:fldChar w:fldCharType="begin" w:fldLock="1"/>
      </w:r>
      <w:r w:rsidR="002B097B">
        <w:rPr>
          <w:sz w:val="24"/>
        </w:rPr>
        <w:instrText>ADDIN CSL_CITATION {"citationItems":[{"id":"ITEM-1","itemData":{"DOI":"10.1177/1461444818784302","ISSN":"14617315","abstract":"Due to the rising importance of social media platforms for news diffusion, newspapers are relying on social media editors to promote the distribution of their news items on these platforms. In this study, we investigate how much of an impact these social media editors really have, focusing on the impact of newspapers’ public pages on Facebook. Since the actions of individual users are not visible on many platforms due to privacy consideration, we propose a method that leverages time series of aggregated scores for total user engagement, which are available for various platforms. We use this method to study and compare the influence of Facebook pages for six newspapers from the United Kingdom, the Netherlands, and Flanders, for all news items published over 2 weeks in 2017.","author":[{"dropping-particle":"","family":"Welbers","given":"Kasper","non-dropping-particle":"","parse-names":false,"suffix":""},{"dropping-particle":"","family":"Opgenhaffen","given":"Michaël","non-dropping-particle":"","parse-names":false,"suffix":""}],"container-title":"New Media and Society","id":"ITEM-1","issue":"12","issued":{"date-parts":[["2018"]]},"page":"4728-4747","title":"Social media gatekeeping: An analysis of the gatekeeping influence of newspapers’ public Facebook pages","type":"article-journal","volume":"20"},"uris":["http://www.mendeley.com/documents/?uuid=84ba4b20-d12e-458b-a1cf-027f5a5c5662"]}],"mendeley":{"formattedCitation":"(Welbers &amp; Opgenhaffen, 2018)","plainTextFormattedCitation":"(Welbers &amp; Opgenhaffen, 2018)","previouslyFormattedCitation":"(Welbers &amp; Opgenhaffen, 2018)"},"properties":{"noteIndex":0},"schema":"https://github.com/citation-style-language/schema/raw/master/csl-citation.json"}</w:instrText>
      </w:r>
      <w:r w:rsidR="00EB202C">
        <w:rPr>
          <w:sz w:val="24"/>
        </w:rPr>
        <w:fldChar w:fldCharType="separate"/>
      </w:r>
      <w:r w:rsidR="00EB202C" w:rsidRPr="00EB202C">
        <w:rPr>
          <w:noProof/>
          <w:sz w:val="24"/>
        </w:rPr>
        <w:t>(Welbers &amp; Opgenhaffen, 2018)</w:t>
      </w:r>
      <w:r w:rsidR="00EB202C">
        <w:rPr>
          <w:sz w:val="24"/>
        </w:rPr>
        <w:fldChar w:fldCharType="end"/>
      </w:r>
      <w:r w:rsidR="00A91051">
        <w:rPr>
          <w:sz w:val="24"/>
        </w:rPr>
        <w:t xml:space="preserve">. Malcolm Gladwell, author of </w:t>
      </w:r>
      <w:r w:rsidR="00A91051">
        <w:rPr>
          <w:i/>
          <w:sz w:val="24"/>
        </w:rPr>
        <w:t>The tipping point: How little things can make a big difference</w:t>
      </w:r>
      <w:r w:rsidR="009E7A1E">
        <w:rPr>
          <w:sz w:val="24"/>
        </w:rPr>
        <w:t>, explained</w:t>
      </w:r>
      <w:r w:rsidR="00A91051">
        <w:rPr>
          <w:sz w:val="24"/>
        </w:rPr>
        <w:t xml:space="preserve"> </w:t>
      </w:r>
      <w:r w:rsidR="005F25D0">
        <w:rPr>
          <w:sz w:val="24"/>
        </w:rPr>
        <w:t>this</w:t>
      </w:r>
      <w:r w:rsidR="00A91051">
        <w:rPr>
          <w:sz w:val="24"/>
        </w:rPr>
        <w:t xml:space="preserve"> idea </w:t>
      </w:r>
      <w:r w:rsidR="00C86D21">
        <w:rPr>
          <w:sz w:val="24"/>
        </w:rPr>
        <w:t>in h</w:t>
      </w:r>
      <w:r w:rsidR="00BA06B4">
        <w:rPr>
          <w:sz w:val="24"/>
        </w:rPr>
        <w:t>is “Law of the Few</w:t>
      </w:r>
      <w:r w:rsidR="00C86D21">
        <w:rPr>
          <w:sz w:val="24"/>
        </w:rPr>
        <w:t>”</w:t>
      </w:r>
      <w:r w:rsidR="00BA06B4">
        <w:rPr>
          <w:sz w:val="24"/>
        </w:rPr>
        <w:t xml:space="preserve"> </w:t>
      </w:r>
      <w:r w:rsidR="00BA06B4">
        <w:rPr>
          <w:sz w:val="24"/>
        </w:rPr>
        <w:fldChar w:fldCharType="begin" w:fldLock="1"/>
      </w:r>
      <w:r w:rsidR="00EB202C">
        <w:rPr>
          <w:sz w:val="24"/>
        </w:rPr>
        <w:instrText>ADDIN CSL_CITATION {"citationItems":[{"id":"ITEM-1","itemData":{"author":[{"dropping-particle":"","family":"Gladwell","given":"Malcolm","non-dropping-particle":"","parse-names":false,"suffix":""}],"id":"ITEM-1","issued":{"date-parts":[["2002"]]},"number-of-pages":"301","publisher":"Back Bay Books","publisher-place":"New York","title":"The Tipping Point How Little Things Can Make a Big Difference","type":"book"},"uris":["http://www.mendeley.com/documents/?uuid=6bd2349c-e74f-43e1-9470-adeb33828477"]}],"mendeley":{"formattedCitation":"(Gladwell, 2002)","plainTextFormattedCitation":"(Gladwell, 2002)","previouslyFormattedCitation":"(Gladwell, 2002)"},"properties":{"noteIndex":0},"schema":"https://github.com/citation-style-language/schema/raw/master/csl-citation.json"}</w:instrText>
      </w:r>
      <w:r w:rsidR="00BA06B4">
        <w:rPr>
          <w:sz w:val="24"/>
        </w:rPr>
        <w:fldChar w:fldCharType="separate"/>
      </w:r>
      <w:r w:rsidR="00BA06B4" w:rsidRPr="00BA06B4">
        <w:rPr>
          <w:noProof/>
          <w:sz w:val="24"/>
        </w:rPr>
        <w:t>(Gladwell, 2002)</w:t>
      </w:r>
      <w:r w:rsidR="00BA06B4">
        <w:rPr>
          <w:sz w:val="24"/>
        </w:rPr>
        <w:fldChar w:fldCharType="end"/>
      </w:r>
      <w:r w:rsidR="00BA06B4">
        <w:rPr>
          <w:sz w:val="24"/>
        </w:rPr>
        <w:t>.</w:t>
      </w:r>
      <w:r w:rsidR="00C86D21">
        <w:rPr>
          <w:sz w:val="24"/>
        </w:rPr>
        <w:t xml:space="preserve"> Gladwell </w:t>
      </w:r>
      <w:r w:rsidR="00BA06B4">
        <w:rPr>
          <w:sz w:val="24"/>
        </w:rPr>
        <w:t xml:space="preserve">(2002) </w:t>
      </w:r>
      <w:r w:rsidR="009E7A1E">
        <w:rPr>
          <w:sz w:val="24"/>
        </w:rPr>
        <w:t>claimed</w:t>
      </w:r>
      <w:r w:rsidR="008669A9">
        <w:rPr>
          <w:sz w:val="24"/>
        </w:rPr>
        <w:t xml:space="preserve"> these individuals—called “Connectors,” “Mavens,” and “Salesmen”—effectively join, acquire, and sell ideas.</w:t>
      </w:r>
      <w:r w:rsidR="004D6D1D">
        <w:rPr>
          <w:sz w:val="24"/>
        </w:rPr>
        <w:t xml:space="preserve"> </w:t>
      </w:r>
      <w:r w:rsidR="00B2024A">
        <w:rPr>
          <w:sz w:val="24"/>
        </w:rPr>
        <w:t>Connectors, mavens, and salesmen likely increase the speed of expansion diffusion.</w:t>
      </w:r>
    </w:p>
    <w:p w14:paraId="6C976536" w14:textId="04887132" w:rsidR="00A63CF1" w:rsidRDefault="00F670BF" w:rsidP="00E00420">
      <w:pPr>
        <w:spacing w:line="480" w:lineRule="auto"/>
        <w:rPr>
          <w:sz w:val="24"/>
        </w:rPr>
      </w:pPr>
      <w:r>
        <w:rPr>
          <w:sz w:val="24"/>
        </w:rPr>
        <w:tab/>
      </w:r>
      <w:r w:rsidR="00B16BB3">
        <w:rPr>
          <w:sz w:val="24"/>
        </w:rPr>
        <w:t xml:space="preserve">Contagious diffusion </w:t>
      </w:r>
      <w:r w:rsidR="00F43888">
        <w:rPr>
          <w:sz w:val="24"/>
        </w:rPr>
        <w:t>spread</w:t>
      </w:r>
      <w:r w:rsidR="00691305">
        <w:rPr>
          <w:sz w:val="24"/>
        </w:rPr>
        <w:t>s</w:t>
      </w:r>
      <w:r w:rsidR="00907C26">
        <w:rPr>
          <w:sz w:val="24"/>
        </w:rPr>
        <w:t xml:space="preserve"> </w:t>
      </w:r>
      <w:r w:rsidR="00463662">
        <w:rPr>
          <w:sz w:val="24"/>
        </w:rPr>
        <w:t>by direct contact</w:t>
      </w:r>
      <w:r w:rsidR="002B097B">
        <w:rPr>
          <w:sz w:val="24"/>
        </w:rPr>
        <w:t xml:space="preserve"> </w:t>
      </w:r>
      <w:r w:rsidR="002B097B">
        <w:rPr>
          <w:sz w:val="24"/>
        </w:rPr>
        <w:fldChar w:fldCharType="begin" w:fldLock="1"/>
      </w:r>
      <w:r w:rsidR="002B097B">
        <w:rPr>
          <w:sz w:val="24"/>
        </w:rPr>
        <w:instrText>ADDIN CSL_CITATION {"citationItems":[{"id":"ITEM-1","itemData":{"DOI":"10.1016/0143-6228(89)90060-x","ISSN":"01436228","abstract":"This resource paper on geographical spatial diffusion is part of a series designed to supplement undergraduate geography courses. Focusing on the unfolding of man's patterns over geographic space and through time, the paper provides the basic theoretical background of this new, rapidly growing area of geography. Following a short introductory section, chapter two outlines the various carriers and barriers to both physical and cultural diffusion. Carrier processes may take the form of expansion, relocation, hierarchical filtering, or contagious diffusion as with diseases. Barriers to diffusion may be physical or cultural, such as differences in languages or levels of technology. Since spatial diffusion takes place on many different scales, chapter three focuses on the various models of individual or micro-level diffusion, urban diffusion, regional diffusion, and macro-level (or national and international) diffusion. Chapter four discusses the frontiers of diffusion research. Also included is a list of further readings and illustrative references. (Author/DE)","author":[{"dropping-particle":"","family":"Gould","given":"Peter R.","non-dropping-particle":"","parse-names":false,"suffix":""}],"container-title":"Spatial Diffusion","id":"ITEM-1","issued":{"date-parts":[["1969"]]},"number-of-pages":"1-80","publisher-place":"Washington, D.C.","title":"Spatial Diffusion, Resource Paper No. 4","type":"report"},"uris":["http://www.mendeley.com/documents/?uuid=0aa10407-8bca-4393-b040-5ebbea1e2934"]}],"mendeley":{"formattedCitation":"(Gould, 1969)","plainTextFormattedCitation":"(Gould, 1969)","previouslyFormattedCitation":"(Gould, 1969)"},"properties":{"noteIndex":0},"schema":"https://github.com/citation-style-language/schema/raw/master/csl-citation.json"}</w:instrText>
      </w:r>
      <w:r w:rsidR="002B097B">
        <w:rPr>
          <w:sz w:val="24"/>
        </w:rPr>
        <w:fldChar w:fldCharType="separate"/>
      </w:r>
      <w:r w:rsidR="002B097B" w:rsidRPr="002B097B">
        <w:rPr>
          <w:noProof/>
          <w:sz w:val="24"/>
        </w:rPr>
        <w:t>(Gould, 1969)</w:t>
      </w:r>
      <w:r w:rsidR="002B097B">
        <w:rPr>
          <w:sz w:val="24"/>
        </w:rPr>
        <w:fldChar w:fldCharType="end"/>
      </w:r>
      <w:r w:rsidR="00463662">
        <w:rPr>
          <w:sz w:val="24"/>
        </w:rPr>
        <w:t>.</w:t>
      </w:r>
      <w:r w:rsidR="00095F89">
        <w:rPr>
          <w:sz w:val="24"/>
        </w:rPr>
        <w:t xml:space="preserve"> </w:t>
      </w:r>
      <w:r w:rsidR="00033F9F">
        <w:rPr>
          <w:sz w:val="24"/>
        </w:rPr>
        <w:t xml:space="preserve">Direct contact takes </w:t>
      </w:r>
      <w:r w:rsidR="008710E3">
        <w:rPr>
          <w:sz w:val="24"/>
        </w:rPr>
        <w:t>multiple</w:t>
      </w:r>
      <w:r w:rsidR="00033F9F">
        <w:rPr>
          <w:sz w:val="24"/>
        </w:rPr>
        <w:t xml:space="preserve"> forms. </w:t>
      </w:r>
      <w:r w:rsidR="008710E3">
        <w:rPr>
          <w:sz w:val="24"/>
        </w:rPr>
        <w:t xml:space="preserve">Physical distance </w:t>
      </w:r>
      <w:r w:rsidR="00D72F13">
        <w:rPr>
          <w:sz w:val="24"/>
        </w:rPr>
        <w:t xml:space="preserve">is one form of </w:t>
      </w:r>
      <w:r w:rsidR="008710E3">
        <w:rPr>
          <w:sz w:val="24"/>
        </w:rPr>
        <w:t>direct contact, as people in close proximity tend to communicate and share ideas</w:t>
      </w:r>
      <w:r w:rsidR="009B3E8D">
        <w:rPr>
          <w:sz w:val="24"/>
        </w:rPr>
        <w:t xml:space="preserve"> freely</w:t>
      </w:r>
      <w:r w:rsidR="008710E3">
        <w:rPr>
          <w:sz w:val="24"/>
        </w:rPr>
        <w:t>.</w:t>
      </w:r>
      <w:r w:rsidR="009A2C7E">
        <w:rPr>
          <w:sz w:val="24"/>
        </w:rPr>
        <w:t xml:space="preserve"> </w:t>
      </w:r>
      <w:r w:rsidR="009A2C7E" w:rsidRPr="004F5DEA">
        <w:rPr>
          <w:sz w:val="24"/>
        </w:rPr>
        <w:t>Virtual</w:t>
      </w:r>
      <w:r w:rsidR="004F5DEA">
        <w:rPr>
          <w:sz w:val="24"/>
        </w:rPr>
        <w:t xml:space="preserve"> space, defined by </w:t>
      </w:r>
      <w:r w:rsidR="00C51847">
        <w:rPr>
          <w:sz w:val="24"/>
        </w:rPr>
        <w:fldChar w:fldCharType="begin" w:fldLock="1"/>
      </w:r>
      <w:r w:rsidR="00445309">
        <w:rPr>
          <w:sz w:val="24"/>
        </w:rPr>
        <w:instrText>ADDIN CSL_CITATION {"citationItems":[{"id":"ITEM-1","itemData":{"DOI":"10.1111/tgis.12474","ISSN":"14679671","author":[{"dropping-particle":"","family":"Shaw","given":"Shih Lung","non-dropping-particle":"","parse-names":false,"suffix":""},{"dropping-particle":"","family":"Sui","given":"Daniel","non-dropping-particle":"","parse-names":false,"suffix":""}],"container-title":"Transactions in GIS","id":"ITEM-1","issue":"4","issued":{"date-parts":[["2018"]]},"page":"891-899","title":"Editorial: GIScience for human dynamics research in a changing world","type":"article-journal","volume":"22"},"uris":["http://www.mendeley.com/documents/?uuid=c5f21cb8-5508-40d9-ba7c-0f532fa3afa6"]}],"mendeley":{"formattedCitation":"(Shaw &amp; Sui, 2018)","manualFormatting":"Shaw and Sui (2018)","plainTextFormattedCitation":"(Shaw &amp; Sui, 2018)","previouslyFormattedCitation":"(Shaw &amp; Sui, 2018)"},"properties":{"noteIndex":0},"schema":"https://github.com/citation-style-language/schema/raw/master/csl-citation.json"}</w:instrText>
      </w:r>
      <w:r w:rsidR="00C51847">
        <w:rPr>
          <w:sz w:val="24"/>
        </w:rPr>
        <w:fldChar w:fldCharType="separate"/>
      </w:r>
      <w:r w:rsidR="00C51847">
        <w:rPr>
          <w:noProof/>
          <w:sz w:val="24"/>
        </w:rPr>
        <w:t>Shaw and Sui (</w:t>
      </w:r>
      <w:r w:rsidR="00C51847" w:rsidRPr="00C51847">
        <w:rPr>
          <w:noProof/>
          <w:sz w:val="24"/>
        </w:rPr>
        <w:t>2018)</w:t>
      </w:r>
      <w:r w:rsidR="00C51847">
        <w:rPr>
          <w:sz w:val="24"/>
        </w:rPr>
        <w:fldChar w:fldCharType="end"/>
      </w:r>
      <w:r w:rsidR="00C51847">
        <w:rPr>
          <w:sz w:val="24"/>
        </w:rPr>
        <w:t xml:space="preserve"> </w:t>
      </w:r>
      <w:r w:rsidR="004F5DEA">
        <w:rPr>
          <w:sz w:val="24"/>
        </w:rPr>
        <w:t xml:space="preserve">as “cyberspace, telecommunication space, and social space,” </w:t>
      </w:r>
      <w:r w:rsidR="009A2C7E">
        <w:rPr>
          <w:sz w:val="24"/>
        </w:rPr>
        <w:t>provides another means for direct contact</w:t>
      </w:r>
      <w:r w:rsidR="004F5DEA">
        <w:rPr>
          <w:sz w:val="24"/>
        </w:rPr>
        <w:t xml:space="preserve"> </w:t>
      </w:r>
      <w:r w:rsidR="004F5DEA">
        <w:rPr>
          <w:sz w:val="24"/>
        </w:rPr>
        <w:fldChar w:fldCharType="begin" w:fldLock="1"/>
      </w:r>
      <w:r w:rsidR="009578E3">
        <w:rPr>
          <w:sz w:val="24"/>
        </w:rPr>
        <w:instrText>ADDIN CSL_CITATION {"citationItems":[{"id":"ITEM-1","itemData":{"DOI":"10.1109/ICMT.2011.6002703","ISBN":"9781612847740","abstract":"With the data-rich environment and the advancement of information and communication technology, the origin of Hägerstrand's time geography become inadequate on meeting the need of representing and analyzing characteristics of human activity nowadays. In this regard, this paper revisits the spacetime path and space-time constraints as two main parts of the theory from the current perspective and envisions how these two parts relevant in analyzing social networks by reviewing the recent work in this area. In conclusion, by extending the theory in these two parts, Hägerstrand's time geography can not only fit well in human activity in physical space but also in the virtual space. © 2011 IEEE.","author":[{"dropping-particle":"","family":"Ma","given":"Zhimin","non-dropping-particle":"","parse-names":false,"suffix":""}],"container-title":"2011 International Conference on Multimedia Technology, ICMT 2011","id":"ITEM-1","issue":"128","issued":{"date-parts":[["2011"]]},"page":"5407-5410","publisher":"IEEE","title":"Hägerstrand time-geography revisited from current perspective","type":"article-journal"},"uris":["http://www.mendeley.com/documents/?uuid=50084aab-0f08-40d0-b9f7-ffa1bd6d1634"]}],"mendeley":{"formattedCitation":"(Ma, 2011)","plainTextFormattedCitation":"(Ma, 2011)","previouslyFormattedCitation":"(Ma, 2011)"},"properties":{"noteIndex":0},"schema":"https://github.com/citation-style-language/schema/raw/master/csl-citation.json"}</w:instrText>
      </w:r>
      <w:r w:rsidR="004F5DEA">
        <w:rPr>
          <w:sz w:val="24"/>
        </w:rPr>
        <w:fldChar w:fldCharType="separate"/>
      </w:r>
      <w:r w:rsidR="004F5DEA" w:rsidRPr="004F5DEA">
        <w:rPr>
          <w:noProof/>
          <w:sz w:val="24"/>
        </w:rPr>
        <w:t>(Ma, 2011)</w:t>
      </w:r>
      <w:r w:rsidR="004F5DEA">
        <w:rPr>
          <w:sz w:val="24"/>
        </w:rPr>
        <w:fldChar w:fldCharType="end"/>
      </w:r>
      <w:r w:rsidR="00B0210D">
        <w:rPr>
          <w:sz w:val="24"/>
        </w:rPr>
        <w:t>.</w:t>
      </w:r>
      <w:r w:rsidR="00680C2D">
        <w:rPr>
          <w:sz w:val="24"/>
        </w:rPr>
        <w:t xml:space="preserve"> </w:t>
      </w:r>
      <w:r w:rsidR="000E6A02">
        <w:rPr>
          <w:sz w:val="24"/>
        </w:rPr>
        <w:t xml:space="preserve">Text messages and email communication are examples of direct </w:t>
      </w:r>
      <w:r w:rsidR="00111DC9">
        <w:rPr>
          <w:sz w:val="24"/>
        </w:rPr>
        <w:t xml:space="preserve">contact via </w:t>
      </w:r>
      <w:r w:rsidR="00111DC9">
        <w:rPr>
          <w:sz w:val="24"/>
        </w:rPr>
        <w:lastRenderedPageBreak/>
        <w:t>the virtual space, as recipients</w:t>
      </w:r>
      <w:r w:rsidR="000E6A02">
        <w:rPr>
          <w:sz w:val="24"/>
        </w:rPr>
        <w:t xml:space="preserve"> receive information directly from senders.</w:t>
      </w:r>
      <w:r w:rsidR="004F240C">
        <w:rPr>
          <w:sz w:val="24"/>
        </w:rPr>
        <w:t xml:space="preserve"> Messages sent through social media, such as tweets,</w:t>
      </w:r>
      <w:r w:rsidR="001314BA">
        <w:rPr>
          <w:sz w:val="24"/>
        </w:rPr>
        <w:t xml:space="preserve"> are also examples of contagious diffusion </w:t>
      </w:r>
      <w:r w:rsidR="00005EA6">
        <w:rPr>
          <w:sz w:val="24"/>
        </w:rPr>
        <w:t xml:space="preserve">that occur in the virtual space </w:t>
      </w:r>
      <w:r w:rsidR="002B097B">
        <w:rPr>
          <w:sz w:val="24"/>
        </w:rPr>
        <w:fldChar w:fldCharType="begin" w:fldLock="1"/>
      </w:r>
      <w:r w:rsidR="006E1A91">
        <w:rPr>
          <w:sz w:val="24"/>
        </w:rPr>
        <w:instrText>ADDIN CSL_CITATION {"citationItems":[{"id":"ITEM-1","itemData":{"DOI":"10.1177/1461444818784302","ISSN":"14617315","abstract":"Due to the rising importance of social media platforms for news diffusion, newspapers are relying on social media editors to promote the distribution of their news items on these platforms. In this study, we investigate how much of an impact these social media editors really have, focusing on the impact of newspapers’ public pages on Facebook. Since the actions of individual users are not visible on many platforms due to privacy consideration, we propose a method that leverages time series of aggregated scores for total user engagement, which are available for various platforms. We use this method to study and compare the influence of Facebook pages for six newspapers from the United Kingdom, the Netherlands, and Flanders, for all news items published over 2 weeks in 2017.","author":[{"dropping-particle":"","family":"Welbers","given":"Kasper","non-dropping-particle":"","parse-names":false,"suffix":""},{"dropping-particle":"","family":"Opgenhaffen","given":"Michaël","non-dropping-particle":"","parse-names":false,"suffix":""}],"container-title":"New Media and Society","id":"ITEM-1","issue":"12","issued":{"date-parts":[["2018"]]},"page":"4728-4747","title":"Social media gatekeeping: An analysis of the gatekeeping influence of newspapers’ public Facebook pages","type":"article-journal","volume":"20"},"uris":["http://www.mendeley.com/documents/?uuid=84ba4b20-d12e-458b-a1cf-027f5a5c5662"]}],"mendeley":{"formattedCitation":"(Welbers &amp; Opgenhaffen, 2018)","plainTextFormattedCitation":"(Welbers &amp; Opgenhaffen, 2018)","previouslyFormattedCitation":"(Welbers &amp; Opgenhaffen, 2018)"},"properties":{"noteIndex":0},"schema":"https://github.com/citation-style-language/schema/raw/master/csl-citation.json"}</w:instrText>
      </w:r>
      <w:r w:rsidR="002B097B">
        <w:rPr>
          <w:sz w:val="24"/>
        </w:rPr>
        <w:fldChar w:fldCharType="separate"/>
      </w:r>
      <w:r w:rsidR="002B097B" w:rsidRPr="002B097B">
        <w:rPr>
          <w:noProof/>
          <w:sz w:val="24"/>
        </w:rPr>
        <w:t>(Welbers &amp; Opgenhaffen, 2018)</w:t>
      </w:r>
      <w:r w:rsidR="002B097B">
        <w:rPr>
          <w:sz w:val="24"/>
        </w:rPr>
        <w:fldChar w:fldCharType="end"/>
      </w:r>
      <w:r w:rsidR="00DA0485">
        <w:rPr>
          <w:sz w:val="24"/>
        </w:rPr>
        <w:t xml:space="preserve">. </w:t>
      </w:r>
    </w:p>
    <w:p w14:paraId="0712B544" w14:textId="2A505C33" w:rsidR="00316BFA" w:rsidRPr="007B6544" w:rsidRDefault="00F670BF" w:rsidP="005C0BCD">
      <w:pPr>
        <w:spacing w:line="480" w:lineRule="auto"/>
        <w:rPr>
          <w:sz w:val="24"/>
        </w:rPr>
      </w:pPr>
      <w:r>
        <w:rPr>
          <w:sz w:val="24"/>
        </w:rPr>
        <w:tab/>
      </w:r>
      <w:r w:rsidR="00C434BE" w:rsidRPr="00F9593D">
        <w:rPr>
          <w:sz w:val="24"/>
        </w:rPr>
        <w:t>Finally</w:t>
      </w:r>
      <w:r w:rsidR="00C434BE">
        <w:rPr>
          <w:sz w:val="24"/>
        </w:rPr>
        <w:t xml:space="preserve">, relocation diffusion occurs </w:t>
      </w:r>
      <w:r w:rsidR="002C426D">
        <w:rPr>
          <w:sz w:val="24"/>
        </w:rPr>
        <w:t xml:space="preserve">when </w:t>
      </w:r>
      <w:r w:rsidR="00691305">
        <w:rPr>
          <w:sz w:val="24"/>
        </w:rPr>
        <w:t>information or ideas are</w:t>
      </w:r>
      <w:r w:rsidR="002C426D">
        <w:rPr>
          <w:sz w:val="24"/>
        </w:rPr>
        <w:t xml:space="preserve"> transported from one location to another </w:t>
      </w:r>
      <w:r w:rsidR="003B3EEC">
        <w:rPr>
          <w:sz w:val="24"/>
        </w:rPr>
        <w:fldChar w:fldCharType="begin" w:fldLock="1"/>
      </w:r>
      <w:r w:rsidR="003B3EEC">
        <w:rPr>
          <w:sz w:val="24"/>
        </w:rPr>
        <w:instrText>ADDIN CSL_CITATION {"citationItems":[{"id":"ITEM-1","itemData":{"DOI":"10.1016/0143-6228(89)90060-x","ISSN":"01436228","abstract":"This resource paper on geographical spatial diffusion is part of a series designed to supplement undergraduate geography courses. Focusing on the unfolding of man's patterns over geographic space and through time, the paper provides the basic theoretical background of this new, rapidly growing area of geography. Following a short introductory section, chapter two outlines the various carriers and barriers to both physical and cultural diffusion. Carrier processes may take the form of expansion, relocation, hierarchical filtering, or contagious diffusion as with diseases. Barriers to diffusion may be physical or cultural, such as differences in languages or levels of technology. Since spatial diffusion takes place on many different scales, chapter three focuses on the various models of individual or micro-level diffusion, urban diffusion, regional diffusion, and macro-level (or national and international) diffusion. Chapter four discusses the frontiers of diffusion research. Also included is a list of further readings and illustrative references. (Author/DE)","author":[{"dropping-particle":"","family":"Gould","given":"Peter R.","non-dropping-particle":"","parse-names":false,"suffix":""}],"container-title":"Spatial Diffusion","id":"ITEM-1","issued":{"date-parts":[["1969"]]},"number-of-pages":"1-80","publisher-place":"Washington, D.C.","title":"Spatial Diffusion, Resource Paper No. 4","type":"report"},"uris":["http://www.mendeley.com/documents/?uuid=0aa10407-8bca-4393-b040-5ebbea1e2934"]}],"mendeley":{"formattedCitation":"(Gould, 1969)","plainTextFormattedCitation":"(Gould, 1969)","previouslyFormattedCitation":"(Gould, 1969)"},"properties":{"noteIndex":0},"schema":"https://github.com/citation-style-language/schema/raw/master/csl-citation.json"}</w:instrText>
      </w:r>
      <w:r w:rsidR="003B3EEC">
        <w:rPr>
          <w:sz w:val="24"/>
        </w:rPr>
        <w:fldChar w:fldCharType="separate"/>
      </w:r>
      <w:r w:rsidR="003B3EEC" w:rsidRPr="003B3EEC">
        <w:rPr>
          <w:noProof/>
          <w:sz w:val="24"/>
        </w:rPr>
        <w:t>(Gould, 1969)</w:t>
      </w:r>
      <w:r w:rsidR="003B3EEC">
        <w:rPr>
          <w:sz w:val="24"/>
        </w:rPr>
        <w:fldChar w:fldCharType="end"/>
      </w:r>
      <w:r w:rsidR="00265504">
        <w:rPr>
          <w:sz w:val="24"/>
        </w:rPr>
        <w:t xml:space="preserve">. </w:t>
      </w:r>
      <w:r w:rsidR="007D4411">
        <w:rPr>
          <w:sz w:val="24"/>
        </w:rPr>
        <w:t>People oft</w:t>
      </w:r>
      <w:r w:rsidR="00FB6CAA">
        <w:rPr>
          <w:sz w:val="24"/>
        </w:rPr>
        <w:t>en cause relocation diffusion; i</w:t>
      </w:r>
      <w:r w:rsidR="007D4411">
        <w:rPr>
          <w:sz w:val="24"/>
        </w:rPr>
        <w:t xml:space="preserve">deas, trends, and societal beliefs “relocate” as people physically move from </w:t>
      </w:r>
      <w:r w:rsidR="00FB6CAA">
        <w:rPr>
          <w:sz w:val="24"/>
        </w:rPr>
        <w:t xml:space="preserve">one </w:t>
      </w:r>
      <w:r w:rsidR="007D4411">
        <w:rPr>
          <w:sz w:val="24"/>
        </w:rPr>
        <w:t xml:space="preserve">location to </w:t>
      </w:r>
      <w:r w:rsidR="00FB6CAA">
        <w:rPr>
          <w:sz w:val="24"/>
        </w:rPr>
        <w:t>another</w:t>
      </w:r>
      <w:r w:rsidR="009578E3">
        <w:rPr>
          <w:sz w:val="24"/>
        </w:rPr>
        <w:t xml:space="preserve"> (Gould, 1969)</w:t>
      </w:r>
      <w:r w:rsidR="007D4411">
        <w:rPr>
          <w:sz w:val="24"/>
        </w:rPr>
        <w:t>.</w:t>
      </w:r>
      <w:r w:rsidR="009578E3">
        <w:rPr>
          <w:sz w:val="24"/>
        </w:rPr>
        <w:t xml:space="preserve"> Relocation diffusion in the virtual space happens when people share content across social media platforms. Each social media platform has different user demographics </w:t>
      </w:r>
      <w:r w:rsidR="009578E3">
        <w:rPr>
          <w:sz w:val="24"/>
        </w:rPr>
        <w:fldChar w:fldCharType="begin" w:fldLock="1"/>
      </w:r>
      <w:r w:rsidR="0021653A">
        <w:rPr>
          <w:sz w:val="24"/>
        </w:rPr>
        <w:instrText>ADDIN CSL_CITATION {"citationItems":[{"id":"ITEM-1","itemData":{"URL":"https://www.pewresearch.org/fact-tank/2019/04/10/share-of-u-s-adults-using-social-media-including-facebook-is-mostly-unchanged-since-2018/","accessed":{"date-parts":[["2020","6","24"]]},"author":[{"dropping-particle":"","family":"Perrin","given":"Andrew","non-dropping-particle":"","parse-names":false,"suffix":""},{"dropping-particle":"","family":"Anderson","given":"Monica","non-dropping-particle":"","parse-names":false,"suffix":""}],"container-title":"Fact Tank","id":"ITEM-1","issued":{"date-parts":[["2019"]]},"title":"Social media usage in the U.S. in 2019 | Pew Research Center","type":"webpage"},"uris":["http://www.mendeley.com/documents/?uuid=a8e3e22c-ad2a-3210-860c-f16e4c73b53b"]}],"mendeley":{"formattedCitation":"(Perrin &amp; Anderson, 2019)","plainTextFormattedCitation":"(Perrin &amp; Anderson, 2019)","previouslyFormattedCitation":"(Perrin &amp; Anderson, 2019)"},"properties":{"noteIndex":0},"schema":"https://github.com/citation-style-language/schema/raw/master/csl-citation.json"}</w:instrText>
      </w:r>
      <w:r w:rsidR="009578E3">
        <w:rPr>
          <w:sz w:val="24"/>
        </w:rPr>
        <w:fldChar w:fldCharType="separate"/>
      </w:r>
      <w:r w:rsidR="00000734" w:rsidRPr="00000734">
        <w:rPr>
          <w:noProof/>
          <w:sz w:val="24"/>
        </w:rPr>
        <w:t>(Perrin &amp; Anderson, 2019)</w:t>
      </w:r>
      <w:r w:rsidR="009578E3">
        <w:rPr>
          <w:sz w:val="24"/>
        </w:rPr>
        <w:fldChar w:fldCharType="end"/>
      </w:r>
      <w:r w:rsidR="009118BC">
        <w:rPr>
          <w:sz w:val="24"/>
        </w:rPr>
        <w:t>, and different network</w:t>
      </w:r>
      <w:r w:rsidR="009A3BAE">
        <w:rPr>
          <w:sz w:val="24"/>
        </w:rPr>
        <w:t>s</w:t>
      </w:r>
      <w:r w:rsidR="009118BC">
        <w:rPr>
          <w:sz w:val="24"/>
        </w:rPr>
        <w:t xml:space="preserve"> of people.</w:t>
      </w:r>
      <w:r w:rsidR="00971271">
        <w:rPr>
          <w:sz w:val="24"/>
        </w:rPr>
        <w:t xml:space="preserve"> Therefore, content shared across social media (say, Instagram to Twitter) transp</w:t>
      </w:r>
      <w:r w:rsidR="00E812A2">
        <w:rPr>
          <w:sz w:val="24"/>
        </w:rPr>
        <w:t>orts (“relocates”) information.</w:t>
      </w:r>
    </w:p>
    <w:p w14:paraId="65ABA1C6" w14:textId="4B046532" w:rsidR="000878DC" w:rsidRPr="00336EA4" w:rsidRDefault="004A16A5" w:rsidP="00336EA4">
      <w:pPr>
        <w:pStyle w:val="Heading2"/>
        <w:spacing w:line="480" w:lineRule="auto"/>
        <w:rPr>
          <w:rFonts w:asciiTheme="minorHAnsi" w:hAnsiTheme="minorHAnsi"/>
          <w:b/>
          <w:color w:val="auto"/>
          <w:sz w:val="24"/>
        </w:rPr>
      </w:pPr>
      <w:bookmarkStart w:id="9" w:name="_Toc56898374"/>
      <w:r>
        <w:rPr>
          <w:rFonts w:asciiTheme="minorHAnsi" w:hAnsiTheme="minorHAnsi"/>
          <w:b/>
          <w:color w:val="auto"/>
          <w:sz w:val="24"/>
        </w:rPr>
        <w:t xml:space="preserve">2.5 </w:t>
      </w:r>
      <w:r w:rsidR="006A1ED8" w:rsidRPr="00336EA4">
        <w:rPr>
          <w:rFonts w:asciiTheme="minorHAnsi" w:hAnsiTheme="minorHAnsi"/>
          <w:b/>
          <w:color w:val="auto"/>
          <w:sz w:val="24"/>
        </w:rPr>
        <w:t xml:space="preserve">Spatiotemporal </w:t>
      </w:r>
      <w:r w:rsidR="003E67D7">
        <w:rPr>
          <w:rFonts w:asciiTheme="minorHAnsi" w:hAnsiTheme="minorHAnsi"/>
          <w:b/>
          <w:color w:val="auto"/>
          <w:sz w:val="24"/>
        </w:rPr>
        <w:t>d</w:t>
      </w:r>
      <w:r w:rsidR="006A1ED8" w:rsidRPr="00336EA4">
        <w:rPr>
          <w:rFonts w:asciiTheme="minorHAnsi" w:hAnsiTheme="minorHAnsi"/>
          <w:b/>
          <w:color w:val="auto"/>
          <w:sz w:val="24"/>
        </w:rPr>
        <w:t xml:space="preserve">iffusion </w:t>
      </w:r>
      <w:r w:rsidR="003E67D7">
        <w:rPr>
          <w:rFonts w:asciiTheme="minorHAnsi" w:hAnsiTheme="minorHAnsi"/>
          <w:b/>
          <w:color w:val="auto"/>
          <w:sz w:val="24"/>
        </w:rPr>
        <w:t>b</w:t>
      </w:r>
      <w:r w:rsidR="006A1ED8" w:rsidRPr="00336EA4">
        <w:rPr>
          <w:rFonts w:asciiTheme="minorHAnsi" w:hAnsiTheme="minorHAnsi"/>
          <w:b/>
          <w:color w:val="auto"/>
          <w:sz w:val="24"/>
        </w:rPr>
        <w:t>arriers</w:t>
      </w:r>
      <w:bookmarkEnd w:id="9"/>
      <w:r w:rsidR="006A1ED8" w:rsidRPr="00336EA4">
        <w:rPr>
          <w:rFonts w:asciiTheme="minorHAnsi" w:hAnsiTheme="minorHAnsi"/>
          <w:b/>
          <w:color w:val="auto"/>
          <w:sz w:val="24"/>
        </w:rPr>
        <w:t xml:space="preserve"> </w:t>
      </w:r>
    </w:p>
    <w:p w14:paraId="046A0505" w14:textId="77777777" w:rsidR="000878DC" w:rsidRDefault="000878DC" w:rsidP="00336EA4">
      <w:pPr>
        <w:spacing w:line="480" w:lineRule="auto"/>
        <w:rPr>
          <w:sz w:val="24"/>
        </w:rPr>
      </w:pPr>
      <w:r>
        <w:rPr>
          <w:sz w:val="24"/>
        </w:rPr>
        <w:tab/>
        <w:t xml:space="preserve">Various factors can affect how diffusing agents spread spatiotemporally. Gould (1969) describes four different classifications of diffusion “barriers:” Technological, cultural, psychological, and physical barriers. Each barrier slows the spread of diffusing agents </w:t>
      </w:r>
      <w:r>
        <w:rPr>
          <w:sz w:val="24"/>
        </w:rPr>
        <w:fldChar w:fldCharType="begin" w:fldLock="1"/>
      </w:r>
      <w:r>
        <w:rPr>
          <w:sz w:val="24"/>
        </w:rPr>
        <w:instrText>ADDIN CSL_CITATION {"citationItems":[{"id":"ITEM-1","itemData":{"DOI":"10.1016/0143-6228(89)90060-x","ISSN":"01436228","abstract":"This resource paper on geographical spatial diffusion is part of a series designed to supplement undergraduate geography courses. Focusing on the unfolding of man's patterns over geographic space and through time, the paper provides the basic theoretical background of this new, rapidly growing area of geography. Following a short introductory section, chapter two outlines the various carriers and barriers to both physical and cultural diffusion. Carrier processes may take the form of expansion, relocation, hierarchical filtering, or contagious diffusion as with diseases. Barriers to diffusion may be physical or cultural, such as differences in languages or levels of technology. Since spatial diffusion takes place on many different scales, chapter three focuses on the various models of individual or micro-level diffusion, urban diffusion, regional diffusion, and macro-level (or national and international) diffusion. Chapter four discusses the frontiers of diffusion research. Also included is a list of further readings and illustrative references. (Author/DE)","author":[{"dropping-particle":"","family":"Gould","given":"Peter R.","non-dropping-particle":"","parse-names":false,"suffix":""}],"container-title":"Spatial Diffusion","id":"ITEM-1","issued":{"date-parts":[["1969"]]},"number-of-pages":"1-80","publisher-place":"Washington, D.C.","title":"Spatial Diffusion, Resource Paper No. 4","type":"report"},"uris":["http://www.mendeley.com/documents/?uuid=0aa10407-8bca-4393-b040-5ebbea1e2934"]}],"mendeley":{"formattedCitation":"(Gould, 1969)","plainTextFormattedCitation":"(Gould, 1969)","previouslyFormattedCitation":"(Gould, 1969)"},"properties":{"noteIndex":0},"schema":"https://github.com/citation-style-language/schema/raw/master/csl-citation.json"}</w:instrText>
      </w:r>
      <w:r>
        <w:rPr>
          <w:sz w:val="24"/>
        </w:rPr>
        <w:fldChar w:fldCharType="separate"/>
      </w:r>
      <w:r w:rsidRPr="0070472C">
        <w:rPr>
          <w:noProof/>
          <w:sz w:val="24"/>
        </w:rPr>
        <w:t>(Gould, 1969)</w:t>
      </w:r>
      <w:r>
        <w:rPr>
          <w:sz w:val="24"/>
        </w:rPr>
        <w:fldChar w:fldCharType="end"/>
      </w:r>
      <w:r>
        <w:rPr>
          <w:sz w:val="24"/>
        </w:rPr>
        <w:t xml:space="preserve">. </w:t>
      </w:r>
    </w:p>
    <w:p w14:paraId="724F4D5B" w14:textId="2170561E" w:rsidR="000878DC" w:rsidRDefault="000878DC" w:rsidP="000878DC">
      <w:pPr>
        <w:spacing w:line="480" w:lineRule="auto"/>
        <w:rPr>
          <w:sz w:val="24"/>
        </w:rPr>
      </w:pPr>
      <w:r>
        <w:rPr>
          <w:sz w:val="24"/>
        </w:rPr>
        <w:tab/>
      </w:r>
      <w:r w:rsidRPr="00B5460E">
        <w:rPr>
          <w:sz w:val="24"/>
        </w:rPr>
        <w:t>Technological barriers occur when electronic resources are lacking, unavailable, inadequate, or faulty</w:t>
      </w:r>
      <w:r>
        <w:rPr>
          <w:sz w:val="24"/>
        </w:rPr>
        <w:t xml:space="preserve"> </w:t>
      </w:r>
      <w:r>
        <w:rPr>
          <w:sz w:val="24"/>
        </w:rPr>
        <w:fldChar w:fldCharType="begin" w:fldLock="1"/>
      </w:r>
      <w:r>
        <w:rPr>
          <w:sz w:val="24"/>
        </w:rPr>
        <w:instrText>ADDIN CSL_CITATION {"citationItems":[{"id":"ITEM-1","itemData":{"DOI":"10.1016/0143-6228(89)90060-x","ISSN":"01436228","abstract":"This resource paper on geographical spatial diffusion is part of a series designed to supplement undergraduate geography courses. Focusing on the unfolding of man's patterns over geographic space and through time, the paper provides the basic theoretical background of this new, rapidly growing area of geography. Following a short introductory section, chapter two outlines the various carriers and barriers to both physical and cultural diffusion. Carrier processes may take the form of expansion, relocation, hierarchical filtering, or contagious diffusion as with diseases. Barriers to diffusion may be physical or cultural, such as differences in languages or levels of technology. Since spatial diffusion takes place on many different scales, chapter three focuses on the various models of individual or micro-level diffusion, urban diffusion, regional diffusion, and macro-level (or national and international) diffusion. Chapter four discusses the frontiers of diffusion research. Also included is a list of further readings and illustrative references. (Author/DE)","author":[{"dropping-particle":"","family":"Gould","given":"Peter R.","non-dropping-particle":"","parse-names":false,"suffix":""}],"container-title":"Spatial Diffusion","id":"ITEM-1","issued":{"date-parts":[["1969"]]},"number-of-pages":"1-80","publisher-place":"Washington, D.C.","title":"Spatial Diffusion, Resource Paper No. 4","type":"report"},"uris":["http://www.mendeley.com/documents/?uuid=0aa10407-8bca-4393-b040-5ebbea1e2934"]}],"mendeley":{"formattedCitation":"(Gould, 1969)","plainTextFormattedCitation":"(Gould, 1969)","previouslyFormattedCitation":"(Gould, 1969)"},"properties":{"noteIndex":0},"schema":"https://github.com/citation-style-language/schema/raw/master/csl-citation.json"}</w:instrText>
      </w:r>
      <w:r>
        <w:rPr>
          <w:sz w:val="24"/>
        </w:rPr>
        <w:fldChar w:fldCharType="separate"/>
      </w:r>
      <w:r w:rsidRPr="00F744A1">
        <w:rPr>
          <w:noProof/>
          <w:sz w:val="24"/>
        </w:rPr>
        <w:t>(Gould, 1969)</w:t>
      </w:r>
      <w:r>
        <w:rPr>
          <w:sz w:val="24"/>
        </w:rPr>
        <w:fldChar w:fldCharType="end"/>
      </w:r>
      <w:r w:rsidRPr="00B5460E">
        <w:rPr>
          <w:sz w:val="24"/>
        </w:rPr>
        <w:t xml:space="preserve">. Some aspect of technology prevents one from accessing or sharing digital information. </w:t>
      </w:r>
      <w:r w:rsidR="00CA4E1F">
        <w:rPr>
          <w:rFonts w:eastAsiaTheme="minorEastAsia"/>
          <w:sz w:val="24"/>
        </w:rPr>
        <w:t xml:space="preserve">Users access Twitter via cellular data or WIFI connections, both of which may be weak and unreliable in rural communities. </w:t>
      </w:r>
      <w:r>
        <w:rPr>
          <w:sz w:val="24"/>
        </w:rPr>
        <w:t xml:space="preserve">Thirteen percent of Twitter users live in rural locations </w:t>
      </w:r>
      <w:r>
        <w:rPr>
          <w:sz w:val="24"/>
        </w:rPr>
        <w:fldChar w:fldCharType="begin" w:fldLock="1"/>
      </w:r>
      <w:r w:rsidR="0021653A">
        <w:rPr>
          <w:sz w:val="24"/>
        </w:rPr>
        <w:instrText>ADDIN CSL_CITATION {"citationItems":[{"id":"ITEM-1","itemData":{"URL":"https://www.pewresearch.org/fact-tank/2019/04/10/share-of-u-s-adults-using-social-media-including-facebook-is-mostly-unchanged-since-2018/","accessed":{"date-parts":[["2020","6","24"]]},"author":[{"dropping-particle":"","family":"Perrin","given":"Andrew","non-dropping-particle":"","parse-names":false,"suffix":""},{"dropping-particle":"","family":"Anderson","given":"Monica","non-dropping-particle":"","parse-names":false,"suffix":""}],"container-title":"Fact Tank","id":"ITEM-1","issued":{"date-parts":[["2019"]]},"title":"Social media usage in the U.S. in 2019 | Pew Research Center","type":"webpage"},"uris":["http://www.mendeley.com/documents/?uuid=a8e3e22c-ad2a-3210-860c-f16e4c73b53b"]}],"mendeley":{"formattedCitation":"(Perrin &amp; Anderson, 2019)","plainTextFormattedCitation":"(Perrin &amp; Anderson, 2019)","previouslyFormattedCitation":"(Perrin &amp; Anderson, 2019)"},"properties":{"noteIndex":0},"schema":"https://github.com/citation-style-language/schema/raw/master/csl-citation.json"}</w:instrText>
      </w:r>
      <w:r>
        <w:rPr>
          <w:sz w:val="24"/>
        </w:rPr>
        <w:fldChar w:fldCharType="separate"/>
      </w:r>
      <w:r w:rsidR="00000734" w:rsidRPr="00000734">
        <w:rPr>
          <w:noProof/>
          <w:sz w:val="24"/>
        </w:rPr>
        <w:t>(Perrin &amp; Anderson, 2019)</w:t>
      </w:r>
      <w:r>
        <w:rPr>
          <w:sz w:val="24"/>
        </w:rPr>
        <w:fldChar w:fldCharType="end"/>
      </w:r>
      <w:r w:rsidRPr="0094057A">
        <w:rPr>
          <w:sz w:val="24"/>
        </w:rPr>
        <w:t xml:space="preserve">. </w:t>
      </w:r>
      <w:r w:rsidR="00CA4E1F">
        <w:rPr>
          <w:sz w:val="24"/>
        </w:rPr>
        <w:t xml:space="preserve">Technological barriers can therefore isolate some </w:t>
      </w:r>
      <w:r w:rsidR="00CA4E1F">
        <w:rPr>
          <w:sz w:val="24"/>
        </w:rPr>
        <w:lastRenderedPageBreak/>
        <w:t xml:space="preserve">Twitter users. </w:t>
      </w:r>
      <w:r>
        <w:rPr>
          <w:sz w:val="24"/>
        </w:rPr>
        <w:t>Studies relying on Twitter may have skewed or biased data if voices are not completely inclusive.</w:t>
      </w:r>
    </w:p>
    <w:p w14:paraId="163A6152" w14:textId="42B561AB" w:rsidR="00861E45" w:rsidRPr="00861E45" w:rsidRDefault="000878DC" w:rsidP="000878DC">
      <w:pPr>
        <w:spacing w:line="480" w:lineRule="auto"/>
        <w:rPr>
          <w:rFonts w:eastAsiaTheme="minorEastAsia"/>
          <w:sz w:val="24"/>
        </w:rPr>
      </w:pPr>
      <w:r>
        <w:rPr>
          <w:sz w:val="24"/>
        </w:rPr>
        <w:tab/>
        <w:t xml:space="preserve">Cultural barriers are socially constructed sociological groups </w:t>
      </w:r>
      <w:r>
        <w:rPr>
          <w:sz w:val="24"/>
        </w:rPr>
        <w:fldChar w:fldCharType="begin" w:fldLock="1"/>
      </w:r>
      <w:r>
        <w:rPr>
          <w:sz w:val="24"/>
        </w:rPr>
        <w:instrText>ADDIN CSL_CITATION {"citationItems":[{"id":"ITEM-1","itemData":{"DOI":"10.1016/0143-6228(89)90060-x","ISSN":"01436228","abstract":"This resource paper on geographical spatial diffusion is part of a series designed to supplement undergraduate geography courses. Focusing on the unfolding of man's patterns over geographic space and through time, the paper provides the basic theoretical background of this new, rapidly growing area of geography. Following a short introductory section, chapter two outlines the various carriers and barriers to both physical and cultural diffusion. Carrier processes may take the form of expansion, relocation, hierarchical filtering, or contagious diffusion as with diseases. Barriers to diffusion may be physical or cultural, such as differences in languages or levels of technology. Since spatial diffusion takes place on many different scales, chapter three focuses on the various models of individual or micro-level diffusion, urban diffusion, regional diffusion, and macro-level (or national and international) diffusion. Chapter four discusses the frontiers of diffusion research. Also included is a list of further readings and illustrative references. (Author/DE)","author":[{"dropping-particle":"","family":"Gould","given":"Peter R.","non-dropping-particle":"","parse-names":false,"suffix":""}],"container-title":"Spatial Diffusion","id":"ITEM-1","issued":{"date-parts":[["1969"]]},"number-of-pages":"1-80","publisher-place":"Washington, D.C.","title":"Spatial Diffusion, Resource Paper No. 4","type":"report"},"uris":["http://www.mendeley.com/documents/?uuid=0aa10407-8bca-4393-b040-5ebbea1e2934"]}],"mendeley":{"formattedCitation":"(Gould, 1969)","plainTextFormattedCitation":"(Gould, 1969)","previouslyFormattedCitation":"(Gould, 1969)"},"properties":{"noteIndex":0},"schema":"https://github.com/citation-style-language/schema/raw/master/csl-citation.json"}</w:instrText>
      </w:r>
      <w:r>
        <w:rPr>
          <w:sz w:val="24"/>
        </w:rPr>
        <w:fldChar w:fldCharType="separate"/>
      </w:r>
      <w:r w:rsidRPr="00BF7072">
        <w:rPr>
          <w:noProof/>
          <w:sz w:val="24"/>
        </w:rPr>
        <w:t>(Gould, 1969)</w:t>
      </w:r>
      <w:r>
        <w:rPr>
          <w:sz w:val="24"/>
        </w:rPr>
        <w:fldChar w:fldCharType="end"/>
      </w:r>
      <w:r>
        <w:rPr>
          <w:sz w:val="24"/>
        </w:rPr>
        <w:t xml:space="preserve">. Examples include belief system, education level, dialect, family heritage, language spoken, linguistics, morals, opinions, political affiliation, religious practice, sexual orientation, social class, and tax bracket </w:t>
      </w:r>
      <w:r>
        <w:rPr>
          <w:sz w:val="24"/>
        </w:rPr>
        <w:fldChar w:fldCharType="begin" w:fldLock="1"/>
      </w:r>
      <w:r>
        <w:rPr>
          <w:sz w:val="24"/>
        </w:rPr>
        <w:instrText>ADDIN CSL_CITATION {"citationItems":[{"id":"ITEM-1","itemData":{"DOI":"10.1016/0143-6228(89)90060-x","ISSN":"01436228","abstract":"This resource paper on geographical spatial diffusion is part of a series designed to supplement undergraduate geography courses. Focusing on the unfolding of man's patterns over geographic space and through time, the paper provides the basic theoretical background of this new, rapidly growing area of geography. Following a short introductory section, chapter two outlines the various carriers and barriers to both physical and cultural diffusion. Carrier processes may take the form of expansion, relocation, hierarchical filtering, or contagious diffusion as with diseases. Barriers to diffusion may be physical or cultural, such as differences in languages or levels of technology. Since spatial diffusion takes place on many different scales, chapter three focuses on the various models of individual or micro-level diffusion, urban diffusion, regional diffusion, and macro-level (or national and international) diffusion. Chapter four discusses the frontiers of diffusion research. Also included is a list of further readings and illustrative references. (Author/DE)","author":[{"dropping-particle":"","family":"Gould","given":"Peter R.","non-dropping-particle":"","parse-names":false,"suffix":""}],"container-title":"Spatial Diffusion","id":"ITEM-1","issued":{"date-parts":[["1969"]]},"number-of-pages":"1-80","publisher-place":"Washington, D.C.","title":"Spatial Diffusion, Resource Paper No. 4","type":"report"},"uris":["http://www.mendeley.com/documents/?uuid=0aa10407-8bca-4393-b040-5ebbea1e2934"]}],"mendeley":{"formattedCitation":"(Gould, 1969)","plainTextFormattedCitation":"(Gould, 1969)","previouslyFormattedCitation":"(Gould, 1969)"},"properties":{"noteIndex":0},"schema":"https://github.com/citation-style-language/schema/raw/master/csl-citation.json"}</w:instrText>
      </w:r>
      <w:r>
        <w:rPr>
          <w:sz w:val="24"/>
        </w:rPr>
        <w:fldChar w:fldCharType="separate"/>
      </w:r>
      <w:r w:rsidRPr="00BF7072">
        <w:rPr>
          <w:noProof/>
          <w:sz w:val="24"/>
        </w:rPr>
        <w:t>(Gould, 1969)</w:t>
      </w:r>
      <w:r>
        <w:rPr>
          <w:sz w:val="24"/>
        </w:rPr>
        <w:fldChar w:fldCharType="end"/>
      </w:r>
      <w:r>
        <w:rPr>
          <w:sz w:val="24"/>
        </w:rPr>
        <w:t xml:space="preserve">. These groups, though socially constructed, can lead to tension. Critical Race </w:t>
      </w:r>
      <w:r>
        <w:rPr>
          <w:sz w:val="24"/>
        </w:rPr>
        <w:fldChar w:fldCharType="begin" w:fldLock="1"/>
      </w:r>
      <w:r>
        <w:rPr>
          <w:sz w:val="24"/>
        </w:rPr>
        <w:instrText>ADDIN CSL_CITATION {"citationItems":[{"id":"ITEM-1","itemData":{"DOI":"10.1080/13613320802110217","ISSN":"13613324","abstract":"This article is an ethnographic examination of teacher attitudes towards race, racism, and White privilege in response to anti-bias in-service trainings in two major U.S. urban school districts through the theoretical lens of Critical Race Theory. We employ the analytic tools of Whiteness as property to make sense of the messages teachers perceived and developed about race and racism. Further, we examine what teacher attitudes reveal about the structural dimensions of racial inequity in schooling and achievement. We argue that the racial attitudes expressed by teachers in this study are illustrative of larger structural racism that both informs and is reinforced by these attitudes and their manifestation in practice.","author":[{"dropping-particle":"","family":"Vaught","given":"Sabina E.","non-dropping-particle":"","parse-names":false,"suffix":""},{"dropping-particle":"","family":"Castagno","given":"Angelina E.","non-dropping-particle":"","parse-names":false,"suffix":""}],"container-title":"Race Ethnicity and Education","id":"ITEM-1","issue":"2","issued":{"date-parts":[["2008"]]},"page":"95-113","title":"\"I don't think I'm a racist\": Critical Race Theory, teacher attitudes, and structural racism","type":"article-journal","volume":"11"},"uris":["http://www.mendeley.com/documents/?uuid=74632794-6ff0-46bd-ba4a-ecf856a7bd5d"]}],"mendeley":{"formattedCitation":"(Vaught &amp; Castagno, 2008)","plainTextFormattedCitation":"(Vaught &amp; Castagno, 2008)","previouslyFormattedCitation":"(Vaught &amp; Castagno, 2008)"},"properties":{"noteIndex":0},"schema":"https://github.com/citation-style-language/schema/raw/master/csl-citation.json"}</w:instrText>
      </w:r>
      <w:r>
        <w:rPr>
          <w:sz w:val="24"/>
        </w:rPr>
        <w:fldChar w:fldCharType="separate"/>
      </w:r>
      <w:r w:rsidRPr="00F436BA">
        <w:rPr>
          <w:noProof/>
          <w:sz w:val="24"/>
        </w:rPr>
        <w:t>(Vaught &amp; Castagno, 2008)</w:t>
      </w:r>
      <w:r>
        <w:rPr>
          <w:sz w:val="24"/>
        </w:rPr>
        <w:fldChar w:fldCharType="end"/>
      </w:r>
      <w:r>
        <w:rPr>
          <w:sz w:val="24"/>
        </w:rPr>
        <w:t xml:space="preserve"> and Mar</w:t>
      </w:r>
      <w:r w:rsidR="008E31D5">
        <w:rPr>
          <w:sz w:val="24"/>
        </w:rPr>
        <w:t>x</w:t>
      </w:r>
      <w:r>
        <w:rPr>
          <w:sz w:val="24"/>
        </w:rPr>
        <w:t xml:space="preserve">ist </w:t>
      </w:r>
      <w:r>
        <w:rPr>
          <w:sz w:val="24"/>
        </w:rPr>
        <w:fldChar w:fldCharType="begin" w:fldLock="1"/>
      </w:r>
      <w:r>
        <w:rPr>
          <w:sz w:val="24"/>
        </w:rPr>
        <w:instrText>ADDIN CSL_CITATION {"citationItems":[{"id":"ITEM-1","itemData":{"author":[{"dropping-particle":"","family":"Wolff","given":"Jonathan","non-dropping-particle":"","parse-names":false,"suffix":""},{"dropping-particle":"","family":"Zalta","given":"Edward N. (Ed.)","non-dropping-particle":"","parse-names":false,"suffix":""}],"container-title":"Stanford Encyclopedia of Philosophy","edition":"Winter 201","id":"ITEM-1","issued":{"date-parts":[["2017"]]},"publisher":"Metaphysics Research Lab, Stanford University","title":"Karl Marx","type":"entry-encyclopedia"},"uris":["http://www.mendeley.com/documents/?uuid=32325d3b-e61e-3b17-9241-2a3ba32fe6f4"]}],"mendeley":{"formattedCitation":"(Wolff &amp; Zalta, 2017)","plainTextFormattedCitation":"(Wolff &amp; Zalta, 2017)","previouslyFormattedCitation":"(Wolff &amp; Zalta, 2017)"},"properties":{"noteIndex":0},"schema":"https://github.com/citation-style-language/schema/raw/master/csl-citation.json"}</w:instrText>
      </w:r>
      <w:r>
        <w:rPr>
          <w:sz w:val="24"/>
        </w:rPr>
        <w:fldChar w:fldCharType="separate"/>
      </w:r>
      <w:r w:rsidRPr="00B75118">
        <w:rPr>
          <w:noProof/>
          <w:sz w:val="24"/>
        </w:rPr>
        <w:t>(Wolff &amp; Zalta, 2017)</w:t>
      </w:r>
      <w:r>
        <w:rPr>
          <w:sz w:val="24"/>
        </w:rPr>
        <w:fldChar w:fldCharType="end"/>
      </w:r>
      <w:r>
        <w:rPr>
          <w:sz w:val="24"/>
        </w:rPr>
        <w:t xml:space="preserve"> theories describe some conflicts. </w:t>
      </w:r>
      <w:r w:rsidR="00861E45">
        <w:rPr>
          <w:sz w:val="24"/>
        </w:rPr>
        <w:t xml:space="preserve">Cultural barriers can prevent diffusion agents from spreading if people are not willing to cross groups </w:t>
      </w:r>
      <w:r w:rsidR="00861E45">
        <w:rPr>
          <w:sz w:val="24"/>
        </w:rPr>
        <w:fldChar w:fldCharType="begin" w:fldLock="1"/>
      </w:r>
      <w:r w:rsidR="00861E45">
        <w:rPr>
          <w:sz w:val="24"/>
        </w:rPr>
        <w:instrText>ADDIN CSL_CITATION {"citationItems":[{"id":"ITEM-1","itemData":{"DOI":"10.1016/0143-6228(89)90060-x","ISSN":"01436228","abstract":"This resource paper on geographical spatial diffusion is part of a series designed to supplement undergraduate geography courses. Focusing on the unfolding of man's patterns over geographic space and through time, the paper provides the basic theoretical background of this new, rapidly growing area of geography. Following a short introductory section, chapter two outlines the various carriers and barriers to both physical and cultural diffusion. Carrier processes may take the form of expansion, relocation, hierarchical filtering, or contagious diffusion as with diseases. Barriers to diffusion may be physical or cultural, such as differences in languages or levels of technology. Since spatial diffusion takes place on many different scales, chapter three focuses on the various models of individual or micro-level diffusion, urban diffusion, regional diffusion, and macro-level (or national and international) diffusion. Chapter four discusses the frontiers of diffusion research. Also included is a list of further readings and illustrative references. (Author/DE)","author":[{"dropping-particle":"","family":"Gould","given":"Peter R.","non-dropping-particle":"","parse-names":false,"suffix":""}],"container-title":"Spatial Diffusion","id":"ITEM-1","issued":{"date-parts":[["1969"]]},"number-of-pages":"1-80","publisher-place":"Washington, D.C.","title":"Spatial Diffusion, Resource Paper No. 4","type":"report"},"uris":["http://www.mendeley.com/documents/?uuid=0aa10407-8bca-4393-b040-5ebbea1e2934"]}],"mendeley":{"formattedCitation":"(Gould, 1969)","plainTextFormattedCitation":"(Gould, 1969)","previouslyFormattedCitation":"(Gould, 1969)"},"properties":{"noteIndex":0},"schema":"https://github.com/citation-style-language/schema/raw/master/csl-citation.json"}</w:instrText>
      </w:r>
      <w:r w:rsidR="00861E45">
        <w:rPr>
          <w:sz w:val="24"/>
        </w:rPr>
        <w:fldChar w:fldCharType="separate"/>
      </w:r>
      <w:r w:rsidR="00861E45" w:rsidRPr="00DB5E8D">
        <w:rPr>
          <w:noProof/>
          <w:sz w:val="24"/>
        </w:rPr>
        <w:t>(Gould, 1969)</w:t>
      </w:r>
      <w:r w:rsidR="00861E45">
        <w:rPr>
          <w:sz w:val="24"/>
        </w:rPr>
        <w:fldChar w:fldCharType="end"/>
      </w:r>
      <w:r w:rsidR="00861E45">
        <w:rPr>
          <w:sz w:val="24"/>
        </w:rPr>
        <w:t>, thus, impacting spatiotemporal diffusion. C</w:t>
      </w:r>
      <w:r w:rsidR="00861E45">
        <w:rPr>
          <w:rFonts w:eastAsiaTheme="minorEastAsia"/>
          <w:sz w:val="24"/>
        </w:rPr>
        <w:t xml:space="preserve">ultural barriers may even affect who uses social media. A lack of user diversity may exist since Twitter skews towards younger and more educated individuals </w:t>
      </w:r>
      <w:r w:rsidR="00861E45">
        <w:rPr>
          <w:rFonts w:eastAsiaTheme="minorEastAsia"/>
          <w:sz w:val="24"/>
        </w:rPr>
        <w:fldChar w:fldCharType="begin" w:fldLock="1"/>
      </w:r>
      <w:r w:rsidR="0021653A">
        <w:rPr>
          <w:rFonts w:eastAsiaTheme="minorEastAsia"/>
          <w:sz w:val="24"/>
        </w:rPr>
        <w:instrText>ADDIN CSL_CITATION {"citationItems":[{"id":"ITEM-1","itemData":{"URL":"https://www.pewresearch.org/fact-tank/2019/04/10/share-of-u-s-adults-using-social-media-including-facebook-is-mostly-unchanged-since-2018/","accessed":{"date-parts":[["2020","6","24"]]},"author":[{"dropping-particle":"","family":"Perrin","given":"Andrew","non-dropping-particle":"","parse-names":false,"suffix":""},{"dropping-particle":"","family":"Anderson","given":"Monica","non-dropping-particle":"","parse-names":false,"suffix":""}],"container-title":"Fact Tank","id":"ITEM-1","issued":{"date-parts":[["2019"]]},"title":"Social media usage in the U.S. in 2019 | Pew Research Center","type":"webpage"},"uris":["http://www.mendeley.com/documents/?uuid=a8e3e22c-ad2a-3210-860c-f16e4c73b53b"]}],"mendeley":{"formattedCitation":"(Perrin &amp; Anderson, 2019)","plainTextFormattedCitation":"(Perrin &amp; Anderson, 2019)","previouslyFormattedCitation":"(Perrin &amp; Anderson, 2019)"},"properties":{"noteIndex":0},"schema":"https://github.com/citation-style-language/schema/raw/master/csl-citation.json"}</w:instrText>
      </w:r>
      <w:r w:rsidR="00861E45">
        <w:rPr>
          <w:rFonts w:eastAsiaTheme="minorEastAsia"/>
          <w:sz w:val="24"/>
        </w:rPr>
        <w:fldChar w:fldCharType="separate"/>
      </w:r>
      <w:r w:rsidR="00861E45" w:rsidRPr="00000734">
        <w:rPr>
          <w:rFonts w:eastAsiaTheme="minorEastAsia"/>
          <w:noProof/>
          <w:sz w:val="24"/>
        </w:rPr>
        <w:t>(Perrin &amp; Anderson, 2019)</w:t>
      </w:r>
      <w:r w:rsidR="00861E45">
        <w:rPr>
          <w:rFonts w:eastAsiaTheme="minorEastAsia"/>
          <w:sz w:val="24"/>
        </w:rPr>
        <w:fldChar w:fldCharType="end"/>
      </w:r>
      <w:r w:rsidR="00861E45">
        <w:rPr>
          <w:rFonts w:eastAsiaTheme="minorEastAsia"/>
          <w:sz w:val="24"/>
        </w:rPr>
        <w:t xml:space="preserve">. Some people may be less-receptive to Twitter or have preconceived beliefs and opinions towards the platform. </w:t>
      </w:r>
    </w:p>
    <w:p w14:paraId="1A8E04E7" w14:textId="4E11BFE8" w:rsidR="005B5DF9" w:rsidRDefault="000878DC" w:rsidP="000878DC">
      <w:pPr>
        <w:spacing w:line="480" w:lineRule="auto"/>
        <w:rPr>
          <w:sz w:val="24"/>
        </w:rPr>
      </w:pPr>
      <w:r>
        <w:rPr>
          <w:sz w:val="24"/>
        </w:rPr>
        <w:tab/>
        <w:t xml:space="preserve">Unlike cultural barriers, which are sociologically driven, psychological barriers are perceptions of the mind </w:t>
      </w:r>
      <w:r>
        <w:rPr>
          <w:sz w:val="24"/>
        </w:rPr>
        <w:fldChar w:fldCharType="begin" w:fldLock="1"/>
      </w:r>
      <w:r>
        <w:rPr>
          <w:sz w:val="24"/>
        </w:rPr>
        <w:instrText>ADDIN CSL_CITATION {"citationItems":[{"id":"ITEM-1","itemData":{"DOI":"10.1016/0143-6228(89)90060-x","ISSN":"01436228","abstract":"This resource paper on geographical spatial diffusion is part of a series designed to supplement undergraduate geography courses. Focusing on the unfolding of man's patterns over geographic space and through time, the paper provides the basic theoretical background of this new, rapidly growing area of geography. Following a short introductory section, chapter two outlines the various carriers and barriers to both physical and cultural diffusion. Carrier processes may take the form of expansion, relocation, hierarchical filtering, or contagious diffusion as with diseases. Barriers to diffusion may be physical or cultural, such as differences in languages or levels of technology. Since spatial diffusion takes place on many different scales, chapter three focuses on the various models of individual or micro-level diffusion, urban diffusion, regional diffusion, and macro-level (or national and international) diffusion. Chapter four discusses the frontiers of diffusion research. Also included is a list of further readings and illustrative references. (Author/DE)","author":[{"dropping-particle":"","family":"Gould","given":"Peter R.","non-dropping-particle":"","parse-names":false,"suffix":""}],"container-title":"Spatial Diffusion","id":"ITEM-1","issued":{"date-parts":[["1969"]]},"number-of-pages":"1-80","publisher-place":"Washington, D.C.","title":"Spatial Diffusion, Resource Paper No. 4","type":"report"},"uris":["http://www.mendeley.com/documents/?uuid=0aa10407-8bca-4393-b040-5ebbea1e2934"]}],"mendeley":{"formattedCitation":"(Gould, 1969)","plainTextFormattedCitation":"(Gould, 1969)","previouslyFormattedCitation":"(Gould, 1969)"},"properties":{"noteIndex":0},"schema":"https://github.com/citation-style-language/schema/raw/master/csl-citation.json"}</w:instrText>
      </w:r>
      <w:r>
        <w:rPr>
          <w:sz w:val="24"/>
        </w:rPr>
        <w:fldChar w:fldCharType="separate"/>
      </w:r>
      <w:r w:rsidRPr="00DB5E8D">
        <w:rPr>
          <w:noProof/>
          <w:sz w:val="24"/>
        </w:rPr>
        <w:t>(Gould, 1969)</w:t>
      </w:r>
      <w:r>
        <w:rPr>
          <w:sz w:val="24"/>
        </w:rPr>
        <w:fldChar w:fldCharType="end"/>
      </w:r>
      <w:r>
        <w:rPr>
          <w:sz w:val="24"/>
        </w:rPr>
        <w:t xml:space="preserve">. </w:t>
      </w:r>
      <w:r w:rsidRPr="00545126">
        <w:rPr>
          <w:sz w:val="24"/>
        </w:rPr>
        <w:t xml:space="preserve">One’s own internal dialog influences actions </w:t>
      </w:r>
      <w:r w:rsidR="00270FCD">
        <w:rPr>
          <w:sz w:val="24"/>
        </w:rPr>
        <w:t>that</w:t>
      </w:r>
      <w:r w:rsidRPr="00545126">
        <w:rPr>
          <w:sz w:val="24"/>
        </w:rPr>
        <w:t xml:space="preserve"> can affect how diffusion agents spread.</w:t>
      </w:r>
      <w:r>
        <w:rPr>
          <w:sz w:val="24"/>
        </w:rPr>
        <w:t xml:space="preserve"> Gould (1969), </w:t>
      </w:r>
      <w:r>
        <w:rPr>
          <w:sz w:val="24"/>
        </w:rPr>
        <w:fldChar w:fldCharType="begin" w:fldLock="1"/>
      </w:r>
      <w:r w:rsidR="003E3427">
        <w:rPr>
          <w:sz w:val="24"/>
        </w:rPr>
        <w:instrText>ADDIN CSL_CITATION {"citationItems":[{"id":"ITEM-1","itemData":{"author":[{"dropping-particle":"","family":"Hagerstrand","given":"Torsten","non-dropping-particle":"","parse-names":false,"suffix":""}],"editor":[{"dropping-particle":"","family":"Pred","given":"Allan","non-dropping-particle":"","parse-names":false,"suffix":""},{"dropping-particle":"","family":"Haag","given":"Greta","non-dropping-particle":"","parse-names":false,"suffix":""}],"id":"ITEM-1","issued":{"date-parts":[["1967"]]},"number-of-pages":"334","publisher":"University of Chicago Press","publisher-place":"Chicago","title":"Innovation diffusion as a spatial process","type":"book"},"uris":["http://www.mendeley.com/documents/?uuid=7145d268-8437-4276-9742-f290e2253b8f"]}],"mendeley":{"formattedCitation":"(Hagerstrand, 1967)","manualFormatting":"Hägerstrand (1967)","plainTextFormattedCitation":"(Hagerstrand, 1967)","previouslyFormattedCitation":"(Hagerstrand, 1967)"},"properties":{"noteIndex":0},"schema":"https://github.com/citation-style-language/schema/raw/master/csl-citation.json"}</w:instrText>
      </w:r>
      <w:r>
        <w:rPr>
          <w:sz w:val="24"/>
        </w:rPr>
        <w:fldChar w:fldCharType="separate"/>
      </w:r>
      <w:r w:rsidR="003E3427">
        <w:rPr>
          <w:noProof/>
          <w:sz w:val="24"/>
        </w:rPr>
        <w:t>Hä</w:t>
      </w:r>
      <w:r w:rsidRPr="00DB5E8D">
        <w:rPr>
          <w:noProof/>
          <w:sz w:val="24"/>
        </w:rPr>
        <w:t xml:space="preserve">gerstrand </w:t>
      </w:r>
      <w:r>
        <w:rPr>
          <w:noProof/>
          <w:sz w:val="24"/>
        </w:rPr>
        <w:t>(</w:t>
      </w:r>
      <w:r w:rsidRPr="00DB5E8D">
        <w:rPr>
          <w:noProof/>
          <w:sz w:val="24"/>
        </w:rPr>
        <w:t>1967)</w:t>
      </w:r>
      <w:r>
        <w:rPr>
          <w:sz w:val="24"/>
        </w:rPr>
        <w:fldChar w:fldCharType="end"/>
      </w:r>
      <w:r>
        <w:rPr>
          <w:sz w:val="24"/>
        </w:rPr>
        <w:t xml:space="preserve">, and Gladwell (2002) discuss observed patterns of individual behavior. </w:t>
      </w:r>
      <w:r w:rsidR="002058E5">
        <w:rPr>
          <w:sz w:val="24"/>
        </w:rPr>
        <w:t>The t</w:t>
      </w:r>
      <w:r>
        <w:rPr>
          <w:sz w:val="24"/>
        </w:rPr>
        <w:t xml:space="preserve">erminology used to describe behaviors include “Inventors,” “Early Adopters,” “Early Majority,” “Late Majority,” and “Laggards” </w:t>
      </w:r>
      <w:r>
        <w:rPr>
          <w:sz w:val="24"/>
        </w:rPr>
        <w:fldChar w:fldCharType="begin" w:fldLock="1"/>
      </w:r>
      <w:r>
        <w:rPr>
          <w:sz w:val="24"/>
        </w:rPr>
        <w:instrText>ADDIN CSL_CITATION {"citationItems":[{"id":"ITEM-1","itemData":{"DOI":"10.1016/0143-6228(89)90060-x","ISSN":"01436228","abstract":"This resource paper on geographical spatial diffusion is part of a series designed to supplement undergraduate geography courses. Focusing on the unfolding of man's patterns over geographic space and through time, the paper provides the basic theoretical background of this new, rapidly growing area of geography. Following a short introductory section, chapter two outlines the various carriers and barriers to both physical and cultural diffusion. Carrier processes may take the form of expansion, relocation, hierarchical filtering, or contagious diffusion as with diseases. Barriers to diffusion may be physical or cultural, such as differences in languages or levels of technology. Since spatial diffusion takes place on many different scales, chapter three focuses on the various models of individual or micro-level diffusion, urban diffusion, regional diffusion, and macro-level (or national and international) diffusion. Chapter four discusses the frontiers of diffusion research. Also included is a list of further readings and illustrative references. (Author/DE)","author":[{"dropping-particle":"","family":"Gould","given":"Peter R.","non-dropping-particle":"","parse-names":false,"suffix":""}],"container-title":"Spatial Diffusion","id":"ITEM-1","issued":{"date-parts":[["1969"]]},"number-of-pages":"1-80","publisher-place":"Washington, D.C.","title":"Spatial Diffusion, Resource Paper No. 4","type":"report"},"uris":["http://www.mendeley.com/documents/?uuid=0aa10407-8bca-4393-b040-5ebbea1e2934"]},{"id":"ITEM-2","itemData":{"author":[{"dropping-particle":"","family":"Hagerstrand","given":"Torsten","non-dropping-particle":"","parse-names":false,"suffix":""}],"editor":[{"dropping-particle":"","family":"Pred","given":"Allan","non-dropping-particle":"","parse-names":false,"suffix":""},{"dropping-particle":"","family":"Haag","given":"Greta","non-dropping-particle":"","parse-names":false,"suffix":""}],"id":"ITEM-2","issued":{"date-parts":[["1967"]]},"number-of-pages":"334","publisher":"University of Chicago Press","publisher-place":"Chicago","title":"Innovation diffusion as a spatial process","type":"book"},"uris":["http://www.mendeley.com/documents/?uuid=7145d268-8437-4276-9742-f290e2253b8f"]},{"id":"ITEM-3","itemData":{"author":[{"dropping-particle":"","family":"Gladwell","given":"Malcolm","non-dropping-particle":"","parse-names":false,"suffix":""}],"id":"ITEM-3","issued":{"date-parts":[["2002"]]},"number-of-pages":"301","publisher":"Back Bay Books","publisher-place":"New York","title":"The Tipping Point How Little Things Can Make a Big Difference","type":"book"},"uris":["http://www.mendeley.com/documents/?uuid=6bd2349c-e74f-43e1-9470-adeb33828477"]}],"mendeley":{"formattedCitation":"(Gladwell, 2002; Gould, 1969; Hagerstrand, 1967)","manualFormatting":"(Gladwell, 2002; Gould, 1969)","plainTextFormattedCitation":"(Gladwell, 2002; Gould, 1969; Hagerstrand, 1967)","previouslyFormattedCitation":"(Gladwell, 2002; Gould, 1969; Hagerstrand, 1967)"},"properties":{"noteIndex":0},"schema":"https://github.com/citation-style-language/schema/raw/master/csl-citation.json"}</w:instrText>
      </w:r>
      <w:r>
        <w:rPr>
          <w:sz w:val="24"/>
        </w:rPr>
        <w:fldChar w:fldCharType="separate"/>
      </w:r>
      <w:r w:rsidRPr="005525CD">
        <w:rPr>
          <w:noProof/>
          <w:sz w:val="24"/>
        </w:rPr>
        <w:t>(Gladwell, 2002</w:t>
      </w:r>
      <w:r>
        <w:rPr>
          <w:noProof/>
          <w:sz w:val="24"/>
        </w:rPr>
        <w:t>; Gould, 1969</w:t>
      </w:r>
      <w:r w:rsidRPr="005525CD">
        <w:rPr>
          <w:noProof/>
          <w:sz w:val="24"/>
        </w:rPr>
        <w:t>)</w:t>
      </w:r>
      <w:r>
        <w:rPr>
          <w:sz w:val="24"/>
        </w:rPr>
        <w:fldChar w:fldCharType="end"/>
      </w:r>
      <w:r>
        <w:rPr>
          <w:sz w:val="24"/>
        </w:rPr>
        <w:t xml:space="preserve">. </w:t>
      </w:r>
      <w:r w:rsidR="00270FCD">
        <w:rPr>
          <w:sz w:val="24"/>
        </w:rPr>
        <w:t>When the terms are considered in this order, they make an ordinal scale that forms n</w:t>
      </w:r>
      <w:r>
        <w:rPr>
          <w:sz w:val="24"/>
        </w:rPr>
        <w:t xml:space="preserve">ormal and S-shaped distributions </w:t>
      </w:r>
      <w:r>
        <w:rPr>
          <w:sz w:val="24"/>
        </w:rPr>
        <w:fldChar w:fldCharType="begin" w:fldLock="1"/>
      </w:r>
      <w:r>
        <w:rPr>
          <w:sz w:val="24"/>
        </w:rPr>
        <w:instrText>ADDIN CSL_CITATION {"citationItems":[{"id":"ITEM-1","itemData":{"DOI":"10.1016/0143-6228(89)90060-x","ISSN":"01436228","abstract":"This resource paper on geographical spatial diffusion is part of a series designed to supplement undergraduate geography courses. Focusing on the unfolding of man's patterns over geographic space and through time, the paper provides the basic theoretical background of this new, rapidly growing area of geography. Following a short introductory section, chapter two outlines the various carriers and barriers to both physical and cultural diffusion. Carrier processes may take the form of expansion, relocation, hierarchical filtering, or contagious diffusion as with diseases. Barriers to diffusion may be physical or cultural, such as differences in languages or levels of technology. Since spatial diffusion takes place on many different scales, chapter three focuses on the various models of individual or micro-level diffusion, urban diffusion, regional diffusion, and macro-level (or national and international) diffusion. Chapter four discusses the frontiers of diffusion research. Also included is a list of further readings and illustrative references. (Author/DE)","author":[{"dropping-particle":"","family":"Gould","given":"Peter R.","non-dropping-particle":"","parse-names":false,"suffix":""}],"container-title":"Spatial Diffusion","id":"ITEM-1","issued":{"date-parts":[["1969"]]},"number-of-pages":"1-80","publisher-place":"Washington, D.C.","title":"Spatial Diffusion, Resource Paper No. 4","type":"report"},"uris":["http://www.mendeley.com/documents/?uuid=0aa10407-8bca-4393-b040-5ebbea1e2934"]}],"mendeley":{"formattedCitation":"(Gould, 1969)","plainTextFormattedCitation":"(Gould, 1969)","previouslyFormattedCitation":"(Gould, 1969)"},"properties":{"noteIndex":0},"schema":"https://github.com/citation-style-language/schema/raw/master/csl-citation.json"}</w:instrText>
      </w:r>
      <w:r>
        <w:rPr>
          <w:sz w:val="24"/>
        </w:rPr>
        <w:fldChar w:fldCharType="separate"/>
      </w:r>
      <w:r w:rsidRPr="005525CD">
        <w:rPr>
          <w:noProof/>
          <w:sz w:val="24"/>
        </w:rPr>
        <w:t>(Gould, 1969)</w:t>
      </w:r>
      <w:r>
        <w:rPr>
          <w:sz w:val="24"/>
        </w:rPr>
        <w:fldChar w:fldCharType="end"/>
      </w:r>
      <w:r>
        <w:rPr>
          <w:sz w:val="24"/>
        </w:rPr>
        <w:t xml:space="preserve">. Psychological barriers may affect Laggards </w:t>
      </w:r>
      <w:r w:rsidR="007B7136">
        <w:rPr>
          <w:sz w:val="24"/>
        </w:rPr>
        <w:t>(who latch onto information lat</w:t>
      </w:r>
      <w:r>
        <w:rPr>
          <w:sz w:val="24"/>
        </w:rPr>
        <w:t xml:space="preserve">er) </w:t>
      </w:r>
      <w:r w:rsidR="00DE596C">
        <w:rPr>
          <w:sz w:val="24"/>
        </w:rPr>
        <w:t xml:space="preserve">more </w:t>
      </w:r>
      <w:r>
        <w:rPr>
          <w:sz w:val="24"/>
        </w:rPr>
        <w:t xml:space="preserve">than individuals of the Early Majority, and may influence </w:t>
      </w:r>
      <w:r w:rsidR="007B7136">
        <w:rPr>
          <w:sz w:val="24"/>
        </w:rPr>
        <w:t xml:space="preserve">the </w:t>
      </w:r>
      <w:r>
        <w:rPr>
          <w:sz w:val="24"/>
        </w:rPr>
        <w:t>rate of diffusion spread.</w:t>
      </w:r>
      <w:r w:rsidR="005B5DF9">
        <w:rPr>
          <w:sz w:val="24"/>
        </w:rPr>
        <w:t xml:space="preserve"> </w:t>
      </w:r>
      <w:r w:rsidR="00296639">
        <w:rPr>
          <w:sz w:val="24"/>
        </w:rPr>
        <w:t>Additionally, o</w:t>
      </w:r>
      <w:r w:rsidR="00296639">
        <w:rPr>
          <w:rFonts w:eastAsiaTheme="minorEastAsia"/>
          <w:sz w:val="24"/>
        </w:rPr>
        <w:t>ne may have personal insecurities or concerns over privacy that may inhibit Twitter use.</w:t>
      </w:r>
      <w:r w:rsidR="00296639">
        <w:rPr>
          <w:sz w:val="24"/>
        </w:rPr>
        <w:t xml:space="preserve"> </w:t>
      </w:r>
      <w:r w:rsidR="00296639">
        <w:rPr>
          <w:rFonts w:eastAsiaTheme="minorEastAsia"/>
          <w:sz w:val="24"/>
        </w:rPr>
        <w:t>The decision</w:t>
      </w:r>
      <w:r w:rsidR="005B5DF9">
        <w:rPr>
          <w:rFonts w:eastAsiaTheme="minorEastAsia"/>
          <w:sz w:val="24"/>
        </w:rPr>
        <w:t xml:space="preserve"> to join or </w:t>
      </w:r>
      <w:r w:rsidR="005B5DF9">
        <w:rPr>
          <w:rFonts w:eastAsiaTheme="minorEastAsia"/>
          <w:sz w:val="24"/>
        </w:rPr>
        <w:lastRenderedPageBreak/>
        <w:t xml:space="preserve">participate in social media is a personal choice. </w:t>
      </w:r>
      <w:r w:rsidR="00296639">
        <w:rPr>
          <w:rFonts w:eastAsiaTheme="minorEastAsia"/>
          <w:sz w:val="24"/>
        </w:rPr>
        <w:t>Therefore, t</w:t>
      </w:r>
      <w:r w:rsidR="005B5DF9">
        <w:rPr>
          <w:rFonts w:eastAsiaTheme="minorEastAsia"/>
          <w:sz w:val="24"/>
        </w:rPr>
        <w:t>here might be some internal and psychological barrier</w:t>
      </w:r>
      <w:r w:rsidR="007B7136">
        <w:rPr>
          <w:rFonts w:eastAsiaTheme="minorEastAsia"/>
          <w:sz w:val="24"/>
        </w:rPr>
        <w:t>s</w:t>
      </w:r>
      <w:r w:rsidR="005B5DF9">
        <w:rPr>
          <w:rFonts w:eastAsiaTheme="minorEastAsia"/>
          <w:sz w:val="24"/>
        </w:rPr>
        <w:t xml:space="preserve"> that </w:t>
      </w:r>
      <w:r w:rsidR="00296639">
        <w:rPr>
          <w:rFonts w:eastAsiaTheme="minorEastAsia"/>
          <w:sz w:val="24"/>
        </w:rPr>
        <w:t xml:space="preserve">could </w:t>
      </w:r>
      <w:r w:rsidR="007B7136">
        <w:rPr>
          <w:rFonts w:eastAsiaTheme="minorEastAsia"/>
          <w:sz w:val="24"/>
        </w:rPr>
        <w:t>prevent</w:t>
      </w:r>
      <w:r w:rsidR="005B5DF9">
        <w:rPr>
          <w:rFonts w:eastAsiaTheme="minorEastAsia"/>
          <w:sz w:val="24"/>
        </w:rPr>
        <w:t xml:space="preserve"> one from actively participating in Twitter. </w:t>
      </w:r>
    </w:p>
    <w:p w14:paraId="4A637C7D" w14:textId="0354709D" w:rsidR="000878DC" w:rsidRPr="000878DC" w:rsidRDefault="000878DC" w:rsidP="000878DC">
      <w:pPr>
        <w:spacing w:line="480" w:lineRule="auto"/>
        <w:rPr>
          <w:sz w:val="24"/>
        </w:rPr>
      </w:pPr>
      <w:r>
        <w:rPr>
          <w:sz w:val="24"/>
        </w:rPr>
        <w:tab/>
      </w:r>
      <w:r w:rsidR="00DE596C">
        <w:rPr>
          <w:sz w:val="24"/>
        </w:rPr>
        <w:t xml:space="preserve">The final barriers are physical, which are </w:t>
      </w:r>
      <w:r>
        <w:rPr>
          <w:sz w:val="24"/>
        </w:rPr>
        <w:t xml:space="preserve">defined as blockades created by a location’s landscape </w:t>
      </w:r>
      <w:r>
        <w:rPr>
          <w:sz w:val="24"/>
        </w:rPr>
        <w:fldChar w:fldCharType="begin" w:fldLock="1"/>
      </w:r>
      <w:r>
        <w:rPr>
          <w:sz w:val="24"/>
        </w:rPr>
        <w:instrText>ADDIN CSL_CITATION {"citationItems":[{"id":"ITEM-1","itemData":{"DOI":"10.1016/0143-6228(89)90060-x","ISSN":"01436228","abstract":"This resource paper on geographical spatial diffusion is part of a series designed to supplement undergraduate geography courses. Focusing on the unfolding of man's patterns over geographic space and through time, the paper provides the basic theoretical background of this new, rapidly growing area of geography. Following a short introductory section, chapter two outlines the various carriers and barriers to both physical and cultural diffusion. Carrier processes may take the form of expansion, relocation, hierarchical filtering, or contagious diffusion as with diseases. Barriers to diffusion may be physical or cultural, such as differences in languages or levels of technology. Since spatial diffusion takes place on many different scales, chapter three focuses on the various models of individual or micro-level diffusion, urban diffusion, regional diffusion, and macro-level (or national and international) diffusion. Chapter four discusses the frontiers of diffusion research. Also included is a list of further readings and illustrative references. (Author/DE)","author":[{"dropping-particle":"","family":"Gould","given":"Peter R.","non-dropping-particle":"","parse-names":false,"suffix":""}],"container-title":"Spatial Diffusion","id":"ITEM-1","issued":{"date-parts":[["1969"]]},"number-of-pages":"1-80","publisher-place":"Washington, D.C.","title":"Spatial Diffusion, Resource Paper No. 4","type":"report"},"uris":["http://www.mendeley.com/documents/?uuid=0aa10407-8bca-4393-b040-5ebbea1e2934"]}],"mendeley":{"formattedCitation":"(Gould, 1969)","plainTextFormattedCitation":"(Gould, 1969)","previouslyFormattedCitation":"(Gould, 1969)"},"properties":{"noteIndex":0},"schema":"https://github.com/citation-style-language/schema/raw/master/csl-citation.json"}</w:instrText>
      </w:r>
      <w:r>
        <w:rPr>
          <w:sz w:val="24"/>
        </w:rPr>
        <w:fldChar w:fldCharType="separate"/>
      </w:r>
      <w:r w:rsidRPr="007B6544">
        <w:rPr>
          <w:noProof/>
          <w:sz w:val="24"/>
        </w:rPr>
        <w:t>(Gould, 1969)</w:t>
      </w:r>
      <w:r>
        <w:rPr>
          <w:sz w:val="24"/>
        </w:rPr>
        <w:fldChar w:fldCharType="end"/>
      </w:r>
      <w:r>
        <w:rPr>
          <w:sz w:val="24"/>
        </w:rPr>
        <w:t xml:space="preserve">. Many landforms on Earth create physical, topographic, and naturally-forming barriers </w:t>
      </w:r>
      <w:r w:rsidR="007B7136">
        <w:rPr>
          <w:sz w:val="24"/>
        </w:rPr>
        <w:t>that</w:t>
      </w:r>
      <w:r>
        <w:rPr>
          <w:sz w:val="24"/>
        </w:rPr>
        <w:t xml:space="preserve"> can physically obstruct diffusion movement. Examples include lakes, oceans, hills, and mountains </w:t>
      </w:r>
      <w:r>
        <w:rPr>
          <w:sz w:val="24"/>
        </w:rPr>
        <w:fldChar w:fldCharType="begin" w:fldLock="1"/>
      </w:r>
      <w:r>
        <w:rPr>
          <w:sz w:val="24"/>
        </w:rPr>
        <w:instrText>ADDIN CSL_CITATION {"citationItems":[{"id":"ITEM-1","itemData":{"DOI":"10.1016/0143-6228(89)90060-x","ISSN":"01436228","abstract":"This resource paper on geographical spatial diffusion is part of a series designed to supplement undergraduate geography courses. Focusing on the unfolding of man's patterns over geographic space and through time, the paper provides the basic theoretical background of this new, rapidly growing area of geography. Following a short introductory section, chapter two outlines the various carriers and barriers to both physical and cultural diffusion. Carrier processes may take the form of expansion, relocation, hierarchical filtering, or contagious diffusion as with diseases. Barriers to diffusion may be physical or cultural, such as differences in languages or levels of technology. Since spatial diffusion takes place on many different scales, chapter three focuses on the various models of individual or micro-level diffusion, urban diffusion, regional diffusion, and macro-level (or national and international) diffusion. Chapter four discusses the frontiers of diffusion research. Also included is a list of further readings and illustrative references. (Author/DE)","author":[{"dropping-particle":"","family":"Gould","given":"Peter R.","non-dropping-particle":"","parse-names":false,"suffix":""}],"container-title":"Spatial Diffusion","id":"ITEM-1","issued":{"date-parts":[["1969"]]},"number-of-pages":"1-80","publisher-place":"Washington, D.C.","title":"Spatial Diffusion, Resource Paper No. 4","type":"report"},"uris":["http://www.mendeley.com/documents/?uuid=0aa10407-8bca-4393-b040-5ebbea1e2934"]}],"mendeley":{"formattedCitation":"(Gould, 1969)","plainTextFormattedCitation":"(Gould, 1969)","previouslyFormattedCitation":"(Gould, 1969)"},"properties":{"noteIndex":0},"schema":"https://github.com/citation-style-language/schema/raw/master/csl-citation.json"}</w:instrText>
      </w:r>
      <w:r>
        <w:rPr>
          <w:sz w:val="24"/>
        </w:rPr>
        <w:fldChar w:fldCharType="separate"/>
      </w:r>
      <w:r w:rsidRPr="00066050">
        <w:rPr>
          <w:noProof/>
          <w:sz w:val="24"/>
        </w:rPr>
        <w:t>(Gould, 1969)</w:t>
      </w:r>
      <w:r>
        <w:rPr>
          <w:sz w:val="24"/>
        </w:rPr>
        <w:fldChar w:fldCharType="end"/>
      </w:r>
      <w:r>
        <w:rPr>
          <w:sz w:val="24"/>
        </w:rPr>
        <w:t>.</w:t>
      </w:r>
      <w:r w:rsidR="0012424D">
        <w:rPr>
          <w:sz w:val="24"/>
        </w:rPr>
        <w:t xml:space="preserve"> </w:t>
      </w:r>
      <w:r w:rsidR="00C20CFC">
        <w:rPr>
          <w:sz w:val="24"/>
        </w:rPr>
        <w:t>If cellular or WIFI reception is not available because a location is remote, mountainous, or densely-forested, the physical landscape may lead to physical and technological barrier</w:t>
      </w:r>
      <w:r w:rsidR="002A6E61">
        <w:rPr>
          <w:sz w:val="24"/>
        </w:rPr>
        <w:t>s</w:t>
      </w:r>
      <w:r w:rsidR="00C20CFC">
        <w:rPr>
          <w:sz w:val="24"/>
        </w:rPr>
        <w:t>.</w:t>
      </w:r>
    </w:p>
    <w:p w14:paraId="73C0B3DD" w14:textId="02AB16A5" w:rsidR="00DC7130" w:rsidRPr="00286835" w:rsidRDefault="004A16A5" w:rsidP="00286835">
      <w:pPr>
        <w:pStyle w:val="Heading2"/>
        <w:spacing w:line="480" w:lineRule="auto"/>
        <w:rPr>
          <w:rFonts w:asciiTheme="minorHAnsi" w:hAnsiTheme="minorHAnsi"/>
          <w:b/>
          <w:color w:val="auto"/>
          <w:sz w:val="24"/>
        </w:rPr>
      </w:pPr>
      <w:bookmarkStart w:id="10" w:name="_Toc56898375"/>
      <w:r>
        <w:rPr>
          <w:rFonts w:asciiTheme="minorHAnsi" w:hAnsiTheme="minorHAnsi"/>
          <w:b/>
          <w:color w:val="auto"/>
          <w:sz w:val="24"/>
        </w:rPr>
        <w:t xml:space="preserve">2.6 </w:t>
      </w:r>
      <w:r w:rsidR="00DC7130" w:rsidRPr="00286835">
        <w:rPr>
          <w:rFonts w:asciiTheme="minorHAnsi" w:hAnsiTheme="minorHAnsi"/>
          <w:b/>
          <w:color w:val="auto"/>
          <w:sz w:val="24"/>
        </w:rPr>
        <w:t>Quantitatively studying spatial diffusion</w:t>
      </w:r>
      <w:bookmarkEnd w:id="10"/>
    </w:p>
    <w:p w14:paraId="42C10E09" w14:textId="2D4D016E" w:rsidR="00FA08D2" w:rsidRDefault="00567D5F" w:rsidP="00286835">
      <w:pPr>
        <w:tabs>
          <w:tab w:val="left" w:pos="720"/>
          <w:tab w:val="left" w:pos="1890"/>
        </w:tabs>
        <w:spacing w:line="480" w:lineRule="auto"/>
        <w:rPr>
          <w:sz w:val="24"/>
        </w:rPr>
      </w:pPr>
      <w:r>
        <w:rPr>
          <w:sz w:val="24"/>
        </w:rPr>
        <w:tab/>
      </w:r>
      <w:r w:rsidR="00B6452C">
        <w:rPr>
          <w:sz w:val="24"/>
        </w:rPr>
        <w:t xml:space="preserve">Researchers </w:t>
      </w:r>
      <w:r w:rsidR="00DD300D">
        <w:rPr>
          <w:sz w:val="24"/>
        </w:rPr>
        <w:t>have used</w:t>
      </w:r>
      <w:r w:rsidR="001F2498">
        <w:rPr>
          <w:sz w:val="24"/>
        </w:rPr>
        <w:t xml:space="preserve"> various approaches to quantify spatial diffusion.</w:t>
      </w:r>
      <w:r w:rsidR="00B607F3">
        <w:rPr>
          <w:sz w:val="24"/>
        </w:rPr>
        <w:t xml:space="preserve"> H</w:t>
      </w:r>
      <w:r w:rsidR="00D16778">
        <w:rPr>
          <w:sz w:val="24"/>
        </w:rPr>
        <w:t>ä</w:t>
      </w:r>
      <w:r w:rsidR="00B607F3">
        <w:rPr>
          <w:sz w:val="24"/>
        </w:rPr>
        <w:t xml:space="preserve">gerstrand </w:t>
      </w:r>
      <w:r w:rsidR="008B7CC4">
        <w:rPr>
          <w:sz w:val="24"/>
        </w:rPr>
        <w:t xml:space="preserve">used maps and diagrams to depict </w:t>
      </w:r>
      <w:r w:rsidR="008209D2">
        <w:rPr>
          <w:sz w:val="24"/>
        </w:rPr>
        <w:t>interactions between humans</w:t>
      </w:r>
      <w:r w:rsidR="00B607F3">
        <w:rPr>
          <w:sz w:val="24"/>
        </w:rPr>
        <w:t xml:space="preserve"> </w:t>
      </w:r>
      <w:r w:rsidR="00B607F3">
        <w:rPr>
          <w:sz w:val="24"/>
        </w:rPr>
        <w:fldChar w:fldCharType="begin" w:fldLock="1"/>
      </w:r>
      <w:r w:rsidR="00865E97">
        <w:rPr>
          <w:sz w:val="24"/>
        </w:rPr>
        <w:instrText>ADDIN CSL_CITATION {"citationItems":[{"id":"ITEM-1","itemData":{"author":[{"dropping-particle":"","family":"Hagerstrand","given":"Torsten","non-dropping-particle":"","parse-names":false,"suffix":""}],"editor":[{"dropping-particle":"","family":"Pred","given":"Allan","non-dropping-particle":"","parse-names":false,"suffix":""},{"dropping-particle":"","family":"Haag","given":"Greta","non-dropping-particle":"","parse-names":false,"suffix":""}],"id":"ITEM-1","issued":{"date-parts":[["1967"]]},"number-of-pages":"334","publisher":"University of Chicago Press","publisher-place":"Chicago","title":"Innovation diffusion as a spatial process","type":"book"},"uris":["http://www.mendeley.com/documents/?uuid=7145d268-8437-4276-9742-f290e2253b8f"]}],"mendeley":{"formattedCitation":"(Hagerstrand, 1967)","manualFormatting":"(Hägerstrand, 1967)","plainTextFormattedCitation":"(Hagerstrand, 1967)","previouslyFormattedCitation":"(Hagerstrand, 1967)"},"properties":{"noteIndex":0},"schema":"https://github.com/citation-style-language/schema/raw/master/csl-citation.json"}</w:instrText>
      </w:r>
      <w:r w:rsidR="00B607F3">
        <w:rPr>
          <w:sz w:val="24"/>
        </w:rPr>
        <w:fldChar w:fldCharType="separate"/>
      </w:r>
      <w:r w:rsidR="00865E97">
        <w:rPr>
          <w:noProof/>
          <w:sz w:val="24"/>
        </w:rPr>
        <w:t>(Hä</w:t>
      </w:r>
      <w:r w:rsidR="00B607F3" w:rsidRPr="00B607F3">
        <w:rPr>
          <w:noProof/>
          <w:sz w:val="24"/>
        </w:rPr>
        <w:t>gerstrand, 1967)</w:t>
      </w:r>
      <w:r w:rsidR="00B607F3">
        <w:rPr>
          <w:sz w:val="24"/>
        </w:rPr>
        <w:fldChar w:fldCharType="end"/>
      </w:r>
      <w:r w:rsidR="008209D2">
        <w:rPr>
          <w:sz w:val="24"/>
        </w:rPr>
        <w:t xml:space="preserve"> and</w:t>
      </w:r>
      <w:r w:rsidR="00D5074E">
        <w:rPr>
          <w:sz w:val="24"/>
        </w:rPr>
        <w:t xml:space="preserve"> different social classes </w:t>
      </w:r>
      <w:r w:rsidR="00D5074E">
        <w:rPr>
          <w:sz w:val="24"/>
        </w:rPr>
        <w:fldChar w:fldCharType="begin" w:fldLock="1"/>
      </w:r>
      <w:r w:rsidR="001D31B7">
        <w:rPr>
          <w:sz w:val="24"/>
        </w:rPr>
        <w:instrText>ADDIN CSL_CITATION {"citationItems":[{"id":"ITEM-1","itemData":{"author":[{"dropping-particle":"","family":"Cliff","given":"Andrew","non-dropping-particle":"","parse-names":false,"suffix":""},{"dropping-particle":"","family":"Pred","given":"Allan","non-dropping-particle":"","parse-names":false,"suffix":""},{"dropping-particle":"","family":"Hagerstrand","given":"Torsten","non-dropping-particle":"","parse-names":false,"suffix":""}],"container-title":"Progress in Human Geography","id":"ITEM-1","issue":"4","issued":{"date-parts":[["1992"]]},"page":"541-544","title":"Classics in Human Geography Revisited","type":"article-journal","volume":"16"},"uris":["http://www.mendeley.com/documents/?uuid=e4b915ea-9f7b-4863-b61b-8178adaa54b4"]}],"mendeley":{"formattedCitation":"(Cliff, Pred, &amp; Hagerstrand, 1992)","manualFormatting":"(Cliff, Pred, &amp; Hägerstrand, 1992)","plainTextFormattedCitation":"(Cliff, Pred, &amp; Hagerstrand, 1992)","previouslyFormattedCitation":"(Cliff, Pred, &amp; Hagerstrand, 1992)"},"properties":{"noteIndex":0},"schema":"https://github.com/citation-style-language/schema/raw/master/csl-citation.json"}</w:instrText>
      </w:r>
      <w:r w:rsidR="00D5074E">
        <w:rPr>
          <w:sz w:val="24"/>
        </w:rPr>
        <w:fldChar w:fldCharType="separate"/>
      </w:r>
      <w:r w:rsidR="00865E97">
        <w:rPr>
          <w:noProof/>
          <w:sz w:val="24"/>
        </w:rPr>
        <w:t>(Cliff, Pred, &amp; Hä</w:t>
      </w:r>
      <w:r w:rsidR="00B0210D" w:rsidRPr="00B0210D">
        <w:rPr>
          <w:noProof/>
          <w:sz w:val="24"/>
        </w:rPr>
        <w:t>gerstrand, 1992)</w:t>
      </w:r>
      <w:r w:rsidR="00D5074E">
        <w:rPr>
          <w:sz w:val="24"/>
        </w:rPr>
        <w:fldChar w:fldCharType="end"/>
      </w:r>
      <w:r w:rsidR="00D5074E">
        <w:rPr>
          <w:sz w:val="24"/>
        </w:rPr>
        <w:t>.</w:t>
      </w:r>
      <w:r w:rsidR="00AA0F9D" w:rsidRPr="00AA0F9D">
        <w:rPr>
          <w:sz w:val="24"/>
        </w:rPr>
        <w:t xml:space="preserve"> </w:t>
      </w:r>
      <w:r w:rsidR="00AA0F9D">
        <w:rPr>
          <w:sz w:val="24"/>
        </w:rPr>
        <w:fldChar w:fldCharType="begin" w:fldLock="1"/>
      </w:r>
      <w:r w:rsidR="001D31B7">
        <w:rPr>
          <w:sz w:val="24"/>
        </w:rPr>
        <w:instrText>ADDIN CSL_CITATION {"citationItems":[{"id":"ITEM-1","itemData":{"author":[{"dropping-particle":"","family":"Hagerstrand","given":"Torsten","non-dropping-particle":"","parse-names":false,"suffix":""}],"editor":[{"dropping-particle":"","family":"Pred","given":"Allan","non-dropping-particle":"","parse-names":false,"suffix":""},{"dropping-particle":"","family":"Haag","given":"Greta","non-dropping-particle":"","parse-names":false,"suffix":""}],"id":"ITEM-1","issued":{"date-parts":[["1967"]]},"number-of-pages":"334","publisher":"University of Chicago Press","publisher-place":"Chicago","title":"Innovation diffusion as a spatial process","type":"book"},"uris":["http://www.mendeley.com/documents/?uuid=7145d268-8437-4276-9742-f290e2253b8f"]}],"mendeley":{"formattedCitation":"(Hagerstrand, 1967)","manualFormatting":"Hägerstrand (1967)","plainTextFormattedCitation":"(Hagerstrand, 1967)","previouslyFormattedCitation":"(Hagerstrand, 1967)"},"properties":{"noteIndex":0},"schema":"https://github.com/citation-style-language/schema/raw/master/csl-citation.json"}</w:instrText>
      </w:r>
      <w:r w:rsidR="00AA0F9D">
        <w:rPr>
          <w:sz w:val="24"/>
        </w:rPr>
        <w:fldChar w:fldCharType="separate"/>
      </w:r>
      <w:r w:rsidR="00865E97">
        <w:rPr>
          <w:noProof/>
          <w:sz w:val="24"/>
        </w:rPr>
        <w:t>Hä</w:t>
      </w:r>
      <w:r w:rsidR="00AA0F9D">
        <w:rPr>
          <w:noProof/>
          <w:sz w:val="24"/>
        </w:rPr>
        <w:t>gerstrand</w:t>
      </w:r>
      <w:r w:rsidR="00AA0F9D" w:rsidRPr="002D0004">
        <w:rPr>
          <w:noProof/>
          <w:sz w:val="24"/>
        </w:rPr>
        <w:t xml:space="preserve"> </w:t>
      </w:r>
      <w:r w:rsidR="00AA0F9D">
        <w:rPr>
          <w:noProof/>
          <w:sz w:val="24"/>
        </w:rPr>
        <w:t>(</w:t>
      </w:r>
      <w:r w:rsidR="00AA0F9D" w:rsidRPr="002D0004">
        <w:rPr>
          <w:noProof/>
          <w:sz w:val="24"/>
        </w:rPr>
        <w:t>1967)</w:t>
      </w:r>
      <w:r w:rsidR="00AA0F9D">
        <w:rPr>
          <w:sz w:val="24"/>
        </w:rPr>
        <w:fldChar w:fldCharType="end"/>
      </w:r>
      <w:r w:rsidR="00AA0F9D">
        <w:rPr>
          <w:sz w:val="24"/>
        </w:rPr>
        <w:t xml:space="preserve"> also took the quantitative approach of Monte Carlo experimentation in</w:t>
      </w:r>
      <w:r w:rsidR="00E77F80">
        <w:rPr>
          <w:sz w:val="24"/>
        </w:rPr>
        <w:t xml:space="preserve"> his famous work, </w:t>
      </w:r>
      <w:r w:rsidR="00865E97">
        <w:rPr>
          <w:i/>
          <w:sz w:val="24"/>
        </w:rPr>
        <w:t>Innovation diffusion as a spatial p</w:t>
      </w:r>
      <w:r w:rsidR="00E77F80">
        <w:rPr>
          <w:i/>
          <w:sz w:val="24"/>
        </w:rPr>
        <w:t>rocess</w:t>
      </w:r>
      <w:r w:rsidR="00E77F80">
        <w:rPr>
          <w:sz w:val="24"/>
        </w:rPr>
        <w:t xml:space="preserve">. </w:t>
      </w:r>
      <w:r w:rsidR="00AA0F9D">
        <w:rPr>
          <w:sz w:val="24"/>
        </w:rPr>
        <w:t xml:space="preserve">Monte Carlo experimentation is complex, and involves random sampling in different scenarios </w:t>
      </w:r>
      <w:r w:rsidR="00AA0F9D">
        <w:rPr>
          <w:sz w:val="24"/>
        </w:rPr>
        <w:fldChar w:fldCharType="begin" w:fldLock="1"/>
      </w:r>
      <w:r w:rsidR="00AA0F9D">
        <w:rPr>
          <w:sz w:val="24"/>
        </w:rPr>
        <w:instrText>ADDIN CSL_CITATION {"citationItems":[{"id":"ITEM-1","itemData":{"URL":"http://statweb.stanford.edu/~susan/courses/s208/node14.html","accessed":{"date-parts":[["2020","7","7"]]},"author":[{"dropping-particle":"","family":"Holmes","given":"Susan","non-dropping-particle":"","parse-names":false,"suffix":""}],"id":"ITEM-1","issued":{"date-parts":[["2004"]]},"title":"Monte Carlo","type":"webpage"},"uris":["http://www.mendeley.com/documents/?uuid=619e980d-9be4-3c45-b2c1-fef2ee4018a9"]}],"mendeley":{"formattedCitation":"(Holmes, 2004)","plainTextFormattedCitation":"(Holmes, 2004)","previouslyFormattedCitation":"(Holmes, 2004)"},"properties":{"noteIndex":0},"schema":"https://github.com/citation-style-language/schema/raw/master/csl-citation.json"}</w:instrText>
      </w:r>
      <w:r w:rsidR="00AA0F9D">
        <w:rPr>
          <w:sz w:val="24"/>
        </w:rPr>
        <w:fldChar w:fldCharType="separate"/>
      </w:r>
      <w:r w:rsidR="00AA0F9D" w:rsidRPr="00757EBE">
        <w:rPr>
          <w:noProof/>
          <w:sz w:val="24"/>
        </w:rPr>
        <w:t>(Holmes, 2004)</w:t>
      </w:r>
      <w:r w:rsidR="00AA0F9D">
        <w:rPr>
          <w:sz w:val="24"/>
        </w:rPr>
        <w:fldChar w:fldCharType="end"/>
      </w:r>
      <w:r w:rsidR="00AA0F9D">
        <w:rPr>
          <w:sz w:val="24"/>
        </w:rPr>
        <w:t>. H</w:t>
      </w:r>
      <w:r w:rsidR="00D16778">
        <w:rPr>
          <w:sz w:val="24"/>
        </w:rPr>
        <w:t>ä</w:t>
      </w:r>
      <w:r w:rsidR="00AA0F9D">
        <w:rPr>
          <w:sz w:val="24"/>
        </w:rPr>
        <w:t xml:space="preserve">gerstrand’s </w:t>
      </w:r>
      <w:r w:rsidR="00214646">
        <w:rPr>
          <w:sz w:val="24"/>
        </w:rPr>
        <w:t xml:space="preserve">methods </w:t>
      </w:r>
      <w:r w:rsidR="006776A4">
        <w:rPr>
          <w:sz w:val="24"/>
        </w:rPr>
        <w:t>were</w:t>
      </w:r>
      <w:r w:rsidR="00AA0F9D">
        <w:rPr>
          <w:sz w:val="24"/>
        </w:rPr>
        <w:t xml:space="preserve"> especially impressive because all supporting mathematics were calculated without a computer </w:t>
      </w:r>
      <w:r w:rsidR="00AA0F9D">
        <w:rPr>
          <w:sz w:val="24"/>
        </w:rPr>
        <w:fldChar w:fldCharType="begin" w:fldLock="1"/>
      </w:r>
      <w:r w:rsidR="00AA0F9D">
        <w:rPr>
          <w:sz w:val="24"/>
        </w:rPr>
        <w:instrText>ADDIN CSL_CITATION {"citationItems":[{"id":"ITEM-1","itemData":{"author":[{"dropping-particle":"","family":"Cliff","given":"Andrew","non-dropping-particle":"","parse-names":false,"suffix":""},{"dropping-particle":"","family":"Pred","given":"Allan","non-dropping-particle":"","parse-names":false,"suffix":""},{"dropping-particle":"","family":"Hagerstrand","given":"Torsten","non-dropping-particle":"","parse-names":false,"suffix":""}],"container-title":"Progress in Human Geography","id":"ITEM-1","issue":"4","issued":{"date-parts":[["1992"]]},"page":"541-544","title":"Classics in Human Geography Revisited","type":"article-journal","volume":"16"},"uris":["http://www.mendeley.com/documents/?uuid=e4b915ea-9f7b-4863-b61b-8178adaa54b4"]}],"mendeley":{"formattedCitation":"(Cliff et al., 1992)","plainTextFormattedCitation":"(Cliff et al., 1992)","previouslyFormattedCitation":"(Cliff et al., 1992)"},"properties":{"noteIndex":0},"schema":"https://github.com/citation-style-language/schema/raw/master/csl-citation.json"}</w:instrText>
      </w:r>
      <w:r w:rsidR="00AA0F9D">
        <w:rPr>
          <w:sz w:val="24"/>
        </w:rPr>
        <w:fldChar w:fldCharType="separate"/>
      </w:r>
      <w:r w:rsidR="00AA0F9D" w:rsidRPr="003A01F0">
        <w:rPr>
          <w:noProof/>
          <w:sz w:val="24"/>
        </w:rPr>
        <w:t>(Cliff et al., 1992)</w:t>
      </w:r>
      <w:r w:rsidR="00AA0F9D">
        <w:rPr>
          <w:sz w:val="24"/>
        </w:rPr>
        <w:fldChar w:fldCharType="end"/>
      </w:r>
      <w:r w:rsidR="00AA0F9D">
        <w:rPr>
          <w:sz w:val="24"/>
        </w:rPr>
        <w:t xml:space="preserve">. </w:t>
      </w:r>
      <w:r w:rsidR="00545AFA">
        <w:rPr>
          <w:sz w:val="24"/>
        </w:rPr>
        <w:t xml:space="preserve"> </w:t>
      </w:r>
      <w:r w:rsidR="002E31B3">
        <w:rPr>
          <w:sz w:val="24"/>
        </w:rPr>
        <w:t>Moreover, r</w:t>
      </w:r>
      <w:r w:rsidR="00B6452C">
        <w:rPr>
          <w:sz w:val="24"/>
        </w:rPr>
        <w:t xml:space="preserve">esearchers including </w:t>
      </w:r>
      <w:r w:rsidR="00DE1B3B">
        <w:rPr>
          <w:sz w:val="24"/>
        </w:rPr>
        <w:fldChar w:fldCharType="begin" w:fldLock="1"/>
      </w:r>
      <w:r w:rsidR="00442FD2">
        <w:rPr>
          <w:sz w:val="24"/>
        </w:rPr>
        <w:instrText>ADDIN CSL_CITATION {"citationItems":[{"id":"ITEM-1","itemData":{"DOI":"https://doi.org/10.1007/s12076-010-0048-2","author":[{"dropping-particle":"","family":"Rey","given":"Sergio J.","non-dropping-particle":"","parse-names":false,"suffix":""},{"dropping-particle":"","family":"Murray","given":"Alan T.","non-dropping-particle":"","parse-names":false,"suffix":""},{"dropping-particle":"","family":"Anselin","given":"Luc","non-dropping-particle":"","parse-names":false,"suffix":""}],"container-title":"Letters in Spatial and Resource Sciences","id":"ITEM-1","issued":{"date-parts":[["2011"]]},"page":"81 - 90","title":"Visualizing Regional Income Distribution Dynamics","type":"article-journal","volume":"4"},"uris":["http://www.mendeley.com/documents/?uuid=bef01db2-0fc1-4b62-bf84-478b7f9d6a7b"]}],"mendeley":{"formattedCitation":"(Rey, Murray, &amp; Anselin, 2011)","manualFormatting":"Rey, Murray, and Anselin (2011)","plainTextFormattedCitation":"(Rey, Murray, &amp; Anselin, 2011)","previouslyFormattedCitation":"(Rey, Murray, &amp; Anselin, 2011)"},"properties":{"noteIndex":0},"schema":"https://github.com/citation-style-language/schema/raw/master/csl-citation.json"}</w:instrText>
      </w:r>
      <w:r w:rsidR="00DE1B3B">
        <w:rPr>
          <w:sz w:val="24"/>
        </w:rPr>
        <w:fldChar w:fldCharType="separate"/>
      </w:r>
      <w:r w:rsidR="00442FD2">
        <w:rPr>
          <w:noProof/>
          <w:sz w:val="24"/>
        </w:rPr>
        <w:t>Rey, Murray, and</w:t>
      </w:r>
      <w:r w:rsidR="00DE1B3B">
        <w:rPr>
          <w:noProof/>
          <w:sz w:val="24"/>
        </w:rPr>
        <w:t xml:space="preserve"> Anselin</w:t>
      </w:r>
      <w:r w:rsidR="00DE1B3B" w:rsidRPr="00DE1B3B">
        <w:rPr>
          <w:noProof/>
          <w:sz w:val="24"/>
        </w:rPr>
        <w:t xml:space="preserve"> </w:t>
      </w:r>
      <w:r w:rsidR="00DE1B3B">
        <w:rPr>
          <w:noProof/>
          <w:sz w:val="24"/>
        </w:rPr>
        <w:t>(</w:t>
      </w:r>
      <w:r w:rsidR="00DE1B3B" w:rsidRPr="00DE1B3B">
        <w:rPr>
          <w:noProof/>
          <w:sz w:val="24"/>
        </w:rPr>
        <w:t>2011)</w:t>
      </w:r>
      <w:r w:rsidR="00DE1B3B">
        <w:rPr>
          <w:sz w:val="24"/>
        </w:rPr>
        <w:fldChar w:fldCharType="end"/>
      </w:r>
      <w:r w:rsidR="00DE1B3B">
        <w:rPr>
          <w:sz w:val="24"/>
        </w:rPr>
        <w:t xml:space="preserve"> </w:t>
      </w:r>
      <w:r w:rsidR="00B6452C">
        <w:rPr>
          <w:sz w:val="24"/>
        </w:rPr>
        <w:t xml:space="preserve">and </w:t>
      </w:r>
      <w:r w:rsidR="00B6452C">
        <w:rPr>
          <w:sz w:val="24"/>
        </w:rPr>
        <w:fldChar w:fldCharType="begin" w:fldLock="1"/>
      </w:r>
      <w:r w:rsidR="00445309">
        <w:rPr>
          <w:sz w:val="24"/>
        </w:rPr>
        <w:instrText>ADDIN CSL_CITATION {"citationItems":[{"id":"ITEM-1","itemData":{"DOI":"10.1177/0308518X15592329","ISSN":"14723409","abstract":"Demographic ageing is expected to affect labour markets in very different ways on a regional scale. Contributing to this debate, we explore the spatiotemporal patterns of recent distributional changes in the worker age structure and innovation output for German regions by conducting an exploratory space–time data analysis. Besides commonly used tools, we apply newly developed approaches which allow the investigation of joint dynamics of the spatial distributions. Overall, we find that innovation hubs tend to be located in areas with high skill concentrations, but also seem to coincide with favourable demographic age structures. We show that these concentrations are persistent over time due to clusterwise path dependence and spatial contagion forces. The spatiotemporal patterns speak in favour of a demographic polarization process of German regions where the post-reunification East–West divide is increasingly turning into a rural–urban divide.","author":[{"dropping-particle":"","family":"Gregory","given":"Terry","non-dropping-particle":"","parse-names":false,"suffix":""},{"dropping-particle":"","family":"Patuelli","given":"Roberto","non-dropping-particle":"","parse-names":false,"suffix":""}],"container-title":"Environment and Planning A","id":"ITEM-1","issue":"5","issued":{"date-parts":[["2015"]]},"page":"1192-1210","title":"Demographic ageing and the polarization of regions—an exploratory space–time analysis","type":"article-journal","volume":"47"},"uris":["http://www.mendeley.com/documents/?uuid=1a5b52a9-b91b-48e6-b0de-36661e4da2b9"]}],"mendeley":{"formattedCitation":"(Gregory &amp; Patuelli, 2015)","manualFormatting":"Gregory and Patuelli (2015)","plainTextFormattedCitation":"(Gregory &amp; Patuelli, 2015)","previouslyFormattedCitation":"(Gregory &amp; Patuelli, 2015)"},"properties":{"noteIndex":0},"schema":"https://github.com/citation-style-language/schema/raw/master/csl-citation.json"}</w:instrText>
      </w:r>
      <w:r w:rsidR="00B6452C">
        <w:rPr>
          <w:sz w:val="24"/>
        </w:rPr>
        <w:fldChar w:fldCharType="separate"/>
      </w:r>
      <w:r w:rsidR="00442FD2">
        <w:rPr>
          <w:noProof/>
          <w:sz w:val="24"/>
        </w:rPr>
        <w:t>Gregory and</w:t>
      </w:r>
      <w:r w:rsidR="00B6452C">
        <w:rPr>
          <w:noProof/>
          <w:sz w:val="24"/>
        </w:rPr>
        <w:t xml:space="preserve"> Patuelli</w:t>
      </w:r>
      <w:r w:rsidR="00B6452C" w:rsidRPr="00B6452C">
        <w:rPr>
          <w:noProof/>
          <w:sz w:val="24"/>
        </w:rPr>
        <w:t xml:space="preserve"> </w:t>
      </w:r>
      <w:r w:rsidR="00B6452C">
        <w:rPr>
          <w:noProof/>
          <w:sz w:val="24"/>
        </w:rPr>
        <w:t>(</w:t>
      </w:r>
      <w:r w:rsidR="00B6452C" w:rsidRPr="00B6452C">
        <w:rPr>
          <w:noProof/>
          <w:sz w:val="24"/>
        </w:rPr>
        <w:t>2015)</w:t>
      </w:r>
      <w:r w:rsidR="00B6452C">
        <w:rPr>
          <w:sz w:val="24"/>
        </w:rPr>
        <w:fldChar w:fldCharType="end"/>
      </w:r>
      <w:r w:rsidR="00B6452C">
        <w:rPr>
          <w:sz w:val="24"/>
        </w:rPr>
        <w:t xml:space="preserve"> </w:t>
      </w:r>
      <w:r w:rsidR="00896B3E">
        <w:rPr>
          <w:sz w:val="24"/>
        </w:rPr>
        <w:t>show</w:t>
      </w:r>
      <w:r w:rsidR="006776A4">
        <w:rPr>
          <w:sz w:val="24"/>
        </w:rPr>
        <w:t>ed</w:t>
      </w:r>
      <w:r w:rsidR="00B6452C">
        <w:rPr>
          <w:sz w:val="24"/>
        </w:rPr>
        <w:t xml:space="preserve"> </w:t>
      </w:r>
      <w:r w:rsidR="00214646">
        <w:rPr>
          <w:sz w:val="24"/>
        </w:rPr>
        <w:t xml:space="preserve">spatiotemporal diffusion using </w:t>
      </w:r>
      <w:r w:rsidR="00B6452C">
        <w:rPr>
          <w:sz w:val="24"/>
        </w:rPr>
        <w:t xml:space="preserve">Moran’s I statistics </w:t>
      </w:r>
      <w:r w:rsidR="00214646">
        <w:rPr>
          <w:sz w:val="24"/>
        </w:rPr>
        <w:t>presented through</w:t>
      </w:r>
      <w:r w:rsidR="00B6452C">
        <w:rPr>
          <w:sz w:val="24"/>
        </w:rPr>
        <w:t xml:space="preserve"> scatterplots. These scatterplots </w:t>
      </w:r>
      <w:r w:rsidR="00DD300D">
        <w:rPr>
          <w:sz w:val="24"/>
        </w:rPr>
        <w:t>were</w:t>
      </w:r>
      <w:r w:rsidR="00B6452C">
        <w:rPr>
          <w:sz w:val="24"/>
        </w:rPr>
        <w:t xml:space="preserve"> unique because locations </w:t>
      </w:r>
      <w:r w:rsidR="00DD300D">
        <w:rPr>
          <w:sz w:val="24"/>
        </w:rPr>
        <w:t>were</w:t>
      </w:r>
      <w:r w:rsidR="00B6452C">
        <w:rPr>
          <w:sz w:val="24"/>
        </w:rPr>
        <w:t xml:space="preserve"> displayed along axes. </w:t>
      </w:r>
      <w:r w:rsidR="006776A4">
        <w:rPr>
          <w:sz w:val="24"/>
        </w:rPr>
        <w:t>Thus, t</w:t>
      </w:r>
      <w:r w:rsidR="00896B3E">
        <w:rPr>
          <w:sz w:val="24"/>
        </w:rPr>
        <w:t>hese scatter plots,</w:t>
      </w:r>
      <w:r w:rsidR="00B6452C">
        <w:rPr>
          <w:sz w:val="24"/>
        </w:rPr>
        <w:t xml:space="preserve"> fi</w:t>
      </w:r>
      <w:r w:rsidR="002D0004">
        <w:rPr>
          <w:sz w:val="24"/>
        </w:rPr>
        <w:t xml:space="preserve">rst conceptualized by </w:t>
      </w:r>
      <w:r w:rsidR="002D0004">
        <w:rPr>
          <w:sz w:val="24"/>
        </w:rPr>
        <w:fldChar w:fldCharType="begin" w:fldLock="1"/>
      </w:r>
      <w:r w:rsidR="002D0004">
        <w:rPr>
          <w:sz w:val="24"/>
        </w:rPr>
        <w:instrText>ADDIN CSL_CITATION {"citationItems":[{"id":"ITEM-1","itemData":{"DOI":"https://doi.org/10.1007/s12076-010-0048-2","author":[{"dropping-particle":"","family":"Rey","given":"Sergio J.","non-dropping-particle":"","parse-names":false,"suffix":""},{"dropping-particle":"","family":"Murray","given":"Alan T.","non-dropping-particle":"","parse-names":false,"suffix":""},{"dropping-particle":"","family":"Anselin","given":"Luc","non-dropping-particle":"","parse-names":false,"suffix":""}],"container-title":"Letters in Spatial and Resource Sciences","id":"ITEM-1","issued":{"date-parts":[["2011"]]},"page":"81 - 90","title":"Visualizing Regional Income Distribution Dynamics","type":"article-journal","volume":"4"},"uris":["http://www.mendeley.com/documents/?uuid=bef01db2-0fc1-4b62-bf84-478b7f9d6a7b"]}],"mendeley":{"formattedCitation":"(Rey et al., 2011)","manualFormatting":"Rey et al. (2011)","plainTextFormattedCitation":"(Rey et al., 2011)","previouslyFormattedCitation":"(Rey et al., 2011)"},"properties":{"noteIndex":0},"schema":"https://github.com/citation-style-language/schema/raw/master/csl-citation.json"}</w:instrText>
      </w:r>
      <w:r w:rsidR="002D0004">
        <w:rPr>
          <w:sz w:val="24"/>
        </w:rPr>
        <w:fldChar w:fldCharType="separate"/>
      </w:r>
      <w:r w:rsidR="002D0004">
        <w:rPr>
          <w:noProof/>
          <w:sz w:val="24"/>
        </w:rPr>
        <w:t>Rey et al.</w:t>
      </w:r>
      <w:r w:rsidR="002D0004" w:rsidRPr="002D0004">
        <w:rPr>
          <w:noProof/>
          <w:sz w:val="24"/>
        </w:rPr>
        <w:t xml:space="preserve"> </w:t>
      </w:r>
      <w:r w:rsidR="002D0004">
        <w:rPr>
          <w:noProof/>
          <w:sz w:val="24"/>
        </w:rPr>
        <w:t>(</w:t>
      </w:r>
      <w:r w:rsidR="002D0004" w:rsidRPr="002D0004">
        <w:rPr>
          <w:noProof/>
          <w:sz w:val="24"/>
        </w:rPr>
        <w:t>2011)</w:t>
      </w:r>
      <w:r w:rsidR="002D0004">
        <w:rPr>
          <w:sz w:val="24"/>
        </w:rPr>
        <w:fldChar w:fldCharType="end"/>
      </w:r>
      <w:r w:rsidR="00B6452C">
        <w:rPr>
          <w:sz w:val="24"/>
        </w:rPr>
        <w:t>, can</w:t>
      </w:r>
      <w:r w:rsidR="00896B3E">
        <w:rPr>
          <w:sz w:val="24"/>
        </w:rPr>
        <w:t xml:space="preserve"> </w:t>
      </w:r>
      <w:r w:rsidR="00B6452C">
        <w:rPr>
          <w:sz w:val="24"/>
        </w:rPr>
        <w:t>display diffusion processes over space and time.</w:t>
      </w:r>
      <w:r w:rsidR="00D711ED">
        <w:rPr>
          <w:sz w:val="24"/>
        </w:rPr>
        <w:t xml:space="preserve"> </w:t>
      </w:r>
      <w:r w:rsidR="00CB52E2">
        <w:rPr>
          <w:sz w:val="24"/>
        </w:rPr>
        <w:t xml:space="preserve">Poison distributions and Bayesian statistics </w:t>
      </w:r>
      <w:r w:rsidR="00DD300D">
        <w:rPr>
          <w:sz w:val="24"/>
        </w:rPr>
        <w:t>were</w:t>
      </w:r>
      <w:r w:rsidR="00CB52E2">
        <w:rPr>
          <w:sz w:val="24"/>
        </w:rPr>
        <w:t xml:space="preserve"> used by</w:t>
      </w:r>
      <w:r w:rsidR="00445309">
        <w:rPr>
          <w:sz w:val="24"/>
        </w:rPr>
        <w:t xml:space="preserve"> </w:t>
      </w:r>
      <w:r w:rsidR="00445309">
        <w:rPr>
          <w:sz w:val="24"/>
        </w:rPr>
        <w:fldChar w:fldCharType="begin" w:fldLock="1"/>
      </w:r>
      <w:r w:rsidR="00460C6D">
        <w:rPr>
          <w:sz w:val="24"/>
        </w:rPr>
        <w:instrText>ADDIN CSL_CITATION {"citationItems":[{"id":"ITEM-1","itemData":{"DOI":"10.1177/1010539518769809","ISSN":"10105395","abstract":"This study describes spatiotemporal distribution and geospatial diffusion patterns of dengue outbreak of 2013 in Jhapa district, Nepal. Laboratory-confirmed dengue cases were collected from the District Public Health Office, Government of Nepal. Choropleth mapping technique, Global Moran’s Index, SaTScan, and standard deviational ellipse were used to map and quantify the outbreak dynamics. The results revealed heterogeneous distribution and globally autocorrelated patterns. Local clusters were observed in 3 major urban centers. The standard deviational ellipse demonstrated the outbreak occurred from the east and diffused to the west along the east-west highway in different weeks. The results of this study could be useful to public health authorities to plan and execute dengue control strategies.","author":[{"dropping-particle":"","family":"Acharya","given":"Bipin Kumar","non-dropping-particle":"","parse-names":false,"suffix":""},{"dropping-particle":"","family":"Cao","given":"Chunxiang","non-dropping-particle":"","parse-names":false,"suffix":""},{"dropping-particle":"","family":"Xu","given":"Min","non-dropping-particle":"","parse-names":false,"suffix":""},{"dropping-particle":"","family":"Chen","given":"Wei","non-dropping-particle":"","parse-names":false,"suffix":""},{"dropping-particle":"","family":"Pandit","given":"Shreejana","non-dropping-particle":"","parse-names":false,"suffix":""}],"container-title":"Asia-Pacific Journal of Public Health","id":"ITEM-1","issue":"4","issued":{"date-parts":[["2018"]]},"page":"396-405","title":"Spatiotemporal Distribution and Geospatial Diffusion Patterns of 2013 Dengue Outbreak in Jhapa District, Nepal","type":"article-journal","volume":"30"},"uris":["http://www.mendeley.com/documents/?uuid=e81fb7e3-cdc8-48fa-8ad1-21b49b908e1f"]}],"mendeley":{"formattedCitation":"(Acharya, Cao, Xu, Chen, &amp; Pandit, 2018)","manualFormatting":"Acharya, Cao, Xu, Chen, and Pandit (2018)","plainTextFormattedCitation":"(Acharya, Cao, Xu, Chen, &amp; Pandit, 2018)","previouslyFormattedCitation":"(Acharya, Cao, Xu, Chen, &amp; Pandit, 2018)"},"properties":{"noteIndex":0},"schema":"https://github.com/citation-style-language/schema/raw/master/csl-citation.json"}</w:instrText>
      </w:r>
      <w:r w:rsidR="00445309">
        <w:rPr>
          <w:sz w:val="24"/>
        </w:rPr>
        <w:fldChar w:fldCharType="separate"/>
      </w:r>
      <w:r w:rsidR="00445309" w:rsidRPr="00445309">
        <w:rPr>
          <w:noProof/>
          <w:sz w:val="24"/>
        </w:rPr>
        <w:t>Ac</w:t>
      </w:r>
      <w:r w:rsidR="00445309">
        <w:rPr>
          <w:noProof/>
          <w:sz w:val="24"/>
        </w:rPr>
        <w:t>harya, Cao, Xu, Chen, and Pandit (</w:t>
      </w:r>
      <w:r w:rsidR="00445309" w:rsidRPr="00445309">
        <w:rPr>
          <w:noProof/>
          <w:sz w:val="24"/>
        </w:rPr>
        <w:t>2018)</w:t>
      </w:r>
      <w:r w:rsidR="00445309">
        <w:rPr>
          <w:sz w:val="24"/>
        </w:rPr>
        <w:fldChar w:fldCharType="end"/>
      </w:r>
      <w:r w:rsidR="00445309">
        <w:rPr>
          <w:sz w:val="24"/>
        </w:rPr>
        <w:t xml:space="preserve"> </w:t>
      </w:r>
      <w:r w:rsidR="002E31B3">
        <w:rPr>
          <w:sz w:val="24"/>
        </w:rPr>
        <w:t xml:space="preserve">to study </w:t>
      </w:r>
      <w:r w:rsidR="005836B2">
        <w:rPr>
          <w:sz w:val="24"/>
        </w:rPr>
        <w:t xml:space="preserve">the </w:t>
      </w:r>
      <w:r w:rsidR="00D919F1">
        <w:rPr>
          <w:sz w:val="24"/>
        </w:rPr>
        <w:t xml:space="preserve">diffusion of </w:t>
      </w:r>
      <w:r w:rsidR="002E31B3">
        <w:rPr>
          <w:sz w:val="24"/>
        </w:rPr>
        <w:t>Dengue Fever</w:t>
      </w:r>
      <w:r w:rsidR="00F92435">
        <w:rPr>
          <w:sz w:val="24"/>
        </w:rPr>
        <w:t>.</w:t>
      </w:r>
      <w:r w:rsidR="0067157C">
        <w:rPr>
          <w:sz w:val="24"/>
        </w:rPr>
        <w:t xml:space="preserve"> </w:t>
      </w:r>
      <w:r w:rsidR="00FF1E0C">
        <w:rPr>
          <w:sz w:val="24"/>
        </w:rPr>
        <w:t xml:space="preserve">Lastly, some researchers have used </w:t>
      </w:r>
      <w:r w:rsidR="005836B2">
        <w:rPr>
          <w:sz w:val="24"/>
        </w:rPr>
        <w:t xml:space="preserve">the </w:t>
      </w:r>
      <w:r w:rsidR="00865E97">
        <w:rPr>
          <w:sz w:val="24"/>
        </w:rPr>
        <w:lastRenderedPageBreak/>
        <w:t>Nearest Neighbor I</w:t>
      </w:r>
      <w:r w:rsidR="00C17A09">
        <w:rPr>
          <w:sz w:val="24"/>
        </w:rPr>
        <w:t xml:space="preserve">ndex </w:t>
      </w:r>
      <w:r w:rsidR="0087444A">
        <w:rPr>
          <w:sz w:val="24"/>
        </w:rPr>
        <w:t xml:space="preserve">(NNI) </w:t>
      </w:r>
      <w:r w:rsidR="00C17A09">
        <w:rPr>
          <w:sz w:val="24"/>
        </w:rPr>
        <w:t>and Standard Deviational Ellipse</w:t>
      </w:r>
      <w:r w:rsidR="00FF1E0C">
        <w:rPr>
          <w:sz w:val="24"/>
        </w:rPr>
        <w:t>s</w:t>
      </w:r>
      <w:r w:rsidR="00C17A09">
        <w:rPr>
          <w:sz w:val="24"/>
        </w:rPr>
        <w:t xml:space="preserve"> </w:t>
      </w:r>
      <w:r w:rsidR="0087444A">
        <w:rPr>
          <w:sz w:val="24"/>
        </w:rPr>
        <w:t>(SDE</w:t>
      </w:r>
      <w:r w:rsidR="00FF1E0C">
        <w:rPr>
          <w:sz w:val="24"/>
        </w:rPr>
        <w:t>s</w:t>
      </w:r>
      <w:r w:rsidR="0087444A">
        <w:rPr>
          <w:sz w:val="24"/>
        </w:rPr>
        <w:t>)</w:t>
      </w:r>
      <w:r w:rsidR="00FF1E0C">
        <w:rPr>
          <w:sz w:val="24"/>
        </w:rPr>
        <w:t xml:space="preserve"> to show diffusion, and these are the methods I used in my thesis</w:t>
      </w:r>
      <w:r w:rsidR="0087444A">
        <w:rPr>
          <w:sz w:val="24"/>
        </w:rPr>
        <w:t>.</w:t>
      </w:r>
    </w:p>
    <w:p w14:paraId="034446B7" w14:textId="3E85252C" w:rsidR="00180BA5" w:rsidRDefault="0087444A" w:rsidP="00567D5F">
      <w:pPr>
        <w:tabs>
          <w:tab w:val="left" w:pos="720"/>
          <w:tab w:val="left" w:pos="1890"/>
        </w:tabs>
        <w:spacing w:line="480" w:lineRule="auto"/>
        <w:rPr>
          <w:sz w:val="24"/>
        </w:rPr>
      </w:pPr>
      <w:r>
        <w:rPr>
          <w:sz w:val="24"/>
        </w:rPr>
        <w:tab/>
      </w:r>
      <w:r w:rsidRPr="0098666A">
        <w:rPr>
          <w:sz w:val="24"/>
        </w:rPr>
        <w:t>NNI</w:t>
      </w:r>
      <w:r>
        <w:rPr>
          <w:sz w:val="24"/>
        </w:rPr>
        <w:t xml:space="preserve"> can be used to quantitatively analyze the spatial diffusion of point data.</w:t>
      </w:r>
      <w:r w:rsidR="00B75BC8">
        <w:rPr>
          <w:sz w:val="24"/>
        </w:rPr>
        <w:t xml:space="preserve"> </w:t>
      </w:r>
      <w:r w:rsidR="00180BA5">
        <w:rPr>
          <w:sz w:val="24"/>
        </w:rPr>
        <w:t xml:space="preserve">Ecologists Philip Clark and Francis Evans developed and first published on NNI </w:t>
      </w:r>
      <w:r w:rsidR="00180BA5">
        <w:rPr>
          <w:sz w:val="24"/>
        </w:rPr>
        <w:fldChar w:fldCharType="begin" w:fldLock="1"/>
      </w:r>
      <w:r w:rsidR="00180BA5">
        <w:rPr>
          <w:sz w:val="24"/>
        </w:rPr>
        <w:instrText>ADDIN CSL_CITATION {"citationItems":[{"id":"ITEM-1","itemData":{"author":[{"dropping-particle":"","family":"Clark","given":"Philip J","non-dropping-particle":"","parse-names":false,"suffix":""},{"dropping-particle":"","family":"Evans","given":"Francis C","non-dropping-particle":"","parse-names":false,"suffix":""}],"container-title":"Ecology","id":"ITEM-1","issue":"4","issued":{"date-parts":[["1954"]]},"page":"445-453","title":"Distance to Nearest Neighbor as a Measure of Spatial Relationships in Populations","type":"article-journal","volume":"35"},"uris":["http://www.mendeley.com/documents/?uuid=18747464-bc3d-4872-a745-4e6c26309efd"]}],"mendeley":{"formattedCitation":"(Clark &amp; Evans, 1954)","plainTextFormattedCitation":"(Clark &amp; Evans, 1954)","previouslyFormattedCitation":"(Clark &amp; Evans, 1954)"},"properties":{"noteIndex":0},"schema":"https://github.com/citation-style-language/schema/raw/master/csl-citation.json"}</w:instrText>
      </w:r>
      <w:r w:rsidR="00180BA5">
        <w:rPr>
          <w:sz w:val="24"/>
        </w:rPr>
        <w:fldChar w:fldCharType="separate"/>
      </w:r>
      <w:r w:rsidR="00180BA5" w:rsidRPr="00367A5D">
        <w:rPr>
          <w:noProof/>
          <w:sz w:val="24"/>
        </w:rPr>
        <w:t>(Clark &amp; Evans, 1954)</w:t>
      </w:r>
      <w:r w:rsidR="00180BA5">
        <w:rPr>
          <w:sz w:val="24"/>
        </w:rPr>
        <w:fldChar w:fldCharType="end"/>
      </w:r>
      <w:r w:rsidR="00180BA5">
        <w:rPr>
          <w:sz w:val="24"/>
        </w:rPr>
        <w:t xml:space="preserve">. </w:t>
      </w:r>
      <w:r w:rsidR="00180BA5" w:rsidRPr="00471426">
        <w:rPr>
          <w:sz w:val="24"/>
        </w:rPr>
        <w:t>NNI algorithms are based o</w:t>
      </w:r>
      <w:r w:rsidR="00180BA5">
        <w:rPr>
          <w:sz w:val="24"/>
        </w:rPr>
        <w:t>n two calculated distances</w:t>
      </w:r>
      <w:r w:rsidR="00180BA5" w:rsidRPr="00471426">
        <w:rPr>
          <w:sz w:val="24"/>
        </w:rPr>
        <w:t>.</w:t>
      </w:r>
      <w:r w:rsidR="00DD300D">
        <w:rPr>
          <w:sz w:val="24"/>
        </w:rPr>
        <w:t xml:space="preserve"> The algorithms first </w:t>
      </w:r>
      <w:r w:rsidR="00180BA5" w:rsidRPr="00471426">
        <w:rPr>
          <w:sz w:val="24"/>
        </w:rPr>
        <w:t xml:space="preserve">identify </w:t>
      </w:r>
      <w:r w:rsidR="005836B2">
        <w:rPr>
          <w:sz w:val="24"/>
        </w:rPr>
        <w:t xml:space="preserve">the </w:t>
      </w:r>
      <w:r w:rsidR="00180BA5" w:rsidRPr="00471426">
        <w:rPr>
          <w:sz w:val="24"/>
        </w:rPr>
        <w:t xml:space="preserve">distance between a data point and its closest adjacent point (“nearest neighbor”). </w:t>
      </w:r>
      <w:r w:rsidR="00180BA5">
        <w:rPr>
          <w:sz w:val="24"/>
        </w:rPr>
        <w:t xml:space="preserve">I call this “Distance One.” </w:t>
      </w:r>
      <w:r w:rsidR="000878C5">
        <w:rPr>
          <w:sz w:val="24"/>
        </w:rPr>
        <w:t>Then,</w:t>
      </w:r>
      <w:r w:rsidR="00180BA5" w:rsidRPr="00471426">
        <w:rPr>
          <w:sz w:val="24"/>
        </w:rPr>
        <w:t xml:space="preserve"> </w:t>
      </w:r>
      <w:r w:rsidR="00DD300D">
        <w:rPr>
          <w:sz w:val="24"/>
        </w:rPr>
        <w:t xml:space="preserve">the </w:t>
      </w:r>
      <w:r w:rsidR="00180BA5" w:rsidRPr="00471426">
        <w:rPr>
          <w:sz w:val="24"/>
        </w:rPr>
        <w:t xml:space="preserve">algorithms analyze a hypothetical random point data distribution. </w:t>
      </w:r>
      <w:r w:rsidR="000878C5">
        <w:rPr>
          <w:sz w:val="24"/>
        </w:rPr>
        <w:t>Next, c</w:t>
      </w:r>
      <w:r w:rsidR="00180BA5" w:rsidRPr="00471426">
        <w:rPr>
          <w:sz w:val="24"/>
        </w:rPr>
        <w:t xml:space="preserve">alculations identify distances between a hypothetical point and its nearest neighbor. </w:t>
      </w:r>
      <w:r w:rsidR="00180BA5">
        <w:rPr>
          <w:sz w:val="24"/>
        </w:rPr>
        <w:t xml:space="preserve">I call this “Distance Two.” </w:t>
      </w:r>
      <w:r w:rsidR="00180BA5" w:rsidRPr="00471426">
        <w:rPr>
          <w:sz w:val="24"/>
        </w:rPr>
        <w:t>NNI is defined as the quotient of Distance One and Distance Two</w:t>
      </w:r>
      <w:r w:rsidR="00180BA5">
        <w:rPr>
          <w:sz w:val="24"/>
        </w:rPr>
        <w:t xml:space="preserve"> </w:t>
      </w:r>
      <w:r w:rsidR="00180BA5">
        <w:rPr>
          <w:sz w:val="24"/>
        </w:rPr>
        <w:fldChar w:fldCharType="begin" w:fldLock="1"/>
      </w:r>
      <w:r w:rsidR="00180BA5">
        <w:rPr>
          <w:sz w:val="24"/>
        </w:rPr>
        <w:instrText>ADDIN CSL_CITATION {"citationItems":[{"id":"ITEM-1","itemData":{"author":[{"dropping-particle":"","family":"Clark","given":"Philip J","non-dropping-particle":"","parse-names":false,"suffix":""},{"dropping-particle":"","family":"Evans","given":"Francis C","non-dropping-particle":"","parse-names":false,"suffix":""}],"container-title":"Ecology","id":"ITEM-1","issue":"4","issued":{"date-parts":[["1954"]]},"page":"445-453","title":"Distance to Nearest Neighbor as a Measure of Spatial Relationships in Populations","type":"article-journal","volume":"35"},"uris":["http://www.mendeley.com/documents/?uuid=18747464-bc3d-4872-a745-4e6c26309efd"]}],"mendeley":{"formattedCitation":"(Clark &amp; Evans, 1954)","plainTextFormattedCitation":"(Clark &amp; Evans, 1954)","previouslyFormattedCitation":"(Clark &amp; Evans, 1954)"},"properties":{"noteIndex":0},"schema":"https://github.com/citation-style-language/schema/raw/master/csl-citation.json"}</w:instrText>
      </w:r>
      <w:r w:rsidR="00180BA5">
        <w:rPr>
          <w:sz w:val="24"/>
        </w:rPr>
        <w:fldChar w:fldCharType="separate"/>
      </w:r>
      <w:r w:rsidR="00180BA5" w:rsidRPr="003176F2">
        <w:rPr>
          <w:noProof/>
          <w:sz w:val="24"/>
        </w:rPr>
        <w:t>(Clark &amp; Evans, 1954)</w:t>
      </w:r>
      <w:r w:rsidR="00180BA5">
        <w:rPr>
          <w:sz w:val="24"/>
        </w:rPr>
        <w:fldChar w:fldCharType="end"/>
      </w:r>
      <w:r w:rsidR="00180BA5" w:rsidRPr="00471426">
        <w:rPr>
          <w:sz w:val="24"/>
        </w:rPr>
        <w:t>.</w:t>
      </w:r>
      <w:r w:rsidR="00180BA5">
        <w:rPr>
          <w:sz w:val="24"/>
        </w:rPr>
        <w:t xml:space="preserve"> Data are clustered and aggregated (dispersed and random) when NNI is closer to zero (one) </w:t>
      </w:r>
      <w:r w:rsidR="00180BA5">
        <w:rPr>
          <w:sz w:val="24"/>
        </w:rPr>
        <w:fldChar w:fldCharType="begin" w:fldLock="1"/>
      </w:r>
      <w:r w:rsidR="00180BA5">
        <w:rPr>
          <w:sz w:val="24"/>
        </w:rPr>
        <w:instrText>ADDIN CSL_CITATION {"citationItems":[{"id":"ITEM-1","itemData":{"author":[{"dropping-particle":"","family":"Clark","given":"Philip J","non-dropping-particle":"","parse-names":false,"suffix":""},{"dropping-particle":"","family":"Evans","given":"Francis C","non-dropping-particle":"","parse-names":false,"suffix":""}],"container-title":"Ecology","id":"ITEM-1","issue":"4","issued":{"date-parts":[["1954"]]},"page":"445-453","title":"Distance to Nearest Neighbor as a Measure of Spatial Relationships in Populations","type":"article-journal","volume":"35"},"uris":["http://www.mendeley.com/documents/?uuid=18747464-bc3d-4872-a745-4e6c26309efd"]}],"mendeley":{"formattedCitation":"(Clark &amp; Evans, 1954)","plainTextFormattedCitation":"(Clark &amp; Evans, 1954)","previouslyFormattedCitation":"(Clark &amp; Evans, 1954)"},"properties":{"noteIndex":0},"schema":"https://github.com/citation-style-language/schema/raw/master/csl-citation.json"}</w:instrText>
      </w:r>
      <w:r w:rsidR="00180BA5">
        <w:rPr>
          <w:sz w:val="24"/>
        </w:rPr>
        <w:fldChar w:fldCharType="separate"/>
      </w:r>
      <w:r w:rsidR="00180BA5" w:rsidRPr="003176F2">
        <w:rPr>
          <w:noProof/>
          <w:sz w:val="24"/>
        </w:rPr>
        <w:t>(Clark &amp; Evans, 1954)</w:t>
      </w:r>
      <w:r w:rsidR="00180BA5">
        <w:rPr>
          <w:sz w:val="24"/>
        </w:rPr>
        <w:fldChar w:fldCharType="end"/>
      </w:r>
      <w:r w:rsidR="00180BA5">
        <w:rPr>
          <w:sz w:val="24"/>
        </w:rPr>
        <w:t xml:space="preserve">. </w:t>
      </w:r>
      <w:r w:rsidR="001042D9">
        <w:rPr>
          <w:sz w:val="24"/>
        </w:rPr>
        <w:t xml:space="preserve">Data are uniform when NNI is closer to 2.1491 (Clark &amp; Evans, 1954). </w:t>
      </w:r>
      <w:r w:rsidR="00DD300D">
        <w:rPr>
          <w:sz w:val="24"/>
        </w:rPr>
        <w:fldChar w:fldCharType="begin" w:fldLock="1"/>
      </w:r>
      <w:r w:rsidR="00DD300D">
        <w:rPr>
          <w:sz w:val="24"/>
        </w:rPr>
        <w:instrText>ADDIN CSL_CITATION {"citationItems":[{"id":"ITEM-1","itemData":{"DOI":"10.1080/23754931.2020.1810112","ISSN":"2375494X","abstract":"Extended from the spatially defined nearest neighbor index, the nearest neighbor index measures the levels of spatiotemporal clustering of a set of points, using only their spatial locations and the time associated with each point. The extended index is particularly suitable to use when there is no attribute information associated with geographic events except for locations and times when events occurred. In addition, it allows users to assess and visualize spatiotemporally distributed geographic events and to test if the events are more (or less) spatiotemporally clustered than would be expected by random chances. As a demonstration, this index was applied to crime and health data sets to demonstrate its usefulness. This article details the mathematical steps that formulate the extension. The calculation of the index values is fast and efficient with mathematical equations presented in the article.","author":[{"dropping-particle":"","family":"Lee","given":"Jay","non-dropping-particle":"","parse-names":false,"suffix":""},{"dropping-particle":"","family":"Li","given":"Shengwen","non-dropping-particle":"","parse-names":false,"suffix":""},{"dropping-particle":"","family":"Wang","given":"Shaoli","non-dropping-particle":"","parse-names":false,"suffix":""},{"dropping-particle":"","family":"Wang","given":"Jyhpyng","non-dropping-particle":"","parse-names":false,"suffix":""},{"dropping-particle":"","family":"Li","given":"Jun","non-dropping-particle":"","parse-names":false,"suffix":""}],"container-title":"Papers in Applied Geography","id":"ITEM-1","issue":"0","issued":{"date-parts":[["2020"]]},"page":"1-14","publisher":"Routledge","title":"Spatio-Temporal Nearest Neighbor Index for Measuring Space-Time Clustering among Geographic Events","type":"article-journal","volume":"0"},"uris":["http://www.mendeley.com/documents/?uuid=bc8f3ad8-4b1d-418d-8514-64dc63cbed0f"]}],"mendeley":{"formattedCitation":"(Lee, Li, Wang, Wang, &amp; Li, 2020)","manualFormatting":"Lee, Li, Wang, Wang, &amp; Li (2020)","plainTextFormattedCitation":"(Lee, Li, Wang, Wang, &amp; Li, 2020)","previouslyFormattedCitation":"(Lee, Li, Wang, Wang, &amp; Li, 2020)"},"properties":{"noteIndex":0},"schema":"https://github.com/citation-style-language/schema/raw/master/csl-citation.json"}</w:instrText>
      </w:r>
      <w:r w:rsidR="00DD300D">
        <w:rPr>
          <w:sz w:val="24"/>
        </w:rPr>
        <w:fldChar w:fldCharType="separate"/>
      </w:r>
      <w:r w:rsidR="00DD300D" w:rsidRPr="00F42017">
        <w:rPr>
          <w:noProof/>
          <w:sz w:val="24"/>
        </w:rPr>
        <w:t>Lee, Li, Wang, Wang, &amp;</w:t>
      </w:r>
      <w:r w:rsidR="00DD300D">
        <w:rPr>
          <w:noProof/>
          <w:sz w:val="24"/>
        </w:rPr>
        <w:t xml:space="preserve"> Li (</w:t>
      </w:r>
      <w:r w:rsidR="00DD300D" w:rsidRPr="00F42017">
        <w:rPr>
          <w:noProof/>
          <w:sz w:val="24"/>
        </w:rPr>
        <w:t>2020)</w:t>
      </w:r>
      <w:r w:rsidR="00DD300D">
        <w:rPr>
          <w:sz w:val="24"/>
        </w:rPr>
        <w:fldChar w:fldCharType="end"/>
      </w:r>
      <w:r w:rsidR="00DD300D">
        <w:rPr>
          <w:sz w:val="24"/>
        </w:rPr>
        <w:t xml:space="preserve"> applied NNI in their analysis of cancer (in K</w:t>
      </w:r>
      <w:r w:rsidR="00D16778">
        <w:rPr>
          <w:sz w:val="24"/>
        </w:rPr>
        <w:t>ao</w:t>
      </w:r>
      <w:r w:rsidR="00DD300D">
        <w:rPr>
          <w:sz w:val="24"/>
        </w:rPr>
        <w:t>hsiung City, Taiwa</w:t>
      </w:r>
      <w:r w:rsidR="00D16778">
        <w:rPr>
          <w:sz w:val="24"/>
        </w:rPr>
        <w:t>n in 2011), dengue fever (in Kao</w:t>
      </w:r>
      <w:r w:rsidR="00DD300D">
        <w:rPr>
          <w:sz w:val="24"/>
        </w:rPr>
        <w:t xml:space="preserve">hsiung City, Taiwan from 2003 to 2008), crime (in Akron City, Ohio from 2008 to 2012), and 911 calls (in Portland, Oregon from 2013 to 2015). </w:t>
      </w:r>
      <w:r w:rsidR="00DD300D">
        <w:rPr>
          <w:sz w:val="24"/>
        </w:rPr>
        <w:fldChar w:fldCharType="begin" w:fldLock="1"/>
      </w:r>
      <w:r w:rsidR="008F14D2">
        <w:rPr>
          <w:sz w:val="24"/>
        </w:rPr>
        <w:instrText>ADDIN CSL_CITATION {"citationItems":[{"id":"ITEM-1","itemData":{"DOI":"10.1016/j.geomorph.2006.06.009","ISSN":"0169555X","abstract":"Dune fields have recently come to be recognized as self-organizing systems that can be seen progressing from states of disorganization or randomness to uniformity. Dune systems can be highly sensitive to changes in factors, such as climate and sediment transport, that determine system state. Changes in climate and sediment state can take time to work their way through a dune system; this, in turn, leads to spatial heterogeneity in dune field organization. Using the Coral Pink Sand Dunes in southern Utah as a model, this study tests nearest neighbor analysis adapted as a method to objectively identify and characterize differences in two dimensional dune patterns within a dune field and to identify changes in dune patterns over time. Reducing transverse and barchanoid dunes from linear to three-point features in planar space emphasizes the clustering that occurs when dune lengths and wavelengths are more disorganized or random. This clustering may be in response to a system perturbation, such as an influx of sediment, and is reflected in lower nearest neighbor index (R) values. As the system adjusts to the perturbation and moves towards steady state, dune length and spacing increase through migration and coalescing of smaller dunes; the resulting higher R values reflect this move towards greater uniformity in dune pattern. With the organizational states of dune systems recording feedback to changes in extrinsic climate and sediment factors, nearest neighbor analysis provides a proxy measure of system stability. © 2006 Elsevier B.V. All rights reserved.","author":[{"dropping-particle":"","family":"Wilkins","given":"David E.","non-dropping-particle":"","parse-names":false,"suffix":""},{"dropping-particle":"","family":"Ford","given":"Richard L.","non-dropping-particle":"","parse-names":false,"suffix":""}],"container-title":"Geomorphology","id":"ITEM-1","issue":"1-2","issued":{"date-parts":[["2007"]]},"page":"48-57","title":"Nearest neighbor methods applied to dune field organization: The Coral Pink Sand Dunes, Kane County, Utah, USA","type":"article-journal","volume":"83"},"uris":["http://www.mendeley.com/documents/?uuid=538cf623-83f3-40bb-975b-b2dc8de5eb12"]}],"mendeley":{"formattedCitation":"(Wilkins &amp; Ford, 2007)","manualFormatting":"Wilkins and Ford (2007)","plainTextFormattedCitation":"(Wilkins &amp; Ford, 2007)","previouslyFormattedCitation":"(Wilkins &amp; Ford, 2007)"},"properties":{"noteIndex":0},"schema":"https://github.com/citation-style-language/schema/raw/master/csl-citation.json"}</w:instrText>
      </w:r>
      <w:r w:rsidR="00DD300D">
        <w:rPr>
          <w:sz w:val="24"/>
        </w:rPr>
        <w:fldChar w:fldCharType="separate"/>
      </w:r>
      <w:r w:rsidR="008F14D2">
        <w:rPr>
          <w:noProof/>
          <w:sz w:val="24"/>
        </w:rPr>
        <w:t>Wilkins and</w:t>
      </w:r>
      <w:r w:rsidR="00DD300D">
        <w:rPr>
          <w:noProof/>
          <w:sz w:val="24"/>
        </w:rPr>
        <w:t xml:space="preserve"> Ford (</w:t>
      </w:r>
      <w:r w:rsidR="00DD300D" w:rsidRPr="00C05BC6">
        <w:rPr>
          <w:noProof/>
          <w:sz w:val="24"/>
        </w:rPr>
        <w:t>2007)</w:t>
      </w:r>
      <w:r w:rsidR="00DD300D">
        <w:rPr>
          <w:sz w:val="24"/>
        </w:rPr>
        <w:fldChar w:fldCharType="end"/>
      </w:r>
      <w:r w:rsidR="00DD300D">
        <w:rPr>
          <w:sz w:val="24"/>
        </w:rPr>
        <w:t xml:space="preserve"> showed data used in NNI studies are not limited to sociology, epidemiolog</w:t>
      </w:r>
      <w:r w:rsidR="008F14D2">
        <w:rPr>
          <w:sz w:val="24"/>
        </w:rPr>
        <w:t>y, and human dynamics. Wilkins and</w:t>
      </w:r>
      <w:r w:rsidR="00DD300D">
        <w:rPr>
          <w:sz w:val="24"/>
        </w:rPr>
        <w:t xml:space="preserve"> Ford (200</w:t>
      </w:r>
      <w:r w:rsidR="008F14D2">
        <w:rPr>
          <w:sz w:val="24"/>
        </w:rPr>
        <w:t>7) studied</w:t>
      </w:r>
      <w:r w:rsidR="00DD300D">
        <w:rPr>
          <w:sz w:val="24"/>
        </w:rPr>
        <w:t xml:space="preserve"> sa</w:t>
      </w:r>
      <w:r w:rsidR="008F14D2">
        <w:rPr>
          <w:sz w:val="24"/>
        </w:rPr>
        <w:t>nd dunes formation and spread</w:t>
      </w:r>
      <w:r w:rsidR="00DD300D">
        <w:rPr>
          <w:sz w:val="24"/>
        </w:rPr>
        <w:t xml:space="preserve"> via NNI. </w:t>
      </w:r>
      <w:r w:rsidR="00B75BC8" w:rsidRPr="00DD300D">
        <w:rPr>
          <w:sz w:val="24"/>
        </w:rPr>
        <w:t>Lee</w:t>
      </w:r>
      <w:r w:rsidR="00B75BC8">
        <w:rPr>
          <w:sz w:val="24"/>
        </w:rPr>
        <w:t xml:space="preserve"> et al</w:t>
      </w:r>
      <w:r w:rsidR="0098666A">
        <w:rPr>
          <w:sz w:val="24"/>
        </w:rPr>
        <w:t>.</w:t>
      </w:r>
      <w:r w:rsidR="00B0456D">
        <w:rPr>
          <w:sz w:val="24"/>
        </w:rPr>
        <w:t xml:space="preserve"> (2014) used </w:t>
      </w:r>
      <w:r w:rsidR="00B75BC8">
        <w:rPr>
          <w:sz w:val="24"/>
        </w:rPr>
        <w:t xml:space="preserve">NNI and regression to categorize the spread of Targets, Walmarts, Dengue Fever cases, and mushroom farm locations. I explain </w:t>
      </w:r>
      <w:r w:rsidR="0098666A">
        <w:rPr>
          <w:sz w:val="24"/>
        </w:rPr>
        <w:t xml:space="preserve">their work </w:t>
      </w:r>
      <w:r w:rsidR="005836B2">
        <w:rPr>
          <w:sz w:val="24"/>
        </w:rPr>
        <w:t xml:space="preserve">in </w:t>
      </w:r>
      <w:r w:rsidR="00B75BC8">
        <w:rPr>
          <w:sz w:val="24"/>
        </w:rPr>
        <w:t xml:space="preserve">further </w:t>
      </w:r>
      <w:r w:rsidR="0098666A">
        <w:rPr>
          <w:sz w:val="24"/>
        </w:rPr>
        <w:t xml:space="preserve">detail </w:t>
      </w:r>
      <w:r w:rsidR="00B75BC8">
        <w:rPr>
          <w:sz w:val="24"/>
        </w:rPr>
        <w:t xml:space="preserve">in Chapter Three, as the methods used in Lee et al. (2014) are the foundation </w:t>
      </w:r>
      <w:r w:rsidR="005836B2">
        <w:rPr>
          <w:sz w:val="24"/>
        </w:rPr>
        <w:t>for</w:t>
      </w:r>
      <w:r w:rsidR="00B75BC8">
        <w:rPr>
          <w:sz w:val="24"/>
        </w:rPr>
        <w:t xml:space="preserve"> </w:t>
      </w:r>
      <w:r w:rsidR="0098666A">
        <w:rPr>
          <w:sz w:val="24"/>
        </w:rPr>
        <w:t>the first part of my analysis</w:t>
      </w:r>
      <w:r w:rsidR="00B75BC8">
        <w:rPr>
          <w:sz w:val="24"/>
        </w:rPr>
        <w:t>.</w:t>
      </w:r>
      <w:r w:rsidR="00117BBD">
        <w:rPr>
          <w:sz w:val="24"/>
        </w:rPr>
        <w:t xml:space="preserve"> </w:t>
      </w:r>
    </w:p>
    <w:p w14:paraId="6D598CFB" w14:textId="115BACA2" w:rsidR="004B5D8B" w:rsidRDefault="00567D5F" w:rsidP="00567D5F">
      <w:pPr>
        <w:tabs>
          <w:tab w:val="left" w:pos="720"/>
          <w:tab w:val="left" w:pos="1890"/>
        </w:tabs>
        <w:spacing w:line="480" w:lineRule="auto"/>
        <w:rPr>
          <w:sz w:val="24"/>
        </w:rPr>
      </w:pPr>
      <w:r>
        <w:rPr>
          <w:sz w:val="24"/>
        </w:rPr>
        <w:tab/>
      </w:r>
      <w:r w:rsidR="00984ECD">
        <w:rPr>
          <w:sz w:val="24"/>
        </w:rPr>
        <w:t>Another quantitative approach to spatial diffusion is the SDE</w:t>
      </w:r>
      <w:r w:rsidR="00DF3793">
        <w:rPr>
          <w:sz w:val="24"/>
        </w:rPr>
        <w:t xml:space="preserve">. </w:t>
      </w:r>
      <w:r w:rsidR="0085397C">
        <w:rPr>
          <w:sz w:val="24"/>
        </w:rPr>
        <w:t xml:space="preserve">Standard deviation, calculated mathematically as the square root of variance, </w:t>
      </w:r>
      <w:r w:rsidR="00E4779E">
        <w:rPr>
          <w:sz w:val="24"/>
        </w:rPr>
        <w:t>indicates</w:t>
      </w:r>
      <w:r w:rsidR="00BC044A">
        <w:rPr>
          <w:sz w:val="24"/>
        </w:rPr>
        <w:t xml:space="preserve"> the proximity of data </w:t>
      </w:r>
      <w:r w:rsidR="0085397C">
        <w:rPr>
          <w:sz w:val="24"/>
        </w:rPr>
        <w:lastRenderedPageBreak/>
        <w:t xml:space="preserve">around </w:t>
      </w:r>
      <w:r w:rsidR="00BC044A">
        <w:rPr>
          <w:sz w:val="24"/>
        </w:rPr>
        <w:t>its</w:t>
      </w:r>
      <w:r w:rsidR="0085397C">
        <w:rPr>
          <w:sz w:val="24"/>
        </w:rPr>
        <w:t xml:space="preserve"> mean</w:t>
      </w:r>
      <w:r w:rsidR="003113CE">
        <w:rPr>
          <w:sz w:val="24"/>
        </w:rPr>
        <w:t xml:space="preserve"> </w:t>
      </w:r>
      <w:r w:rsidR="003113CE">
        <w:rPr>
          <w:sz w:val="24"/>
        </w:rPr>
        <w:fldChar w:fldCharType="begin" w:fldLock="1"/>
      </w:r>
      <w:r w:rsidR="003113CE">
        <w:rPr>
          <w:sz w:val="24"/>
        </w:rPr>
        <w:instrText>ADDIN CSL_CITATION {"citationItems":[{"id":"ITEM-1","itemData":{"URL":"https://sphweb.bumc.bu.edu/otlt/MPH-Modules/BS/BS704_SummarizingData/BS704_SummarizingData6.html","accessed":{"date-parts":[["2020","7","15"]]},"author":[{"dropping-particle":"","family":"Sullivan","given":"Lisa","non-dropping-particle":"","parse-names":false,"suffix":""},{"dropping-particle":"","family":"LaMorte","given":"Wayne W.","non-dropping-particle":"","parse-names":false,"suffix":""}],"id":"ITEM-1","issued":{"date-parts":[["2016"]]},"title":"Variance and Standard Deviation","type":"webpage"},"uris":["http://www.mendeley.com/documents/?uuid=627e7ebc-f7a0-348f-aba5-66a1741ddd94"]}],"mendeley":{"formattedCitation":"(Sullivan &amp; LaMorte, 2016)","plainTextFormattedCitation":"(Sullivan &amp; LaMorte, 2016)","previouslyFormattedCitation":"(Sullivan &amp; LaMorte, 2016)"},"properties":{"noteIndex":0},"schema":"https://github.com/citation-style-language/schema/raw/master/csl-citation.json"}</w:instrText>
      </w:r>
      <w:r w:rsidR="003113CE">
        <w:rPr>
          <w:sz w:val="24"/>
        </w:rPr>
        <w:fldChar w:fldCharType="separate"/>
      </w:r>
      <w:r w:rsidR="003113CE" w:rsidRPr="003113CE">
        <w:rPr>
          <w:noProof/>
          <w:sz w:val="24"/>
        </w:rPr>
        <w:t>(Sullivan &amp; LaMorte, 2016)</w:t>
      </w:r>
      <w:r w:rsidR="003113CE">
        <w:rPr>
          <w:sz w:val="24"/>
        </w:rPr>
        <w:fldChar w:fldCharType="end"/>
      </w:r>
      <w:r w:rsidR="0085397C">
        <w:rPr>
          <w:sz w:val="24"/>
        </w:rPr>
        <w:t xml:space="preserve">. </w:t>
      </w:r>
      <w:r w:rsidR="00122438">
        <w:rPr>
          <w:sz w:val="24"/>
        </w:rPr>
        <w:t xml:space="preserve">Low standard deviations (values generally less than one) suggest sample data </w:t>
      </w:r>
      <w:r w:rsidR="00B27AD5">
        <w:rPr>
          <w:sz w:val="24"/>
        </w:rPr>
        <w:t>are packed closer together, w</w:t>
      </w:r>
      <w:r w:rsidR="00C0013E">
        <w:rPr>
          <w:sz w:val="24"/>
        </w:rPr>
        <w:t xml:space="preserve">hereas higher values imply data points </w:t>
      </w:r>
      <w:r w:rsidR="006E7310">
        <w:rPr>
          <w:sz w:val="24"/>
        </w:rPr>
        <w:t>are</w:t>
      </w:r>
      <w:r w:rsidR="00C0013E">
        <w:rPr>
          <w:sz w:val="24"/>
        </w:rPr>
        <w:t xml:space="preserve"> </w:t>
      </w:r>
      <w:r w:rsidR="00B27AD5">
        <w:rPr>
          <w:sz w:val="24"/>
        </w:rPr>
        <w:t>farther</w:t>
      </w:r>
      <w:r w:rsidR="00C0013E">
        <w:rPr>
          <w:sz w:val="24"/>
        </w:rPr>
        <w:t xml:space="preserve"> apart</w:t>
      </w:r>
      <w:r w:rsidR="003113CE">
        <w:rPr>
          <w:sz w:val="24"/>
        </w:rPr>
        <w:t xml:space="preserve"> </w:t>
      </w:r>
      <w:r w:rsidR="003113CE">
        <w:rPr>
          <w:sz w:val="24"/>
        </w:rPr>
        <w:fldChar w:fldCharType="begin" w:fldLock="1"/>
      </w:r>
      <w:r w:rsidR="00953A4F">
        <w:rPr>
          <w:sz w:val="24"/>
        </w:rPr>
        <w:instrText>ADDIN CSL_CITATION {"citationItems":[{"id":"ITEM-1","itemData":{"URL":"https://sphweb.bumc.bu.edu/otlt/MPH-Modules/BS/BS704_SummarizingData/BS704_SummarizingData6.html","accessed":{"date-parts":[["2020","7","15"]]},"author":[{"dropping-particle":"","family":"Sullivan","given":"Lisa","non-dropping-particle":"","parse-names":false,"suffix":""},{"dropping-particle":"","family":"LaMorte","given":"Wayne W.","non-dropping-particle":"","parse-names":false,"suffix":""}],"id":"ITEM-1","issued":{"date-parts":[["2016"]]},"title":"Variance and Standard Deviation","type":"webpage"},"uris":["http://www.mendeley.com/documents/?uuid=627e7ebc-f7a0-348f-aba5-66a1741ddd94"]}],"mendeley":{"formattedCitation":"(Sullivan &amp; LaMorte, 2016)","plainTextFormattedCitation":"(Sullivan &amp; LaMorte, 2016)","previouslyFormattedCitation":"(Sullivan &amp; LaMorte, 2016)"},"properties":{"noteIndex":0},"schema":"https://github.com/citation-style-language/schema/raw/master/csl-citation.json"}</w:instrText>
      </w:r>
      <w:r w:rsidR="003113CE">
        <w:rPr>
          <w:sz w:val="24"/>
        </w:rPr>
        <w:fldChar w:fldCharType="separate"/>
      </w:r>
      <w:r w:rsidR="003113CE" w:rsidRPr="003113CE">
        <w:rPr>
          <w:noProof/>
          <w:sz w:val="24"/>
        </w:rPr>
        <w:t>(Sullivan &amp; LaMorte, 2016)</w:t>
      </w:r>
      <w:r w:rsidR="003113CE">
        <w:rPr>
          <w:sz w:val="24"/>
        </w:rPr>
        <w:fldChar w:fldCharType="end"/>
      </w:r>
      <w:r w:rsidR="00C0013E">
        <w:rPr>
          <w:sz w:val="24"/>
        </w:rPr>
        <w:t>.</w:t>
      </w:r>
      <w:r w:rsidR="00A12F82">
        <w:rPr>
          <w:sz w:val="24"/>
        </w:rPr>
        <w:t xml:space="preserve"> One, two, and three standard deviations are said to </w:t>
      </w:r>
      <w:r w:rsidR="00953A4F">
        <w:rPr>
          <w:sz w:val="24"/>
        </w:rPr>
        <w:t>capture roughly 68%, 95%, and 99.7</w:t>
      </w:r>
      <w:r w:rsidR="00A12F82">
        <w:rPr>
          <w:sz w:val="24"/>
        </w:rPr>
        <w:t>% of data, respectively</w:t>
      </w:r>
      <w:r w:rsidR="00953A4F">
        <w:rPr>
          <w:sz w:val="24"/>
        </w:rPr>
        <w:t xml:space="preserve"> </w:t>
      </w:r>
      <w:r w:rsidR="00953A4F">
        <w:rPr>
          <w:sz w:val="24"/>
        </w:rPr>
        <w:fldChar w:fldCharType="begin" w:fldLock="1"/>
      </w:r>
      <w:r w:rsidR="00275033">
        <w:rPr>
          <w:sz w:val="24"/>
        </w:rPr>
        <w:instrText>ADDIN CSL_CITATION {"citationItems":[{"id":"ITEM-1","itemData":{"URL":"https://towardsdatascience.com/understanding-the-68-95-99-7-rule-for-a-normal-distribution-b7b7cbf760c2","accessed":{"date-parts":[["2020","7","15"]]},"author":[{"dropping-particle":"","family":"Galarnyk","given":"Michael","non-dropping-particle":"","parse-names":false,"suffix":""}],"id":"ITEM-1","issued":{"date-parts":[["2018"]]},"title":"Explaining the 68-95-99.7 rule for a Normal Distribution","type":"webpage"},"uris":["http://www.mendeley.com/documents/?uuid=82756e65-90cd-3057-8fb8-bc3ca6bcc63b"]}],"mendeley":{"formattedCitation":"(Galarnyk, 2018)","plainTextFormattedCitation":"(Galarnyk, 2018)","previouslyFormattedCitation":"(Galarnyk, 2018)"},"properties":{"noteIndex":0},"schema":"https://github.com/citation-style-language/schema/raw/master/csl-citation.json"}</w:instrText>
      </w:r>
      <w:r w:rsidR="00953A4F">
        <w:rPr>
          <w:sz w:val="24"/>
        </w:rPr>
        <w:fldChar w:fldCharType="separate"/>
      </w:r>
      <w:r w:rsidR="00953A4F" w:rsidRPr="00953A4F">
        <w:rPr>
          <w:noProof/>
          <w:sz w:val="24"/>
        </w:rPr>
        <w:t>(Galarnyk, 2018)</w:t>
      </w:r>
      <w:r w:rsidR="00953A4F">
        <w:rPr>
          <w:sz w:val="24"/>
        </w:rPr>
        <w:fldChar w:fldCharType="end"/>
      </w:r>
      <w:r w:rsidR="00A12F82">
        <w:rPr>
          <w:sz w:val="24"/>
        </w:rPr>
        <w:t>.</w:t>
      </w:r>
      <w:r w:rsidR="003321BF">
        <w:rPr>
          <w:sz w:val="24"/>
        </w:rPr>
        <w:t xml:space="preserve"> Various</w:t>
      </w:r>
      <w:r w:rsidR="000878C5">
        <w:rPr>
          <w:sz w:val="24"/>
        </w:rPr>
        <w:t xml:space="preserve"> </w:t>
      </w:r>
      <w:r w:rsidR="003321BF">
        <w:rPr>
          <w:sz w:val="24"/>
        </w:rPr>
        <w:t>GIS software</w:t>
      </w:r>
      <w:r w:rsidR="00EB10F4">
        <w:rPr>
          <w:sz w:val="24"/>
        </w:rPr>
        <w:t xml:space="preserve"> can examine </w:t>
      </w:r>
      <w:r w:rsidR="002357E6">
        <w:rPr>
          <w:sz w:val="24"/>
        </w:rPr>
        <w:t xml:space="preserve">spatial </w:t>
      </w:r>
      <w:r w:rsidR="00EB10F4">
        <w:rPr>
          <w:sz w:val="24"/>
        </w:rPr>
        <w:t>point data b</w:t>
      </w:r>
      <w:r w:rsidR="001B2B4B">
        <w:rPr>
          <w:sz w:val="24"/>
        </w:rPr>
        <w:t>y means of SDEs. This includes ArcGIS Pro, software offered through the Environmental Sy</w:t>
      </w:r>
      <w:r w:rsidR="00214899">
        <w:rPr>
          <w:sz w:val="24"/>
        </w:rPr>
        <w:t xml:space="preserve">stems Research Institute (ESRI). “Directional </w:t>
      </w:r>
      <w:r w:rsidR="000878C5">
        <w:rPr>
          <w:sz w:val="24"/>
        </w:rPr>
        <w:t>Distribution</w:t>
      </w:r>
      <w:r w:rsidR="00214899">
        <w:rPr>
          <w:sz w:val="24"/>
        </w:rPr>
        <w:t xml:space="preserve"> (Standard Deviational Ellipse)” is the specific </w:t>
      </w:r>
      <w:r w:rsidR="00F14EC7">
        <w:rPr>
          <w:sz w:val="24"/>
        </w:rPr>
        <w:t xml:space="preserve">ArcGIS Pro </w:t>
      </w:r>
      <w:r w:rsidR="00214899">
        <w:rPr>
          <w:sz w:val="24"/>
        </w:rPr>
        <w:t>tool used in my thesis</w:t>
      </w:r>
      <w:r w:rsidR="00275033">
        <w:rPr>
          <w:sz w:val="24"/>
        </w:rPr>
        <w:t xml:space="preserve"> </w:t>
      </w:r>
      <w:r w:rsidR="00275033">
        <w:rPr>
          <w:sz w:val="24"/>
        </w:rPr>
        <w:fldChar w:fldCharType="begin" w:fldLock="1"/>
      </w:r>
      <w:r w:rsidR="006C7829">
        <w:rPr>
          <w:sz w:val="24"/>
        </w:rPr>
        <w:instrText>ADDIN CSL_CITATION {"citationItems":[{"id":"ITEM-1","itemData":{"URL":"https://pro.arcgis.com/en/pro-app/tool-reference/spatial-statistics/h-how-directional-distribution-standard-deviationa.htm","accessed":{"date-parts":[["2020","7","15"]]},"id":"ITEM-1","issued":{"date-parts":[["0"]]},"title":"How Directional Distribution (Standard Deviational Ellipse) works","type":"webpage"},"uris":["http://www.mendeley.com/documents/?uuid=637efc2c-0408-3007-b29f-48c12d7a90a9"]}],"mendeley":{"formattedCitation":"(“How Directional Distribution (Standard Deviational Ellipse) works,” n.d.)","plainTextFormattedCitation":"(“How Directional Distribution (Standard Deviational Ellipse) works,” n.d.)","previouslyFormattedCitation":"(“How Directional Distribution (Standard Deviational Ellipse) works,” n.d.)"},"properties":{"noteIndex":0},"schema":"https://github.com/citation-style-language/schema/raw/master/csl-citation.json"}</w:instrText>
      </w:r>
      <w:r w:rsidR="00275033">
        <w:rPr>
          <w:sz w:val="24"/>
        </w:rPr>
        <w:fldChar w:fldCharType="separate"/>
      </w:r>
      <w:r w:rsidR="00275033" w:rsidRPr="00275033">
        <w:rPr>
          <w:noProof/>
          <w:sz w:val="24"/>
        </w:rPr>
        <w:t>(“How Directional Distribution (Standard Deviational Ellipse) works,” n.d.)</w:t>
      </w:r>
      <w:r w:rsidR="00275033">
        <w:rPr>
          <w:sz w:val="24"/>
        </w:rPr>
        <w:fldChar w:fldCharType="end"/>
      </w:r>
      <w:r w:rsidR="00214899">
        <w:rPr>
          <w:sz w:val="24"/>
        </w:rPr>
        <w:t>.</w:t>
      </w:r>
      <w:r w:rsidR="00C16AA5">
        <w:rPr>
          <w:sz w:val="24"/>
        </w:rPr>
        <w:t xml:space="preserve"> Ellipses are drawn and scaled based upon standard deviations of x (latitude) and y (longitude) values within point data</w:t>
      </w:r>
      <w:r w:rsidR="006C7829">
        <w:rPr>
          <w:sz w:val="24"/>
        </w:rPr>
        <w:t xml:space="preserve"> </w:t>
      </w:r>
      <w:r w:rsidR="006C7829">
        <w:rPr>
          <w:sz w:val="24"/>
        </w:rPr>
        <w:fldChar w:fldCharType="begin" w:fldLock="1"/>
      </w:r>
      <w:r w:rsidR="00687DE7">
        <w:rPr>
          <w:sz w:val="24"/>
        </w:rPr>
        <w:instrText>ADDIN CSL_CITATION {"citationItems":[{"id":"ITEM-1","itemData":{"URL":"https://pro.arcgis.com/en/pro-app/tool-reference/spatial-statistics/h-how-directional-distribution-standard-deviationa.htm","accessed":{"date-parts":[["2020","7","15"]]},"id":"ITEM-1","issued":{"date-parts":[["0"]]},"title":"How Directional Distribution (Standard Deviational Ellipse) works","type":"webpage"},"uris":["http://www.mendeley.com/documents/?uuid=637efc2c-0408-3007-b29f-48c12d7a90a9"]}],"mendeley":{"formattedCitation":"(“How Directional Distribution (Standard Deviational Ellipse) works,” n.d.)","plainTextFormattedCitation":"(“How Directional Distribution (Standard Deviational Ellipse) works,” n.d.)","previouslyFormattedCitation":"(“How Directional Distribution (Standard Deviational Ellipse) works,” n.d.)"},"properties":{"noteIndex":0},"schema":"https://github.com/citation-style-language/schema/raw/master/csl-citation.json"}</w:instrText>
      </w:r>
      <w:r w:rsidR="006C7829">
        <w:rPr>
          <w:sz w:val="24"/>
        </w:rPr>
        <w:fldChar w:fldCharType="separate"/>
      </w:r>
      <w:r w:rsidR="006C7829" w:rsidRPr="006C7829">
        <w:rPr>
          <w:noProof/>
          <w:sz w:val="24"/>
        </w:rPr>
        <w:t>(“How Directional Distribution (Standard Deviational Ellipse) works,” n.d.)</w:t>
      </w:r>
      <w:r w:rsidR="006C7829">
        <w:rPr>
          <w:sz w:val="24"/>
        </w:rPr>
        <w:fldChar w:fldCharType="end"/>
      </w:r>
      <w:r w:rsidR="00C16AA5">
        <w:rPr>
          <w:sz w:val="24"/>
        </w:rPr>
        <w:t>.</w:t>
      </w:r>
      <w:r w:rsidR="00316583">
        <w:rPr>
          <w:sz w:val="24"/>
        </w:rPr>
        <w:t xml:space="preserve"> </w:t>
      </w:r>
    </w:p>
    <w:p w14:paraId="1F82635D" w14:textId="77777777" w:rsidR="008B7CC4" w:rsidRDefault="00567D5F" w:rsidP="00567D5F">
      <w:pPr>
        <w:tabs>
          <w:tab w:val="left" w:pos="720"/>
          <w:tab w:val="left" w:pos="1890"/>
        </w:tabs>
        <w:spacing w:line="480" w:lineRule="auto"/>
        <w:rPr>
          <w:sz w:val="24"/>
        </w:rPr>
      </w:pPr>
      <w:r>
        <w:rPr>
          <w:sz w:val="24"/>
        </w:rPr>
        <w:tab/>
      </w:r>
    </w:p>
    <w:p w14:paraId="682A99A9" w14:textId="77777777" w:rsidR="009158CC" w:rsidRDefault="009158CC" w:rsidP="00567D5F">
      <w:pPr>
        <w:tabs>
          <w:tab w:val="left" w:pos="720"/>
          <w:tab w:val="left" w:pos="1890"/>
        </w:tabs>
        <w:spacing w:line="480" w:lineRule="auto"/>
        <w:rPr>
          <w:sz w:val="24"/>
        </w:rPr>
      </w:pPr>
    </w:p>
    <w:p w14:paraId="4555CF0C" w14:textId="77777777" w:rsidR="009158CC" w:rsidRDefault="009158CC" w:rsidP="00567D5F">
      <w:pPr>
        <w:tabs>
          <w:tab w:val="left" w:pos="720"/>
          <w:tab w:val="left" w:pos="1890"/>
        </w:tabs>
        <w:spacing w:line="480" w:lineRule="auto"/>
        <w:rPr>
          <w:sz w:val="24"/>
        </w:rPr>
      </w:pPr>
    </w:p>
    <w:p w14:paraId="07F4D35C" w14:textId="77777777" w:rsidR="009158CC" w:rsidRDefault="009158CC" w:rsidP="00567D5F">
      <w:pPr>
        <w:tabs>
          <w:tab w:val="left" w:pos="720"/>
          <w:tab w:val="left" w:pos="1890"/>
        </w:tabs>
        <w:spacing w:line="480" w:lineRule="auto"/>
        <w:rPr>
          <w:sz w:val="24"/>
        </w:rPr>
      </w:pPr>
    </w:p>
    <w:p w14:paraId="565D1549" w14:textId="77777777" w:rsidR="009158CC" w:rsidRDefault="009158CC" w:rsidP="00567D5F">
      <w:pPr>
        <w:tabs>
          <w:tab w:val="left" w:pos="720"/>
          <w:tab w:val="left" w:pos="1890"/>
        </w:tabs>
        <w:spacing w:line="480" w:lineRule="auto"/>
        <w:rPr>
          <w:sz w:val="24"/>
        </w:rPr>
      </w:pPr>
    </w:p>
    <w:p w14:paraId="4C067972" w14:textId="77777777" w:rsidR="009158CC" w:rsidRDefault="009158CC" w:rsidP="00567D5F">
      <w:pPr>
        <w:tabs>
          <w:tab w:val="left" w:pos="720"/>
          <w:tab w:val="left" w:pos="1890"/>
        </w:tabs>
        <w:spacing w:line="480" w:lineRule="auto"/>
        <w:rPr>
          <w:sz w:val="24"/>
        </w:rPr>
      </w:pPr>
    </w:p>
    <w:p w14:paraId="0F17DB00" w14:textId="77777777" w:rsidR="003C59C3" w:rsidRDefault="003C59C3" w:rsidP="00A72FBA">
      <w:pPr>
        <w:spacing w:line="240" w:lineRule="auto"/>
        <w:jc w:val="center"/>
        <w:rPr>
          <w:b/>
          <w:caps/>
          <w:sz w:val="28"/>
        </w:rPr>
      </w:pPr>
    </w:p>
    <w:p w14:paraId="3F1BB26D" w14:textId="77777777" w:rsidR="00802954" w:rsidRDefault="00802954" w:rsidP="00A72FBA">
      <w:pPr>
        <w:spacing w:line="240" w:lineRule="auto"/>
        <w:jc w:val="center"/>
        <w:rPr>
          <w:b/>
          <w:caps/>
          <w:sz w:val="28"/>
        </w:rPr>
      </w:pPr>
    </w:p>
    <w:p w14:paraId="69CC14D6" w14:textId="77777777" w:rsidR="004112EB" w:rsidRDefault="004112EB" w:rsidP="00A72FBA">
      <w:pPr>
        <w:spacing w:line="240" w:lineRule="auto"/>
        <w:jc w:val="center"/>
        <w:rPr>
          <w:b/>
          <w:caps/>
          <w:sz w:val="28"/>
        </w:rPr>
      </w:pPr>
    </w:p>
    <w:p w14:paraId="55484A1B" w14:textId="77777777" w:rsidR="004112EB" w:rsidRDefault="004112EB" w:rsidP="00A72FBA">
      <w:pPr>
        <w:spacing w:line="240" w:lineRule="auto"/>
        <w:jc w:val="center"/>
        <w:rPr>
          <w:b/>
          <w:caps/>
          <w:sz w:val="28"/>
        </w:rPr>
      </w:pPr>
    </w:p>
    <w:p w14:paraId="4B0BD26F" w14:textId="77777777" w:rsidR="004112EB" w:rsidRDefault="004112EB" w:rsidP="00A72FBA">
      <w:pPr>
        <w:spacing w:line="240" w:lineRule="auto"/>
        <w:jc w:val="center"/>
        <w:rPr>
          <w:b/>
          <w:caps/>
          <w:sz w:val="28"/>
        </w:rPr>
      </w:pPr>
    </w:p>
    <w:p w14:paraId="213955E2" w14:textId="77777777" w:rsidR="00A72FBA" w:rsidRPr="00AC3CF9" w:rsidRDefault="00A72FBA" w:rsidP="00AC3CF9">
      <w:pPr>
        <w:jc w:val="center"/>
        <w:rPr>
          <w:b/>
          <w:caps/>
          <w:sz w:val="28"/>
          <w:szCs w:val="28"/>
        </w:rPr>
      </w:pPr>
      <w:r w:rsidRPr="00AC3CF9">
        <w:rPr>
          <w:b/>
          <w:caps/>
          <w:sz w:val="28"/>
          <w:szCs w:val="28"/>
        </w:rPr>
        <w:lastRenderedPageBreak/>
        <w:t>Chapter Three</w:t>
      </w:r>
    </w:p>
    <w:p w14:paraId="2FA09280" w14:textId="5D2E2593" w:rsidR="00A72FBA" w:rsidRPr="00AC3CF9" w:rsidRDefault="00342E56" w:rsidP="005B71EC">
      <w:pPr>
        <w:pStyle w:val="Heading1"/>
        <w:spacing w:line="480" w:lineRule="auto"/>
        <w:jc w:val="center"/>
        <w:rPr>
          <w:rFonts w:asciiTheme="minorHAnsi" w:hAnsiTheme="minorHAnsi"/>
          <w:b/>
          <w:caps/>
          <w:color w:val="auto"/>
          <w:sz w:val="28"/>
          <w:szCs w:val="28"/>
        </w:rPr>
      </w:pPr>
      <w:bookmarkStart w:id="11" w:name="_Toc56194384"/>
      <w:bookmarkStart w:id="12" w:name="_Toc56898376"/>
      <w:r w:rsidRPr="00AC3CF9">
        <w:rPr>
          <w:rFonts w:asciiTheme="minorHAnsi" w:hAnsiTheme="minorHAnsi"/>
          <w:b/>
          <w:caps/>
          <w:color w:val="auto"/>
          <w:sz w:val="28"/>
          <w:szCs w:val="28"/>
        </w:rPr>
        <w:t>data and methods</w:t>
      </w:r>
      <w:bookmarkEnd w:id="11"/>
      <w:bookmarkEnd w:id="12"/>
    </w:p>
    <w:p w14:paraId="1491C8B9" w14:textId="32758A4D" w:rsidR="00226AF5" w:rsidRPr="008C1909" w:rsidRDefault="004A16A5" w:rsidP="005B71EC">
      <w:pPr>
        <w:pStyle w:val="Heading2"/>
        <w:spacing w:line="480" w:lineRule="auto"/>
        <w:rPr>
          <w:rFonts w:asciiTheme="minorHAnsi" w:hAnsiTheme="minorHAnsi"/>
          <w:b/>
          <w:color w:val="auto"/>
          <w:sz w:val="24"/>
        </w:rPr>
      </w:pPr>
      <w:bookmarkStart w:id="13" w:name="_Toc56898377"/>
      <w:r>
        <w:rPr>
          <w:rFonts w:asciiTheme="minorHAnsi" w:hAnsiTheme="minorHAnsi"/>
          <w:b/>
          <w:color w:val="auto"/>
          <w:sz w:val="24"/>
        </w:rPr>
        <w:t xml:space="preserve">3.1 </w:t>
      </w:r>
      <w:r w:rsidR="006603F5">
        <w:rPr>
          <w:rFonts w:asciiTheme="minorHAnsi" w:hAnsiTheme="minorHAnsi"/>
          <w:b/>
          <w:color w:val="auto"/>
          <w:sz w:val="24"/>
        </w:rPr>
        <w:t>Case s</w:t>
      </w:r>
      <w:r w:rsidR="00226AF5" w:rsidRPr="008C1909">
        <w:rPr>
          <w:rFonts w:asciiTheme="minorHAnsi" w:hAnsiTheme="minorHAnsi"/>
          <w:b/>
          <w:color w:val="auto"/>
          <w:sz w:val="24"/>
        </w:rPr>
        <w:t>tudies</w:t>
      </w:r>
      <w:bookmarkEnd w:id="13"/>
    </w:p>
    <w:p w14:paraId="37CE0E3D" w14:textId="2876C826" w:rsidR="005A4BFE" w:rsidRDefault="006E0941" w:rsidP="008C1909">
      <w:pPr>
        <w:spacing w:line="480" w:lineRule="auto"/>
        <w:rPr>
          <w:sz w:val="24"/>
        </w:rPr>
      </w:pPr>
      <w:r>
        <w:rPr>
          <w:sz w:val="24"/>
        </w:rPr>
        <w:tab/>
      </w:r>
      <w:r w:rsidR="0040555E">
        <w:rPr>
          <w:sz w:val="24"/>
        </w:rPr>
        <w:t xml:space="preserve">I researched </w:t>
      </w:r>
      <w:r>
        <w:rPr>
          <w:sz w:val="24"/>
        </w:rPr>
        <w:t>two natural hazard case studies</w:t>
      </w:r>
      <w:r w:rsidR="00A77326">
        <w:rPr>
          <w:sz w:val="24"/>
        </w:rPr>
        <w:t xml:space="preserve"> in the United States that varied in spatial size and temporal duration</w:t>
      </w:r>
      <w:r>
        <w:rPr>
          <w:sz w:val="24"/>
        </w:rPr>
        <w:t xml:space="preserve">. </w:t>
      </w:r>
      <w:r w:rsidR="00A77326">
        <w:rPr>
          <w:sz w:val="24"/>
        </w:rPr>
        <w:t>The first</w:t>
      </w:r>
      <w:r w:rsidR="00E4779E">
        <w:rPr>
          <w:sz w:val="24"/>
        </w:rPr>
        <w:t xml:space="preserve"> case</w:t>
      </w:r>
      <w:r w:rsidR="00A77326">
        <w:rPr>
          <w:sz w:val="24"/>
        </w:rPr>
        <w:t xml:space="preserve"> study was WSG, a winter storm that occurred </w:t>
      </w:r>
      <w:r w:rsidR="008A3BD7">
        <w:rPr>
          <w:sz w:val="24"/>
        </w:rPr>
        <w:t>11 thr</w:t>
      </w:r>
      <w:r w:rsidR="008833B8">
        <w:rPr>
          <w:sz w:val="24"/>
        </w:rPr>
        <w:t>ough 14 January 2019</w:t>
      </w:r>
      <w:r w:rsidR="008A3BD7">
        <w:rPr>
          <w:sz w:val="24"/>
        </w:rPr>
        <w:t>. It spanned 2.5k kilometers, and stretched from the Rocki</w:t>
      </w:r>
      <w:r w:rsidR="00C0351C">
        <w:rPr>
          <w:sz w:val="24"/>
        </w:rPr>
        <w:t>e</w:t>
      </w:r>
      <w:r w:rsidR="00014297">
        <w:rPr>
          <w:sz w:val="24"/>
        </w:rPr>
        <w:t>s to Mid-Atlantic</w:t>
      </w:r>
      <w:r w:rsidR="008A3BD7">
        <w:rPr>
          <w:sz w:val="24"/>
        </w:rPr>
        <w:t xml:space="preserve"> </w:t>
      </w:r>
      <w:r w:rsidR="008D0D30">
        <w:rPr>
          <w:sz w:val="24"/>
        </w:rPr>
        <w:fldChar w:fldCharType="begin" w:fldLock="1"/>
      </w:r>
      <w:r w:rsidR="008D0D30">
        <w:rPr>
          <w:sz w:val="24"/>
        </w:rPr>
        <w:instrText>ADDIN CSL_CITATION {"citationItems":[{"id":"ITEM-1","itemData":{"author":[{"dropping-particle":"","family":"Jackson","given":"Brian","non-dropping-particle":"","parse-names":false,"suffix":""}],"id":"ITEM-1","issued":{"date-parts":[["2019"]]},"title":"Central Rockies to Mid-Atlantic Winter Storm (11 - 14 January, 2019)","type":"report"},"uris":["http://www.mendeley.com/documents/?uuid=aa559bf3-47a6-3241-a96b-492da1eda784"]}],"mendeley":{"formattedCitation":"(Jackson, 2019)","plainTextFormattedCitation":"(Jackson, 2019)","previouslyFormattedCitation":"(Jackson, 2019)"},"properties":{"noteIndex":0},"schema":"https://github.com/citation-style-language/schema/raw/master/csl-citation.json"}</w:instrText>
      </w:r>
      <w:r w:rsidR="008D0D30">
        <w:rPr>
          <w:sz w:val="24"/>
        </w:rPr>
        <w:fldChar w:fldCharType="separate"/>
      </w:r>
      <w:r w:rsidR="008D0D30" w:rsidRPr="008D0D30">
        <w:rPr>
          <w:noProof/>
          <w:sz w:val="24"/>
        </w:rPr>
        <w:t>(Jackson, 2019)</w:t>
      </w:r>
      <w:r w:rsidR="008D0D30">
        <w:rPr>
          <w:sz w:val="24"/>
        </w:rPr>
        <w:fldChar w:fldCharType="end"/>
      </w:r>
      <w:r w:rsidR="00F74824">
        <w:rPr>
          <w:sz w:val="24"/>
        </w:rPr>
        <w:t>.</w:t>
      </w:r>
      <w:r w:rsidR="002631CE">
        <w:rPr>
          <w:sz w:val="24"/>
        </w:rPr>
        <w:t xml:space="preserve"> WSG is considered a “syno</w:t>
      </w:r>
      <w:r w:rsidR="00A77326">
        <w:rPr>
          <w:sz w:val="24"/>
        </w:rPr>
        <w:t xml:space="preserve">ptic” hazard, which includes </w:t>
      </w:r>
      <w:r w:rsidR="002631CE">
        <w:rPr>
          <w:sz w:val="24"/>
        </w:rPr>
        <w:t>meteorological events that range 100 to 5k kilometers in size</w:t>
      </w:r>
      <w:r w:rsidR="00162A21">
        <w:rPr>
          <w:sz w:val="24"/>
        </w:rPr>
        <w:t xml:space="preserve">. </w:t>
      </w:r>
      <w:r w:rsidR="00E142B8">
        <w:rPr>
          <w:sz w:val="24"/>
        </w:rPr>
        <w:t>Temporally</w:t>
      </w:r>
      <w:r w:rsidR="00162A21">
        <w:rPr>
          <w:sz w:val="24"/>
        </w:rPr>
        <w:t xml:space="preserve">, synoptic events </w:t>
      </w:r>
      <w:r w:rsidR="00E142B8">
        <w:rPr>
          <w:sz w:val="24"/>
        </w:rPr>
        <w:t xml:space="preserve">last up to a few weeks, but no less than a few days, </w:t>
      </w:r>
      <w:r w:rsidR="002631CE">
        <w:rPr>
          <w:sz w:val="24"/>
        </w:rPr>
        <w:t xml:space="preserve">in duration </w:t>
      </w:r>
      <w:r w:rsidR="007E2A85">
        <w:rPr>
          <w:sz w:val="24"/>
        </w:rPr>
        <w:fldChar w:fldCharType="begin" w:fldLock="1"/>
      </w:r>
      <w:r w:rsidR="00DA09C3">
        <w:rPr>
          <w:sz w:val="24"/>
        </w:rPr>
        <w:instrText>ADDIN CSL_CITATION {"citationItems":[{"id":"ITEM-1","itemData":{"URL":"http://snowball.millersville.edu/~adecaria/ESCI241/esci241_lesson13_circulation_I.pdf","accessed":{"date-parts":[["2020","7","25"]]},"author":[{"dropping-particle":"","family":"DeCaria","given":"Alex","non-dropping-particle":"","parse-names":false,"suffix":""}],"id":"ITEM-1","issued":{"date-parts":[["0"]]},"page":"1 - 3","title":"ESCI 241-Meteorology Lesson 13 Small Scale Circulations","type":"webpage"},"uris":["http://www.mendeley.com/documents/?uuid=e83daa22-7134-469f-866a-3c6dc42b61cd"]}],"mendeley":{"formattedCitation":"(DeCaria, n.d.)","plainTextFormattedCitation":"(DeCaria, n.d.)","previouslyFormattedCitation":"(DeCaria, n.d.)"},"properties":{"noteIndex":0},"schema":"https://github.com/citation-style-language/schema/raw/master/csl-citation.json"}</w:instrText>
      </w:r>
      <w:r w:rsidR="007E2A85">
        <w:rPr>
          <w:sz w:val="24"/>
        </w:rPr>
        <w:fldChar w:fldCharType="separate"/>
      </w:r>
      <w:r w:rsidR="007E2A85" w:rsidRPr="007E2A85">
        <w:rPr>
          <w:noProof/>
          <w:sz w:val="24"/>
        </w:rPr>
        <w:t>(DeCaria, n.d.)</w:t>
      </w:r>
      <w:r w:rsidR="007E2A85">
        <w:rPr>
          <w:sz w:val="24"/>
        </w:rPr>
        <w:fldChar w:fldCharType="end"/>
      </w:r>
      <w:r w:rsidR="00FD59F3">
        <w:rPr>
          <w:sz w:val="24"/>
        </w:rPr>
        <w:t>.</w:t>
      </w:r>
      <w:r w:rsidR="000908F4">
        <w:rPr>
          <w:sz w:val="24"/>
        </w:rPr>
        <w:t xml:space="preserve"> </w:t>
      </w:r>
      <w:r w:rsidR="0089189F">
        <w:rPr>
          <w:sz w:val="24"/>
        </w:rPr>
        <w:t>WSG formed from a Pacific No</w:t>
      </w:r>
      <w:r w:rsidR="00BB4F82">
        <w:rPr>
          <w:sz w:val="24"/>
        </w:rPr>
        <w:t>rthwest low-</w:t>
      </w:r>
      <w:r w:rsidR="0089189F">
        <w:rPr>
          <w:sz w:val="24"/>
        </w:rPr>
        <w:t>pressure system o</w:t>
      </w:r>
      <w:r w:rsidR="00F91F7E">
        <w:rPr>
          <w:sz w:val="24"/>
        </w:rPr>
        <w:t>n 9 January</w:t>
      </w:r>
      <w:r w:rsidR="004324BB">
        <w:rPr>
          <w:sz w:val="24"/>
        </w:rPr>
        <w:t xml:space="preserve"> </w:t>
      </w:r>
      <w:r w:rsidR="004324BB">
        <w:rPr>
          <w:sz w:val="24"/>
        </w:rPr>
        <w:fldChar w:fldCharType="begin" w:fldLock="1"/>
      </w:r>
      <w:r w:rsidR="008D0D30">
        <w:rPr>
          <w:sz w:val="24"/>
        </w:rPr>
        <w:instrText>ADDIN CSL_CITATION {"citationItems":[{"id":"ITEM-1","itemData":{"author":[{"dropping-particle":"","family":"Jackson","given":"Brian","non-dropping-particle":"","parse-names":false,"suffix":""}],"id":"ITEM-1","issued":{"date-parts":[["2019"]]},"title":"Central Rockies to Mid-Atlantic Winter Storm (11 - 14 January, 2019)","type":"report"},"uris":["http://www.mendeley.com/documents/?uuid=aa559bf3-47a6-3241-a96b-492da1eda784"]}],"mendeley":{"formattedCitation":"(Jackson, 2019)","plainTextFormattedCitation":"(Jackson, 2019)","previouslyFormattedCitation":"(Jackson, 2019)"},"properties":{"noteIndex":0},"schema":"https://github.com/citation-style-language/schema/raw/master/csl-citation.json"}</w:instrText>
      </w:r>
      <w:r w:rsidR="004324BB">
        <w:rPr>
          <w:sz w:val="24"/>
        </w:rPr>
        <w:fldChar w:fldCharType="separate"/>
      </w:r>
      <w:r w:rsidR="004324BB" w:rsidRPr="004324BB">
        <w:rPr>
          <w:noProof/>
          <w:sz w:val="24"/>
        </w:rPr>
        <w:t>(Jackson, 2019)</w:t>
      </w:r>
      <w:r w:rsidR="004324BB">
        <w:rPr>
          <w:sz w:val="24"/>
        </w:rPr>
        <w:fldChar w:fldCharType="end"/>
      </w:r>
      <w:r w:rsidR="004324BB">
        <w:rPr>
          <w:sz w:val="24"/>
        </w:rPr>
        <w:t xml:space="preserve">. The system strengthened over the next 36 hours, and </w:t>
      </w:r>
      <w:r w:rsidR="00BB4F82">
        <w:rPr>
          <w:sz w:val="24"/>
        </w:rPr>
        <w:t>gained energy from a second low-</w:t>
      </w:r>
      <w:r w:rsidR="004324BB">
        <w:rPr>
          <w:sz w:val="24"/>
        </w:rPr>
        <w:t xml:space="preserve">pressure </w:t>
      </w:r>
      <w:r w:rsidR="00A20B5F">
        <w:rPr>
          <w:sz w:val="24"/>
        </w:rPr>
        <w:t xml:space="preserve">in the Gulf. </w:t>
      </w:r>
      <w:r w:rsidR="004D1DC1">
        <w:rPr>
          <w:sz w:val="24"/>
        </w:rPr>
        <w:t xml:space="preserve">Continental polar </w:t>
      </w:r>
      <w:r w:rsidR="007E1A5D">
        <w:rPr>
          <w:sz w:val="24"/>
        </w:rPr>
        <w:t>air from Canada</w:t>
      </w:r>
      <w:r w:rsidR="00A77326">
        <w:rPr>
          <w:sz w:val="24"/>
        </w:rPr>
        <w:t>,</w:t>
      </w:r>
      <w:r w:rsidR="007E1A5D">
        <w:rPr>
          <w:sz w:val="24"/>
        </w:rPr>
        <w:t xml:space="preserve"> </w:t>
      </w:r>
      <w:r w:rsidR="00A77326">
        <w:rPr>
          <w:sz w:val="24"/>
        </w:rPr>
        <w:t xml:space="preserve">meeting the moisture from the Gulf, </w:t>
      </w:r>
      <w:r w:rsidR="007E1A5D">
        <w:rPr>
          <w:sz w:val="24"/>
        </w:rPr>
        <w:t xml:space="preserve">allowed </w:t>
      </w:r>
      <w:r w:rsidR="00617B6C">
        <w:rPr>
          <w:sz w:val="24"/>
        </w:rPr>
        <w:t>for winter weather</w:t>
      </w:r>
      <w:r w:rsidR="000D4ACC">
        <w:rPr>
          <w:sz w:val="24"/>
        </w:rPr>
        <w:t xml:space="preserve"> </w:t>
      </w:r>
      <w:r w:rsidR="008D0D30">
        <w:rPr>
          <w:sz w:val="24"/>
        </w:rPr>
        <w:fldChar w:fldCharType="begin" w:fldLock="1"/>
      </w:r>
      <w:r w:rsidR="008D0D30">
        <w:rPr>
          <w:sz w:val="24"/>
        </w:rPr>
        <w:instrText>ADDIN CSL_CITATION {"citationItems":[{"id":"ITEM-1","itemData":{"author":[{"dropping-particle":"","family":"Jackson","given":"Brian","non-dropping-particle":"","parse-names":false,"suffix":""}],"id":"ITEM-1","issued":{"date-parts":[["2019"]]},"title":"Central Rockies to Mid-Atlantic Winter Storm (11 - 14 January, 2019)","type":"report"},"uris":["http://www.mendeley.com/documents/?uuid=aa559bf3-47a6-3241-a96b-492da1eda784"]}],"mendeley":{"formattedCitation":"(Jackson, 2019)","plainTextFormattedCitation":"(Jackson, 2019)","previouslyFormattedCitation":"(Jackson, 2019)"},"properties":{"noteIndex":0},"schema":"https://github.com/citation-style-language/schema/raw/master/csl-citation.json"}</w:instrText>
      </w:r>
      <w:r w:rsidR="008D0D30">
        <w:rPr>
          <w:sz w:val="24"/>
        </w:rPr>
        <w:fldChar w:fldCharType="separate"/>
      </w:r>
      <w:r w:rsidR="008D0D30" w:rsidRPr="008D0D30">
        <w:rPr>
          <w:noProof/>
          <w:sz w:val="24"/>
        </w:rPr>
        <w:t>(Jackson, 2019)</w:t>
      </w:r>
      <w:r w:rsidR="008D0D30">
        <w:rPr>
          <w:sz w:val="24"/>
        </w:rPr>
        <w:fldChar w:fldCharType="end"/>
      </w:r>
      <w:r w:rsidR="00A20B5F">
        <w:rPr>
          <w:sz w:val="24"/>
        </w:rPr>
        <w:t>.</w:t>
      </w:r>
      <w:r w:rsidR="00CB4E02">
        <w:rPr>
          <w:sz w:val="24"/>
        </w:rPr>
        <w:t xml:space="preserve"> WSG reached maximum intensity on 13 January</w:t>
      </w:r>
      <w:r w:rsidR="005C4E2D">
        <w:rPr>
          <w:sz w:val="24"/>
        </w:rPr>
        <w:t xml:space="preserve"> with hundreds of reported power outages, flight cancellations, and car accidents </w:t>
      </w:r>
      <w:r w:rsidR="005C4E2D">
        <w:rPr>
          <w:sz w:val="24"/>
        </w:rPr>
        <w:fldChar w:fldCharType="begin" w:fldLock="1"/>
      </w:r>
      <w:r w:rsidR="00B125D7">
        <w:rPr>
          <w:sz w:val="24"/>
        </w:rPr>
        <w:instrText>ADDIN CSL_CITATION {"citationItems":[{"id":"ITEM-1","itemData":{"author":[{"dropping-particle":"","family":"Jackson","given":"Brian","non-dropping-particle":"","parse-names":false,"suffix":""}],"id":"ITEM-1","issued":{"date-parts":[["2019"]]},"title":"Central Rockies to Mid-Atlantic Winter Storm (11 - 14 January, 2019)","type":"report"},"uris":["http://www.mendeley.com/documents/?uuid=aa559bf3-47a6-3241-a96b-492da1eda784"]}],"mendeley":{"formattedCitation":"(Jackson, 2019)","plainTextFormattedCitation":"(Jackson, 2019)","previouslyFormattedCitation":"(Jackson, 2019)"},"properties":{"noteIndex":0},"schema":"https://github.com/citation-style-language/schema/raw/master/csl-citation.json"}</w:instrText>
      </w:r>
      <w:r w:rsidR="005C4E2D">
        <w:rPr>
          <w:sz w:val="24"/>
        </w:rPr>
        <w:fldChar w:fldCharType="separate"/>
      </w:r>
      <w:r w:rsidR="005C4E2D" w:rsidRPr="005C4E2D">
        <w:rPr>
          <w:noProof/>
          <w:sz w:val="24"/>
        </w:rPr>
        <w:t>(Jackson, 2019)</w:t>
      </w:r>
      <w:r w:rsidR="005C4E2D">
        <w:rPr>
          <w:sz w:val="24"/>
        </w:rPr>
        <w:fldChar w:fldCharType="end"/>
      </w:r>
      <w:r w:rsidR="005C4E2D">
        <w:rPr>
          <w:sz w:val="24"/>
        </w:rPr>
        <w:t>.</w:t>
      </w:r>
      <w:r w:rsidR="00035F1D">
        <w:rPr>
          <w:sz w:val="24"/>
        </w:rPr>
        <w:t xml:space="preserve"> </w:t>
      </w:r>
      <w:r w:rsidR="008D0D30">
        <w:rPr>
          <w:sz w:val="24"/>
        </w:rPr>
        <w:t>Central Missouri saw the highest snowfall totals</w:t>
      </w:r>
      <w:r w:rsidR="00A26858">
        <w:rPr>
          <w:sz w:val="24"/>
        </w:rPr>
        <w:t>, with reports nearing 51 centimeters</w:t>
      </w:r>
      <w:r w:rsidR="008D0D30">
        <w:rPr>
          <w:sz w:val="24"/>
        </w:rPr>
        <w:t xml:space="preserve"> </w:t>
      </w:r>
      <w:r w:rsidR="008D0D30">
        <w:rPr>
          <w:sz w:val="24"/>
        </w:rPr>
        <w:fldChar w:fldCharType="begin" w:fldLock="1"/>
      </w:r>
      <w:r w:rsidR="007E2A85">
        <w:rPr>
          <w:sz w:val="24"/>
        </w:rPr>
        <w:instrText>ADDIN CSL_CITATION {"citationItems":[{"id":"ITEM-1","itemData":{"author":[{"dropping-particle":"","family":"Jackson","given":"Brian","non-dropping-particle":"","parse-names":false,"suffix":""}],"id":"ITEM-1","issued":{"date-parts":[["2019"]]},"title":"Central Rockies to Mid-Atlantic Winter Storm (11 - 14 January, 2019)","type":"report"},"uris":["http://www.mendeley.com/documents/?uuid=aa559bf3-47a6-3241-a96b-492da1eda784"]}],"mendeley":{"formattedCitation":"(Jackson, 2019)","plainTextFormattedCitation":"(Jackson, 2019)","previouslyFormattedCitation":"(Jackson, 2019)"},"properties":{"noteIndex":0},"schema":"https://github.com/citation-style-language/schema/raw/master/csl-citation.json"}</w:instrText>
      </w:r>
      <w:r w:rsidR="008D0D30">
        <w:rPr>
          <w:sz w:val="24"/>
        </w:rPr>
        <w:fldChar w:fldCharType="separate"/>
      </w:r>
      <w:r w:rsidR="008D0D30" w:rsidRPr="008D0D30">
        <w:rPr>
          <w:noProof/>
          <w:sz w:val="24"/>
        </w:rPr>
        <w:t>(Jackson, 2019)</w:t>
      </w:r>
      <w:r w:rsidR="008D0D30">
        <w:rPr>
          <w:sz w:val="24"/>
        </w:rPr>
        <w:fldChar w:fldCharType="end"/>
      </w:r>
      <w:r w:rsidR="008D0D30">
        <w:rPr>
          <w:sz w:val="24"/>
        </w:rPr>
        <w:t>.</w:t>
      </w:r>
      <w:r w:rsidR="0064332D">
        <w:rPr>
          <w:sz w:val="24"/>
        </w:rPr>
        <w:t xml:space="preserve"> </w:t>
      </w:r>
      <w:r w:rsidR="0064332D" w:rsidRPr="004155C3">
        <w:rPr>
          <w:sz w:val="24"/>
        </w:rPr>
        <w:t>I hypothesize WSG will demonstrate hierarchical and relocation diffusion, because weather information passes through various NOAA offices before reaching the general public (hierarchical diffusion). I also expect tweets to “follow” WSG’s progression across the United States, which would suggest relocation diffusion.</w:t>
      </w:r>
    </w:p>
    <w:p w14:paraId="24AA9C11" w14:textId="77777777" w:rsidR="0089190B" w:rsidRDefault="00D52E1D" w:rsidP="0089190B">
      <w:pPr>
        <w:spacing w:line="480" w:lineRule="auto"/>
        <w:rPr>
          <w:sz w:val="24"/>
        </w:rPr>
      </w:pPr>
      <w:r>
        <w:rPr>
          <w:sz w:val="24"/>
        </w:rPr>
        <w:tab/>
        <w:t>My second case study is a tornado outbreak, in the Southeast, on 3 March 2019. The</w:t>
      </w:r>
      <w:r w:rsidR="00C635AE">
        <w:rPr>
          <w:sz w:val="24"/>
        </w:rPr>
        <w:t xml:space="preserve"> tornado outbreak </w:t>
      </w:r>
      <w:r w:rsidR="00E4779E">
        <w:rPr>
          <w:sz w:val="24"/>
        </w:rPr>
        <w:t>was</w:t>
      </w:r>
      <w:r w:rsidR="00C635AE">
        <w:rPr>
          <w:sz w:val="24"/>
        </w:rPr>
        <w:t xml:space="preserve"> linked to </w:t>
      </w:r>
      <w:r w:rsidR="0070328E">
        <w:rPr>
          <w:sz w:val="24"/>
        </w:rPr>
        <w:t>a low-</w:t>
      </w:r>
      <w:r w:rsidR="00BB4F82">
        <w:rPr>
          <w:sz w:val="24"/>
        </w:rPr>
        <w:t>pressure system on the bo</w:t>
      </w:r>
      <w:r w:rsidR="00C635AE">
        <w:rPr>
          <w:sz w:val="24"/>
        </w:rPr>
        <w:t>rder o</w:t>
      </w:r>
      <w:r w:rsidR="00D16778">
        <w:rPr>
          <w:sz w:val="24"/>
        </w:rPr>
        <w:t>f Texas and Louisiana. This low-</w:t>
      </w:r>
      <w:r w:rsidR="00C635AE">
        <w:rPr>
          <w:sz w:val="24"/>
        </w:rPr>
        <w:t xml:space="preserve">pressure system </w:t>
      </w:r>
      <w:r w:rsidR="00E4779E">
        <w:rPr>
          <w:sz w:val="24"/>
        </w:rPr>
        <w:t>was</w:t>
      </w:r>
      <w:r w:rsidR="00C635AE">
        <w:rPr>
          <w:sz w:val="24"/>
        </w:rPr>
        <w:t xml:space="preserve"> seen on the 1200Z (8:00 am Eastern) surface analysis map for 3 </w:t>
      </w:r>
      <w:r w:rsidR="00C635AE">
        <w:rPr>
          <w:sz w:val="24"/>
        </w:rPr>
        <w:lastRenderedPageBreak/>
        <w:t xml:space="preserve">March </w:t>
      </w:r>
      <w:r w:rsidR="00F65AAD">
        <w:rPr>
          <w:sz w:val="24"/>
        </w:rPr>
        <w:fldChar w:fldCharType="begin" w:fldLock="1"/>
      </w:r>
      <w:r w:rsidR="00A60E94">
        <w:rPr>
          <w:sz w:val="24"/>
        </w:rPr>
        <w:instrText>ADDIN CSL_CITATION {"citationItems":[{"id":"ITEM-1","itemData":{"author":[{"dropping-particle":"","family":"Santorelli","given":"","non-dropping-particle":"","parse-names":false,"suffix":""}],"id":"ITEM-1","issued":{"date-parts":[["2019"]]},"publisher":"NOAA WPC, NHC, OPC","title":"1200Z Surface Analysis for Sun Mar 03 2019","type":"article"},"uris":["http://www.mendeley.com/documents/?uuid=e613c43b-c658-461e-b4fe-28f29b9bc21e"]}],"mendeley":{"formattedCitation":"(Santorelli, 2019b)","plainTextFormattedCitation":"(Santorelli, 2019b)","previouslyFormattedCitation":"(Santorelli, 2019b)"},"properties":{"noteIndex":0},"schema":"https://github.com/citation-style-language/schema/raw/master/csl-citation.json"}</w:instrText>
      </w:r>
      <w:r w:rsidR="00F65AAD">
        <w:rPr>
          <w:sz w:val="24"/>
        </w:rPr>
        <w:fldChar w:fldCharType="separate"/>
      </w:r>
      <w:r w:rsidR="00F25CE0" w:rsidRPr="00F25CE0">
        <w:rPr>
          <w:noProof/>
          <w:sz w:val="24"/>
        </w:rPr>
        <w:t>(Santorelli, 2019b)</w:t>
      </w:r>
      <w:r w:rsidR="00F65AAD">
        <w:rPr>
          <w:sz w:val="24"/>
        </w:rPr>
        <w:fldChar w:fldCharType="end"/>
      </w:r>
      <w:r w:rsidR="007A54B2">
        <w:rPr>
          <w:sz w:val="24"/>
        </w:rPr>
        <w:t>.</w:t>
      </w:r>
      <w:r w:rsidR="00C635AE">
        <w:rPr>
          <w:sz w:val="24"/>
        </w:rPr>
        <w:t xml:space="preserve"> </w:t>
      </w:r>
      <w:r w:rsidR="003046B7">
        <w:rPr>
          <w:sz w:val="24"/>
        </w:rPr>
        <w:t xml:space="preserve">Cold </w:t>
      </w:r>
      <w:r w:rsidR="00A55E1B">
        <w:rPr>
          <w:sz w:val="24"/>
        </w:rPr>
        <w:t>air from Missouri and Arkansas</w:t>
      </w:r>
      <w:r w:rsidR="007A54B2">
        <w:rPr>
          <w:sz w:val="24"/>
        </w:rPr>
        <w:t xml:space="preserve"> </w:t>
      </w:r>
      <w:r w:rsidR="00F25CE0">
        <w:rPr>
          <w:sz w:val="24"/>
        </w:rPr>
        <w:fldChar w:fldCharType="begin" w:fldLock="1"/>
      </w:r>
      <w:r w:rsidR="00A60E94">
        <w:rPr>
          <w:sz w:val="24"/>
        </w:rPr>
        <w:instrText>ADDIN CSL_CITATION {"citationItems":[{"id":"ITEM-1","itemData":{"author":[{"dropping-particle":"","family":"Santorelli","given":"","non-dropping-particle":"","parse-names":false,"suffix":""}],"id":"ITEM-1","issued":{"date-parts":[["2019"]]},"publisher":"NOAA WPC, NHC, OPC","title":"1200Z Surface Analysis for Sat Mar 02 2019","type":"article"},"uris":["http://www.mendeley.com/documents/?uuid=a6785882-7758-4b29-b895-43b41d622a86"]}],"mendeley":{"formattedCitation":"(Santorelli, 2019a)","plainTextFormattedCitation":"(Santorelli, 2019a)","previouslyFormattedCitation":"(Santorelli, 2019a)"},"properties":{"noteIndex":0},"schema":"https://github.com/citation-style-language/schema/raw/master/csl-citation.json"}</w:instrText>
      </w:r>
      <w:r w:rsidR="00F25CE0">
        <w:rPr>
          <w:sz w:val="24"/>
        </w:rPr>
        <w:fldChar w:fldCharType="separate"/>
      </w:r>
      <w:r w:rsidR="00F25CE0" w:rsidRPr="00F25CE0">
        <w:rPr>
          <w:noProof/>
          <w:sz w:val="24"/>
        </w:rPr>
        <w:t>(Santorelli, 2019a)</w:t>
      </w:r>
      <w:r w:rsidR="00F25CE0">
        <w:rPr>
          <w:sz w:val="24"/>
        </w:rPr>
        <w:fldChar w:fldCharType="end"/>
      </w:r>
      <w:r w:rsidR="00F25CE0">
        <w:rPr>
          <w:sz w:val="24"/>
        </w:rPr>
        <w:t xml:space="preserve"> </w:t>
      </w:r>
      <w:r w:rsidR="003046B7">
        <w:rPr>
          <w:sz w:val="24"/>
        </w:rPr>
        <w:t>and warm air</w:t>
      </w:r>
      <w:r w:rsidR="007A54B2">
        <w:rPr>
          <w:sz w:val="24"/>
        </w:rPr>
        <w:t xml:space="preserve"> </w:t>
      </w:r>
      <w:r w:rsidR="00A55E1B">
        <w:rPr>
          <w:sz w:val="24"/>
        </w:rPr>
        <w:t>from Florida</w:t>
      </w:r>
      <w:r w:rsidR="003046B7">
        <w:rPr>
          <w:sz w:val="24"/>
        </w:rPr>
        <w:t xml:space="preserve"> </w:t>
      </w:r>
      <w:r w:rsidR="008F0668">
        <w:rPr>
          <w:sz w:val="24"/>
        </w:rPr>
        <w:t>intersected over Alabama</w:t>
      </w:r>
      <w:r w:rsidR="00A60E94">
        <w:rPr>
          <w:sz w:val="24"/>
        </w:rPr>
        <w:t xml:space="preserve"> </w:t>
      </w:r>
      <w:r w:rsidR="00A60E94">
        <w:rPr>
          <w:sz w:val="24"/>
        </w:rPr>
        <w:fldChar w:fldCharType="begin" w:fldLock="1"/>
      </w:r>
      <w:r w:rsidR="00C147E0">
        <w:rPr>
          <w:sz w:val="24"/>
        </w:rPr>
        <w:instrText>ADDIN CSL_CITATION {"citationItems":[{"id":"ITEM-1","itemData":{"URL":"https://www.weather.gov/bmx/event_03032019","accessed":{"date-parts":[["2020","7","25"]]},"id":"ITEM-1","issued":{"date-parts":[["0"]]},"title":"Tornadoes of March 3, 2019 Event Summary for Central Alabama","type":"webpage"},"uris":["http://www.mendeley.com/documents/?uuid=9125fca7-979a-3bef-817b-1c90b27c5e82"]}],"mendeley":{"formattedCitation":"(“Tornadoes of March 3, 2019 Event Summary for Central Alabama,” n.d.)","plainTextFormattedCitation":"(“Tornadoes of March 3, 2019 Event Summary for Central Alabama,” n.d.)","previouslyFormattedCitation":"(“Tornadoes of March 3, 2019 Event Summary for Central Alabama,” n.d.)"},"properties":{"noteIndex":0},"schema":"https://github.com/citation-style-language/schema/raw/master/csl-citation.json"}</w:instrText>
      </w:r>
      <w:r w:rsidR="00A60E94">
        <w:rPr>
          <w:sz w:val="24"/>
        </w:rPr>
        <w:fldChar w:fldCharType="separate"/>
      </w:r>
      <w:r w:rsidR="00A60E94" w:rsidRPr="00A60E94">
        <w:rPr>
          <w:noProof/>
          <w:sz w:val="24"/>
        </w:rPr>
        <w:t>(“Tornadoes of March 3, 2019 Event Summary for Central Alabama,” n.d.)</w:t>
      </w:r>
      <w:r w:rsidR="00A60E94">
        <w:rPr>
          <w:sz w:val="24"/>
        </w:rPr>
        <w:fldChar w:fldCharType="end"/>
      </w:r>
      <w:r w:rsidR="007A54B2">
        <w:rPr>
          <w:sz w:val="24"/>
        </w:rPr>
        <w:t>. Rotating winds and unstable air led to supercell storm formation</w:t>
      </w:r>
      <w:r w:rsidR="00C147E0">
        <w:rPr>
          <w:sz w:val="24"/>
        </w:rPr>
        <w:t xml:space="preserve"> </w:t>
      </w:r>
      <w:r w:rsidR="00C147E0">
        <w:rPr>
          <w:sz w:val="24"/>
        </w:rPr>
        <w:fldChar w:fldCharType="begin" w:fldLock="1"/>
      </w:r>
      <w:r w:rsidR="00714287">
        <w:rPr>
          <w:sz w:val="24"/>
        </w:rPr>
        <w:instrText>ADDIN CSL_CITATION {"citationItems":[{"id":"ITEM-1","itemData":{"URL":"https://www.weather.gov/cae/Tornado_20190303","accessed":{"date-parts":[["2020","7","25"]]},"id":"ITEM-1","issued":{"date-parts":[["2019"]]},"title":"March 3rd, 2019 Tornado Outbreak","type":"webpage"},"uris":["http://www.mendeley.com/documents/?uuid=9f424111-fc1f-3b90-8868-811836f7f675"]}],"mendeley":{"formattedCitation":"(“March 3rd, 2019 Tornado Outbreak,” 2019)","plainTextFormattedCitation":"(“March 3rd, 2019 Tornado Outbreak,” 2019)","previouslyFormattedCitation":"(“March 3rd, 2019 Tornado Outbreak,” 2019)"},"properties":{"noteIndex":0},"schema":"https://github.com/citation-style-language/schema/raw/master/csl-citation.json"}</w:instrText>
      </w:r>
      <w:r w:rsidR="00C147E0">
        <w:rPr>
          <w:sz w:val="24"/>
        </w:rPr>
        <w:fldChar w:fldCharType="separate"/>
      </w:r>
      <w:r w:rsidR="00C147E0" w:rsidRPr="00C147E0">
        <w:rPr>
          <w:noProof/>
          <w:sz w:val="24"/>
        </w:rPr>
        <w:t>(“March 3rd, 2019 Tornado Outbreak,” 2019)</w:t>
      </w:r>
      <w:r w:rsidR="00C147E0">
        <w:rPr>
          <w:sz w:val="24"/>
        </w:rPr>
        <w:fldChar w:fldCharType="end"/>
      </w:r>
      <w:r w:rsidR="007A54B2">
        <w:rPr>
          <w:sz w:val="24"/>
        </w:rPr>
        <w:t>.</w:t>
      </w:r>
      <w:r w:rsidR="007B1685">
        <w:rPr>
          <w:sz w:val="24"/>
        </w:rPr>
        <w:t xml:space="preserve"> </w:t>
      </w:r>
      <w:r w:rsidR="00852C9A">
        <w:rPr>
          <w:sz w:val="24"/>
        </w:rPr>
        <w:t xml:space="preserve">Eighty tornadoes formed, according to preliminary data from </w:t>
      </w:r>
      <w:r w:rsidR="00CA15DB">
        <w:rPr>
          <w:sz w:val="24"/>
        </w:rPr>
        <w:t xml:space="preserve">the </w:t>
      </w:r>
      <w:r w:rsidR="004553D3">
        <w:rPr>
          <w:sz w:val="24"/>
        </w:rPr>
        <w:t>Storm Prediction Center</w:t>
      </w:r>
      <w:r w:rsidR="00DA09C3">
        <w:rPr>
          <w:sz w:val="24"/>
        </w:rPr>
        <w:t xml:space="preserve"> </w:t>
      </w:r>
      <w:r w:rsidR="00DA09C3">
        <w:rPr>
          <w:sz w:val="24"/>
        </w:rPr>
        <w:fldChar w:fldCharType="begin" w:fldLock="1"/>
      </w:r>
      <w:r w:rsidR="004B17CC">
        <w:rPr>
          <w:sz w:val="24"/>
        </w:rPr>
        <w:instrText>ADDIN CSL_CITATION {"citationItems":[{"id":"ITEM-1","itemData":{"author":[{"dropping-particle":"","family":"Storm Prediction Center","given":"","non-dropping-particle":"","parse-names":false,"suffix":""}],"id":"ITEM-1","issued":{"date-parts":[["2019"]]},"publisher":"NOAA's National Weather Service","title":"SPC Filtered Storm Reports for 03/03/19","type":"report"},"uris":["http://www.mendeley.com/documents/?uuid=8b822194-1546-34ff-b163-728fcb5a60ba"]}],"mendeley":{"formattedCitation":"(Storm Prediction Center, 2019)","plainTextFormattedCitation":"(Storm Prediction Center, 2019)","previouslyFormattedCitation":"(Storm Prediction Center, 2019)"},"properties":{"noteIndex":0},"schema":"https://github.com/citation-style-language/schema/raw/master/csl-citation.json"}</w:instrText>
      </w:r>
      <w:r w:rsidR="00DA09C3">
        <w:rPr>
          <w:sz w:val="24"/>
        </w:rPr>
        <w:fldChar w:fldCharType="separate"/>
      </w:r>
      <w:r w:rsidR="00DA09C3" w:rsidRPr="00DA09C3">
        <w:rPr>
          <w:noProof/>
          <w:sz w:val="24"/>
        </w:rPr>
        <w:t>(Storm Prediction Center, 2019)</w:t>
      </w:r>
      <w:r w:rsidR="00DA09C3">
        <w:rPr>
          <w:sz w:val="24"/>
        </w:rPr>
        <w:fldChar w:fldCharType="end"/>
      </w:r>
      <w:r w:rsidR="00C635AE">
        <w:rPr>
          <w:sz w:val="24"/>
        </w:rPr>
        <w:t xml:space="preserve">. </w:t>
      </w:r>
      <w:r w:rsidR="00802954">
        <w:rPr>
          <w:sz w:val="24"/>
        </w:rPr>
        <w:t xml:space="preserve">The outbreak caused 104 injuries </w:t>
      </w:r>
      <w:r w:rsidR="00802954">
        <w:rPr>
          <w:sz w:val="24"/>
        </w:rPr>
        <w:fldChar w:fldCharType="begin" w:fldLock="1"/>
      </w:r>
      <w:r w:rsidR="00FE6188">
        <w:rPr>
          <w:sz w:val="24"/>
        </w:rPr>
        <w:instrText>ADDIN CSL_CITATION {"citationItems":[{"id":"ITEM-1","itemData":{"URL":"https://www.spc.noaa.gov/climo/reports/190303_rpts.html","abstract":"SPC Storm Reports Page","accessed":{"date-parts":[["2020","10","17"]]},"container-title":"SPC Storm Reports","id":"ITEM-1","issued":{"date-parts":[["2019"]]},"publisher":"NOAA's National Weather Service","title":"Storm Prediction Center Storm Reports for 3/3/19","type":"webpage"},"uris":["http://www.mendeley.com/documents/?uuid=affc593d-292c-3795-ab3d-d3455187871c"]}],"mendeley":{"formattedCitation":"(“Storm Prediction Center Storm Reports for 3/3/19,” 2019)","plainTextFormattedCitation":"(“Storm Prediction Center Storm Reports for 3/3/19,” 2019)","previouslyFormattedCitation":"(“Storm Prediction Center Storm Reports for 3/3/19,” 2019)"},"properties":{"noteIndex":0},"schema":"https://github.com/citation-style-language/schema/raw/master/csl-citation.json"}</w:instrText>
      </w:r>
      <w:r w:rsidR="00802954">
        <w:rPr>
          <w:sz w:val="24"/>
        </w:rPr>
        <w:fldChar w:fldCharType="separate"/>
      </w:r>
      <w:r w:rsidR="00802954" w:rsidRPr="00802954">
        <w:rPr>
          <w:noProof/>
          <w:sz w:val="24"/>
        </w:rPr>
        <w:t>(“Storm Prediction Center Storm Reports for 3/3/19,” 2019)</w:t>
      </w:r>
      <w:r w:rsidR="00802954">
        <w:rPr>
          <w:sz w:val="24"/>
        </w:rPr>
        <w:fldChar w:fldCharType="end"/>
      </w:r>
      <w:r w:rsidR="00802954">
        <w:rPr>
          <w:sz w:val="24"/>
        </w:rPr>
        <w:t xml:space="preserve">. </w:t>
      </w:r>
      <w:r w:rsidR="00C635AE" w:rsidRPr="00802954">
        <w:rPr>
          <w:sz w:val="24"/>
        </w:rPr>
        <w:t>Twenty</w:t>
      </w:r>
      <w:r w:rsidR="00C635AE">
        <w:rPr>
          <w:sz w:val="24"/>
        </w:rPr>
        <w:t xml:space="preserve">-three people died in one EF4 tornado that hit Beauregard and Smiths-Station (Lee County), Alabama </w:t>
      </w:r>
      <w:r w:rsidR="00125CF8">
        <w:rPr>
          <w:sz w:val="24"/>
        </w:rPr>
        <w:fldChar w:fldCharType="begin" w:fldLock="1"/>
      </w:r>
      <w:r w:rsidR="0055394C">
        <w:rPr>
          <w:sz w:val="24"/>
        </w:rPr>
        <w:instrText>ADDIN CSL_CITATION {"citationItems":[{"id":"ITEM-1","itemData":{"URL":"https://www.climate.gov/news-features/event-tracker/early-march-2019-tornado-outbreak-ravages-parts-us-southeast","accessed":{"date-parts":[["2019","5","29"]]},"author":[{"dropping-particle":"","family":"Liberto","given":"Tom","non-dropping-particle":"Di","parse-names":false,"suffix":""}],"id":"ITEM-1","issued":{"date-parts":[["2019"]]},"title":"Early March 2019 tornado outbreak ravages parts of U.S. Southeast","type":"webpage"},"uris":["http://www.mendeley.com/documents/?uuid=98422238-16eb-350e-9ad9-f4c4cdb9fd30"]},{"id":"ITEM-2","itemData":{"abstract":"Beauregard-Smiths Station Tornado - March 3, 2019","id":"ITEM-2","issued":{"date-parts":[["0"]]},"publisher":"NOAA's National Weather Service","title":"Beauregard-Smiths Station Tornado - March 3, 2019","type":"article-journal"},"uris":["http://www.mendeley.com/documents/?uuid=887e9fe1-a5ae-33ac-b51f-1f76b7f16a32"]}],"mendeley":{"formattedCitation":"(“Beauregard-Smiths Station Tornado - March 3, 2019,” n.d.; Di Liberto, 2019)","plainTextFormattedCitation":"(“Beauregard-Smiths Station Tornado - March 3, 2019,” n.d.; Di Liberto, 2019)","previouslyFormattedCitation":"(“Beauregard-Smiths Station Tornado - March 3, 2019,” n.d.; Di Liberto, 2019)"},"properties":{"noteIndex":0},"schema":"https://github.com/citation-style-language/schema/raw/master/csl-citation.json"}</w:instrText>
      </w:r>
      <w:r w:rsidR="00125CF8">
        <w:rPr>
          <w:sz w:val="24"/>
        </w:rPr>
        <w:fldChar w:fldCharType="separate"/>
      </w:r>
      <w:r w:rsidR="00125CF8" w:rsidRPr="00125CF8">
        <w:rPr>
          <w:noProof/>
          <w:sz w:val="24"/>
        </w:rPr>
        <w:t>(“Beauregard-Smiths Station Tornado - March 3, 2019,” n.d.; Di Liberto, 2019)</w:t>
      </w:r>
      <w:r w:rsidR="00125CF8">
        <w:rPr>
          <w:sz w:val="24"/>
        </w:rPr>
        <w:fldChar w:fldCharType="end"/>
      </w:r>
      <w:r w:rsidR="00887098">
        <w:rPr>
          <w:sz w:val="24"/>
        </w:rPr>
        <w:t>.</w:t>
      </w:r>
      <w:r w:rsidR="006104DF">
        <w:rPr>
          <w:sz w:val="24"/>
        </w:rPr>
        <w:t xml:space="preserve"> The NWS office in Birmingham, Alabama</w:t>
      </w:r>
      <w:r w:rsidR="002A44CE">
        <w:rPr>
          <w:sz w:val="24"/>
        </w:rPr>
        <w:t>,</w:t>
      </w:r>
      <w:r w:rsidR="006104DF">
        <w:rPr>
          <w:sz w:val="24"/>
        </w:rPr>
        <w:t xml:space="preserve"> reported</w:t>
      </w:r>
      <w:r w:rsidR="002A44CE">
        <w:rPr>
          <w:sz w:val="24"/>
        </w:rPr>
        <w:t xml:space="preserve"> this historic tornado w</w:t>
      </w:r>
      <w:r w:rsidR="00E4779E">
        <w:rPr>
          <w:sz w:val="24"/>
        </w:rPr>
        <w:t>as 1.6 kilometers wide, 43 kilometers</w:t>
      </w:r>
      <w:r w:rsidR="002A44CE">
        <w:rPr>
          <w:sz w:val="24"/>
        </w:rPr>
        <w:t xml:space="preserve"> long, and had maximum sustained winds </w:t>
      </w:r>
      <w:r w:rsidR="00A26858">
        <w:rPr>
          <w:sz w:val="24"/>
        </w:rPr>
        <w:t>of</w:t>
      </w:r>
      <w:r w:rsidR="00E4779E">
        <w:rPr>
          <w:sz w:val="24"/>
        </w:rPr>
        <w:t xml:space="preserve"> 274 kilometers</w:t>
      </w:r>
      <w:r w:rsidR="002A44CE">
        <w:rPr>
          <w:sz w:val="24"/>
        </w:rPr>
        <w:t xml:space="preserve"> per hour </w:t>
      </w:r>
      <w:r w:rsidR="0055394C">
        <w:rPr>
          <w:sz w:val="24"/>
        </w:rPr>
        <w:fldChar w:fldCharType="begin" w:fldLock="1"/>
      </w:r>
      <w:r w:rsidR="00673621">
        <w:rPr>
          <w:sz w:val="24"/>
        </w:rPr>
        <w:instrText>ADDIN CSL_CITATION {"citationItems":[{"id":"ITEM-1","itemData":{"abstract":"Beauregard-Smiths Station Tornado - March 3, 2019","id":"ITEM-1","issued":{"date-parts":[["0"]]},"publisher":"NOAA's National Weather Service","title":"Beauregard-Smiths Station Tornado - March 3, 2019","type":"article-journal"},"uris":["http://www.mendeley.com/documents/?uuid=887e9fe1-a5ae-33ac-b51f-1f76b7f16a32"]}],"mendeley":{"formattedCitation":"(“Beauregard-Smiths Station Tornado - March 3, 2019,” n.d.)","plainTextFormattedCitation":"(“Beauregard-Smiths Station Tornado - March 3, 2019,” n.d.)","previouslyFormattedCitation":"(“Beauregard-Smiths Station Tornado - March 3, 2019,” n.d.)"},"properties":{"noteIndex":0},"schema":"https://github.com/citation-style-language/schema/raw/master/csl-citation.json"}</w:instrText>
      </w:r>
      <w:r w:rsidR="0055394C">
        <w:rPr>
          <w:sz w:val="24"/>
        </w:rPr>
        <w:fldChar w:fldCharType="separate"/>
      </w:r>
      <w:r w:rsidR="0055394C" w:rsidRPr="0055394C">
        <w:rPr>
          <w:noProof/>
          <w:sz w:val="24"/>
        </w:rPr>
        <w:t>(“Beauregard-Smiths Station Tornado - March 3, 2019,” n.d.)</w:t>
      </w:r>
      <w:r w:rsidR="0055394C">
        <w:rPr>
          <w:sz w:val="24"/>
        </w:rPr>
        <w:fldChar w:fldCharType="end"/>
      </w:r>
      <w:r w:rsidR="00E379B7">
        <w:rPr>
          <w:sz w:val="24"/>
        </w:rPr>
        <w:t>.</w:t>
      </w:r>
      <w:r w:rsidR="00363BEF">
        <w:rPr>
          <w:sz w:val="24"/>
        </w:rPr>
        <w:t xml:space="preserve"> </w:t>
      </w:r>
      <w:r w:rsidR="00D81504" w:rsidRPr="00367391">
        <w:rPr>
          <w:sz w:val="24"/>
        </w:rPr>
        <w:t xml:space="preserve">Its classification varies depending on </w:t>
      </w:r>
      <w:r w:rsidR="00A67024" w:rsidRPr="00367391">
        <w:rPr>
          <w:sz w:val="24"/>
        </w:rPr>
        <w:t>the frame of reference. The entire outbreak area is of the synoptic scale because it is quite large and encompasses 1</w:t>
      </w:r>
      <w:r w:rsidR="002B1037" w:rsidRPr="00367391">
        <w:rPr>
          <w:sz w:val="24"/>
        </w:rPr>
        <w:t>.7k kilometers, while an individual tornado is small and of the</w:t>
      </w:r>
      <w:r w:rsidR="00A9391A" w:rsidRPr="00367391">
        <w:rPr>
          <w:sz w:val="24"/>
        </w:rPr>
        <w:t xml:space="preserve"> microscale. </w:t>
      </w:r>
      <w:r w:rsidR="0008439A" w:rsidRPr="00367391">
        <w:rPr>
          <w:sz w:val="24"/>
        </w:rPr>
        <w:t>The t</w:t>
      </w:r>
      <w:r w:rsidR="0008439A">
        <w:rPr>
          <w:sz w:val="24"/>
        </w:rPr>
        <w:t>ornado outbreak also developed and dissipated faster than WSG; thus, the two case studies have different spatiotemporal characteristics</w:t>
      </w:r>
      <w:r w:rsidR="008A030C">
        <w:rPr>
          <w:sz w:val="24"/>
        </w:rPr>
        <w:t xml:space="preserve"> that lead to interesting </w:t>
      </w:r>
      <w:r w:rsidR="008A030C" w:rsidRPr="00367391">
        <w:rPr>
          <w:sz w:val="24"/>
        </w:rPr>
        <w:t>analysis</w:t>
      </w:r>
      <w:r w:rsidR="0008439A" w:rsidRPr="00367391">
        <w:rPr>
          <w:sz w:val="24"/>
        </w:rPr>
        <w:t>.</w:t>
      </w:r>
      <w:r w:rsidR="00572BF6" w:rsidRPr="00367391">
        <w:rPr>
          <w:sz w:val="24"/>
        </w:rPr>
        <w:t xml:space="preserve"> I hypothesize the tornado outbreak will </w:t>
      </w:r>
      <w:r w:rsidR="00C56ADE" w:rsidRPr="00367391">
        <w:rPr>
          <w:sz w:val="24"/>
        </w:rPr>
        <w:t>demonstrate</w:t>
      </w:r>
      <w:r w:rsidR="00935FB4" w:rsidRPr="00367391">
        <w:rPr>
          <w:sz w:val="24"/>
        </w:rPr>
        <w:t xml:space="preserve"> cont</w:t>
      </w:r>
      <w:r w:rsidR="007B3BB4" w:rsidRPr="00367391">
        <w:rPr>
          <w:sz w:val="24"/>
        </w:rPr>
        <w:t xml:space="preserve">agious and expansion diffusion. </w:t>
      </w:r>
      <w:r w:rsidR="00A82EB9" w:rsidRPr="00367391">
        <w:rPr>
          <w:sz w:val="24"/>
        </w:rPr>
        <w:t>People</w:t>
      </w:r>
      <w:r w:rsidR="00A82EB9">
        <w:rPr>
          <w:sz w:val="24"/>
        </w:rPr>
        <w:t xml:space="preserve"> can discuss the tornado outbreak both in physical </w:t>
      </w:r>
      <w:r w:rsidR="006A1387">
        <w:rPr>
          <w:sz w:val="24"/>
        </w:rPr>
        <w:t xml:space="preserve">(“real world”) </w:t>
      </w:r>
      <w:r w:rsidR="00A82EB9">
        <w:rPr>
          <w:sz w:val="24"/>
        </w:rPr>
        <w:t xml:space="preserve">and virtual </w:t>
      </w:r>
      <w:r w:rsidR="006A1387">
        <w:rPr>
          <w:sz w:val="24"/>
        </w:rPr>
        <w:t xml:space="preserve">(Twitter) </w:t>
      </w:r>
      <w:r w:rsidR="00A82EB9">
        <w:rPr>
          <w:sz w:val="24"/>
        </w:rPr>
        <w:t>space, which satisfies contagious diffusion’s element of “direct contact.”</w:t>
      </w:r>
      <w:r w:rsidR="007B3BB4" w:rsidRPr="007B3BB4">
        <w:rPr>
          <w:sz w:val="24"/>
        </w:rPr>
        <w:t xml:space="preserve"> </w:t>
      </w:r>
      <w:r w:rsidR="007B3BB4">
        <w:rPr>
          <w:sz w:val="24"/>
        </w:rPr>
        <w:t>I predict more people will become aware of the tornado-outbreak during each day of the forecast period (28 February to 2 March), which demonstrates expansion diffusion.</w:t>
      </w:r>
    </w:p>
    <w:p w14:paraId="0432D12A" w14:textId="4031EDAD" w:rsidR="004305A4" w:rsidRPr="0089190B" w:rsidRDefault="004A16A5" w:rsidP="0089190B">
      <w:pPr>
        <w:pStyle w:val="Heading2"/>
        <w:spacing w:line="480" w:lineRule="auto"/>
        <w:rPr>
          <w:rFonts w:asciiTheme="minorHAnsi" w:hAnsiTheme="minorHAnsi"/>
          <w:b/>
        </w:rPr>
      </w:pPr>
      <w:bookmarkStart w:id="14" w:name="_Toc56898378"/>
      <w:r w:rsidRPr="0089190B">
        <w:rPr>
          <w:rFonts w:asciiTheme="minorHAnsi" w:hAnsiTheme="minorHAnsi"/>
          <w:b/>
          <w:color w:val="auto"/>
          <w:sz w:val="24"/>
        </w:rPr>
        <w:lastRenderedPageBreak/>
        <w:t xml:space="preserve">3.2 </w:t>
      </w:r>
      <w:r w:rsidR="00C0351C" w:rsidRPr="0089190B">
        <w:rPr>
          <w:rFonts w:asciiTheme="minorHAnsi" w:hAnsiTheme="minorHAnsi"/>
          <w:b/>
          <w:color w:val="auto"/>
          <w:sz w:val="24"/>
        </w:rPr>
        <w:t>Data</w:t>
      </w:r>
      <w:bookmarkEnd w:id="14"/>
      <w:r w:rsidR="008D0F71" w:rsidRPr="0089190B">
        <w:rPr>
          <w:rFonts w:asciiTheme="minorHAnsi" w:hAnsiTheme="minorHAnsi"/>
          <w:b/>
        </w:rPr>
        <w:tab/>
      </w:r>
    </w:p>
    <w:p w14:paraId="11F669A9" w14:textId="2C8EDC99" w:rsidR="00132811" w:rsidRPr="007F33A7" w:rsidRDefault="004A16A5" w:rsidP="0089190B">
      <w:pPr>
        <w:pStyle w:val="Heading3"/>
        <w:spacing w:line="480" w:lineRule="auto"/>
        <w:rPr>
          <w:rFonts w:asciiTheme="minorHAnsi" w:hAnsiTheme="minorHAnsi"/>
          <w:b/>
          <w:i/>
          <w:color w:val="auto"/>
        </w:rPr>
      </w:pPr>
      <w:bookmarkStart w:id="15" w:name="_Toc56898379"/>
      <w:r w:rsidRPr="007F33A7">
        <w:rPr>
          <w:rFonts w:asciiTheme="minorHAnsi" w:hAnsiTheme="minorHAnsi"/>
          <w:b/>
          <w:i/>
          <w:color w:val="auto"/>
        </w:rPr>
        <w:t xml:space="preserve">3.2.a </w:t>
      </w:r>
      <w:r w:rsidR="003E67D7" w:rsidRPr="007F33A7">
        <w:rPr>
          <w:rFonts w:asciiTheme="minorHAnsi" w:hAnsiTheme="minorHAnsi"/>
          <w:b/>
          <w:i/>
          <w:color w:val="auto"/>
        </w:rPr>
        <w:t>Meteorological d</w:t>
      </w:r>
      <w:r w:rsidR="00132811" w:rsidRPr="007F33A7">
        <w:rPr>
          <w:rFonts w:asciiTheme="minorHAnsi" w:hAnsiTheme="minorHAnsi"/>
          <w:b/>
          <w:i/>
          <w:color w:val="auto"/>
        </w:rPr>
        <w:t>ata</w:t>
      </w:r>
      <w:bookmarkEnd w:id="15"/>
    </w:p>
    <w:p w14:paraId="354020B5" w14:textId="4B39A9DE" w:rsidR="005420ED" w:rsidRDefault="001C7187" w:rsidP="004305A4">
      <w:pPr>
        <w:spacing w:line="480" w:lineRule="auto"/>
        <w:rPr>
          <w:sz w:val="24"/>
        </w:rPr>
      </w:pPr>
      <w:r>
        <w:rPr>
          <w:sz w:val="24"/>
        </w:rPr>
        <w:tab/>
      </w:r>
      <w:r w:rsidR="00050C51">
        <w:rPr>
          <w:sz w:val="24"/>
        </w:rPr>
        <w:t>To accompany my analysis, I used</w:t>
      </w:r>
      <w:r w:rsidR="00AC5F95">
        <w:rPr>
          <w:sz w:val="24"/>
        </w:rPr>
        <w:t xml:space="preserve"> </w:t>
      </w:r>
      <w:r w:rsidR="001C5623">
        <w:rPr>
          <w:sz w:val="24"/>
        </w:rPr>
        <w:t>various forms of meteorologi</w:t>
      </w:r>
      <w:r w:rsidR="00CA3424">
        <w:rPr>
          <w:sz w:val="24"/>
        </w:rPr>
        <w:t>cal data. I first gathered archi</w:t>
      </w:r>
      <w:r w:rsidR="001C5623">
        <w:rPr>
          <w:sz w:val="24"/>
        </w:rPr>
        <w:t>ved NWS wat</w:t>
      </w:r>
      <w:r w:rsidR="00CA3424">
        <w:rPr>
          <w:sz w:val="24"/>
        </w:rPr>
        <w:t xml:space="preserve">ch, warning, and advisory </w:t>
      </w:r>
      <w:r w:rsidR="001C5623">
        <w:rPr>
          <w:sz w:val="24"/>
        </w:rPr>
        <w:t xml:space="preserve">shapefiles from the Iowa Environmental Mesonet  </w:t>
      </w:r>
      <w:r w:rsidR="009067DE">
        <w:rPr>
          <w:sz w:val="24"/>
        </w:rPr>
        <w:fldChar w:fldCharType="begin" w:fldLock="1"/>
      </w:r>
      <w:r w:rsidR="009067DE">
        <w:rPr>
          <w:sz w:val="24"/>
        </w:rPr>
        <w:instrText>ADDIN CSL_CITATION {"citationItems":[{"id":"ITEM-1","itemData":{"URL":"https://mesonet.agron.iastate.edu/request/gis/watchwarn.phtml","accessed":{"date-parts":[["2019","4","9"]]},"author":[{"dropping-particle":"","family":"Iowa State University","given":"","non-dropping-particle":"","parse-names":false,"suffix":""}],"id":"ITEM-1","issued":{"date-parts":[["2019"]]},"title":"IEM :: NWS Watch Warning Archive Download","type":"webpage"},"uris":["http://www.mendeley.com/documents/?uuid=a08b2cd8-5bf0-30d6-b76a-d94b70929bbe"]}],"mendeley":{"formattedCitation":"(Iowa State University, 2019)","manualFormatting":"(see Iowa State University, 2019)","plainTextFormattedCitation":"(Iowa State University, 2019)","previouslyFormattedCitation":"(Iowa State University, 2019)"},"properties":{"noteIndex":0},"schema":"https://github.com/citation-style-language/schema/raw/master/csl-citation.json"}</w:instrText>
      </w:r>
      <w:r w:rsidR="009067DE">
        <w:rPr>
          <w:sz w:val="24"/>
        </w:rPr>
        <w:fldChar w:fldCharType="separate"/>
      </w:r>
      <w:r w:rsidR="009067DE" w:rsidRPr="004D5BFB">
        <w:rPr>
          <w:noProof/>
          <w:sz w:val="24"/>
        </w:rPr>
        <w:t>(</w:t>
      </w:r>
      <w:r w:rsidR="009067DE">
        <w:rPr>
          <w:noProof/>
          <w:sz w:val="24"/>
        </w:rPr>
        <w:t xml:space="preserve">see </w:t>
      </w:r>
      <w:r w:rsidR="009067DE" w:rsidRPr="004D5BFB">
        <w:rPr>
          <w:noProof/>
          <w:sz w:val="24"/>
        </w:rPr>
        <w:t>Iowa State University, 2019)</w:t>
      </w:r>
      <w:r w:rsidR="009067DE">
        <w:rPr>
          <w:sz w:val="24"/>
        </w:rPr>
        <w:fldChar w:fldCharType="end"/>
      </w:r>
      <w:r w:rsidR="009067DE">
        <w:rPr>
          <w:sz w:val="24"/>
        </w:rPr>
        <w:t xml:space="preserve">. </w:t>
      </w:r>
      <w:r w:rsidR="00CA3424">
        <w:rPr>
          <w:sz w:val="24"/>
        </w:rPr>
        <w:t xml:space="preserve">Watch, warning, and advisory </w:t>
      </w:r>
      <w:r w:rsidR="001C5623">
        <w:rPr>
          <w:sz w:val="24"/>
        </w:rPr>
        <w:t>shapefiles assisted in pre-processing WSG tweets, as described in greater detail in</w:t>
      </w:r>
      <w:r w:rsidR="00367391">
        <w:rPr>
          <w:sz w:val="24"/>
        </w:rPr>
        <w:t xml:space="preserve"> the “Filtering tweets using different approaches</w:t>
      </w:r>
      <w:r w:rsidR="001C5623">
        <w:rPr>
          <w:sz w:val="24"/>
        </w:rPr>
        <w:t xml:space="preserve">” section. I gathered two forms of </w:t>
      </w:r>
      <w:r w:rsidR="004553D3">
        <w:rPr>
          <w:sz w:val="24"/>
        </w:rPr>
        <w:t>Storm Prediction Center</w:t>
      </w:r>
      <w:r w:rsidR="00B05F74">
        <w:rPr>
          <w:sz w:val="24"/>
        </w:rPr>
        <w:t xml:space="preserve"> </w:t>
      </w:r>
      <w:r w:rsidR="001C5623">
        <w:rPr>
          <w:sz w:val="24"/>
        </w:rPr>
        <w:t>meteorological data for t</w:t>
      </w:r>
      <w:r w:rsidR="00271DDF">
        <w:rPr>
          <w:sz w:val="24"/>
        </w:rPr>
        <w:t>he tornado-</w:t>
      </w:r>
      <w:r w:rsidR="001C5623">
        <w:rPr>
          <w:sz w:val="24"/>
        </w:rPr>
        <w:t>outbreak case s</w:t>
      </w:r>
      <w:r w:rsidR="00B05F74">
        <w:rPr>
          <w:sz w:val="24"/>
        </w:rPr>
        <w:t>tudy</w:t>
      </w:r>
      <w:r w:rsidR="00CA3424">
        <w:rPr>
          <w:sz w:val="24"/>
        </w:rPr>
        <w:t xml:space="preserve">: Convective Outlook </w:t>
      </w:r>
      <w:r w:rsidR="001C5623">
        <w:rPr>
          <w:sz w:val="24"/>
        </w:rPr>
        <w:t xml:space="preserve">maps and </w:t>
      </w:r>
      <w:r w:rsidR="00F63075">
        <w:rPr>
          <w:sz w:val="24"/>
        </w:rPr>
        <w:t>Preliminary Storm Reports.</w:t>
      </w:r>
      <w:r w:rsidR="00B05F74">
        <w:rPr>
          <w:sz w:val="24"/>
        </w:rPr>
        <w:t xml:space="preserve"> </w:t>
      </w:r>
      <w:r w:rsidR="00CA3424">
        <w:rPr>
          <w:sz w:val="24"/>
        </w:rPr>
        <w:t>Convective Outlooks</w:t>
      </w:r>
      <w:r w:rsidR="00757524">
        <w:rPr>
          <w:sz w:val="24"/>
        </w:rPr>
        <w:t>, which are issued daily,</w:t>
      </w:r>
      <w:r w:rsidR="00937EB3">
        <w:rPr>
          <w:sz w:val="24"/>
        </w:rPr>
        <w:t xml:space="preserve"> indicate locations of pred</w:t>
      </w:r>
      <w:r w:rsidR="00AD04B7">
        <w:rPr>
          <w:sz w:val="24"/>
        </w:rPr>
        <w:t>icted severe convective weather</w:t>
      </w:r>
      <w:r w:rsidR="00937EB3">
        <w:rPr>
          <w:sz w:val="24"/>
        </w:rPr>
        <w:t xml:space="preserve"> such as thunderstorms and tornadoes. </w:t>
      </w:r>
      <w:r w:rsidR="00CA3424">
        <w:rPr>
          <w:sz w:val="24"/>
        </w:rPr>
        <w:t>Convective Outlook</w:t>
      </w:r>
      <w:r w:rsidR="005420ED">
        <w:rPr>
          <w:sz w:val="24"/>
        </w:rPr>
        <w:t xml:space="preserve"> categories range in order of least to most risk, as follows: “Thunderstorms,” “Marginal,” “Slight,” “Enhanced,” “Moderate,” and “High.” </w:t>
      </w:r>
      <w:r w:rsidR="00475E9D">
        <w:rPr>
          <w:sz w:val="24"/>
        </w:rPr>
        <w:t xml:space="preserve">Generally, </w:t>
      </w:r>
      <w:r w:rsidR="00CA3424">
        <w:rPr>
          <w:sz w:val="24"/>
        </w:rPr>
        <w:t>Convective Outlook</w:t>
      </w:r>
      <w:r w:rsidR="00475E9D">
        <w:rPr>
          <w:sz w:val="24"/>
        </w:rPr>
        <w:t xml:space="preserve"> maps display </w:t>
      </w:r>
      <w:r w:rsidR="005420ED">
        <w:rPr>
          <w:sz w:val="24"/>
        </w:rPr>
        <w:t>Thunderstorm as their largest risk area</w:t>
      </w:r>
      <w:r w:rsidR="00475E9D">
        <w:rPr>
          <w:sz w:val="24"/>
        </w:rPr>
        <w:t>, and High risk indicates a particularly dangerous event for a smaller area</w:t>
      </w:r>
      <w:r w:rsidR="005420ED">
        <w:rPr>
          <w:sz w:val="24"/>
        </w:rPr>
        <w:t>.</w:t>
      </w:r>
      <w:r w:rsidR="00937EB3">
        <w:rPr>
          <w:sz w:val="24"/>
        </w:rPr>
        <w:t xml:space="preserve"> </w:t>
      </w:r>
      <w:r w:rsidR="00B05F74">
        <w:rPr>
          <w:sz w:val="24"/>
        </w:rPr>
        <w:t xml:space="preserve">The second form of meteorological data </w:t>
      </w:r>
      <w:r w:rsidR="00475E9D">
        <w:rPr>
          <w:sz w:val="24"/>
        </w:rPr>
        <w:t>for the tornado-</w:t>
      </w:r>
      <w:r w:rsidR="00B05F74">
        <w:rPr>
          <w:sz w:val="24"/>
        </w:rPr>
        <w:t xml:space="preserve">outbreak case study, </w:t>
      </w:r>
      <w:r w:rsidR="004553D3">
        <w:rPr>
          <w:sz w:val="24"/>
        </w:rPr>
        <w:t>Storm Prediction Center</w:t>
      </w:r>
      <w:r w:rsidR="00B05F74">
        <w:rPr>
          <w:sz w:val="24"/>
        </w:rPr>
        <w:t xml:space="preserve"> Prel</w:t>
      </w:r>
      <w:r w:rsidR="00757524">
        <w:rPr>
          <w:sz w:val="24"/>
        </w:rPr>
        <w:t xml:space="preserve">iminary Storm Reports, are best </w:t>
      </w:r>
      <w:r w:rsidR="00B05F74">
        <w:rPr>
          <w:sz w:val="24"/>
        </w:rPr>
        <w:t xml:space="preserve">estimates of tornado latitude and longitude </w:t>
      </w:r>
      <w:r w:rsidR="003905A8">
        <w:rPr>
          <w:sz w:val="24"/>
        </w:rPr>
        <w:fldChar w:fldCharType="begin" w:fldLock="1"/>
      </w:r>
      <w:r w:rsidR="003905A8">
        <w:rPr>
          <w:sz w:val="24"/>
        </w:rPr>
        <w:instrText>ADDIN CSL_CITATION {"citationItems":[{"id":"ITEM-1","itemData":{"URL":"https://www.spc.noaa.gov/climo/online/","accessed":{"date-parts":[["2020","7","29"]]},"id":"ITEM-1","issued":{"date-parts":[["2018"]]},"title":"Severe Weather Event Summaries","type":"webpage"},"uris":["http://www.mendeley.com/documents/?uuid=7f387e57-961c-3210-9822-bd2fef929009"]}],"mendeley":{"formattedCitation":"(“Severe Weather Event Summaries,” 2018)","plainTextFormattedCitation":"(“Severe Weather Event Summaries,” 2018)","previouslyFormattedCitation":"(“Severe Weather Event Summaries,” 2018)"},"properties":{"noteIndex":0},"schema":"https://github.com/citation-style-language/schema/raw/master/csl-citation.json"}</w:instrText>
      </w:r>
      <w:r w:rsidR="003905A8">
        <w:rPr>
          <w:sz w:val="24"/>
        </w:rPr>
        <w:fldChar w:fldCharType="separate"/>
      </w:r>
      <w:r w:rsidR="003905A8" w:rsidRPr="00BC41AE">
        <w:rPr>
          <w:noProof/>
          <w:sz w:val="24"/>
        </w:rPr>
        <w:t>(“Severe Weather Event Summaries,” 2018)</w:t>
      </w:r>
      <w:r w:rsidR="003905A8">
        <w:rPr>
          <w:sz w:val="24"/>
        </w:rPr>
        <w:fldChar w:fldCharType="end"/>
      </w:r>
      <w:r w:rsidR="003905A8">
        <w:rPr>
          <w:sz w:val="24"/>
        </w:rPr>
        <w:t xml:space="preserve">. I use </w:t>
      </w:r>
      <w:r w:rsidR="004553D3">
        <w:rPr>
          <w:sz w:val="24"/>
        </w:rPr>
        <w:t>Storm Prediction Center</w:t>
      </w:r>
      <w:r w:rsidR="003905A8">
        <w:rPr>
          <w:sz w:val="24"/>
        </w:rPr>
        <w:t xml:space="preserve"> Preliminary Storm Reports to compare tornado</w:t>
      </w:r>
      <w:r w:rsidR="00475E9D">
        <w:rPr>
          <w:sz w:val="24"/>
        </w:rPr>
        <w:t>-</w:t>
      </w:r>
      <w:r w:rsidR="003905A8">
        <w:rPr>
          <w:sz w:val="24"/>
        </w:rPr>
        <w:t xml:space="preserve">outbreak tweets with reported tornado locations on 3 March 2019. </w:t>
      </w:r>
      <w:r w:rsidR="00132811">
        <w:rPr>
          <w:sz w:val="24"/>
        </w:rPr>
        <w:t>While these dat</w:t>
      </w:r>
      <w:r w:rsidR="002261EA">
        <w:rPr>
          <w:sz w:val="24"/>
        </w:rPr>
        <w:t xml:space="preserve">a are only preliminary (2014 was </w:t>
      </w:r>
      <w:r w:rsidR="00132811">
        <w:rPr>
          <w:sz w:val="24"/>
        </w:rPr>
        <w:t>the most recent year for available verified storm reports</w:t>
      </w:r>
      <w:r w:rsidR="002261EA">
        <w:rPr>
          <w:sz w:val="24"/>
        </w:rPr>
        <w:t xml:space="preserve"> at the time of analysis</w:t>
      </w:r>
      <w:r w:rsidR="00132811">
        <w:rPr>
          <w:sz w:val="24"/>
        </w:rPr>
        <w:t xml:space="preserve">), </w:t>
      </w:r>
      <w:r w:rsidR="002261EA">
        <w:rPr>
          <w:sz w:val="24"/>
        </w:rPr>
        <w:t xml:space="preserve">these preliminary </w:t>
      </w:r>
      <w:r w:rsidR="00132811">
        <w:rPr>
          <w:sz w:val="24"/>
        </w:rPr>
        <w:t xml:space="preserve">values are suitable for the purposes of this thesis. </w:t>
      </w:r>
    </w:p>
    <w:p w14:paraId="1840C713" w14:textId="1101A4F9" w:rsidR="00C87004" w:rsidRPr="004A16A5" w:rsidRDefault="004A16A5" w:rsidP="00B77FFA">
      <w:pPr>
        <w:pStyle w:val="Heading3"/>
        <w:spacing w:line="480" w:lineRule="auto"/>
        <w:rPr>
          <w:rFonts w:asciiTheme="minorHAnsi" w:hAnsiTheme="minorHAnsi"/>
          <w:b/>
          <w:i/>
          <w:color w:val="auto"/>
        </w:rPr>
      </w:pPr>
      <w:bookmarkStart w:id="16" w:name="_Toc56898380"/>
      <w:r w:rsidRPr="004A16A5">
        <w:rPr>
          <w:rFonts w:asciiTheme="minorHAnsi" w:hAnsiTheme="minorHAnsi"/>
          <w:b/>
          <w:i/>
          <w:color w:val="auto"/>
        </w:rPr>
        <w:t xml:space="preserve">3.2.b </w:t>
      </w:r>
      <w:r w:rsidR="003E67D7" w:rsidRPr="004A16A5">
        <w:rPr>
          <w:rFonts w:asciiTheme="minorHAnsi" w:hAnsiTheme="minorHAnsi"/>
          <w:b/>
          <w:i/>
          <w:color w:val="auto"/>
        </w:rPr>
        <w:t>Twitter d</w:t>
      </w:r>
      <w:r w:rsidR="00C87004" w:rsidRPr="004A16A5">
        <w:rPr>
          <w:rFonts w:asciiTheme="minorHAnsi" w:hAnsiTheme="minorHAnsi"/>
          <w:b/>
          <w:i/>
          <w:color w:val="auto"/>
        </w:rPr>
        <w:t>ata</w:t>
      </w:r>
      <w:bookmarkEnd w:id="16"/>
    </w:p>
    <w:p w14:paraId="0821D9A1" w14:textId="2B74C011" w:rsidR="00C87004" w:rsidRDefault="00C87004" w:rsidP="00B77FFA">
      <w:pPr>
        <w:spacing w:line="480" w:lineRule="auto"/>
        <w:rPr>
          <w:sz w:val="24"/>
        </w:rPr>
      </w:pPr>
      <w:r>
        <w:rPr>
          <w:sz w:val="24"/>
        </w:rPr>
        <w:tab/>
        <w:t xml:space="preserve">I asked Dr. Yingjie Hu, Assistant Professor of Geography at the University of Buffalo, for assistance in collecting tweets. </w:t>
      </w:r>
      <w:r w:rsidR="00FF7393">
        <w:rPr>
          <w:sz w:val="24"/>
        </w:rPr>
        <w:t xml:space="preserve">He </w:t>
      </w:r>
      <w:r>
        <w:rPr>
          <w:sz w:val="24"/>
        </w:rPr>
        <w:t xml:space="preserve">used the Streaming API when we decided we would study </w:t>
      </w:r>
      <w:r>
        <w:rPr>
          <w:sz w:val="24"/>
        </w:rPr>
        <w:lastRenderedPageBreak/>
        <w:t xml:space="preserve">the event a couple </w:t>
      </w:r>
      <w:r w:rsidR="00C46D06">
        <w:rPr>
          <w:sz w:val="24"/>
        </w:rPr>
        <w:t>of days in advance</w:t>
      </w:r>
      <w:r w:rsidR="00B50C5E">
        <w:rPr>
          <w:sz w:val="24"/>
        </w:rPr>
        <w:t xml:space="preserve"> (the case for both studies)</w:t>
      </w:r>
      <w:r>
        <w:rPr>
          <w:sz w:val="24"/>
        </w:rPr>
        <w:t>, and the Searching API to add more days earlier in the forecast period prior to our decision to study the event</w:t>
      </w:r>
      <w:r w:rsidR="00B50C5E">
        <w:rPr>
          <w:sz w:val="24"/>
        </w:rPr>
        <w:t xml:space="preserve"> (the case for WSG)</w:t>
      </w:r>
      <w:r>
        <w:rPr>
          <w:sz w:val="24"/>
        </w:rPr>
        <w:t>. He set a geograph</w:t>
      </w:r>
      <w:r w:rsidR="00F93367">
        <w:rPr>
          <w:sz w:val="24"/>
        </w:rPr>
        <w:t xml:space="preserve">ic boundary, reported in </w:t>
      </w:r>
      <w:r w:rsidR="00992585">
        <w:rPr>
          <w:sz w:val="24"/>
        </w:rPr>
        <w:t>Figure</w:t>
      </w:r>
      <w:r w:rsidR="00F93367" w:rsidRPr="00FC7417">
        <w:rPr>
          <w:sz w:val="24"/>
        </w:rPr>
        <w:t xml:space="preserve"> 1</w:t>
      </w:r>
      <w:r w:rsidRPr="00FC7417">
        <w:rPr>
          <w:sz w:val="24"/>
        </w:rPr>
        <w:t>,</w:t>
      </w:r>
      <w:r>
        <w:rPr>
          <w:sz w:val="24"/>
        </w:rPr>
        <w:t xml:space="preserve"> to constrain sampled tweet locations. I provided Dr. Hu with specific keywords to use in t</w:t>
      </w:r>
      <w:r w:rsidR="00F93367">
        <w:rPr>
          <w:sz w:val="24"/>
        </w:rPr>
        <w:t xml:space="preserve">he APIs, listed in </w:t>
      </w:r>
      <w:r w:rsidR="00992585">
        <w:rPr>
          <w:sz w:val="24"/>
        </w:rPr>
        <w:t>Table 1</w:t>
      </w:r>
      <w:r w:rsidRPr="00FC7417">
        <w:rPr>
          <w:sz w:val="24"/>
        </w:rPr>
        <w:t>.</w:t>
      </w:r>
    </w:p>
    <w:p w14:paraId="340D53A8" w14:textId="77777777" w:rsidR="00A4341B" w:rsidRDefault="00C87004" w:rsidP="00A4341B">
      <w:pPr>
        <w:spacing w:line="480" w:lineRule="auto"/>
        <w:rPr>
          <w:sz w:val="24"/>
        </w:rPr>
      </w:pPr>
      <w:r>
        <w:rPr>
          <w:sz w:val="24"/>
        </w:rPr>
        <w:tab/>
        <w:t>APIs returned 25,836 tweets related to WSG and 14,98</w:t>
      </w:r>
      <w:r w:rsidR="00FC7417">
        <w:rPr>
          <w:sz w:val="24"/>
        </w:rPr>
        <w:t>3 tweets related to the tornado-</w:t>
      </w:r>
      <w:r>
        <w:rPr>
          <w:sz w:val="24"/>
        </w:rPr>
        <w:t>outbreak case study. I originally included action terms for the tornado tweets so that I could ana</w:t>
      </w:r>
      <w:r w:rsidR="00FE47D5">
        <w:rPr>
          <w:sz w:val="24"/>
        </w:rPr>
        <w:t xml:space="preserve">lyze shelter-seeking behaviors, but </w:t>
      </w:r>
      <w:r>
        <w:rPr>
          <w:sz w:val="24"/>
        </w:rPr>
        <w:t xml:space="preserve">many tweets were noisy and off-topic. Some tweets mentioned “shelter,” but were actually referring to animal shelters and pet adoptions. </w:t>
      </w:r>
      <w:r w:rsidR="002F0D3E">
        <w:rPr>
          <w:sz w:val="24"/>
        </w:rPr>
        <w:t>Additionally, tweets occasionally mentioned “weather” quite generally even though the phrase “severe weather” was searched in the APIs. For WSG, some tweets mentioned the word “winter,” but were actually referring to an alcoholic beverage by the same name.</w:t>
      </w:r>
      <w:r w:rsidR="00A4341B">
        <w:rPr>
          <w:sz w:val="24"/>
        </w:rPr>
        <w:t xml:space="preserve"> Date ranges to retrieve tweets from the APIs also included additional days, both leading up to and following each case study. This proved it was necessary to filter tweets and remove irrelevant data as best as possible.</w:t>
      </w:r>
    </w:p>
    <w:p w14:paraId="46FE7607" w14:textId="77777777" w:rsidR="00A4341B" w:rsidRPr="001E0CBC" w:rsidRDefault="00A4341B" w:rsidP="00A4341B">
      <w:pPr>
        <w:pStyle w:val="Heading2"/>
        <w:spacing w:line="480" w:lineRule="auto"/>
        <w:rPr>
          <w:rFonts w:asciiTheme="minorHAnsi" w:hAnsiTheme="minorHAnsi"/>
          <w:b/>
          <w:color w:val="auto"/>
          <w:sz w:val="24"/>
        </w:rPr>
      </w:pPr>
      <w:bookmarkStart w:id="17" w:name="_Toc56898381"/>
      <w:r>
        <w:rPr>
          <w:rFonts w:asciiTheme="minorHAnsi" w:hAnsiTheme="minorHAnsi"/>
          <w:b/>
          <w:color w:val="auto"/>
          <w:sz w:val="24"/>
        </w:rPr>
        <w:t>3.3 Filtering t</w:t>
      </w:r>
      <w:r w:rsidRPr="001E0CBC">
        <w:rPr>
          <w:rFonts w:asciiTheme="minorHAnsi" w:hAnsiTheme="minorHAnsi"/>
          <w:b/>
          <w:color w:val="auto"/>
          <w:sz w:val="24"/>
        </w:rPr>
        <w:t>weets</w:t>
      </w:r>
      <w:r>
        <w:rPr>
          <w:rFonts w:asciiTheme="minorHAnsi" w:hAnsiTheme="minorHAnsi"/>
          <w:b/>
          <w:color w:val="auto"/>
          <w:sz w:val="24"/>
        </w:rPr>
        <w:t xml:space="preserve"> using d</w:t>
      </w:r>
      <w:r w:rsidRPr="001E0CBC">
        <w:rPr>
          <w:rFonts w:asciiTheme="minorHAnsi" w:hAnsiTheme="minorHAnsi"/>
          <w:b/>
          <w:color w:val="auto"/>
          <w:sz w:val="24"/>
        </w:rPr>
        <w:t xml:space="preserve">ifferent </w:t>
      </w:r>
      <w:r>
        <w:rPr>
          <w:rFonts w:asciiTheme="minorHAnsi" w:hAnsiTheme="minorHAnsi"/>
          <w:b/>
          <w:color w:val="auto"/>
          <w:sz w:val="24"/>
        </w:rPr>
        <w:t>a</w:t>
      </w:r>
      <w:r w:rsidRPr="001E0CBC">
        <w:rPr>
          <w:rFonts w:asciiTheme="minorHAnsi" w:hAnsiTheme="minorHAnsi"/>
          <w:b/>
          <w:color w:val="auto"/>
          <w:sz w:val="24"/>
        </w:rPr>
        <w:t>pproaches</w:t>
      </w:r>
      <w:bookmarkEnd w:id="17"/>
      <w:r w:rsidRPr="001E0CBC">
        <w:rPr>
          <w:rFonts w:asciiTheme="minorHAnsi" w:hAnsiTheme="minorHAnsi"/>
          <w:b/>
          <w:color w:val="auto"/>
          <w:sz w:val="24"/>
        </w:rPr>
        <w:t xml:space="preserve"> </w:t>
      </w:r>
    </w:p>
    <w:p w14:paraId="2B02C25C" w14:textId="77777777" w:rsidR="00A4341B" w:rsidRPr="00805B96" w:rsidRDefault="00A4341B" w:rsidP="00A4341B">
      <w:pPr>
        <w:pStyle w:val="Heading3"/>
        <w:spacing w:line="480" w:lineRule="auto"/>
        <w:rPr>
          <w:rFonts w:asciiTheme="minorHAnsi" w:hAnsiTheme="minorHAnsi"/>
          <w:b/>
          <w:i/>
        </w:rPr>
      </w:pPr>
      <w:bookmarkStart w:id="18" w:name="_Toc56898382"/>
      <w:r w:rsidRPr="00805B96">
        <w:rPr>
          <w:rFonts w:asciiTheme="minorHAnsi" w:hAnsiTheme="minorHAnsi"/>
          <w:b/>
          <w:i/>
          <w:color w:val="auto"/>
        </w:rPr>
        <w:t xml:space="preserve">3.3.a Filtering tweets </w:t>
      </w:r>
      <w:r>
        <w:rPr>
          <w:rFonts w:asciiTheme="minorHAnsi" w:hAnsiTheme="minorHAnsi"/>
          <w:b/>
          <w:i/>
          <w:color w:val="auto"/>
        </w:rPr>
        <w:t>by</w:t>
      </w:r>
      <w:r w:rsidRPr="00805B96">
        <w:rPr>
          <w:rFonts w:asciiTheme="minorHAnsi" w:hAnsiTheme="minorHAnsi"/>
          <w:b/>
          <w:i/>
          <w:color w:val="auto"/>
        </w:rPr>
        <w:t xml:space="preserve"> time and location</w:t>
      </w:r>
      <w:bookmarkEnd w:id="18"/>
    </w:p>
    <w:p w14:paraId="64CB021E" w14:textId="2284351A" w:rsidR="0089190B" w:rsidRDefault="00A4341B" w:rsidP="00575D14">
      <w:pPr>
        <w:spacing w:line="480" w:lineRule="auto"/>
        <w:rPr>
          <w:sz w:val="24"/>
        </w:rPr>
      </w:pPr>
      <w:r>
        <w:rPr>
          <w:sz w:val="24"/>
        </w:rPr>
        <w:tab/>
        <w:t xml:space="preserve">I used the Twitter Advanced Search </w:t>
      </w:r>
      <w:r>
        <w:rPr>
          <w:sz w:val="24"/>
        </w:rPr>
        <w:fldChar w:fldCharType="begin" w:fldLock="1"/>
      </w:r>
      <w:r>
        <w:rPr>
          <w:sz w:val="24"/>
        </w:rPr>
        <w:instrText>ADDIN CSL_CITATION {"citationItems":[{"id":"ITEM-1","itemData":{"URL":"https://twitter.com/search-advanced?lang=en","accessed":{"date-parts":[["2020","7","29"]]},"id":"ITEM-1","issued":{"date-parts":[["2020"]]},"title":"Advanced Search","type":"webpage"},"uris":["http://www.mendeley.com/documents/?uuid=f6d8c533-22c8-3d41-afb3-9df0f3055996"]}],"mendeley":{"formattedCitation":"(“Advanced Search,” 2020)","manualFormatting":"(see “Advanced Search,” 2020)","plainTextFormattedCitation":"(“Advanced Search,” 2020)","previouslyFormattedCitation":"(“Advanced Search,” 2020)"},"properties":{"noteIndex":0},"schema":"https://github.com/citation-style-language/schema/raw/master/csl-citation.json"}</w:instrText>
      </w:r>
      <w:r>
        <w:rPr>
          <w:sz w:val="24"/>
        </w:rPr>
        <w:fldChar w:fldCharType="separate"/>
      </w:r>
      <w:r w:rsidRPr="00585FFC">
        <w:rPr>
          <w:noProof/>
          <w:sz w:val="24"/>
        </w:rPr>
        <w:t>(</w:t>
      </w:r>
      <w:r>
        <w:rPr>
          <w:noProof/>
          <w:sz w:val="24"/>
        </w:rPr>
        <w:t xml:space="preserve">see </w:t>
      </w:r>
      <w:r w:rsidRPr="00585FFC">
        <w:rPr>
          <w:noProof/>
          <w:sz w:val="24"/>
        </w:rPr>
        <w:t>“Advanced Search,” 2020)</w:t>
      </w:r>
      <w:r>
        <w:rPr>
          <w:sz w:val="24"/>
        </w:rPr>
        <w:fldChar w:fldCharType="end"/>
      </w:r>
      <w:r>
        <w:rPr>
          <w:sz w:val="24"/>
        </w:rPr>
        <w:t xml:space="preserve"> to first gain a sense of when reputable sources tweeted about either case study. The Twitter Advanced Search can retrieve tweets based on keywords, date posted, username, and language (“Advanced Search,” 2020). The Weather Channel has a massive presence in the weather community, and is now known for naming winter storms </w:t>
      </w:r>
      <w:r w:rsidR="00CA76FB">
        <w:rPr>
          <w:sz w:val="24"/>
        </w:rPr>
        <w:t>(“The Weather Channel Announces Winter Storm Names for</w:t>
      </w:r>
    </w:p>
    <w:p w14:paraId="6660EB8A" w14:textId="776A8576" w:rsidR="00FC7417" w:rsidRDefault="007B7067" w:rsidP="00D656E5">
      <w:pPr>
        <w:spacing w:line="480" w:lineRule="auto"/>
        <w:jc w:val="center"/>
        <w:rPr>
          <w:b/>
          <w:sz w:val="24"/>
        </w:rPr>
      </w:pPr>
      <w:r>
        <w:rPr>
          <w:noProof/>
        </w:rPr>
        <w:lastRenderedPageBreak/>
        <w:drawing>
          <wp:inline distT="0" distB="0" distL="0" distR="0" wp14:anchorId="4C8EF67A" wp14:editId="183B3C5E">
            <wp:extent cx="5943600" cy="19227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922780"/>
                    </a:xfrm>
                    <a:prstGeom prst="rect">
                      <a:avLst/>
                    </a:prstGeom>
                  </pic:spPr>
                </pic:pic>
              </a:graphicData>
            </a:graphic>
          </wp:inline>
        </w:drawing>
      </w:r>
    </w:p>
    <w:p w14:paraId="20EF06E2" w14:textId="7CB174F1" w:rsidR="007B7067" w:rsidRPr="007B7067" w:rsidRDefault="0045209C" w:rsidP="00575D14">
      <w:pPr>
        <w:spacing w:line="480" w:lineRule="auto"/>
        <w:rPr>
          <w:sz w:val="24"/>
        </w:rPr>
      </w:pPr>
      <w:r w:rsidRPr="006C0B1A">
        <w:rPr>
          <w:b/>
          <w:sz w:val="24"/>
        </w:rPr>
        <w:fldChar w:fldCharType="begin"/>
      </w:r>
      <w:r w:rsidRPr="006C0B1A">
        <w:rPr>
          <w:b/>
          <w:sz w:val="24"/>
        </w:rPr>
        <w:instrText xml:space="preserve"> TC  "</w:instrText>
      </w:r>
      <w:bookmarkStart w:id="19" w:name="_Toc56898489"/>
      <w:r w:rsidRPr="006C0B1A">
        <w:rPr>
          <w:b/>
          <w:sz w:val="24"/>
        </w:rPr>
        <w:instrText>Figure 1: API sample region</w:instrText>
      </w:r>
      <w:bookmarkEnd w:id="19"/>
      <w:r w:rsidRPr="006C0B1A">
        <w:rPr>
          <w:b/>
          <w:sz w:val="24"/>
        </w:rPr>
        <w:instrText xml:space="preserve">" \f f \l 1 </w:instrText>
      </w:r>
      <w:r w:rsidRPr="006C0B1A">
        <w:rPr>
          <w:b/>
          <w:sz w:val="24"/>
        </w:rPr>
        <w:fldChar w:fldCharType="end"/>
      </w:r>
      <w:r w:rsidR="007B7067" w:rsidRPr="006C0B1A">
        <w:rPr>
          <w:b/>
          <w:sz w:val="24"/>
        </w:rPr>
        <w:t>Figure 1</w:t>
      </w:r>
      <w:r w:rsidR="007B7067">
        <w:rPr>
          <w:b/>
          <w:sz w:val="24"/>
        </w:rPr>
        <w:t xml:space="preserve">: </w:t>
      </w:r>
      <w:r w:rsidR="007B7067">
        <w:rPr>
          <w:sz w:val="24"/>
        </w:rPr>
        <w:t>API sample regions. Geographic boundaries marking the latitude and longitude coordinates wher</w:t>
      </w:r>
      <w:r>
        <w:rPr>
          <w:sz w:val="24"/>
        </w:rPr>
        <w:t>e the APIs searched for tweets in WSG (a) and the tornado outbreak (b).</w:t>
      </w:r>
    </w:p>
    <w:p w14:paraId="3387A104" w14:textId="77777777" w:rsidR="007B7067" w:rsidRPr="007B7067" w:rsidRDefault="007B7067" w:rsidP="00575D14">
      <w:pPr>
        <w:spacing w:line="480" w:lineRule="auto"/>
        <w:rPr>
          <w:b/>
          <w:sz w:val="24"/>
        </w:rPr>
      </w:pPr>
    </w:p>
    <w:p w14:paraId="5D80B57F" w14:textId="496ABA9F" w:rsidR="00F93367" w:rsidRDefault="00F93367" w:rsidP="00575D14">
      <w:pPr>
        <w:spacing w:line="480" w:lineRule="auto"/>
        <w:rPr>
          <w:sz w:val="24"/>
        </w:rPr>
      </w:pPr>
    </w:p>
    <w:p w14:paraId="2DBFC2E6" w14:textId="77777777" w:rsidR="00F93367" w:rsidRDefault="00F93367" w:rsidP="00575D14">
      <w:pPr>
        <w:spacing w:line="480" w:lineRule="auto"/>
        <w:rPr>
          <w:sz w:val="24"/>
        </w:rPr>
      </w:pPr>
    </w:p>
    <w:p w14:paraId="30A4AB67" w14:textId="77777777" w:rsidR="00F93367" w:rsidRDefault="00F93367" w:rsidP="00575D14">
      <w:pPr>
        <w:spacing w:line="480" w:lineRule="auto"/>
        <w:rPr>
          <w:sz w:val="24"/>
        </w:rPr>
      </w:pPr>
    </w:p>
    <w:p w14:paraId="38504A96" w14:textId="77777777" w:rsidR="00F93367" w:rsidRDefault="00F93367" w:rsidP="00575D14">
      <w:pPr>
        <w:spacing w:line="480" w:lineRule="auto"/>
        <w:rPr>
          <w:sz w:val="24"/>
        </w:rPr>
      </w:pPr>
    </w:p>
    <w:p w14:paraId="7B4A30DC" w14:textId="77777777" w:rsidR="00F93367" w:rsidRDefault="00F93367" w:rsidP="00575D14">
      <w:pPr>
        <w:spacing w:line="480" w:lineRule="auto"/>
        <w:rPr>
          <w:sz w:val="24"/>
        </w:rPr>
      </w:pPr>
    </w:p>
    <w:p w14:paraId="684155FD" w14:textId="77777777" w:rsidR="00F93367" w:rsidRDefault="00F93367" w:rsidP="00575D14">
      <w:pPr>
        <w:spacing w:line="480" w:lineRule="auto"/>
        <w:rPr>
          <w:sz w:val="24"/>
        </w:rPr>
      </w:pPr>
    </w:p>
    <w:p w14:paraId="2D8CC4AC" w14:textId="77777777" w:rsidR="00F93367" w:rsidRDefault="00F93367" w:rsidP="00575D14">
      <w:pPr>
        <w:spacing w:line="480" w:lineRule="auto"/>
        <w:rPr>
          <w:sz w:val="24"/>
        </w:rPr>
      </w:pPr>
    </w:p>
    <w:p w14:paraId="0C61B455" w14:textId="77777777" w:rsidR="00F93367" w:rsidRDefault="00F93367" w:rsidP="00575D14">
      <w:pPr>
        <w:spacing w:line="480" w:lineRule="auto"/>
        <w:rPr>
          <w:sz w:val="24"/>
        </w:rPr>
      </w:pPr>
    </w:p>
    <w:p w14:paraId="1B4FDD0D" w14:textId="77777777" w:rsidR="00F93367" w:rsidRDefault="00F93367" w:rsidP="00575D14">
      <w:pPr>
        <w:spacing w:line="480" w:lineRule="auto"/>
        <w:rPr>
          <w:sz w:val="24"/>
        </w:rPr>
      </w:pPr>
    </w:p>
    <w:p w14:paraId="0638D0E7" w14:textId="77777777" w:rsidR="00F93367" w:rsidRDefault="00F93367" w:rsidP="00575D14">
      <w:pPr>
        <w:spacing w:line="480" w:lineRule="auto"/>
        <w:rPr>
          <w:b/>
          <w:sz w:val="24"/>
        </w:rPr>
      </w:pPr>
    </w:p>
    <w:p w14:paraId="36486A37" w14:textId="08D5123B" w:rsidR="00575D14" w:rsidRPr="00200021" w:rsidRDefault="00706615" w:rsidP="00575D14">
      <w:pPr>
        <w:spacing w:line="480" w:lineRule="auto"/>
        <w:rPr>
          <w:sz w:val="24"/>
        </w:rPr>
      </w:pPr>
      <w:r>
        <w:rPr>
          <w:b/>
          <w:sz w:val="24"/>
        </w:rPr>
        <w:lastRenderedPageBreak/>
        <w:fldChar w:fldCharType="begin"/>
      </w:r>
      <w:r>
        <w:rPr>
          <w:b/>
          <w:sz w:val="24"/>
        </w:rPr>
        <w:instrText xml:space="preserve"> TC  "</w:instrText>
      </w:r>
      <w:bookmarkStart w:id="20" w:name="_Toc56898439"/>
      <w:r w:rsidR="008D03B9">
        <w:rPr>
          <w:b/>
          <w:sz w:val="24"/>
        </w:rPr>
        <w:instrText xml:space="preserve">Table </w:instrText>
      </w:r>
      <w:r w:rsidR="004679B5">
        <w:rPr>
          <w:b/>
          <w:sz w:val="24"/>
        </w:rPr>
        <w:instrText>1</w:instrText>
      </w:r>
      <w:r w:rsidR="008D03B9">
        <w:rPr>
          <w:b/>
          <w:sz w:val="24"/>
        </w:rPr>
        <w:instrText xml:space="preserve">: </w:instrText>
      </w:r>
      <w:r w:rsidR="00BF3679">
        <w:rPr>
          <w:b/>
          <w:sz w:val="24"/>
        </w:rPr>
        <w:instrText>API keywords</w:instrText>
      </w:r>
      <w:bookmarkEnd w:id="20"/>
      <w:r>
        <w:rPr>
          <w:b/>
          <w:sz w:val="24"/>
        </w:rPr>
        <w:instrText>" \f</w:instrText>
      </w:r>
      <w:r w:rsidR="009F02C6">
        <w:rPr>
          <w:b/>
          <w:sz w:val="24"/>
        </w:rPr>
        <w:instrText xml:space="preserve"> t</w:instrText>
      </w:r>
      <w:r>
        <w:rPr>
          <w:b/>
          <w:sz w:val="24"/>
        </w:rPr>
        <w:instrText xml:space="preserve"> \l 1 </w:instrText>
      </w:r>
      <w:r>
        <w:rPr>
          <w:b/>
          <w:sz w:val="24"/>
        </w:rPr>
        <w:fldChar w:fldCharType="end"/>
      </w:r>
      <w:r w:rsidR="004679B5">
        <w:rPr>
          <w:b/>
          <w:sz w:val="24"/>
        </w:rPr>
        <w:t>Table 1</w:t>
      </w:r>
      <w:r w:rsidR="00575D14">
        <w:rPr>
          <w:b/>
          <w:sz w:val="24"/>
        </w:rPr>
        <w:t xml:space="preserve">: </w:t>
      </w:r>
      <w:r w:rsidR="00BF3679">
        <w:rPr>
          <w:sz w:val="24"/>
        </w:rPr>
        <w:t xml:space="preserve">API keywords. </w:t>
      </w:r>
      <w:r w:rsidR="00575D14">
        <w:rPr>
          <w:sz w:val="24"/>
        </w:rPr>
        <w:t>Keywords entered for each case study into the API</w:t>
      </w:r>
      <w:r w:rsidR="0023668A">
        <w:rPr>
          <w:sz w:val="24"/>
        </w:rPr>
        <w:t>.</w:t>
      </w:r>
    </w:p>
    <w:tbl>
      <w:tblPr>
        <w:tblW w:w="4160" w:type="dxa"/>
        <w:jc w:val="center"/>
        <w:tblLook w:val="04A0" w:firstRow="1" w:lastRow="0" w:firstColumn="1" w:lastColumn="0" w:noHBand="0" w:noVBand="1"/>
      </w:tblPr>
      <w:tblGrid>
        <w:gridCol w:w="2080"/>
        <w:gridCol w:w="2080"/>
      </w:tblGrid>
      <w:tr w:rsidR="00FD0617" w:rsidRPr="00FD0617" w14:paraId="6B16F65F" w14:textId="77777777" w:rsidTr="00FD0617">
        <w:trPr>
          <w:trHeight w:val="630"/>
          <w:jc w:val="center"/>
        </w:trPr>
        <w:tc>
          <w:tcPr>
            <w:tcW w:w="2080"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4BDEC293" w14:textId="77777777" w:rsidR="00FD0617" w:rsidRPr="00C46D06" w:rsidRDefault="00FD0617" w:rsidP="00FD0617">
            <w:pPr>
              <w:spacing w:after="0" w:line="240" w:lineRule="auto"/>
              <w:jc w:val="center"/>
              <w:rPr>
                <w:rFonts w:ascii="Calibri" w:eastAsia="Times New Roman" w:hAnsi="Calibri" w:cs="Times New Roman"/>
                <w:b/>
                <w:bCs/>
                <w:color w:val="000000"/>
                <w:sz w:val="24"/>
                <w:szCs w:val="24"/>
              </w:rPr>
            </w:pPr>
            <w:r w:rsidRPr="00C46D06">
              <w:rPr>
                <w:rFonts w:ascii="Calibri" w:eastAsia="Times New Roman" w:hAnsi="Calibri" w:cs="Times New Roman"/>
                <w:b/>
                <w:bCs/>
                <w:color w:val="000000"/>
                <w:sz w:val="24"/>
                <w:szCs w:val="24"/>
              </w:rPr>
              <w:t>WSG Keywords</w:t>
            </w:r>
          </w:p>
        </w:tc>
        <w:tc>
          <w:tcPr>
            <w:tcW w:w="2080" w:type="dxa"/>
            <w:tcBorders>
              <w:top w:val="single" w:sz="4" w:space="0" w:color="auto"/>
              <w:left w:val="nil"/>
              <w:bottom w:val="double" w:sz="6" w:space="0" w:color="auto"/>
              <w:right w:val="single" w:sz="4" w:space="0" w:color="auto"/>
            </w:tcBorders>
            <w:shd w:val="clear" w:color="auto" w:fill="auto"/>
            <w:vAlign w:val="bottom"/>
            <w:hideMark/>
          </w:tcPr>
          <w:p w14:paraId="3BDB674E" w14:textId="77777777" w:rsidR="00FD0617" w:rsidRPr="00C46D06" w:rsidRDefault="00FD0617" w:rsidP="00FD0617">
            <w:pPr>
              <w:spacing w:after="0" w:line="240" w:lineRule="auto"/>
              <w:jc w:val="center"/>
              <w:rPr>
                <w:rFonts w:ascii="Calibri" w:eastAsia="Times New Roman" w:hAnsi="Calibri" w:cs="Times New Roman"/>
                <w:b/>
                <w:bCs/>
                <w:color w:val="000000"/>
                <w:sz w:val="24"/>
                <w:szCs w:val="24"/>
              </w:rPr>
            </w:pPr>
            <w:r w:rsidRPr="00C46D06">
              <w:rPr>
                <w:rFonts w:ascii="Calibri" w:eastAsia="Times New Roman" w:hAnsi="Calibri" w:cs="Times New Roman"/>
                <w:b/>
                <w:bCs/>
                <w:color w:val="000000"/>
                <w:sz w:val="24"/>
                <w:szCs w:val="24"/>
              </w:rPr>
              <w:t>Tornado Outbreak Keywords</w:t>
            </w:r>
          </w:p>
        </w:tc>
      </w:tr>
      <w:tr w:rsidR="00FD0617" w:rsidRPr="00FD0617" w14:paraId="420CF08A" w14:textId="77777777" w:rsidTr="00FD0617">
        <w:trPr>
          <w:trHeight w:val="315"/>
          <w:jc w:val="center"/>
        </w:trPr>
        <w:tc>
          <w:tcPr>
            <w:tcW w:w="20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F68EF3"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Winter Storm Gia</w:t>
            </w:r>
          </w:p>
        </w:tc>
        <w:tc>
          <w:tcPr>
            <w:tcW w:w="2080" w:type="dxa"/>
            <w:vMerge w:val="restart"/>
            <w:tcBorders>
              <w:top w:val="nil"/>
              <w:left w:val="nil"/>
              <w:bottom w:val="single" w:sz="4" w:space="0" w:color="000000"/>
              <w:right w:val="single" w:sz="4" w:space="0" w:color="auto"/>
            </w:tcBorders>
            <w:shd w:val="clear" w:color="auto" w:fill="auto"/>
            <w:noWrap/>
            <w:vAlign w:val="center"/>
            <w:hideMark/>
          </w:tcPr>
          <w:p w14:paraId="0FD6E49C"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Tornado</w:t>
            </w:r>
          </w:p>
        </w:tc>
      </w:tr>
      <w:tr w:rsidR="00FD0617" w:rsidRPr="00FD0617" w14:paraId="46808B0D" w14:textId="77777777" w:rsidTr="00FD0617">
        <w:trPr>
          <w:trHeight w:val="450"/>
          <w:jc w:val="center"/>
        </w:trPr>
        <w:tc>
          <w:tcPr>
            <w:tcW w:w="2080" w:type="dxa"/>
            <w:vMerge/>
            <w:tcBorders>
              <w:top w:val="nil"/>
              <w:left w:val="single" w:sz="4" w:space="0" w:color="auto"/>
              <w:bottom w:val="single" w:sz="4" w:space="0" w:color="000000"/>
              <w:right w:val="single" w:sz="4" w:space="0" w:color="auto"/>
            </w:tcBorders>
            <w:vAlign w:val="center"/>
            <w:hideMark/>
          </w:tcPr>
          <w:p w14:paraId="0574BCFF" w14:textId="77777777" w:rsidR="00FD0617" w:rsidRPr="00C46D06" w:rsidRDefault="00FD0617" w:rsidP="00FD0617">
            <w:pPr>
              <w:spacing w:after="0" w:line="240" w:lineRule="auto"/>
              <w:rPr>
                <w:rFonts w:ascii="Calibri" w:eastAsia="Times New Roman" w:hAnsi="Calibri" w:cs="Times New Roman"/>
                <w:color w:val="000000"/>
                <w:sz w:val="24"/>
                <w:szCs w:val="24"/>
              </w:rPr>
            </w:pPr>
          </w:p>
        </w:tc>
        <w:tc>
          <w:tcPr>
            <w:tcW w:w="2080" w:type="dxa"/>
            <w:vMerge/>
            <w:tcBorders>
              <w:top w:val="nil"/>
              <w:left w:val="nil"/>
              <w:bottom w:val="single" w:sz="4" w:space="0" w:color="000000"/>
              <w:right w:val="single" w:sz="4" w:space="0" w:color="auto"/>
            </w:tcBorders>
            <w:vAlign w:val="center"/>
            <w:hideMark/>
          </w:tcPr>
          <w:p w14:paraId="6A833476" w14:textId="77777777" w:rsidR="00FD0617" w:rsidRPr="00C46D06" w:rsidRDefault="00FD0617" w:rsidP="00FD0617">
            <w:pPr>
              <w:spacing w:after="0" w:line="240" w:lineRule="auto"/>
              <w:rPr>
                <w:rFonts w:ascii="Calibri" w:eastAsia="Times New Roman" w:hAnsi="Calibri" w:cs="Times New Roman"/>
                <w:color w:val="000000"/>
                <w:sz w:val="24"/>
                <w:szCs w:val="24"/>
              </w:rPr>
            </w:pPr>
          </w:p>
        </w:tc>
      </w:tr>
      <w:tr w:rsidR="00FD0617" w:rsidRPr="00FD0617" w14:paraId="5886A541" w14:textId="77777777" w:rsidTr="00FD0617">
        <w:trPr>
          <w:trHeight w:val="300"/>
          <w:jc w:val="center"/>
        </w:trPr>
        <w:tc>
          <w:tcPr>
            <w:tcW w:w="20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63590C"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Snow</w:t>
            </w:r>
          </w:p>
        </w:tc>
        <w:tc>
          <w:tcPr>
            <w:tcW w:w="2080" w:type="dxa"/>
            <w:vMerge w:val="restart"/>
            <w:tcBorders>
              <w:top w:val="nil"/>
              <w:left w:val="nil"/>
              <w:bottom w:val="single" w:sz="4" w:space="0" w:color="000000"/>
              <w:right w:val="single" w:sz="4" w:space="0" w:color="auto"/>
            </w:tcBorders>
            <w:shd w:val="clear" w:color="auto" w:fill="auto"/>
            <w:noWrap/>
            <w:vAlign w:val="center"/>
            <w:hideMark/>
          </w:tcPr>
          <w:p w14:paraId="1A5C0DB5"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Wind</w:t>
            </w:r>
          </w:p>
        </w:tc>
      </w:tr>
      <w:tr w:rsidR="00FD0617" w:rsidRPr="00FD0617" w14:paraId="548DB47A" w14:textId="77777777" w:rsidTr="00FD0617">
        <w:trPr>
          <w:trHeight w:val="450"/>
          <w:jc w:val="center"/>
        </w:trPr>
        <w:tc>
          <w:tcPr>
            <w:tcW w:w="2080" w:type="dxa"/>
            <w:vMerge/>
            <w:tcBorders>
              <w:top w:val="nil"/>
              <w:left w:val="single" w:sz="4" w:space="0" w:color="auto"/>
              <w:bottom w:val="single" w:sz="4" w:space="0" w:color="000000"/>
              <w:right w:val="single" w:sz="4" w:space="0" w:color="auto"/>
            </w:tcBorders>
            <w:vAlign w:val="center"/>
            <w:hideMark/>
          </w:tcPr>
          <w:p w14:paraId="407E99E9" w14:textId="77777777" w:rsidR="00FD0617" w:rsidRPr="00C46D06" w:rsidRDefault="00FD0617" w:rsidP="00FD0617">
            <w:pPr>
              <w:spacing w:after="0" w:line="240" w:lineRule="auto"/>
              <w:rPr>
                <w:rFonts w:ascii="Calibri" w:eastAsia="Times New Roman" w:hAnsi="Calibri" w:cs="Times New Roman"/>
                <w:color w:val="000000"/>
                <w:sz w:val="24"/>
                <w:szCs w:val="24"/>
              </w:rPr>
            </w:pPr>
          </w:p>
        </w:tc>
        <w:tc>
          <w:tcPr>
            <w:tcW w:w="2080" w:type="dxa"/>
            <w:vMerge/>
            <w:tcBorders>
              <w:top w:val="nil"/>
              <w:left w:val="nil"/>
              <w:bottom w:val="single" w:sz="4" w:space="0" w:color="000000"/>
              <w:right w:val="single" w:sz="4" w:space="0" w:color="auto"/>
            </w:tcBorders>
            <w:vAlign w:val="center"/>
            <w:hideMark/>
          </w:tcPr>
          <w:p w14:paraId="53E35DAE" w14:textId="77777777" w:rsidR="00FD0617" w:rsidRPr="00C46D06" w:rsidRDefault="00FD0617" w:rsidP="00FD0617">
            <w:pPr>
              <w:spacing w:after="0" w:line="240" w:lineRule="auto"/>
              <w:rPr>
                <w:rFonts w:ascii="Calibri" w:eastAsia="Times New Roman" w:hAnsi="Calibri" w:cs="Times New Roman"/>
                <w:color w:val="000000"/>
                <w:sz w:val="24"/>
                <w:szCs w:val="24"/>
              </w:rPr>
            </w:pPr>
          </w:p>
        </w:tc>
      </w:tr>
      <w:tr w:rsidR="00FD0617" w:rsidRPr="00FD0617" w14:paraId="16A05D99" w14:textId="77777777" w:rsidTr="00FD0617">
        <w:trPr>
          <w:trHeight w:val="300"/>
          <w:jc w:val="center"/>
        </w:trPr>
        <w:tc>
          <w:tcPr>
            <w:tcW w:w="20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51851C"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Blizzard</w:t>
            </w:r>
          </w:p>
        </w:tc>
        <w:tc>
          <w:tcPr>
            <w:tcW w:w="2080" w:type="dxa"/>
            <w:vMerge w:val="restart"/>
            <w:tcBorders>
              <w:top w:val="nil"/>
              <w:left w:val="nil"/>
              <w:bottom w:val="single" w:sz="4" w:space="0" w:color="000000"/>
              <w:right w:val="single" w:sz="4" w:space="0" w:color="auto"/>
            </w:tcBorders>
            <w:shd w:val="clear" w:color="auto" w:fill="auto"/>
            <w:noWrap/>
            <w:vAlign w:val="center"/>
            <w:hideMark/>
          </w:tcPr>
          <w:p w14:paraId="616C6660"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Hail</w:t>
            </w:r>
          </w:p>
        </w:tc>
      </w:tr>
      <w:tr w:rsidR="00FD0617" w:rsidRPr="00FD0617" w14:paraId="69A19C45" w14:textId="77777777" w:rsidTr="00FD0617">
        <w:trPr>
          <w:trHeight w:val="450"/>
          <w:jc w:val="center"/>
        </w:trPr>
        <w:tc>
          <w:tcPr>
            <w:tcW w:w="2080" w:type="dxa"/>
            <w:vMerge/>
            <w:tcBorders>
              <w:top w:val="nil"/>
              <w:left w:val="single" w:sz="4" w:space="0" w:color="auto"/>
              <w:bottom w:val="single" w:sz="4" w:space="0" w:color="000000"/>
              <w:right w:val="single" w:sz="4" w:space="0" w:color="auto"/>
            </w:tcBorders>
            <w:vAlign w:val="center"/>
            <w:hideMark/>
          </w:tcPr>
          <w:p w14:paraId="21337F90" w14:textId="77777777" w:rsidR="00FD0617" w:rsidRPr="00C46D06" w:rsidRDefault="00FD0617" w:rsidP="00FD0617">
            <w:pPr>
              <w:spacing w:after="0" w:line="240" w:lineRule="auto"/>
              <w:rPr>
                <w:rFonts w:ascii="Calibri" w:eastAsia="Times New Roman" w:hAnsi="Calibri" w:cs="Times New Roman"/>
                <w:color w:val="000000"/>
                <w:sz w:val="24"/>
                <w:szCs w:val="24"/>
              </w:rPr>
            </w:pPr>
          </w:p>
        </w:tc>
        <w:tc>
          <w:tcPr>
            <w:tcW w:w="2080" w:type="dxa"/>
            <w:vMerge/>
            <w:tcBorders>
              <w:top w:val="nil"/>
              <w:left w:val="nil"/>
              <w:bottom w:val="single" w:sz="4" w:space="0" w:color="000000"/>
              <w:right w:val="single" w:sz="4" w:space="0" w:color="auto"/>
            </w:tcBorders>
            <w:vAlign w:val="center"/>
            <w:hideMark/>
          </w:tcPr>
          <w:p w14:paraId="4FB18E01" w14:textId="77777777" w:rsidR="00FD0617" w:rsidRPr="00C46D06" w:rsidRDefault="00FD0617" w:rsidP="00FD0617">
            <w:pPr>
              <w:spacing w:after="0" w:line="240" w:lineRule="auto"/>
              <w:rPr>
                <w:rFonts w:ascii="Calibri" w:eastAsia="Times New Roman" w:hAnsi="Calibri" w:cs="Times New Roman"/>
                <w:color w:val="000000"/>
                <w:sz w:val="24"/>
                <w:szCs w:val="24"/>
              </w:rPr>
            </w:pPr>
          </w:p>
        </w:tc>
      </w:tr>
      <w:tr w:rsidR="00FD0617" w:rsidRPr="00FD0617" w14:paraId="6BAF2B30" w14:textId="77777777" w:rsidTr="00FD0617">
        <w:trPr>
          <w:trHeight w:val="315"/>
          <w:jc w:val="center"/>
        </w:trPr>
        <w:tc>
          <w:tcPr>
            <w:tcW w:w="208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7F4F015"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 </w:t>
            </w:r>
          </w:p>
        </w:tc>
        <w:tc>
          <w:tcPr>
            <w:tcW w:w="2080" w:type="dxa"/>
            <w:vMerge w:val="restart"/>
            <w:tcBorders>
              <w:top w:val="nil"/>
              <w:left w:val="nil"/>
              <w:bottom w:val="single" w:sz="4" w:space="0" w:color="000000"/>
              <w:right w:val="single" w:sz="4" w:space="0" w:color="auto"/>
            </w:tcBorders>
            <w:shd w:val="clear" w:color="auto" w:fill="auto"/>
            <w:noWrap/>
            <w:vAlign w:val="center"/>
            <w:hideMark/>
          </w:tcPr>
          <w:p w14:paraId="0AAB60D9"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Funnel Cloud</w:t>
            </w:r>
          </w:p>
        </w:tc>
      </w:tr>
      <w:tr w:rsidR="00FD0617" w:rsidRPr="00FD0617" w14:paraId="37D81FFB" w14:textId="77777777" w:rsidTr="00FD0617">
        <w:trPr>
          <w:trHeight w:val="450"/>
          <w:jc w:val="center"/>
        </w:trPr>
        <w:tc>
          <w:tcPr>
            <w:tcW w:w="2080" w:type="dxa"/>
            <w:vMerge/>
            <w:tcBorders>
              <w:top w:val="nil"/>
              <w:left w:val="single" w:sz="4" w:space="0" w:color="auto"/>
              <w:bottom w:val="single" w:sz="4" w:space="0" w:color="000000"/>
              <w:right w:val="single" w:sz="4" w:space="0" w:color="auto"/>
            </w:tcBorders>
            <w:vAlign w:val="center"/>
            <w:hideMark/>
          </w:tcPr>
          <w:p w14:paraId="3A18BFC8" w14:textId="77777777" w:rsidR="00FD0617" w:rsidRPr="00C46D06" w:rsidRDefault="00FD0617" w:rsidP="00FD0617">
            <w:pPr>
              <w:spacing w:after="0" w:line="240" w:lineRule="auto"/>
              <w:rPr>
                <w:rFonts w:ascii="Calibri" w:eastAsia="Times New Roman" w:hAnsi="Calibri" w:cs="Times New Roman"/>
                <w:color w:val="000000"/>
                <w:sz w:val="24"/>
                <w:szCs w:val="24"/>
              </w:rPr>
            </w:pPr>
          </w:p>
        </w:tc>
        <w:tc>
          <w:tcPr>
            <w:tcW w:w="2080" w:type="dxa"/>
            <w:vMerge/>
            <w:tcBorders>
              <w:top w:val="nil"/>
              <w:left w:val="nil"/>
              <w:bottom w:val="single" w:sz="4" w:space="0" w:color="000000"/>
              <w:right w:val="single" w:sz="4" w:space="0" w:color="auto"/>
            </w:tcBorders>
            <w:vAlign w:val="center"/>
            <w:hideMark/>
          </w:tcPr>
          <w:p w14:paraId="6282327F" w14:textId="77777777" w:rsidR="00FD0617" w:rsidRPr="00C46D06" w:rsidRDefault="00FD0617" w:rsidP="00FD0617">
            <w:pPr>
              <w:spacing w:after="0" w:line="240" w:lineRule="auto"/>
              <w:rPr>
                <w:rFonts w:ascii="Calibri" w:eastAsia="Times New Roman" w:hAnsi="Calibri" w:cs="Times New Roman"/>
                <w:color w:val="000000"/>
                <w:sz w:val="24"/>
                <w:szCs w:val="24"/>
              </w:rPr>
            </w:pPr>
          </w:p>
        </w:tc>
      </w:tr>
      <w:tr w:rsidR="00FD0617" w:rsidRPr="00FD0617" w14:paraId="3E666D9F" w14:textId="77777777" w:rsidTr="00FD0617">
        <w:trPr>
          <w:trHeight w:val="315"/>
          <w:jc w:val="center"/>
        </w:trPr>
        <w:tc>
          <w:tcPr>
            <w:tcW w:w="208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94FC4F5"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 </w:t>
            </w:r>
          </w:p>
        </w:tc>
        <w:tc>
          <w:tcPr>
            <w:tcW w:w="2080" w:type="dxa"/>
            <w:vMerge w:val="restart"/>
            <w:tcBorders>
              <w:top w:val="nil"/>
              <w:left w:val="nil"/>
              <w:bottom w:val="single" w:sz="4" w:space="0" w:color="000000"/>
              <w:right w:val="single" w:sz="4" w:space="0" w:color="auto"/>
            </w:tcBorders>
            <w:shd w:val="clear" w:color="auto" w:fill="auto"/>
            <w:noWrap/>
            <w:vAlign w:val="center"/>
            <w:hideMark/>
          </w:tcPr>
          <w:p w14:paraId="0443F6F9"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Severe weather</w:t>
            </w:r>
          </w:p>
        </w:tc>
      </w:tr>
      <w:tr w:rsidR="00FD0617" w:rsidRPr="00FD0617" w14:paraId="792DBCF9" w14:textId="77777777" w:rsidTr="00FD0617">
        <w:trPr>
          <w:trHeight w:val="450"/>
          <w:jc w:val="center"/>
        </w:trPr>
        <w:tc>
          <w:tcPr>
            <w:tcW w:w="2080" w:type="dxa"/>
            <w:vMerge/>
            <w:tcBorders>
              <w:top w:val="nil"/>
              <w:left w:val="single" w:sz="4" w:space="0" w:color="auto"/>
              <w:bottom w:val="single" w:sz="4" w:space="0" w:color="000000"/>
              <w:right w:val="single" w:sz="4" w:space="0" w:color="auto"/>
            </w:tcBorders>
            <w:vAlign w:val="center"/>
            <w:hideMark/>
          </w:tcPr>
          <w:p w14:paraId="7A884B51" w14:textId="77777777" w:rsidR="00FD0617" w:rsidRPr="00C46D06" w:rsidRDefault="00FD0617" w:rsidP="00FD0617">
            <w:pPr>
              <w:spacing w:after="0" w:line="240" w:lineRule="auto"/>
              <w:rPr>
                <w:rFonts w:ascii="Calibri" w:eastAsia="Times New Roman" w:hAnsi="Calibri" w:cs="Times New Roman"/>
                <w:color w:val="000000"/>
                <w:sz w:val="24"/>
                <w:szCs w:val="24"/>
              </w:rPr>
            </w:pPr>
          </w:p>
        </w:tc>
        <w:tc>
          <w:tcPr>
            <w:tcW w:w="2080" w:type="dxa"/>
            <w:vMerge/>
            <w:tcBorders>
              <w:top w:val="nil"/>
              <w:left w:val="nil"/>
              <w:bottom w:val="single" w:sz="4" w:space="0" w:color="000000"/>
              <w:right w:val="single" w:sz="4" w:space="0" w:color="auto"/>
            </w:tcBorders>
            <w:vAlign w:val="center"/>
            <w:hideMark/>
          </w:tcPr>
          <w:p w14:paraId="59BE6B78" w14:textId="77777777" w:rsidR="00FD0617" w:rsidRPr="00C46D06" w:rsidRDefault="00FD0617" w:rsidP="00FD0617">
            <w:pPr>
              <w:spacing w:after="0" w:line="240" w:lineRule="auto"/>
              <w:rPr>
                <w:rFonts w:ascii="Calibri" w:eastAsia="Times New Roman" w:hAnsi="Calibri" w:cs="Times New Roman"/>
                <w:color w:val="000000"/>
                <w:sz w:val="24"/>
                <w:szCs w:val="24"/>
              </w:rPr>
            </w:pPr>
          </w:p>
        </w:tc>
      </w:tr>
      <w:tr w:rsidR="00FD0617" w:rsidRPr="00FD0617" w14:paraId="4C8130E2" w14:textId="77777777" w:rsidTr="00FD0617">
        <w:trPr>
          <w:trHeight w:val="300"/>
          <w:jc w:val="center"/>
        </w:trPr>
        <w:tc>
          <w:tcPr>
            <w:tcW w:w="208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AB78940"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 </w:t>
            </w:r>
          </w:p>
        </w:tc>
        <w:tc>
          <w:tcPr>
            <w:tcW w:w="2080" w:type="dxa"/>
            <w:vMerge w:val="restart"/>
            <w:tcBorders>
              <w:top w:val="nil"/>
              <w:left w:val="nil"/>
              <w:bottom w:val="single" w:sz="4" w:space="0" w:color="000000"/>
              <w:right w:val="single" w:sz="4" w:space="0" w:color="auto"/>
            </w:tcBorders>
            <w:shd w:val="clear" w:color="auto" w:fill="auto"/>
            <w:noWrap/>
            <w:vAlign w:val="center"/>
            <w:hideMark/>
          </w:tcPr>
          <w:p w14:paraId="1E195290"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Storm shelter</w:t>
            </w:r>
          </w:p>
        </w:tc>
      </w:tr>
      <w:tr w:rsidR="00FD0617" w:rsidRPr="00FD0617" w14:paraId="24CC68B2" w14:textId="77777777" w:rsidTr="00FD0617">
        <w:trPr>
          <w:trHeight w:val="450"/>
          <w:jc w:val="center"/>
        </w:trPr>
        <w:tc>
          <w:tcPr>
            <w:tcW w:w="2080" w:type="dxa"/>
            <w:vMerge/>
            <w:tcBorders>
              <w:top w:val="nil"/>
              <w:left w:val="single" w:sz="4" w:space="0" w:color="auto"/>
              <w:bottom w:val="single" w:sz="4" w:space="0" w:color="000000"/>
              <w:right w:val="single" w:sz="4" w:space="0" w:color="auto"/>
            </w:tcBorders>
            <w:vAlign w:val="center"/>
            <w:hideMark/>
          </w:tcPr>
          <w:p w14:paraId="133D2E63" w14:textId="77777777" w:rsidR="00FD0617" w:rsidRPr="00C46D06" w:rsidRDefault="00FD0617" w:rsidP="00FD0617">
            <w:pPr>
              <w:spacing w:after="0" w:line="240" w:lineRule="auto"/>
              <w:rPr>
                <w:rFonts w:ascii="Calibri" w:eastAsia="Times New Roman" w:hAnsi="Calibri" w:cs="Times New Roman"/>
                <w:color w:val="000000"/>
                <w:sz w:val="24"/>
                <w:szCs w:val="24"/>
              </w:rPr>
            </w:pPr>
          </w:p>
        </w:tc>
        <w:tc>
          <w:tcPr>
            <w:tcW w:w="2080" w:type="dxa"/>
            <w:vMerge/>
            <w:tcBorders>
              <w:top w:val="nil"/>
              <w:left w:val="nil"/>
              <w:bottom w:val="single" w:sz="4" w:space="0" w:color="000000"/>
              <w:right w:val="single" w:sz="4" w:space="0" w:color="auto"/>
            </w:tcBorders>
            <w:vAlign w:val="center"/>
            <w:hideMark/>
          </w:tcPr>
          <w:p w14:paraId="2D294F1A" w14:textId="77777777" w:rsidR="00FD0617" w:rsidRPr="00C46D06" w:rsidRDefault="00FD0617" w:rsidP="00FD0617">
            <w:pPr>
              <w:spacing w:after="0" w:line="240" w:lineRule="auto"/>
              <w:rPr>
                <w:rFonts w:ascii="Calibri" w:eastAsia="Times New Roman" w:hAnsi="Calibri" w:cs="Times New Roman"/>
                <w:color w:val="000000"/>
                <w:sz w:val="24"/>
                <w:szCs w:val="24"/>
              </w:rPr>
            </w:pPr>
          </w:p>
        </w:tc>
      </w:tr>
      <w:tr w:rsidR="00FD0617" w:rsidRPr="00FD0617" w14:paraId="3F776512" w14:textId="77777777" w:rsidTr="00FD0617">
        <w:trPr>
          <w:trHeight w:val="300"/>
          <w:jc w:val="center"/>
        </w:trPr>
        <w:tc>
          <w:tcPr>
            <w:tcW w:w="208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0D93CBF"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 </w:t>
            </w:r>
          </w:p>
        </w:tc>
        <w:tc>
          <w:tcPr>
            <w:tcW w:w="2080" w:type="dxa"/>
            <w:vMerge w:val="restart"/>
            <w:tcBorders>
              <w:top w:val="nil"/>
              <w:left w:val="nil"/>
              <w:bottom w:val="single" w:sz="4" w:space="0" w:color="000000"/>
              <w:right w:val="single" w:sz="4" w:space="0" w:color="auto"/>
            </w:tcBorders>
            <w:shd w:val="clear" w:color="auto" w:fill="auto"/>
            <w:noWrap/>
            <w:vAlign w:val="center"/>
            <w:hideMark/>
          </w:tcPr>
          <w:p w14:paraId="38FC3B30"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Shelter</w:t>
            </w:r>
          </w:p>
        </w:tc>
      </w:tr>
      <w:tr w:rsidR="00FD0617" w:rsidRPr="00FD0617" w14:paraId="62326D9A" w14:textId="77777777" w:rsidTr="00FD0617">
        <w:trPr>
          <w:trHeight w:val="450"/>
          <w:jc w:val="center"/>
        </w:trPr>
        <w:tc>
          <w:tcPr>
            <w:tcW w:w="2080" w:type="dxa"/>
            <w:vMerge/>
            <w:tcBorders>
              <w:top w:val="nil"/>
              <w:left w:val="single" w:sz="4" w:space="0" w:color="auto"/>
              <w:bottom w:val="single" w:sz="4" w:space="0" w:color="000000"/>
              <w:right w:val="single" w:sz="4" w:space="0" w:color="auto"/>
            </w:tcBorders>
            <w:vAlign w:val="center"/>
            <w:hideMark/>
          </w:tcPr>
          <w:p w14:paraId="626D4C10" w14:textId="77777777" w:rsidR="00FD0617" w:rsidRPr="00C46D06" w:rsidRDefault="00FD0617" w:rsidP="00FD0617">
            <w:pPr>
              <w:spacing w:after="0" w:line="240" w:lineRule="auto"/>
              <w:rPr>
                <w:rFonts w:ascii="Calibri" w:eastAsia="Times New Roman" w:hAnsi="Calibri" w:cs="Times New Roman"/>
                <w:color w:val="000000"/>
                <w:sz w:val="24"/>
                <w:szCs w:val="24"/>
              </w:rPr>
            </w:pPr>
          </w:p>
        </w:tc>
        <w:tc>
          <w:tcPr>
            <w:tcW w:w="2080" w:type="dxa"/>
            <w:vMerge/>
            <w:tcBorders>
              <w:top w:val="nil"/>
              <w:left w:val="nil"/>
              <w:bottom w:val="single" w:sz="4" w:space="0" w:color="000000"/>
              <w:right w:val="single" w:sz="4" w:space="0" w:color="auto"/>
            </w:tcBorders>
            <w:vAlign w:val="center"/>
            <w:hideMark/>
          </w:tcPr>
          <w:p w14:paraId="160BEA91" w14:textId="77777777" w:rsidR="00FD0617" w:rsidRPr="00C46D06" w:rsidRDefault="00FD0617" w:rsidP="00FD0617">
            <w:pPr>
              <w:spacing w:after="0" w:line="240" w:lineRule="auto"/>
              <w:rPr>
                <w:rFonts w:ascii="Calibri" w:eastAsia="Times New Roman" w:hAnsi="Calibri" w:cs="Times New Roman"/>
                <w:color w:val="000000"/>
                <w:sz w:val="24"/>
                <w:szCs w:val="24"/>
              </w:rPr>
            </w:pPr>
          </w:p>
        </w:tc>
      </w:tr>
      <w:tr w:rsidR="00FD0617" w:rsidRPr="00FD0617" w14:paraId="7CCA3D77" w14:textId="77777777" w:rsidTr="00FD0617">
        <w:trPr>
          <w:trHeight w:val="300"/>
          <w:jc w:val="center"/>
        </w:trPr>
        <w:tc>
          <w:tcPr>
            <w:tcW w:w="208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3A39E3D"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 </w:t>
            </w:r>
          </w:p>
        </w:tc>
        <w:tc>
          <w:tcPr>
            <w:tcW w:w="2080" w:type="dxa"/>
            <w:vMerge w:val="restart"/>
            <w:tcBorders>
              <w:top w:val="nil"/>
              <w:left w:val="nil"/>
              <w:bottom w:val="single" w:sz="4" w:space="0" w:color="000000"/>
              <w:right w:val="single" w:sz="4" w:space="0" w:color="auto"/>
            </w:tcBorders>
            <w:shd w:val="clear" w:color="auto" w:fill="auto"/>
            <w:noWrap/>
            <w:vAlign w:val="center"/>
            <w:hideMark/>
          </w:tcPr>
          <w:p w14:paraId="76FA5636"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Lowest level</w:t>
            </w:r>
          </w:p>
        </w:tc>
      </w:tr>
      <w:tr w:rsidR="00FD0617" w:rsidRPr="00FD0617" w14:paraId="19F0DA88" w14:textId="77777777" w:rsidTr="00FD0617">
        <w:trPr>
          <w:trHeight w:val="450"/>
          <w:jc w:val="center"/>
        </w:trPr>
        <w:tc>
          <w:tcPr>
            <w:tcW w:w="2080" w:type="dxa"/>
            <w:vMerge/>
            <w:tcBorders>
              <w:top w:val="nil"/>
              <w:left w:val="single" w:sz="4" w:space="0" w:color="auto"/>
              <w:bottom w:val="single" w:sz="4" w:space="0" w:color="000000"/>
              <w:right w:val="single" w:sz="4" w:space="0" w:color="auto"/>
            </w:tcBorders>
            <w:vAlign w:val="center"/>
            <w:hideMark/>
          </w:tcPr>
          <w:p w14:paraId="75A4F524" w14:textId="77777777" w:rsidR="00FD0617" w:rsidRPr="00C46D06" w:rsidRDefault="00FD0617" w:rsidP="00FD0617">
            <w:pPr>
              <w:spacing w:after="0" w:line="240" w:lineRule="auto"/>
              <w:rPr>
                <w:rFonts w:ascii="Calibri" w:eastAsia="Times New Roman" w:hAnsi="Calibri" w:cs="Times New Roman"/>
                <w:color w:val="000000"/>
                <w:sz w:val="24"/>
                <w:szCs w:val="24"/>
              </w:rPr>
            </w:pPr>
          </w:p>
        </w:tc>
        <w:tc>
          <w:tcPr>
            <w:tcW w:w="2080" w:type="dxa"/>
            <w:vMerge/>
            <w:tcBorders>
              <w:top w:val="nil"/>
              <w:left w:val="nil"/>
              <w:bottom w:val="single" w:sz="4" w:space="0" w:color="000000"/>
              <w:right w:val="single" w:sz="4" w:space="0" w:color="auto"/>
            </w:tcBorders>
            <w:vAlign w:val="center"/>
            <w:hideMark/>
          </w:tcPr>
          <w:p w14:paraId="545D4A1B" w14:textId="77777777" w:rsidR="00FD0617" w:rsidRPr="00C46D06" w:rsidRDefault="00FD0617" w:rsidP="00FD0617">
            <w:pPr>
              <w:spacing w:after="0" w:line="240" w:lineRule="auto"/>
              <w:rPr>
                <w:rFonts w:ascii="Calibri" w:eastAsia="Times New Roman" w:hAnsi="Calibri" w:cs="Times New Roman"/>
                <w:color w:val="000000"/>
                <w:sz w:val="24"/>
                <w:szCs w:val="24"/>
              </w:rPr>
            </w:pPr>
          </w:p>
        </w:tc>
      </w:tr>
      <w:tr w:rsidR="00FD0617" w:rsidRPr="00FD0617" w14:paraId="08CBC4F1" w14:textId="77777777" w:rsidTr="00FD0617">
        <w:trPr>
          <w:trHeight w:val="300"/>
          <w:jc w:val="center"/>
        </w:trPr>
        <w:tc>
          <w:tcPr>
            <w:tcW w:w="208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7FC5C63"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 </w:t>
            </w:r>
          </w:p>
        </w:tc>
        <w:tc>
          <w:tcPr>
            <w:tcW w:w="2080" w:type="dxa"/>
            <w:vMerge w:val="restart"/>
            <w:tcBorders>
              <w:top w:val="nil"/>
              <w:left w:val="nil"/>
              <w:bottom w:val="single" w:sz="4" w:space="0" w:color="000000"/>
              <w:right w:val="single" w:sz="4" w:space="0" w:color="auto"/>
            </w:tcBorders>
            <w:shd w:val="clear" w:color="auto" w:fill="auto"/>
            <w:noWrap/>
            <w:vAlign w:val="center"/>
            <w:hideMark/>
          </w:tcPr>
          <w:p w14:paraId="377118A8"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Basement</w:t>
            </w:r>
          </w:p>
        </w:tc>
      </w:tr>
      <w:tr w:rsidR="00FD0617" w:rsidRPr="00FD0617" w14:paraId="00388E62" w14:textId="77777777" w:rsidTr="00FD0617">
        <w:trPr>
          <w:trHeight w:val="450"/>
          <w:jc w:val="center"/>
        </w:trPr>
        <w:tc>
          <w:tcPr>
            <w:tcW w:w="2080" w:type="dxa"/>
            <w:vMerge/>
            <w:tcBorders>
              <w:top w:val="nil"/>
              <w:left w:val="single" w:sz="4" w:space="0" w:color="auto"/>
              <w:bottom w:val="single" w:sz="4" w:space="0" w:color="000000"/>
              <w:right w:val="single" w:sz="4" w:space="0" w:color="auto"/>
            </w:tcBorders>
            <w:vAlign w:val="center"/>
            <w:hideMark/>
          </w:tcPr>
          <w:p w14:paraId="0C4F1836" w14:textId="77777777" w:rsidR="00FD0617" w:rsidRPr="00C46D06" w:rsidRDefault="00FD0617" w:rsidP="00FD0617">
            <w:pPr>
              <w:spacing w:after="0" w:line="240" w:lineRule="auto"/>
              <w:rPr>
                <w:rFonts w:ascii="Calibri" w:eastAsia="Times New Roman" w:hAnsi="Calibri" w:cs="Times New Roman"/>
                <w:color w:val="000000"/>
                <w:sz w:val="24"/>
                <w:szCs w:val="24"/>
              </w:rPr>
            </w:pPr>
          </w:p>
        </w:tc>
        <w:tc>
          <w:tcPr>
            <w:tcW w:w="2080" w:type="dxa"/>
            <w:vMerge/>
            <w:tcBorders>
              <w:top w:val="nil"/>
              <w:left w:val="nil"/>
              <w:bottom w:val="single" w:sz="4" w:space="0" w:color="000000"/>
              <w:right w:val="single" w:sz="4" w:space="0" w:color="auto"/>
            </w:tcBorders>
            <w:vAlign w:val="center"/>
            <w:hideMark/>
          </w:tcPr>
          <w:p w14:paraId="51608E1B" w14:textId="77777777" w:rsidR="00FD0617" w:rsidRPr="00C46D06" w:rsidRDefault="00FD0617" w:rsidP="00FD0617">
            <w:pPr>
              <w:spacing w:after="0" w:line="240" w:lineRule="auto"/>
              <w:rPr>
                <w:rFonts w:ascii="Calibri" w:eastAsia="Times New Roman" w:hAnsi="Calibri" w:cs="Times New Roman"/>
                <w:color w:val="000000"/>
                <w:sz w:val="24"/>
                <w:szCs w:val="24"/>
              </w:rPr>
            </w:pPr>
          </w:p>
        </w:tc>
      </w:tr>
      <w:tr w:rsidR="00FD0617" w:rsidRPr="00FD0617" w14:paraId="6239B6E6" w14:textId="77777777" w:rsidTr="00FD0617">
        <w:trPr>
          <w:trHeight w:val="300"/>
          <w:jc w:val="center"/>
        </w:trPr>
        <w:tc>
          <w:tcPr>
            <w:tcW w:w="208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4BB00A6"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 </w:t>
            </w:r>
          </w:p>
        </w:tc>
        <w:tc>
          <w:tcPr>
            <w:tcW w:w="2080" w:type="dxa"/>
            <w:vMerge w:val="restart"/>
            <w:tcBorders>
              <w:top w:val="nil"/>
              <w:left w:val="nil"/>
              <w:bottom w:val="single" w:sz="4" w:space="0" w:color="000000"/>
              <w:right w:val="single" w:sz="4" w:space="0" w:color="auto"/>
            </w:tcBorders>
            <w:shd w:val="clear" w:color="auto" w:fill="auto"/>
            <w:noWrap/>
            <w:vAlign w:val="center"/>
            <w:hideMark/>
          </w:tcPr>
          <w:p w14:paraId="651498E0"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Storm cellar</w:t>
            </w:r>
          </w:p>
        </w:tc>
      </w:tr>
      <w:tr w:rsidR="00FD0617" w:rsidRPr="00FD0617" w14:paraId="414A4F6D" w14:textId="77777777" w:rsidTr="00FD0617">
        <w:trPr>
          <w:trHeight w:val="450"/>
          <w:jc w:val="center"/>
        </w:trPr>
        <w:tc>
          <w:tcPr>
            <w:tcW w:w="2080" w:type="dxa"/>
            <w:vMerge/>
            <w:tcBorders>
              <w:top w:val="nil"/>
              <w:left w:val="single" w:sz="4" w:space="0" w:color="auto"/>
              <w:bottom w:val="single" w:sz="4" w:space="0" w:color="000000"/>
              <w:right w:val="single" w:sz="4" w:space="0" w:color="auto"/>
            </w:tcBorders>
            <w:vAlign w:val="center"/>
            <w:hideMark/>
          </w:tcPr>
          <w:p w14:paraId="5B2A8CB0" w14:textId="77777777" w:rsidR="00FD0617" w:rsidRPr="00C46D06" w:rsidRDefault="00FD0617" w:rsidP="00FD0617">
            <w:pPr>
              <w:spacing w:after="0" w:line="240" w:lineRule="auto"/>
              <w:rPr>
                <w:rFonts w:ascii="Calibri" w:eastAsia="Times New Roman" w:hAnsi="Calibri" w:cs="Times New Roman"/>
                <w:color w:val="000000"/>
                <w:sz w:val="24"/>
                <w:szCs w:val="24"/>
              </w:rPr>
            </w:pPr>
          </w:p>
        </w:tc>
        <w:tc>
          <w:tcPr>
            <w:tcW w:w="2080" w:type="dxa"/>
            <w:vMerge/>
            <w:tcBorders>
              <w:top w:val="nil"/>
              <w:left w:val="nil"/>
              <w:bottom w:val="single" w:sz="4" w:space="0" w:color="000000"/>
              <w:right w:val="single" w:sz="4" w:space="0" w:color="auto"/>
            </w:tcBorders>
            <w:vAlign w:val="center"/>
            <w:hideMark/>
          </w:tcPr>
          <w:p w14:paraId="0A6434CD" w14:textId="77777777" w:rsidR="00FD0617" w:rsidRPr="00C46D06" w:rsidRDefault="00FD0617" w:rsidP="00FD0617">
            <w:pPr>
              <w:spacing w:after="0" w:line="240" w:lineRule="auto"/>
              <w:rPr>
                <w:rFonts w:ascii="Calibri" w:eastAsia="Times New Roman" w:hAnsi="Calibri" w:cs="Times New Roman"/>
                <w:color w:val="000000"/>
                <w:sz w:val="24"/>
                <w:szCs w:val="24"/>
              </w:rPr>
            </w:pPr>
          </w:p>
        </w:tc>
      </w:tr>
      <w:tr w:rsidR="00FD0617" w:rsidRPr="00FD0617" w14:paraId="5D4971ED" w14:textId="77777777" w:rsidTr="00FD0617">
        <w:trPr>
          <w:trHeight w:val="300"/>
          <w:jc w:val="center"/>
        </w:trPr>
        <w:tc>
          <w:tcPr>
            <w:tcW w:w="208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AD5CFDA"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 </w:t>
            </w:r>
          </w:p>
        </w:tc>
        <w:tc>
          <w:tcPr>
            <w:tcW w:w="2080" w:type="dxa"/>
            <w:vMerge w:val="restart"/>
            <w:tcBorders>
              <w:top w:val="nil"/>
              <w:left w:val="nil"/>
              <w:bottom w:val="single" w:sz="4" w:space="0" w:color="000000"/>
              <w:right w:val="single" w:sz="4" w:space="0" w:color="auto"/>
            </w:tcBorders>
            <w:shd w:val="clear" w:color="auto" w:fill="auto"/>
            <w:noWrap/>
            <w:vAlign w:val="center"/>
            <w:hideMark/>
          </w:tcPr>
          <w:p w14:paraId="5793D46E" w14:textId="77777777" w:rsidR="00FD0617" w:rsidRPr="00C46D06" w:rsidRDefault="00FD0617" w:rsidP="00FD0617">
            <w:pPr>
              <w:spacing w:after="0" w:line="240" w:lineRule="auto"/>
              <w:jc w:val="center"/>
              <w:rPr>
                <w:rFonts w:ascii="Calibri" w:eastAsia="Times New Roman" w:hAnsi="Calibri" w:cs="Times New Roman"/>
                <w:color w:val="000000"/>
                <w:sz w:val="24"/>
                <w:szCs w:val="24"/>
              </w:rPr>
            </w:pPr>
            <w:r w:rsidRPr="00C46D06">
              <w:rPr>
                <w:rFonts w:ascii="Calibri" w:eastAsia="Times New Roman" w:hAnsi="Calibri" w:cs="Times New Roman"/>
                <w:color w:val="000000"/>
                <w:sz w:val="24"/>
                <w:szCs w:val="24"/>
              </w:rPr>
              <w:t>Evacuate</w:t>
            </w:r>
          </w:p>
        </w:tc>
      </w:tr>
      <w:tr w:rsidR="00FD0617" w:rsidRPr="00FD0617" w14:paraId="3CB805E5" w14:textId="77777777" w:rsidTr="00FD0617">
        <w:trPr>
          <w:trHeight w:val="450"/>
          <w:jc w:val="center"/>
        </w:trPr>
        <w:tc>
          <w:tcPr>
            <w:tcW w:w="2080" w:type="dxa"/>
            <w:vMerge/>
            <w:tcBorders>
              <w:top w:val="nil"/>
              <w:left w:val="single" w:sz="4" w:space="0" w:color="auto"/>
              <w:bottom w:val="single" w:sz="4" w:space="0" w:color="000000"/>
              <w:right w:val="single" w:sz="4" w:space="0" w:color="auto"/>
            </w:tcBorders>
            <w:vAlign w:val="center"/>
            <w:hideMark/>
          </w:tcPr>
          <w:p w14:paraId="65A47580" w14:textId="77777777" w:rsidR="00FD0617" w:rsidRPr="00FD0617" w:rsidRDefault="00FD0617" w:rsidP="00FD0617">
            <w:pPr>
              <w:spacing w:after="0" w:line="240" w:lineRule="auto"/>
              <w:rPr>
                <w:rFonts w:ascii="Calibri" w:eastAsia="Times New Roman" w:hAnsi="Calibri" w:cs="Times New Roman"/>
                <w:color w:val="000000"/>
              </w:rPr>
            </w:pPr>
          </w:p>
        </w:tc>
        <w:tc>
          <w:tcPr>
            <w:tcW w:w="2080" w:type="dxa"/>
            <w:vMerge/>
            <w:tcBorders>
              <w:top w:val="nil"/>
              <w:left w:val="nil"/>
              <w:bottom w:val="single" w:sz="4" w:space="0" w:color="000000"/>
              <w:right w:val="single" w:sz="4" w:space="0" w:color="auto"/>
            </w:tcBorders>
            <w:vAlign w:val="center"/>
            <w:hideMark/>
          </w:tcPr>
          <w:p w14:paraId="713C989F" w14:textId="77777777" w:rsidR="00FD0617" w:rsidRPr="00FD0617" w:rsidRDefault="00FD0617" w:rsidP="00FD0617">
            <w:pPr>
              <w:spacing w:after="0" w:line="240" w:lineRule="auto"/>
              <w:rPr>
                <w:rFonts w:ascii="Calibri" w:eastAsia="Times New Roman" w:hAnsi="Calibri" w:cs="Times New Roman"/>
                <w:color w:val="000000"/>
              </w:rPr>
            </w:pPr>
          </w:p>
        </w:tc>
      </w:tr>
    </w:tbl>
    <w:p w14:paraId="06F2F733" w14:textId="77777777" w:rsidR="00575D14" w:rsidRDefault="00575D14" w:rsidP="003B14FB">
      <w:pPr>
        <w:spacing w:line="480" w:lineRule="auto"/>
        <w:rPr>
          <w:sz w:val="24"/>
        </w:rPr>
      </w:pPr>
    </w:p>
    <w:p w14:paraId="352B1591" w14:textId="77777777" w:rsidR="00C87004" w:rsidRDefault="00C87004" w:rsidP="00D57667">
      <w:pPr>
        <w:spacing w:line="480" w:lineRule="auto"/>
        <w:rPr>
          <w:b/>
          <w:i/>
          <w:sz w:val="24"/>
        </w:rPr>
      </w:pPr>
    </w:p>
    <w:p w14:paraId="68434151" w14:textId="77777777" w:rsidR="0089190B" w:rsidRDefault="0089190B" w:rsidP="00D57667">
      <w:pPr>
        <w:spacing w:line="480" w:lineRule="auto"/>
        <w:rPr>
          <w:b/>
          <w:i/>
          <w:sz w:val="24"/>
        </w:rPr>
      </w:pPr>
    </w:p>
    <w:p w14:paraId="772D9C49" w14:textId="77777777" w:rsidR="0089190B" w:rsidRDefault="0089190B" w:rsidP="00D57667">
      <w:pPr>
        <w:spacing w:line="480" w:lineRule="auto"/>
        <w:rPr>
          <w:b/>
          <w:i/>
          <w:sz w:val="24"/>
        </w:rPr>
      </w:pPr>
    </w:p>
    <w:p w14:paraId="56F1FB35" w14:textId="1BDD65C5" w:rsidR="00F93367" w:rsidRPr="00F93367" w:rsidRDefault="0089190B" w:rsidP="001E0CBC">
      <w:pPr>
        <w:spacing w:line="480" w:lineRule="auto"/>
        <w:rPr>
          <w:noProof/>
          <w:sz w:val="24"/>
        </w:rPr>
      </w:pPr>
      <w:r>
        <w:rPr>
          <w:sz w:val="24"/>
        </w:rPr>
        <w:lastRenderedPageBreak/>
        <w:fldChar w:fldCharType="begin" w:fldLock="1"/>
      </w:r>
      <w:r w:rsidR="00CA76FB">
        <w:rPr>
          <w:sz w:val="24"/>
        </w:rPr>
        <w:instrText>ADDIN CSL_CITATION {"citationItems":[{"id":"ITEM-1","itemData":{"URL":"http://weathergroup.com/newsroom/2019/10/03/weather-channel-announces-winter-storm-names-2019-2020-season","accessed":{"date-parts":[["2020","7","29"]]},"id":"ITEM-1","issued":{"date-parts":[["2019"]]},"title":"The Weather Channel Announces Winter Storm Names for 2019-2020 Season","type":"webpage"},"uris":["http://www.mendeley.com/documents/?uuid=6bf3369d-5b7d-38e1-9057-60cd18d48c12"]}],"mendeley":{"formattedCitation":"(“The Weather Channel Announces Winter Storm Names for 2019-2020 Season,” 2019)","manualFormatting":"for 2019-2020 Season,” 2019)","plainTextFormattedCitation":"(“The Weather Channel Announces Winter Storm Names for 2019-2020 Season,” 2019)","previouslyFormattedCitation":"(“The Weather Channel Announces Winter Storm Names for 2019-2020 Season,” 2019)"},"properties":{"noteIndex":0},"schema":"https://github.com/citation-style-language/schema/raw/master/csl-citation.json"}</w:instrText>
      </w:r>
      <w:r>
        <w:rPr>
          <w:sz w:val="24"/>
        </w:rPr>
        <w:fldChar w:fldCharType="separate"/>
      </w:r>
      <w:r w:rsidRPr="00CB15CA">
        <w:rPr>
          <w:noProof/>
          <w:sz w:val="24"/>
        </w:rPr>
        <w:t>for</w:t>
      </w:r>
      <w:r>
        <w:rPr>
          <w:noProof/>
          <w:sz w:val="24"/>
        </w:rPr>
        <w:t xml:space="preserve"> </w:t>
      </w:r>
      <w:r w:rsidRPr="00CB15CA">
        <w:rPr>
          <w:noProof/>
          <w:sz w:val="24"/>
        </w:rPr>
        <w:t>2019-2020 Season,” 2019)</w:t>
      </w:r>
      <w:r>
        <w:rPr>
          <w:sz w:val="24"/>
        </w:rPr>
        <w:fldChar w:fldCharType="end"/>
      </w:r>
      <w:r>
        <w:rPr>
          <w:sz w:val="24"/>
        </w:rPr>
        <w:t>. For these reasons, I searched The Weather Channel’s Twitter account (“@weatherchannel”) for the keyword “Winter Storm Gia.” The Weather Channel</w:t>
      </w:r>
      <w:r>
        <w:rPr>
          <w:noProof/>
          <w:sz w:val="24"/>
        </w:rPr>
        <w:t xml:space="preserve"> </w:t>
      </w:r>
      <w:r w:rsidR="007F2AF2">
        <w:rPr>
          <w:sz w:val="24"/>
        </w:rPr>
        <w:t xml:space="preserve">hints to a developing system in this tweet from 7 January: </w:t>
      </w:r>
      <w:r w:rsidR="007F01E0">
        <w:rPr>
          <w:i/>
          <w:sz w:val="24"/>
        </w:rPr>
        <w:t>“A late-</w:t>
      </w:r>
      <w:r w:rsidR="007F2AF2" w:rsidRPr="00960A85">
        <w:rPr>
          <w:i/>
          <w:sz w:val="24"/>
        </w:rPr>
        <w:t>week snowmaker could impact parts South, Midwest and East…”</w:t>
      </w:r>
      <w:r w:rsidR="007F2AF2">
        <w:rPr>
          <w:sz w:val="24"/>
        </w:rPr>
        <w:t xml:space="preserve"> </w:t>
      </w:r>
      <w:r w:rsidR="007F2AF2">
        <w:rPr>
          <w:sz w:val="24"/>
        </w:rPr>
        <w:fldChar w:fldCharType="begin" w:fldLock="1"/>
      </w:r>
      <w:r w:rsidR="007F2AF2">
        <w:rPr>
          <w:sz w:val="24"/>
        </w:rPr>
        <w:instrText>ADDIN CSL_CITATION {"citationItems":[{"id":"ITEM-1","itemData":{"author":[{"dropping-particle":"","family":"@weatherchannel","given":"","non-dropping-particle":"","parse-names":false,"suffix":""}],"id":"ITEM-1","issued":{"date-parts":[["2019"]]},"title":"\"A late-week snowmaker could impacts parts of the South, Midwest and East: https://wxch.nl/2FdJ2vd.\"","type":"article"},"uris":["http://www.mendeley.com/documents/?uuid=49182919-52da-4a3c-a57d-c9e9a1e7c616"]}],"mendeley":{"formattedCitation":"(@weatherchannel, 2019a)","plainTextFormattedCitation":"(@weatherchannel, 2019a)","previouslyFormattedCitation":"(@weatherchannel, 2019a)"},"properties":{"noteIndex":0},"schema":"https://github.com/citation-style-language/schema/raw/master/csl-citation.json"}</w:instrText>
      </w:r>
      <w:r w:rsidR="007F2AF2">
        <w:rPr>
          <w:sz w:val="24"/>
        </w:rPr>
        <w:fldChar w:fldCharType="separate"/>
      </w:r>
      <w:r w:rsidR="007F2AF2" w:rsidRPr="002A364D">
        <w:rPr>
          <w:noProof/>
          <w:sz w:val="24"/>
        </w:rPr>
        <w:t>(@weatherchannel, 2019a)</w:t>
      </w:r>
      <w:r w:rsidR="007F2AF2">
        <w:rPr>
          <w:sz w:val="24"/>
        </w:rPr>
        <w:fldChar w:fldCharType="end"/>
      </w:r>
      <w:r w:rsidR="007F2AF2">
        <w:rPr>
          <w:sz w:val="24"/>
        </w:rPr>
        <w:t xml:space="preserve">. I compared the date of The Weather Channel’s first tweet (7 January) to the date when NOAA’s Weather Prediction Center (“@NWSWPC”) first tweeted about a developing winter system. The Weather Prediction Center, another reliable source for weather information, first tweeted on 9 January: </w:t>
      </w:r>
      <w:r w:rsidR="007F2AF2" w:rsidRPr="00960A85">
        <w:rPr>
          <w:i/>
          <w:sz w:val="24"/>
        </w:rPr>
        <w:t>“Moisture begins to increase by Friday [10 January 2019] ahead of a developing low pressure system in the Southern Plains</w:t>
      </w:r>
      <w:r w:rsidR="007F2AF2">
        <w:rPr>
          <w:i/>
          <w:sz w:val="24"/>
        </w:rPr>
        <w:t>..</w:t>
      </w:r>
      <w:r w:rsidR="007F2AF2" w:rsidRPr="00960A85">
        <w:rPr>
          <w:i/>
          <w:sz w:val="24"/>
        </w:rPr>
        <w:t>.”</w:t>
      </w:r>
      <w:r w:rsidR="007F2AF2">
        <w:rPr>
          <w:sz w:val="24"/>
        </w:rPr>
        <w:t xml:space="preserve"> </w:t>
      </w:r>
      <w:r w:rsidR="007F2AF2">
        <w:rPr>
          <w:sz w:val="24"/>
        </w:rPr>
        <w:fldChar w:fldCharType="begin" w:fldLock="1"/>
      </w:r>
      <w:r w:rsidR="007F2AF2">
        <w:rPr>
          <w:sz w:val="24"/>
        </w:rPr>
        <w:instrText>ADDIN CSL_CITATION {"citationItems":[{"id":"ITEM-1","itemData":{"author":[{"dropping-particle":"","family":"@NWSWPC","given":"","non-dropping-particle":"","parse-names":false,"suffix":""}],"id":"ITEM-1","issued":{"date-parts":[["2019"]]},"title":"\"Moisture begins to increase by Friday ahead of a developing low pressure system in the Southern Plains http://go.usa.gov/cu3Wx.\"","type":"article"},"uris":["http://www.mendeley.com/documents/?uuid=b899141c-a593-4a68-9307-13e829ed9304"]}],"mendeley":{"formattedCitation":"(@NWSWPC, 2019b)","plainTextFormattedCitation":"(@NWSWPC, 2019b)","previouslyFormattedCitation":"(@NWSWPC, 2019b)"},"properties":{"noteIndex":0},"schema":"https://github.com/citation-style-language/schema/raw/master/csl-citation.json"}</w:instrText>
      </w:r>
      <w:r w:rsidR="007F2AF2">
        <w:rPr>
          <w:sz w:val="24"/>
        </w:rPr>
        <w:fldChar w:fldCharType="separate"/>
      </w:r>
      <w:r w:rsidR="007F2AF2" w:rsidRPr="007343AA">
        <w:rPr>
          <w:noProof/>
          <w:sz w:val="24"/>
        </w:rPr>
        <w:t>(@NWSWPC, 2019b)</w:t>
      </w:r>
      <w:r w:rsidR="007F2AF2">
        <w:rPr>
          <w:sz w:val="24"/>
        </w:rPr>
        <w:fldChar w:fldCharType="end"/>
      </w:r>
      <w:r w:rsidR="007F2AF2">
        <w:rPr>
          <w:sz w:val="24"/>
        </w:rPr>
        <w:t>.</w:t>
      </w:r>
      <w:r w:rsidR="007F2AF2">
        <w:rPr>
          <w:b/>
          <w:i/>
          <w:sz w:val="24"/>
        </w:rPr>
        <w:t xml:space="preserve"> </w:t>
      </w:r>
      <w:r w:rsidR="00292E74">
        <w:rPr>
          <w:sz w:val="24"/>
        </w:rPr>
        <w:t>By 14 January, The Weather Channel</w:t>
      </w:r>
      <w:r w:rsidR="0058673A">
        <w:rPr>
          <w:sz w:val="24"/>
        </w:rPr>
        <w:t xml:space="preserve"> began tweeting about a new winter storm:</w:t>
      </w:r>
      <w:r w:rsidR="009B3AAC">
        <w:rPr>
          <w:sz w:val="24"/>
        </w:rPr>
        <w:t xml:space="preserve"> </w:t>
      </w:r>
      <w:r w:rsidR="009B3AAC" w:rsidRPr="00960A85">
        <w:rPr>
          <w:i/>
          <w:sz w:val="24"/>
        </w:rPr>
        <w:t>“After the weekend’s #WinterStormGia, another snowstorm is looking increasingly likely Friday [18 January 2019] -&gt; next weekend in the Plains, Midwest and Northeast…”</w:t>
      </w:r>
      <w:r w:rsidR="009B3AAC">
        <w:rPr>
          <w:sz w:val="24"/>
        </w:rPr>
        <w:t xml:space="preserve"> </w:t>
      </w:r>
      <w:r w:rsidR="009B3AAC">
        <w:rPr>
          <w:sz w:val="24"/>
        </w:rPr>
        <w:fldChar w:fldCharType="begin" w:fldLock="1"/>
      </w:r>
      <w:r w:rsidR="009B3AAC">
        <w:rPr>
          <w:sz w:val="24"/>
        </w:rPr>
        <w:instrText>ADDIN CSL_CITATION {"citationItems":[{"id":"ITEM-1","itemData":{"author":[{"dropping-particle":"","family":"@weatherchannel","given":"","non-dropping-particle":"","parse-names":false,"suffix":""}],"id":"ITEM-1","issued":{"date-parts":[["2019"]]},"title":"\"After the weekend's #WinterStormGia, another snowstorm is looking increasingly likely Friday -&gt; next weekend in the Plains, Midwest and Northeast. https://wxch.nl/2HaZrlZ.\"","type":"article"},"uris":["http://www.mendeley.com/documents/?uuid=b5f21a8d-9fe9-470e-a99d-1e35d047cd40"]}],"mendeley":{"formattedCitation":"(@weatherchannel, 2019b)","plainTextFormattedCitation":"(@weatherchannel, 2019b)","previouslyFormattedCitation":"(@weatherchannel, 2019b)"},"properties":{"noteIndex":0},"schema":"https://github.com/citation-style-language/schema/raw/master/csl-citation.json"}</w:instrText>
      </w:r>
      <w:r w:rsidR="009B3AAC">
        <w:rPr>
          <w:sz w:val="24"/>
        </w:rPr>
        <w:fldChar w:fldCharType="separate"/>
      </w:r>
      <w:r w:rsidR="009B3AAC" w:rsidRPr="002A364D">
        <w:rPr>
          <w:noProof/>
          <w:sz w:val="24"/>
        </w:rPr>
        <w:t>(@weatherchannel, 2019b)</w:t>
      </w:r>
      <w:r w:rsidR="009B3AAC">
        <w:rPr>
          <w:sz w:val="24"/>
        </w:rPr>
        <w:fldChar w:fldCharType="end"/>
      </w:r>
      <w:r w:rsidR="009B3AAC">
        <w:rPr>
          <w:sz w:val="24"/>
        </w:rPr>
        <w:t xml:space="preserve">. </w:t>
      </w:r>
      <w:r w:rsidR="0058673A">
        <w:rPr>
          <w:sz w:val="24"/>
        </w:rPr>
        <w:t xml:space="preserve">The </w:t>
      </w:r>
      <w:r w:rsidR="00C871DA">
        <w:rPr>
          <w:sz w:val="24"/>
        </w:rPr>
        <w:t>Weather Prediction Center</w:t>
      </w:r>
      <w:r w:rsidR="0058673A">
        <w:rPr>
          <w:sz w:val="24"/>
        </w:rPr>
        <w:t xml:space="preserve"> last posted a tweet related to this case study on 13 January:</w:t>
      </w:r>
      <w:r w:rsidR="009B3AAC">
        <w:rPr>
          <w:sz w:val="24"/>
        </w:rPr>
        <w:t xml:space="preserve"> </w:t>
      </w:r>
      <w:r w:rsidR="009B3AAC" w:rsidRPr="00960A85">
        <w:rPr>
          <w:i/>
          <w:sz w:val="24"/>
        </w:rPr>
        <w:t xml:space="preserve">“#Snow is </w:t>
      </w:r>
      <w:r w:rsidR="00680E00">
        <w:rPr>
          <w:i/>
          <w:sz w:val="24"/>
        </w:rPr>
        <w:t xml:space="preserve">slowly </w:t>
      </w:r>
      <w:r w:rsidR="009B3AAC" w:rsidRPr="00960A85">
        <w:rPr>
          <w:i/>
          <w:sz w:val="24"/>
        </w:rPr>
        <w:t>tapering off over the Midwest and Ohio Valley but will continue into the evening over the interior Mid-Atlantic…”</w:t>
      </w:r>
      <w:r w:rsidR="009B3AAC">
        <w:rPr>
          <w:sz w:val="24"/>
        </w:rPr>
        <w:t xml:space="preserve"> </w:t>
      </w:r>
      <w:r w:rsidR="009B3AAC">
        <w:rPr>
          <w:sz w:val="24"/>
        </w:rPr>
        <w:fldChar w:fldCharType="begin" w:fldLock="1"/>
      </w:r>
      <w:r w:rsidR="009B3AAC">
        <w:rPr>
          <w:sz w:val="24"/>
        </w:rPr>
        <w:instrText>ADDIN CSL_CITATION {"citationItems":[{"id":"ITEM-1","itemData":{"author":[{"dropping-particle":"","family":"@NWSWPC","given":"","non-dropping-particle":"","parse-names":false,"suffix":""}],"id":"ITEM-1","issued":{"date-parts":[["2019"]]},"title":"\"#Snow is slowly tapering off over the Midwest and Ohio Valley but will continue into the evening over the interior Mid-Atlantic. https://wpc.ncep.noaa.gov/#page=frt\"","type":"article"},"uris":["http://www.mendeley.com/documents/?uuid=b47865e4-00dc-4c13-9b68-9396e4ce657a"]}],"mendeley":{"formattedCitation":"(@NWSWPC, 2019a)","plainTextFormattedCitation":"(@NWSWPC, 2019a)","previouslyFormattedCitation":"(@NWSWPC, 2019a)"},"properties":{"noteIndex":0},"schema":"https://github.com/citation-style-language/schema/raw/master/csl-citation.json"}</w:instrText>
      </w:r>
      <w:r w:rsidR="009B3AAC">
        <w:rPr>
          <w:sz w:val="24"/>
        </w:rPr>
        <w:fldChar w:fldCharType="separate"/>
      </w:r>
      <w:r w:rsidR="009B3AAC" w:rsidRPr="007343AA">
        <w:rPr>
          <w:noProof/>
          <w:sz w:val="24"/>
        </w:rPr>
        <w:t>(@NWSWPC, 2019a)</w:t>
      </w:r>
      <w:r w:rsidR="009B3AAC">
        <w:rPr>
          <w:sz w:val="24"/>
        </w:rPr>
        <w:fldChar w:fldCharType="end"/>
      </w:r>
      <w:r w:rsidR="009B3AAC">
        <w:rPr>
          <w:sz w:val="24"/>
        </w:rPr>
        <w:t xml:space="preserve">. </w:t>
      </w:r>
      <w:r w:rsidR="0058673A">
        <w:rPr>
          <w:sz w:val="24"/>
        </w:rPr>
        <w:t xml:space="preserve">I, therefore, </w:t>
      </w:r>
      <w:r w:rsidR="009B3AAC">
        <w:rPr>
          <w:sz w:val="24"/>
        </w:rPr>
        <w:t xml:space="preserve">used </w:t>
      </w:r>
      <w:r w:rsidR="00776C88">
        <w:rPr>
          <w:sz w:val="24"/>
        </w:rPr>
        <w:t xml:space="preserve">7 to 14 January 2019 </w:t>
      </w:r>
      <w:r w:rsidR="009B3AAC">
        <w:rPr>
          <w:sz w:val="24"/>
        </w:rPr>
        <w:t xml:space="preserve">as the WSG date range for my thesis. </w:t>
      </w:r>
    </w:p>
    <w:p w14:paraId="3416A0BF" w14:textId="6DFB2738" w:rsidR="009B3AAC" w:rsidRDefault="0058673A" w:rsidP="009B3AAC">
      <w:pPr>
        <w:spacing w:line="480" w:lineRule="auto"/>
        <w:rPr>
          <w:sz w:val="24"/>
        </w:rPr>
      </w:pPr>
      <w:r>
        <w:rPr>
          <w:sz w:val="24"/>
        </w:rPr>
        <w:tab/>
        <w:t xml:space="preserve">For the tornado outbreak case study, I </w:t>
      </w:r>
      <w:r w:rsidR="000220BC">
        <w:rPr>
          <w:sz w:val="24"/>
        </w:rPr>
        <w:t xml:space="preserve">searched </w:t>
      </w:r>
      <w:r w:rsidR="002C3907">
        <w:rPr>
          <w:sz w:val="24"/>
        </w:rPr>
        <w:t xml:space="preserve">Twitter’s Advanced Search for </w:t>
      </w:r>
      <w:r w:rsidR="000220BC">
        <w:rPr>
          <w:sz w:val="24"/>
        </w:rPr>
        <w:t xml:space="preserve">the words </w:t>
      </w:r>
      <w:r>
        <w:rPr>
          <w:sz w:val="24"/>
        </w:rPr>
        <w:t>“tornado,” “tornadoes,” “tornados,” and “south east</w:t>
      </w:r>
      <w:r w:rsidR="000220BC">
        <w:rPr>
          <w:sz w:val="24"/>
        </w:rPr>
        <w:t>.”</w:t>
      </w:r>
      <w:r w:rsidR="00746BF5">
        <w:rPr>
          <w:sz w:val="24"/>
        </w:rPr>
        <w:t xml:space="preserve"> I checked for tweets po</w:t>
      </w:r>
      <w:r w:rsidR="00040D03">
        <w:rPr>
          <w:sz w:val="24"/>
        </w:rPr>
        <w:t>sted by Weather Underground</w:t>
      </w:r>
      <w:r w:rsidR="00746BF5">
        <w:rPr>
          <w:sz w:val="24"/>
        </w:rPr>
        <w:t xml:space="preserve"> (“@wunderg</w:t>
      </w:r>
      <w:r w:rsidR="00B22692">
        <w:rPr>
          <w:sz w:val="24"/>
        </w:rPr>
        <w:t>round”), a sister company to The Weather Channel</w:t>
      </w:r>
      <w:r w:rsidR="00746BF5">
        <w:rPr>
          <w:sz w:val="24"/>
        </w:rPr>
        <w:t xml:space="preserve"> and another reliable source for </w:t>
      </w:r>
      <w:r w:rsidR="00F81292">
        <w:rPr>
          <w:sz w:val="24"/>
        </w:rPr>
        <w:t xml:space="preserve">weather </w:t>
      </w:r>
      <w:r w:rsidR="00040D03">
        <w:rPr>
          <w:sz w:val="24"/>
        </w:rPr>
        <w:t xml:space="preserve">information. Weather Underground </w:t>
      </w:r>
      <w:r w:rsidR="00746BF5">
        <w:rPr>
          <w:sz w:val="24"/>
        </w:rPr>
        <w:t xml:space="preserve">first tweeted about potential severe weather on 28 February: </w:t>
      </w:r>
      <w:r w:rsidR="009B3AAC">
        <w:rPr>
          <w:i/>
          <w:sz w:val="24"/>
        </w:rPr>
        <w:t xml:space="preserve">“Sunday [3 March 2019] brings another chance for #severe storms across the South as our Coast-to-Coast storm brings #snow to the Plains and Northeast…” </w:t>
      </w:r>
      <w:r w:rsidR="009B3AAC">
        <w:rPr>
          <w:i/>
          <w:sz w:val="24"/>
        </w:rPr>
        <w:fldChar w:fldCharType="begin" w:fldLock="1"/>
      </w:r>
      <w:r w:rsidR="009B3AAC">
        <w:rPr>
          <w:i/>
          <w:sz w:val="24"/>
        </w:rPr>
        <w:instrText>ADDIN CSL_CITATION {"citationItems":[{"id":"ITEM-1","itemData":{"author":[{"dropping-particle":"","family":"@weatherunderground","given":"","non-dropping-particle":"","parse-names":false,"suffix":""}],"id":"ITEM-1","issued":{"date-parts":[["2019"]]},"title":"\"Sunday brings another chance for #severe storms across the South as our Coast-to-Coast storm brings #snow to the Plains &amp; into the Northeast. Have a question on these stories? Tweet us using #WUTV &amp; we'll answer yours on the show!\".","type":"article"},"uris":["http://www.mendeley.com/documents/?uuid=1b7e75ec-2da7-47b2-bce5-5afff157b891"]}],"mendeley":{"formattedCitation":"(@weatherunderground, 2019)","plainTextFormattedCitation":"(@weatherunderground, 2019)","previouslyFormattedCitation":"(@weatherunderground, 2019)"},"properties":{"noteIndex":0},"schema":"https://github.com/citation-style-language/schema/raw/master/csl-citation.json"}</w:instrText>
      </w:r>
      <w:r w:rsidR="009B3AAC">
        <w:rPr>
          <w:i/>
          <w:sz w:val="24"/>
        </w:rPr>
        <w:fldChar w:fldCharType="separate"/>
      </w:r>
      <w:r w:rsidR="009B3AAC" w:rsidRPr="00BF42AC">
        <w:rPr>
          <w:noProof/>
          <w:sz w:val="24"/>
        </w:rPr>
        <w:t>(@weatherunderground, 2019)</w:t>
      </w:r>
      <w:r w:rsidR="009B3AAC">
        <w:rPr>
          <w:i/>
          <w:sz w:val="24"/>
        </w:rPr>
        <w:fldChar w:fldCharType="end"/>
      </w:r>
      <w:r w:rsidR="00B22692">
        <w:rPr>
          <w:sz w:val="24"/>
        </w:rPr>
        <w:t>. The Weather Channel</w:t>
      </w:r>
      <w:r w:rsidR="00040D03">
        <w:rPr>
          <w:sz w:val="24"/>
        </w:rPr>
        <w:t xml:space="preserve">, which like Weather </w:t>
      </w:r>
      <w:r w:rsidR="00040D03">
        <w:rPr>
          <w:sz w:val="24"/>
        </w:rPr>
        <w:lastRenderedPageBreak/>
        <w:t>Underground</w:t>
      </w:r>
      <w:r w:rsidR="009B3AAC">
        <w:rPr>
          <w:sz w:val="24"/>
        </w:rPr>
        <w:t xml:space="preserve"> is also owned by IBM’s The Weather Company, first reported the chance for severe we</w:t>
      </w:r>
      <w:r w:rsidR="002C3907">
        <w:rPr>
          <w:sz w:val="24"/>
        </w:rPr>
        <w:t>ather in a tweet on 1 March</w:t>
      </w:r>
      <w:r w:rsidR="009B3AAC">
        <w:rPr>
          <w:sz w:val="24"/>
        </w:rPr>
        <w:t xml:space="preserve">: </w:t>
      </w:r>
      <w:r w:rsidR="009B3AAC">
        <w:rPr>
          <w:i/>
          <w:sz w:val="24"/>
        </w:rPr>
        <w:t>“BREAKING: #WinterStormScott has been named and will bring heavy #snow from the Rockies into the Northeast with a #severe st</w:t>
      </w:r>
      <w:r w:rsidR="00B115DC">
        <w:rPr>
          <w:i/>
          <w:sz w:val="24"/>
        </w:rPr>
        <w:t>orm threat across parts of the S</w:t>
      </w:r>
      <w:r w:rsidR="009B3AAC">
        <w:rPr>
          <w:i/>
          <w:sz w:val="24"/>
        </w:rPr>
        <w:t xml:space="preserve">outh…” </w:t>
      </w:r>
      <w:r w:rsidR="009B3AAC">
        <w:rPr>
          <w:i/>
          <w:sz w:val="24"/>
        </w:rPr>
        <w:fldChar w:fldCharType="begin" w:fldLock="1"/>
      </w:r>
      <w:r w:rsidR="009B3AAC">
        <w:rPr>
          <w:i/>
          <w:sz w:val="24"/>
        </w:rPr>
        <w:instrText>ADDIN CSL_CITATION {"citationItems":[{"id":"ITEM-1","itemData":{"author":[{"dropping-particle":"","family":"@weatherchannel","given":"","non-dropping-particle":"","parse-names":false,"suffix":""}],"id":"ITEM-1","issued":{"date-parts":[["2019"]]},"title":"\"BREAKING: #WinterStormScott has been named and will bring heavy #snow from the Rockies into the Northeast with a #severe storm threat across parts of the South. We are LIVE now with all the details so you can plan your weekend.\"","type":"article"},"uris":["http://www.mendeley.com/documents/?uuid=96863040-9e51-4418-878d-5559b07701b0"]}],"mendeley":{"formattedCitation":"(@weatherchannel, 2019c)","plainTextFormattedCitation":"(@weatherchannel, 2019c)","previouslyFormattedCitation":"(@weatherchannel, 2019c)"},"properties":{"noteIndex":0},"schema":"https://github.com/citation-style-language/schema/raw/master/csl-citation.json"}</w:instrText>
      </w:r>
      <w:r w:rsidR="009B3AAC">
        <w:rPr>
          <w:i/>
          <w:sz w:val="24"/>
        </w:rPr>
        <w:fldChar w:fldCharType="separate"/>
      </w:r>
      <w:r w:rsidR="009B3AAC" w:rsidRPr="00256124">
        <w:rPr>
          <w:noProof/>
          <w:sz w:val="24"/>
        </w:rPr>
        <w:t>(@weatherchannel, 2019c)</w:t>
      </w:r>
      <w:r w:rsidR="009B3AAC">
        <w:rPr>
          <w:i/>
          <w:sz w:val="24"/>
        </w:rPr>
        <w:fldChar w:fldCharType="end"/>
      </w:r>
      <w:r w:rsidR="009B3AAC">
        <w:rPr>
          <w:sz w:val="24"/>
        </w:rPr>
        <w:t xml:space="preserve">. The first tweet from </w:t>
      </w:r>
      <w:r w:rsidR="0023668A">
        <w:rPr>
          <w:sz w:val="24"/>
        </w:rPr>
        <w:t xml:space="preserve">the </w:t>
      </w:r>
      <w:r w:rsidR="004553D3">
        <w:rPr>
          <w:sz w:val="24"/>
        </w:rPr>
        <w:t>Storm Prediction Center</w:t>
      </w:r>
      <w:r w:rsidR="009B3AAC">
        <w:rPr>
          <w:sz w:val="24"/>
        </w:rPr>
        <w:t xml:space="preserve"> was </w:t>
      </w:r>
      <w:r w:rsidR="002C3907">
        <w:rPr>
          <w:sz w:val="24"/>
        </w:rPr>
        <w:t>from 3 March</w:t>
      </w:r>
      <w:r w:rsidR="009B3AAC">
        <w:rPr>
          <w:sz w:val="24"/>
        </w:rPr>
        <w:t xml:space="preserve">, the day of the tornado outbreak itself: </w:t>
      </w:r>
      <w:r w:rsidR="009B3AAC">
        <w:rPr>
          <w:i/>
          <w:sz w:val="24"/>
        </w:rPr>
        <w:t xml:space="preserve">“2:02pm CST #SPC Day 1 Outlook Enhanced Risk: across parts of southern alabama, the far western florida panhandle, southwest and south-central georgia…” </w:t>
      </w:r>
      <w:r w:rsidR="009B3AAC">
        <w:rPr>
          <w:i/>
          <w:sz w:val="24"/>
        </w:rPr>
        <w:fldChar w:fldCharType="begin" w:fldLock="1"/>
      </w:r>
      <w:r w:rsidR="009B3AAC">
        <w:rPr>
          <w:i/>
          <w:sz w:val="24"/>
        </w:rPr>
        <w:instrText>ADDIN CSL_CITATION {"citationItems":[{"id":"ITEM-1","itemData":{"author":[{"dropping-particle":"","family":"@NWSSPC","given":"","non-dropping-particle":"","parse-names":false,"suffix":""}],"id":"ITEM-1","issued":{"date-parts":[["2019"]]},"title":"\"2:02pm CST #SPC Day1 Outlook Enhanced Risk: across parts of southern alabama, the far western florida panhandle, southwest and south-central georgia http://go.usa.gov/YWq5.\"","type":"article"},"uris":["http://www.mendeley.com/documents/?uuid=01e03b0d-5853-4a79-bdfb-615de2e7f3d1"]}],"mendeley":{"formattedCitation":"(@NWSSPC, 2019)","plainTextFormattedCitation":"(@NWSSPC, 2019)","previouslyFormattedCitation":"(@NWSSPC, 2019)"},"properties":{"noteIndex":0},"schema":"https://github.com/citation-style-language/schema/raw/master/csl-citation.json"}</w:instrText>
      </w:r>
      <w:r w:rsidR="009B3AAC">
        <w:rPr>
          <w:i/>
          <w:sz w:val="24"/>
        </w:rPr>
        <w:fldChar w:fldCharType="separate"/>
      </w:r>
      <w:r w:rsidR="009B3AAC" w:rsidRPr="00C77B9A">
        <w:rPr>
          <w:noProof/>
          <w:sz w:val="24"/>
        </w:rPr>
        <w:t>(@NWSSPC, 2019)</w:t>
      </w:r>
      <w:r w:rsidR="009B3AAC">
        <w:rPr>
          <w:i/>
          <w:sz w:val="24"/>
        </w:rPr>
        <w:fldChar w:fldCharType="end"/>
      </w:r>
      <w:r w:rsidR="009B3AAC">
        <w:rPr>
          <w:sz w:val="24"/>
        </w:rPr>
        <w:t>. The number of grammatical errors leads me to believe this was a tw</w:t>
      </w:r>
      <w:r w:rsidR="00B22692">
        <w:rPr>
          <w:sz w:val="24"/>
        </w:rPr>
        <w:t>eet generated automatically. The Weather Channel</w:t>
      </w:r>
      <w:r w:rsidR="009B3AAC">
        <w:rPr>
          <w:sz w:val="24"/>
        </w:rPr>
        <w:t xml:space="preserve"> i</w:t>
      </w:r>
      <w:r w:rsidR="00CD321A">
        <w:rPr>
          <w:sz w:val="24"/>
        </w:rPr>
        <w:t>ndirectly mentioned the tornado-</w:t>
      </w:r>
      <w:r w:rsidR="009B3AAC">
        <w:rPr>
          <w:sz w:val="24"/>
        </w:rPr>
        <w:t xml:space="preserve">outbreak case study in an 8 March tweet: </w:t>
      </w:r>
      <w:r w:rsidR="009B3AAC">
        <w:rPr>
          <w:i/>
          <w:sz w:val="24"/>
        </w:rPr>
        <w:t>“Our latest thinking on Saturday’s [9 March 2019] #severe weather potential in the South, and whether Sunday’s [10 March 2019] threat is anything to worry about for areas recovering from last Sunday’s [3 March 2019] outbreak…”</w:t>
      </w:r>
      <w:r w:rsidR="009B3AAC">
        <w:rPr>
          <w:sz w:val="24"/>
        </w:rPr>
        <w:t xml:space="preserve"> </w:t>
      </w:r>
      <w:r w:rsidR="009B3AAC">
        <w:rPr>
          <w:sz w:val="24"/>
        </w:rPr>
        <w:fldChar w:fldCharType="begin" w:fldLock="1"/>
      </w:r>
      <w:r w:rsidR="009B3AAC">
        <w:rPr>
          <w:sz w:val="24"/>
        </w:rPr>
        <w:instrText>ADDIN CSL_CITATION {"citationItems":[{"id":"ITEM-1","itemData":{"author":[{"dropping-particle":"","family":"@weatherchannel","given":"","non-dropping-particle":"","parse-names":false,"suffix":""}],"id":"ITEM-1","issued":{"date-parts":[["2019"]]},"title":"\"Our latest thinking on Saturday's #severe weather potential in the South, and whether Sunday's threat is anything to worry about for areas recovering from last Sunday's outbreak. https://wxch.nl/2UoBytl\"","type":"article"},"uris":["http://www.mendeley.com/documents/?uuid=b247ee6c-525f-4019-b6a2-f954bdef230d"]}],"mendeley":{"formattedCitation":"(@weatherchannel, 2019d)","plainTextFormattedCitation":"(@weatherchannel, 2019d)","previouslyFormattedCitation":"(@weatherchannel, 2019d)"},"properties":{"noteIndex":0},"schema":"https://github.com/citation-style-language/schema/raw/master/csl-citation.json"}</w:instrText>
      </w:r>
      <w:r w:rsidR="009B3AAC">
        <w:rPr>
          <w:sz w:val="24"/>
        </w:rPr>
        <w:fldChar w:fldCharType="separate"/>
      </w:r>
      <w:r w:rsidR="009B3AAC" w:rsidRPr="00FE4842">
        <w:rPr>
          <w:noProof/>
          <w:sz w:val="24"/>
        </w:rPr>
        <w:t>(@weatherchannel, 2019d)</w:t>
      </w:r>
      <w:r w:rsidR="009B3AAC">
        <w:rPr>
          <w:sz w:val="24"/>
        </w:rPr>
        <w:fldChar w:fldCharType="end"/>
      </w:r>
      <w:r w:rsidR="009B3AAC">
        <w:rPr>
          <w:sz w:val="24"/>
        </w:rPr>
        <w:t xml:space="preserve">. </w:t>
      </w:r>
      <w:r w:rsidR="002C3907">
        <w:rPr>
          <w:sz w:val="24"/>
        </w:rPr>
        <w:t xml:space="preserve">However, I last found a tweet on 5 March that directly mentions </w:t>
      </w:r>
      <w:r w:rsidR="00F81292">
        <w:rPr>
          <w:sz w:val="24"/>
        </w:rPr>
        <w:t>the tornado outbreak</w:t>
      </w:r>
      <w:r w:rsidR="009B3AAC">
        <w:rPr>
          <w:sz w:val="24"/>
        </w:rPr>
        <w:t xml:space="preserve">: </w:t>
      </w:r>
      <w:r w:rsidR="009B3AAC">
        <w:rPr>
          <w:i/>
          <w:sz w:val="24"/>
        </w:rPr>
        <w:t>“See the before-and-after images of the damage caused by Sunday’s [3 March 2019] EF4 #tornado in Alabama..</w:t>
      </w:r>
      <w:r w:rsidR="009B3AAC">
        <w:rPr>
          <w:sz w:val="24"/>
        </w:rPr>
        <w:t xml:space="preserve">.” </w:t>
      </w:r>
      <w:r w:rsidR="009B3AAC">
        <w:rPr>
          <w:sz w:val="24"/>
        </w:rPr>
        <w:fldChar w:fldCharType="begin" w:fldLock="1"/>
      </w:r>
      <w:r w:rsidR="009B3AAC">
        <w:rPr>
          <w:sz w:val="24"/>
        </w:rPr>
        <w:instrText>ADDIN CSL_CITATION {"citationItems":[{"id":"ITEM-1","itemData":{"author":[{"dropping-particle":"","family":"@weatherchannel","given":"","non-dropping-particle":"","parse-names":false,"suffix":""}],"id":"ITEM-1","issued":{"date-parts":[["2019"]]},"title":"\"See the before-and-after images of the damage caused by Sunday's EF4 #tornado in Alabama: https://wxch.nl/2HjlxRx\"","type":"article"},"uris":["http://www.mendeley.com/documents/?uuid=c4e5f997-9cd5-4fc7-8615-5f024657b8ac"]}],"mendeley":{"formattedCitation":"(@weatherchannel, 2019e)","plainTextFormattedCitation":"(@weatherchannel, 2019e)","previouslyFormattedCitation":"(@weatherchannel, 2019e)"},"properties":{"noteIndex":0},"schema":"https://github.com/citation-style-language/schema/raw/master/csl-citation.json"}</w:instrText>
      </w:r>
      <w:r w:rsidR="009B3AAC">
        <w:rPr>
          <w:sz w:val="24"/>
        </w:rPr>
        <w:fldChar w:fldCharType="separate"/>
      </w:r>
      <w:r w:rsidR="009B3AAC" w:rsidRPr="00C31E17">
        <w:rPr>
          <w:noProof/>
          <w:sz w:val="24"/>
        </w:rPr>
        <w:t>(@weatherchannel, 2019e)</w:t>
      </w:r>
      <w:r w:rsidR="009B3AAC">
        <w:rPr>
          <w:sz w:val="24"/>
        </w:rPr>
        <w:fldChar w:fldCharType="end"/>
      </w:r>
      <w:r w:rsidR="009B3AAC">
        <w:rPr>
          <w:sz w:val="24"/>
        </w:rPr>
        <w:t xml:space="preserve">. Therefore, </w:t>
      </w:r>
      <w:r w:rsidR="005260CB">
        <w:rPr>
          <w:sz w:val="24"/>
        </w:rPr>
        <w:t xml:space="preserve">28 February </w:t>
      </w:r>
      <w:r w:rsidR="009B3AAC">
        <w:rPr>
          <w:sz w:val="24"/>
        </w:rPr>
        <w:t xml:space="preserve">through </w:t>
      </w:r>
      <w:r w:rsidR="005260CB">
        <w:rPr>
          <w:sz w:val="24"/>
        </w:rPr>
        <w:t xml:space="preserve">5 March </w:t>
      </w:r>
      <w:r w:rsidR="009B3AAC">
        <w:rPr>
          <w:sz w:val="24"/>
        </w:rPr>
        <w:t>is</w:t>
      </w:r>
      <w:r w:rsidR="00CD321A">
        <w:rPr>
          <w:sz w:val="24"/>
        </w:rPr>
        <w:t xml:space="preserve"> the date range for the tornado-</w:t>
      </w:r>
      <w:r w:rsidR="009B3AAC">
        <w:rPr>
          <w:sz w:val="24"/>
        </w:rPr>
        <w:t xml:space="preserve">outbreak case study. </w:t>
      </w:r>
      <w:r w:rsidR="004C74BA">
        <w:rPr>
          <w:sz w:val="24"/>
        </w:rPr>
        <w:t>The date</w:t>
      </w:r>
      <w:r w:rsidR="009B3AAC">
        <w:rPr>
          <w:sz w:val="24"/>
        </w:rPr>
        <w:t xml:space="preserve"> ranges are summarized in </w:t>
      </w:r>
      <w:r w:rsidR="00CC5116" w:rsidRPr="00FC7417">
        <w:rPr>
          <w:sz w:val="24"/>
        </w:rPr>
        <w:t>T</w:t>
      </w:r>
      <w:r w:rsidR="00B11016" w:rsidRPr="00FC7417">
        <w:rPr>
          <w:sz w:val="24"/>
        </w:rPr>
        <w:t xml:space="preserve">able </w:t>
      </w:r>
      <w:r w:rsidR="00992585">
        <w:rPr>
          <w:sz w:val="24"/>
        </w:rPr>
        <w:t>2</w:t>
      </w:r>
      <w:r w:rsidR="002C3907">
        <w:rPr>
          <w:sz w:val="24"/>
        </w:rPr>
        <w:t>.</w:t>
      </w:r>
    </w:p>
    <w:p w14:paraId="1702E9DA" w14:textId="2BACFFE2" w:rsidR="00F20974" w:rsidRDefault="00F313CB" w:rsidP="006A7984">
      <w:pPr>
        <w:spacing w:line="480" w:lineRule="auto"/>
        <w:rPr>
          <w:sz w:val="24"/>
        </w:rPr>
      </w:pPr>
      <w:r>
        <w:rPr>
          <w:sz w:val="24"/>
        </w:rPr>
        <w:tab/>
        <w:t>I first filtered tweets by date posted. O</w:t>
      </w:r>
      <w:r w:rsidR="00FC6B3E">
        <w:rPr>
          <w:sz w:val="24"/>
        </w:rPr>
        <w:t xml:space="preserve">riginally, I had tweets </w:t>
      </w:r>
      <w:r>
        <w:rPr>
          <w:sz w:val="24"/>
        </w:rPr>
        <w:t xml:space="preserve">from 5 to 30 January </w:t>
      </w:r>
      <w:r w:rsidR="00154821">
        <w:rPr>
          <w:sz w:val="24"/>
        </w:rPr>
        <w:t xml:space="preserve">2019 </w:t>
      </w:r>
      <w:r>
        <w:rPr>
          <w:sz w:val="24"/>
        </w:rPr>
        <w:t xml:space="preserve">for the WSG case study, from 23 February to 15 March </w:t>
      </w:r>
      <w:r w:rsidR="00154821">
        <w:rPr>
          <w:sz w:val="24"/>
        </w:rPr>
        <w:t xml:space="preserve">2019 </w:t>
      </w:r>
      <w:r>
        <w:rPr>
          <w:sz w:val="24"/>
        </w:rPr>
        <w:t>for the tornado</w:t>
      </w:r>
      <w:r w:rsidR="00C22D10">
        <w:rPr>
          <w:sz w:val="24"/>
        </w:rPr>
        <w:t>-</w:t>
      </w:r>
      <w:r w:rsidR="00F366BA">
        <w:rPr>
          <w:sz w:val="24"/>
        </w:rPr>
        <w:t xml:space="preserve">outbreak case study. </w:t>
      </w:r>
      <w:r w:rsidR="00D06C1B">
        <w:rPr>
          <w:sz w:val="24"/>
        </w:rPr>
        <w:t xml:space="preserve">I </w:t>
      </w:r>
      <w:r w:rsidR="00C22D10">
        <w:rPr>
          <w:sz w:val="24"/>
        </w:rPr>
        <w:t>filtered based upo</w:t>
      </w:r>
      <w:r w:rsidR="00992585">
        <w:rPr>
          <w:sz w:val="24"/>
        </w:rPr>
        <w:t>n the dates listed in Table 2</w:t>
      </w:r>
      <w:r w:rsidR="00F262D5">
        <w:rPr>
          <w:sz w:val="24"/>
        </w:rPr>
        <w:t xml:space="preserve">. Peak WSG intensity occurred </w:t>
      </w:r>
      <w:r w:rsidR="00154821">
        <w:rPr>
          <w:sz w:val="24"/>
        </w:rPr>
        <w:t xml:space="preserve">from </w:t>
      </w:r>
      <w:r w:rsidR="00F262D5">
        <w:rPr>
          <w:sz w:val="24"/>
        </w:rPr>
        <w:t>11 to 14 January while 3 March is the dat</w:t>
      </w:r>
      <w:r w:rsidR="003F2408">
        <w:rPr>
          <w:sz w:val="24"/>
        </w:rPr>
        <w:t xml:space="preserve">e when </w:t>
      </w:r>
      <w:r w:rsidR="00154821">
        <w:rPr>
          <w:sz w:val="24"/>
        </w:rPr>
        <w:t xml:space="preserve">80 </w:t>
      </w:r>
      <w:r w:rsidR="003F2408">
        <w:rPr>
          <w:sz w:val="24"/>
        </w:rPr>
        <w:t xml:space="preserve">tornados formed; thus, date ranges from 7 to 14 January (WSG) and 28 February to 5 March (tornado outbreak) include days before, during, and </w:t>
      </w:r>
    </w:p>
    <w:p w14:paraId="53F11E26" w14:textId="77777777" w:rsidR="00074C03" w:rsidRDefault="00074C03" w:rsidP="006A7984">
      <w:pPr>
        <w:spacing w:line="480" w:lineRule="auto"/>
        <w:rPr>
          <w:sz w:val="24"/>
        </w:rPr>
      </w:pPr>
    </w:p>
    <w:p w14:paraId="12204096" w14:textId="77777777" w:rsidR="00074C03" w:rsidRPr="005A430F" w:rsidRDefault="00074C03" w:rsidP="00074C03">
      <w:pPr>
        <w:spacing w:line="480" w:lineRule="auto"/>
        <w:rPr>
          <w:sz w:val="24"/>
        </w:rPr>
      </w:pPr>
      <w:r>
        <w:rPr>
          <w:b/>
          <w:sz w:val="24"/>
        </w:rPr>
        <w:lastRenderedPageBreak/>
        <w:fldChar w:fldCharType="begin"/>
      </w:r>
      <w:r>
        <w:rPr>
          <w:b/>
          <w:sz w:val="24"/>
        </w:rPr>
        <w:instrText xml:space="preserve"> TC  "</w:instrText>
      </w:r>
      <w:bookmarkStart w:id="21" w:name="_Toc56898440"/>
      <w:r>
        <w:rPr>
          <w:b/>
          <w:sz w:val="24"/>
        </w:rPr>
        <w:instrText>Table 2: Case study date ranges</w:instrText>
      </w:r>
      <w:bookmarkEnd w:id="21"/>
      <w:r>
        <w:rPr>
          <w:b/>
          <w:sz w:val="24"/>
        </w:rPr>
        <w:instrText xml:space="preserve">" \f t \l 1 </w:instrText>
      </w:r>
      <w:r>
        <w:rPr>
          <w:b/>
          <w:sz w:val="24"/>
        </w:rPr>
        <w:fldChar w:fldCharType="end"/>
      </w:r>
      <w:r>
        <w:rPr>
          <w:b/>
          <w:sz w:val="24"/>
        </w:rPr>
        <w:t xml:space="preserve">Table 2: </w:t>
      </w:r>
      <w:r>
        <w:rPr>
          <w:sz w:val="24"/>
        </w:rPr>
        <w:t xml:space="preserve">Case study date ranges. Includes the forecast period, the event, and post-event tweets. </w:t>
      </w:r>
    </w:p>
    <w:tbl>
      <w:tblPr>
        <w:tblW w:w="5240" w:type="dxa"/>
        <w:jc w:val="center"/>
        <w:tblLook w:val="04A0" w:firstRow="1" w:lastRow="0" w:firstColumn="1" w:lastColumn="0" w:noHBand="0" w:noVBand="1"/>
      </w:tblPr>
      <w:tblGrid>
        <w:gridCol w:w="2040"/>
        <w:gridCol w:w="1600"/>
        <w:gridCol w:w="1600"/>
      </w:tblGrid>
      <w:tr w:rsidR="00074C03" w:rsidRPr="00ED3C33" w14:paraId="01543622" w14:textId="77777777" w:rsidTr="00074C03">
        <w:trPr>
          <w:trHeight w:val="645"/>
          <w:jc w:val="center"/>
        </w:trPr>
        <w:tc>
          <w:tcPr>
            <w:tcW w:w="2040"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7A5A875E" w14:textId="77777777" w:rsidR="00074C03" w:rsidRPr="00ED3C33" w:rsidRDefault="00074C03" w:rsidP="00074C03">
            <w:pPr>
              <w:spacing w:after="0" w:line="240" w:lineRule="auto"/>
              <w:jc w:val="center"/>
              <w:rPr>
                <w:rFonts w:ascii="Calibri" w:eastAsia="Times New Roman" w:hAnsi="Calibri" w:cs="Times New Roman"/>
                <w:b/>
                <w:bCs/>
                <w:color w:val="000000"/>
                <w:sz w:val="24"/>
                <w:szCs w:val="24"/>
              </w:rPr>
            </w:pPr>
            <w:r w:rsidRPr="00ED3C33">
              <w:rPr>
                <w:rFonts w:ascii="Calibri" w:eastAsia="Times New Roman" w:hAnsi="Calibri" w:cs="Times New Roman"/>
                <w:b/>
                <w:bCs/>
                <w:color w:val="000000"/>
                <w:sz w:val="24"/>
                <w:szCs w:val="24"/>
              </w:rPr>
              <w:t>Case Study</w:t>
            </w:r>
          </w:p>
        </w:tc>
        <w:tc>
          <w:tcPr>
            <w:tcW w:w="1600" w:type="dxa"/>
            <w:tcBorders>
              <w:top w:val="single" w:sz="4" w:space="0" w:color="auto"/>
              <w:left w:val="nil"/>
              <w:bottom w:val="double" w:sz="6" w:space="0" w:color="auto"/>
              <w:right w:val="single" w:sz="4" w:space="0" w:color="auto"/>
            </w:tcBorders>
            <w:shd w:val="clear" w:color="auto" w:fill="auto"/>
            <w:vAlign w:val="bottom"/>
            <w:hideMark/>
          </w:tcPr>
          <w:p w14:paraId="7E0808EC" w14:textId="77777777" w:rsidR="00074C03" w:rsidRPr="00ED3C33" w:rsidRDefault="00074C03" w:rsidP="00074C03">
            <w:pPr>
              <w:spacing w:after="0" w:line="240" w:lineRule="auto"/>
              <w:jc w:val="center"/>
              <w:rPr>
                <w:rFonts w:ascii="Calibri" w:eastAsia="Times New Roman" w:hAnsi="Calibri" w:cs="Times New Roman"/>
                <w:b/>
                <w:bCs/>
                <w:color w:val="000000"/>
                <w:sz w:val="24"/>
                <w:szCs w:val="24"/>
              </w:rPr>
            </w:pPr>
            <w:r w:rsidRPr="00ED3C33">
              <w:rPr>
                <w:rFonts w:ascii="Calibri" w:eastAsia="Times New Roman" w:hAnsi="Calibri" w:cs="Times New Roman"/>
                <w:b/>
                <w:bCs/>
                <w:color w:val="000000"/>
                <w:sz w:val="24"/>
                <w:szCs w:val="24"/>
              </w:rPr>
              <w:t>Start Date (2019)</w:t>
            </w:r>
          </w:p>
        </w:tc>
        <w:tc>
          <w:tcPr>
            <w:tcW w:w="1600" w:type="dxa"/>
            <w:tcBorders>
              <w:top w:val="single" w:sz="4" w:space="0" w:color="auto"/>
              <w:left w:val="nil"/>
              <w:bottom w:val="double" w:sz="6" w:space="0" w:color="auto"/>
              <w:right w:val="single" w:sz="4" w:space="0" w:color="auto"/>
            </w:tcBorders>
            <w:shd w:val="clear" w:color="auto" w:fill="auto"/>
            <w:vAlign w:val="bottom"/>
            <w:hideMark/>
          </w:tcPr>
          <w:p w14:paraId="154B359B" w14:textId="77777777" w:rsidR="00074C03" w:rsidRPr="00ED3C33" w:rsidRDefault="00074C03" w:rsidP="00074C03">
            <w:pPr>
              <w:spacing w:after="0" w:line="240" w:lineRule="auto"/>
              <w:jc w:val="center"/>
              <w:rPr>
                <w:rFonts w:ascii="Calibri" w:eastAsia="Times New Roman" w:hAnsi="Calibri" w:cs="Times New Roman"/>
                <w:b/>
                <w:bCs/>
                <w:color w:val="000000"/>
                <w:sz w:val="24"/>
                <w:szCs w:val="24"/>
              </w:rPr>
            </w:pPr>
            <w:r w:rsidRPr="00ED3C33">
              <w:rPr>
                <w:rFonts w:ascii="Calibri" w:eastAsia="Times New Roman" w:hAnsi="Calibri" w:cs="Times New Roman"/>
                <w:b/>
                <w:bCs/>
                <w:color w:val="000000"/>
                <w:sz w:val="24"/>
                <w:szCs w:val="24"/>
              </w:rPr>
              <w:t>End Date (2019)</w:t>
            </w:r>
          </w:p>
        </w:tc>
      </w:tr>
      <w:tr w:rsidR="00074C03" w:rsidRPr="00ED3C33" w14:paraId="35CD0E1B" w14:textId="77777777" w:rsidTr="00074C03">
        <w:trPr>
          <w:trHeight w:val="330"/>
          <w:jc w:val="center"/>
        </w:trPr>
        <w:tc>
          <w:tcPr>
            <w:tcW w:w="20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AD5A05" w14:textId="77777777" w:rsidR="00074C03" w:rsidRPr="00ED3C33" w:rsidRDefault="00074C03" w:rsidP="00074C03">
            <w:pPr>
              <w:spacing w:after="0" w:line="240" w:lineRule="auto"/>
              <w:jc w:val="center"/>
              <w:rPr>
                <w:rFonts w:ascii="Calibri" w:eastAsia="Times New Roman" w:hAnsi="Calibri" w:cs="Times New Roman"/>
                <w:b/>
                <w:bCs/>
                <w:color w:val="000000"/>
                <w:sz w:val="24"/>
                <w:szCs w:val="24"/>
              </w:rPr>
            </w:pPr>
            <w:r w:rsidRPr="00ED3C33">
              <w:rPr>
                <w:rFonts w:ascii="Calibri" w:eastAsia="Times New Roman" w:hAnsi="Calibri" w:cs="Times New Roman"/>
                <w:b/>
                <w:bCs/>
                <w:color w:val="000000"/>
                <w:sz w:val="24"/>
                <w:szCs w:val="24"/>
              </w:rPr>
              <w:t>WSG</w:t>
            </w:r>
          </w:p>
        </w:tc>
        <w:tc>
          <w:tcPr>
            <w:tcW w:w="16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36336FB" w14:textId="77777777" w:rsidR="00074C03" w:rsidRPr="00ED3C33" w:rsidRDefault="00074C03" w:rsidP="00074C03">
            <w:pPr>
              <w:spacing w:after="0" w:line="240" w:lineRule="auto"/>
              <w:jc w:val="center"/>
              <w:rPr>
                <w:rFonts w:ascii="Calibri" w:eastAsia="Times New Roman" w:hAnsi="Calibri" w:cs="Times New Roman"/>
                <w:color w:val="000000"/>
                <w:sz w:val="24"/>
                <w:szCs w:val="24"/>
              </w:rPr>
            </w:pPr>
            <w:r w:rsidRPr="00ED3C33">
              <w:rPr>
                <w:rFonts w:ascii="Calibri" w:eastAsia="Times New Roman" w:hAnsi="Calibri" w:cs="Times New Roman"/>
                <w:color w:val="000000"/>
                <w:sz w:val="24"/>
                <w:szCs w:val="24"/>
              </w:rPr>
              <w:t>7 January</w:t>
            </w:r>
          </w:p>
        </w:tc>
        <w:tc>
          <w:tcPr>
            <w:tcW w:w="1600" w:type="dxa"/>
            <w:vMerge w:val="restart"/>
            <w:tcBorders>
              <w:top w:val="nil"/>
              <w:left w:val="nil"/>
              <w:bottom w:val="single" w:sz="4" w:space="0" w:color="000000"/>
              <w:right w:val="single" w:sz="4" w:space="0" w:color="auto"/>
            </w:tcBorders>
            <w:shd w:val="clear" w:color="auto" w:fill="auto"/>
            <w:noWrap/>
            <w:vAlign w:val="center"/>
            <w:hideMark/>
          </w:tcPr>
          <w:p w14:paraId="6040ECE6" w14:textId="77777777" w:rsidR="00074C03" w:rsidRPr="00ED3C33" w:rsidRDefault="00074C03" w:rsidP="00074C03">
            <w:pPr>
              <w:spacing w:after="0" w:line="240" w:lineRule="auto"/>
              <w:jc w:val="center"/>
              <w:rPr>
                <w:rFonts w:ascii="Calibri" w:eastAsia="Times New Roman" w:hAnsi="Calibri" w:cs="Times New Roman"/>
                <w:color w:val="000000"/>
                <w:sz w:val="24"/>
                <w:szCs w:val="24"/>
              </w:rPr>
            </w:pPr>
            <w:r w:rsidRPr="00ED3C33">
              <w:rPr>
                <w:rFonts w:ascii="Calibri" w:eastAsia="Times New Roman" w:hAnsi="Calibri" w:cs="Times New Roman"/>
                <w:color w:val="000000"/>
                <w:sz w:val="24"/>
                <w:szCs w:val="24"/>
              </w:rPr>
              <w:t>14 January</w:t>
            </w:r>
          </w:p>
        </w:tc>
      </w:tr>
      <w:tr w:rsidR="00074C03" w:rsidRPr="00ED3C33" w14:paraId="64DE0743" w14:textId="77777777" w:rsidTr="00074C03">
        <w:trPr>
          <w:trHeight w:val="450"/>
          <w:jc w:val="center"/>
        </w:trPr>
        <w:tc>
          <w:tcPr>
            <w:tcW w:w="2040" w:type="dxa"/>
            <w:vMerge/>
            <w:tcBorders>
              <w:top w:val="nil"/>
              <w:left w:val="single" w:sz="4" w:space="0" w:color="auto"/>
              <w:bottom w:val="single" w:sz="4" w:space="0" w:color="000000"/>
              <w:right w:val="single" w:sz="4" w:space="0" w:color="auto"/>
            </w:tcBorders>
            <w:vAlign w:val="center"/>
            <w:hideMark/>
          </w:tcPr>
          <w:p w14:paraId="16A2FC2D" w14:textId="77777777" w:rsidR="00074C03" w:rsidRPr="00ED3C33" w:rsidRDefault="00074C03" w:rsidP="00074C03">
            <w:pPr>
              <w:spacing w:after="0" w:line="240" w:lineRule="auto"/>
              <w:rPr>
                <w:rFonts w:ascii="Calibri" w:eastAsia="Times New Roman" w:hAnsi="Calibri" w:cs="Times New Roman"/>
                <w:b/>
                <w:bCs/>
                <w:color w:val="000000"/>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14:paraId="05B10013" w14:textId="77777777" w:rsidR="00074C03" w:rsidRPr="00ED3C33" w:rsidRDefault="00074C03" w:rsidP="00074C03">
            <w:pPr>
              <w:spacing w:after="0" w:line="240" w:lineRule="auto"/>
              <w:rPr>
                <w:rFonts w:ascii="Calibri" w:eastAsia="Times New Roman" w:hAnsi="Calibri" w:cs="Times New Roman"/>
                <w:color w:val="000000"/>
                <w:sz w:val="24"/>
                <w:szCs w:val="24"/>
              </w:rPr>
            </w:pPr>
          </w:p>
        </w:tc>
        <w:tc>
          <w:tcPr>
            <w:tcW w:w="1600" w:type="dxa"/>
            <w:vMerge/>
            <w:tcBorders>
              <w:top w:val="nil"/>
              <w:left w:val="nil"/>
              <w:bottom w:val="single" w:sz="4" w:space="0" w:color="000000"/>
              <w:right w:val="single" w:sz="4" w:space="0" w:color="auto"/>
            </w:tcBorders>
            <w:vAlign w:val="center"/>
            <w:hideMark/>
          </w:tcPr>
          <w:p w14:paraId="725C9571" w14:textId="77777777" w:rsidR="00074C03" w:rsidRPr="00ED3C33" w:rsidRDefault="00074C03" w:rsidP="00074C03">
            <w:pPr>
              <w:spacing w:after="0" w:line="240" w:lineRule="auto"/>
              <w:rPr>
                <w:rFonts w:ascii="Calibri" w:eastAsia="Times New Roman" w:hAnsi="Calibri" w:cs="Times New Roman"/>
                <w:color w:val="000000"/>
                <w:sz w:val="24"/>
                <w:szCs w:val="24"/>
              </w:rPr>
            </w:pPr>
          </w:p>
        </w:tc>
      </w:tr>
      <w:tr w:rsidR="00074C03" w:rsidRPr="00ED3C33" w14:paraId="7AB116AF" w14:textId="77777777" w:rsidTr="00074C03">
        <w:trPr>
          <w:trHeight w:val="315"/>
          <w:jc w:val="center"/>
        </w:trPr>
        <w:tc>
          <w:tcPr>
            <w:tcW w:w="20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C96EE1" w14:textId="77777777" w:rsidR="00074C03" w:rsidRPr="00ED3C33" w:rsidRDefault="00074C03" w:rsidP="00074C03">
            <w:pPr>
              <w:spacing w:after="0" w:line="240" w:lineRule="auto"/>
              <w:jc w:val="center"/>
              <w:rPr>
                <w:rFonts w:ascii="Calibri" w:eastAsia="Times New Roman" w:hAnsi="Calibri" w:cs="Times New Roman"/>
                <w:b/>
                <w:bCs/>
                <w:color w:val="000000"/>
                <w:sz w:val="24"/>
                <w:szCs w:val="24"/>
              </w:rPr>
            </w:pPr>
            <w:r w:rsidRPr="00ED3C33">
              <w:rPr>
                <w:rFonts w:ascii="Calibri" w:eastAsia="Times New Roman" w:hAnsi="Calibri" w:cs="Times New Roman"/>
                <w:b/>
                <w:bCs/>
                <w:color w:val="000000"/>
                <w:sz w:val="24"/>
                <w:szCs w:val="24"/>
              </w:rPr>
              <w:t>Tornado Outbreak</w:t>
            </w:r>
          </w:p>
        </w:tc>
        <w:tc>
          <w:tcPr>
            <w:tcW w:w="16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AF89E7" w14:textId="77777777" w:rsidR="00074C03" w:rsidRPr="00ED3C33" w:rsidRDefault="00074C03" w:rsidP="00074C03">
            <w:pPr>
              <w:spacing w:after="0" w:line="240" w:lineRule="auto"/>
              <w:jc w:val="center"/>
              <w:rPr>
                <w:rFonts w:ascii="Calibri" w:eastAsia="Times New Roman" w:hAnsi="Calibri" w:cs="Times New Roman"/>
                <w:color w:val="000000"/>
                <w:sz w:val="24"/>
                <w:szCs w:val="24"/>
              </w:rPr>
            </w:pPr>
            <w:r w:rsidRPr="00ED3C33">
              <w:rPr>
                <w:rFonts w:ascii="Calibri" w:eastAsia="Times New Roman" w:hAnsi="Calibri" w:cs="Times New Roman"/>
                <w:color w:val="000000"/>
                <w:sz w:val="24"/>
                <w:szCs w:val="24"/>
              </w:rPr>
              <w:t>28 February</w:t>
            </w:r>
          </w:p>
        </w:tc>
        <w:tc>
          <w:tcPr>
            <w:tcW w:w="1600" w:type="dxa"/>
            <w:vMerge w:val="restart"/>
            <w:tcBorders>
              <w:top w:val="nil"/>
              <w:left w:val="nil"/>
              <w:bottom w:val="single" w:sz="4" w:space="0" w:color="000000"/>
              <w:right w:val="single" w:sz="4" w:space="0" w:color="auto"/>
            </w:tcBorders>
            <w:shd w:val="clear" w:color="auto" w:fill="auto"/>
            <w:noWrap/>
            <w:vAlign w:val="center"/>
            <w:hideMark/>
          </w:tcPr>
          <w:p w14:paraId="1F4A266E" w14:textId="77777777" w:rsidR="00074C03" w:rsidRPr="00ED3C33" w:rsidRDefault="00074C03" w:rsidP="00074C03">
            <w:pPr>
              <w:spacing w:after="0" w:line="240" w:lineRule="auto"/>
              <w:jc w:val="center"/>
              <w:rPr>
                <w:rFonts w:ascii="Calibri" w:eastAsia="Times New Roman" w:hAnsi="Calibri" w:cs="Times New Roman"/>
                <w:color w:val="000000"/>
                <w:sz w:val="24"/>
                <w:szCs w:val="24"/>
              </w:rPr>
            </w:pPr>
            <w:r w:rsidRPr="00ED3C33">
              <w:rPr>
                <w:rFonts w:ascii="Calibri" w:eastAsia="Times New Roman" w:hAnsi="Calibri" w:cs="Times New Roman"/>
                <w:color w:val="000000"/>
                <w:sz w:val="24"/>
                <w:szCs w:val="24"/>
              </w:rPr>
              <w:t>5 March</w:t>
            </w:r>
          </w:p>
        </w:tc>
      </w:tr>
      <w:tr w:rsidR="00074C03" w:rsidRPr="00ED3C33" w14:paraId="0ED01440" w14:textId="77777777" w:rsidTr="00074C03">
        <w:trPr>
          <w:trHeight w:val="450"/>
          <w:jc w:val="center"/>
        </w:trPr>
        <w:tc>
          <w:tcPr>
            <w:tcW w:w="2040" w:type="dxa"/>
            <w:vMerge/>
            <w:tcBorders>
              <w:top w:val="nil"/>
              <w:left w:val="single" w:sz="4" w:space="0" w:color="auto"/>
              <w:bottom w:val="single" w:sz="4" w:space="0" w:color="000000"/>
              <w:right w:val="single" w:sz="4" w:space="0" w:color="auto"/>
            </w:tcBorders>
            <w:vAlign w:val="center"/>
            <w:hideMark/>
          </w:tcPr>
          <w:p w14:paraId="76C037C6" w14:textId="77777777" w:rsidR="00074C03" w:rsidRPr="00ED3C33" w:rsidRDefault="00074C03" w:rsidP="00074C03">
            <w:pPr>
              <w:spacing w:after="0" w:line="240" w:lineRule="auto"/>
              <w:rPr>
                <w:rFonts w:ascii="Calibri" w:eastAsia="Times New Roman" w:hAnsi="Calibri" w:cs="Times New Roman"/>
                <w:b/>
                <w:bCs/>
                <w:color w:val="000000"/>
                <w:sz w:val="24"/>
                <w:szCs w:val="24"/>
              </w:rPr>
            </w:pPr>
          </w:p>
        </w:tc>
        <w:tc>
          <w:tcPr>
            <w:tcW w:w="1600" w:type="dxa"/>
            <w:vMerge/>
            <w:tcBorders>
              <w:top w:val="nil"/>
              <w:left w:val="single" w:sz="4" w:space="0" w:color="auto"/>
              <w:bottom w:val="single" w:sz="4" w:space="0" w:color="000000"/>
              <w:right w:val="single" w:sz="4" w:space="0" w:color="auto"/>
            </w:tcBorders>
            <w:vAlign w:val="center"/>
            <w:hideMark/>
          </w:tcPr>
          <w:p w14:paraId="47289F0A" w14:textId="77777777" w:rsidR="00074C03" w:rsidRPr="00ED3C33" w:rsidRDefault="00074C03" w:rsidP="00074C03">
            <w:pPr>
              <w:spacing w:after="0" w:line="240" w:lineRule="auto"/>
              <w:rPr>
                <w:rFonts w:ascii="Calibri" w:eastAsia="Times New Roman" w:hAnsi="Calibri" w:cs="Times New Roman"/>
                <w:color w:val="000000"/>
                <w:sz w:val="24"/>
                <w:szCs w:val="24"/>
              </w:rPr>
            </w:pPr>
          </w:p>
        </w:tc>
        <w:tc>
          <w:tcPr>
            <w:tcW w:w="1600" w:type="dxa"/>
            <w:vMerge/>
            <w:tcBorders>
              <w:top w:val="nil"/>
              <w:left w:val="nil"/>
              <w:bottom w:val="single" w:sz="4" w:space="0" w:color="000000"/>
              <w:right w:val="single" w:sz="4" w:space="0" w:color="auto"/>
            </w:tcBorders>
            <w:vAlign w:val="center"/>
            <w:hideMark/>
          </w:tcPr>
          <w:p w14:paraId="7C6A2310" w14:textId="77777777" w:rsidR="00074C03" w:rsidRPr="00ED3C33" w:rsidRDefault="00074C03" w:rsidP="00074C03">
            <w:pPr>
              <w:spacing w:after="0" w:line="240" w:lineRule="auto"/>
              <w:rPr>
                <w:rFonts w:ascii="Calibri" w:eastAsia="Times New Roman" w:hAnsi="Calibri" w:cs="Times New Roman"/>
                <w:color w:val="000000"/>
                <w:sz w:val="24"/>
                <w:szCs w:val="24"/>
              </w:rPr>
            </w:pPr>
          </w:p>
        </w:tc>
      </w:tr>
    </w:tbl>
    <w:p w14:paraId="2D2E94DC" w14:textId="77777777" w:rsidR="00074C03" w:rsidRDefault="00074C03" w:rsidP="006A7984">
      <w:pPr>
        <w:spacing w:line="480" w:lineRule="auto"/>
        <w:rPr>
          <w:b/>
          <w:sz w:val="24"/>
        </w:rPr>
      </w:pPr>
    </w:p>
    <w:p w14:paraId="5FA5A368" w14:textId="77777777" w:rsidR="00074C03" w:rsidRDefault="00074C03" w:rsidP="006A7984">
      <w:pPr>
        <w:spacing w:line="480" w:lineRule="auto"/>
        <w:rPr>
          <w:b/>
          <w:sz w:val="24"/>
        </w:rPr>
      </w:pPr>
    </w:p>
    <w:p w14:paraId="707AA38C" w14:textId="77777777" w:rsidR="00074C03" w:rsidRDefault="00074C03" w:rsidP="006A7984">
      <w:pPr>
        <w:spacing w:line="480" w:lineRule="auto"/>
        <w:rPr>
          <w:b/>
          <w:sz w:val="24"/>
        </w:rPr>
      </w:pPr>
    </w:p>
    <w:p w14:paraId="2BE118BD" w14:textId="77777777" w:rsidR="00074C03" w:rsidRDefault="00074C03" w:rsidP="006A7984">
      <w:pPr>
        <w:spacing w:line="480" w:lineRule="auto"/>
        <w:rPr>
          <w:b/>
          <w:sz w:val="24"/>
        </w:rPr>
      </w:pPr>
    </w:p>
    <w:p w14:paraId="757ECD45" w14:textId="77777777" w:rsidR="00074C03" w:rsidRDefault="00074C03" w:rsidP="006A7984">
      <w:pPr>
        <w:spacing w:line="480" w:lineRule="auto"/>
        <w:rPr>
          <w:b/>
          <w:sz w:val="24"/>
        </w:rPr>
      </w:pPr>
    </w:p>
    <w:p w14:paraId="1C95BC44" w14:textId="77777777" w:rsidR="00074C03" w:rsidRDefault="00074C03" w:rsidP="006A7984">
      <w:pPr>
        <w:spacing w:line="480" w:lineRule="auto"/>
        <w:rPr>
          <w:b/>
          <w:sz w:val="24"/>
        </w:rPr>
      </w:pPr>
    </w:p>
    <w:p w14:paraId="37643B45" w14:textId="77777777" w:rsidR="00074C03" w:rsidRDefault="00074C03" w:rsidP="006A7984">
      <w:pPr>
        <w:spacing w:line="480" w:lineRule="auto"/>
        <w:rPr>
          <w:b/>
          <w:sz w:val="24"/>
        </w:rPr>
      </w:pPr>
    </w:p>
    <w:p w14:paraId="1B42933F" w14:textId="77777777" w:rsidR="00074C03" w:rsidRDefault="00074C03" w:rsidP="006A7984">
      <w:pPr>
        <w:spacing w:line="480" w:lineRule="auto"/>
        <w:rPr>
          <w:b/>
          <w:sz w:val="24"/>
        </w:rPr>
      </w:pPr>
    </w:p>
    <w:p w14:paraId="64178ECF" w14:textId="77777777" w:rsidR="00074C03" w:rsidRDefault="00074C03" w:rsidP="006A7984">
      <w:pPr>
        <w:spacing w:line="480" w:lineRule="auto"/>
        <w:rPr>
          <w:b/>
          <w:sz w:val="24"/>
        </w:rPr>
      </w:pPr>
    </w:p>
    <w:p w14:paraId="76CE7A81" w14:textId="77777777" w:rsidR="00074C03" w:rsidRDefault="00074C03" w:rsidP="006A7984">
      <w:pPr>
        <w:spacing w:line="480" w:lineRule="auto"/>
        <w:rPr>
          <w:b/>
          <w:sz w:val="24"/>
        </w:rPr>
      </w:pPr>
    </w:p>
    <w:p w14:paraId="6A3EA8DD" w14:textId="77777777" w:rsidR="00074C03" w:rsidRDefault="00074C03" w:rsidP="006A7984">
      <w:pPr>
        <w:spacing w:line="480" w:lineRule="auto"/>
        <w:rPr>
          <w:b/>
          <w:sz w:val="24"/>
        </w:rPr>
      </w:pPr>
    </w:p>
    <w:p w14:paraId="26E159BE" w14:textId="77777777" w:rsidR="00CA76FB" w:rsidRDefault="00CA76FB" w:rsidP="006A7984">
      <w:pPr>
        <w:spacing w:line="480" w:lineRule="auto"/>
        <w:rPr>
          <w:b/>
          <w:sz w:val="24"/>
        </w:rPr>
      </w:pPr>
    </w:p>
    <w:p w14:paraId="2E3CA34B" w14:textId="77777777" w:rsidR="00CA76FB" w:rsidRDefault="00CA76FB" w:rsidP="006A7984">
      <w:pPr>
        <w:spacing w:line="480" w:lineRule="auto"/>
        <w:rPr>
          <w:b/>
          <w:sz w:val="24"/>
        </w:rPr>
      </w:pPr>
    </w:p>
    <w:p w14:paraId="53A91378" w14:textId="675142D8" w:rsidR="00074C03" w:rsidRPr="00074C03" w:rsidRDefault="00CA76FB" w:rsidP="006A7984">
      <w:pPr>
        <w:spacing w:line="480" w:lineRule="auto"/>
        <w:rPr>
          <w:b/>
          <w:sz w:val="24"/>
        </w:rPr>
      </w:pPr>
      <w:r>
        <w:rPr>
          <w:sz w:val="24"/>
        </w:rPr>
        <w:lastRenderedPageBreak/>
        <w:t>after both natural hazard events. Filtering by date reduced the tweet count from 25,836 to 5,053 (WSG) and from 14,983 to and 3,139 (tornado outbreak).</w:t>
      </w:r>
    </w:p>
    <w:p w14:paraId="4F629B7A" w14:textId="65E33F63" w:rsidR="00F93367" w:rsidRDefault="00F20974" w:rsidP="006A7984">
      <w:pPr>
        <w:spacing w:line="480" w:lineRule="auto"/>
        <w:rPr>
          <w:sz w:val="24"/>
        </w:rPr>
      </w:pPr>
      <w:r>
        <w:rPr>
          <w:sz w:val="24"/>
        </w:rPr>
        <w:tab/>
        <w:t xml:space="preserve">I then filtered tweets based on location. I only included tweets </w:t>
      </w:r>
      <w:r w:rsidR="00C01DD1">
        <w:rPr>
          <w:sz w:val="24"/>
        </w:rPr>
        <w:t>from within counties forecasted f</w:t>
      </w:r>
      <w:r w:rsidR="00BD1330">
        <w:rPr>
          <w:sz w:val="24"/>
        </w:rPr>
        <w:t>or e</w:t>
      </w:r>
      <w:r w:rsidR="00C01DD1">
        <w:rPr>
          <w:sz w:val="24"/>
        </w:rPr>
        <w:t xml:space="preserve">ither WSG or the tornado outbreak. For WSG, I first downloaded </w:t>
      </w:r>
      <w:r w:rsidR="00593B70">
        <w:rPr>
          <w:sz w:val="24"/>
        </w:rPr>
        <w:t xml:space="preserve">NWS </w:t>
      </w:r>
      <w:r w:rsidR="00F36497">
        <w:rPr>
          <w:sz w:val="24"/>
        </w:rPr>
        <w:t xml:space="preserve">watch, warning, and advisory </w:t>
      </w:r>
      <w:r w:rsidR="00C01DD1">
        <w:rPr>
          <w:sz w:val="24"/>
        </w:rPr>
        <w:t>shape</w:t>
      </w:r>
      <w:r w:rsidR="00593B70">
        <w:rPr>
          <w:sz w:val="24"/>
        </w:rPr>
        <w:t xml:space="preserve">files from Iowa State University’s </w:t>
      </w:r>
      <w:r w:rsidR="00C0783E">
        <w:rPr>
          <w:sz w:val="24"/>
        </w:rPr>
        <w:t>Iowa Environmental Mesonet</w:t>
      </w:r>
      <w:r w:rsidR="00F36497">
        <w:rPr>
          <w:sz w:val="24"/>
        </w:rPr>
        <w:t>. I then symbolized shapefiles</w:t>
      </w:r>
      <w:r w:rsidR="00593B70">
        <w:rPr>
          <w:sz w:val="24"/>
        </w:rPr>
        <w:t xml:space="preserve"> </w:t>
      </w:r>
      <w:r w:rsidR="00BD1330">
        <w:rPr>
          <w:sz w:val="24"/>
        </w:rPr>
        <w:t xml:space="preserve">(on ArcGIS Pro) </w:t>
      </w:r>
      <w:r w:rsidR="00593B70">
        <w:rPr>
          <w:sz w:val="24"/>
        </w:rPr>
        <w:t>so that it only included “winter weather</w:t>
      </w:r>
      <w:r w:rsidR="00BD1330">
        <w:rPr>
          <w:sz w:val="24"/>
        </w:rPr>
        <w:t xml:space="preserve"> advisory[ies]</w:t>
      </w:r>
      <w:r w:rsidR="00593B70">
        <w:rPr>
          <w:sz w:val="24"/>
        </w:rPr>
        <w:t>,” “winter storm watch</w:t>
      </w:r>
      <w:r w:rsidR="00BD1330">
        <w:rPr>
          <w:sz w:val="24"/>
        </w:rPr>
        <w:t>[es]</w:t>
      </w:r>
      <w:r w:rsidR="00593B70">
        <w:rPr>
          <w:sz w:val="24"/>
        </w:rPr>
        <w:t>,” “winter storm warning</w:t>
      </w:r>
      <w:r w:rsidR="00BD1330">
        <w:rPr>
          <w:sz w:val="24"/>
        </w:rPr>
        <w:t>[s]</w:t>
      </w:r>
      <w:r w:rsidR="00593B70">
        <w:rPr>
          <w:sz w:val="24"/>
        </w:rPr>
        <w:t>,” and “blizzard warning</w:t>
      </w:r>
      <w:r w:rsidR="00BD1330">
        <w:rPr>
          <w:sz w:val="24"/>
        </w:rPr>
        <w:t>[s]</w:t>
      </w:r>
      <w:r w:rsidR="00593B70">
        <w:rPr>
          <w:sz w:val="24"/>
        </w:rPr>
        <w:t xml:space="preserve">” </w:t>
      </w:r>
      <w:r w:rsidR="00593B70" w:rsidRPr="00236ED6">
        <w:rPr>
          <w:sz w:val="24"/>
        </w:rPr>
        <w:t>from</w:t>
      </w:r>
      <w:r w:rsidR="00593B70">
        <w:rPr>
          <w:sz w:val="24"/>
        </w:rPr>
        <w:t xml:space="preserve"> 8 to 15 January 2019</w:t>
      </w:r>
      <w:r w:rsidR="00E74D4E">
        <w:rPr>
          <w:sz w:val="24"/>
        </w:rPr>
        <w:t xml:space="preserve">. </w:t>
      </w:r>
      <w:r w:rsidR="00D035E2" w:rsidRPr="001A4D36">
        <w:rPr>
          <w:sz w:val="24"/>
        </w:rPr>
        <w:t xml:space="preserve">I used </w:t>
      </w:r>
      <w:r w:rsidR="00D035E2">
        <w:rPr>
          <w:sz w:val="24"/>
        </w:rPr>
        <w:t xml:space="preserve">8 January as the start date for identifying watches, warnings, and advisories because this corresponds to approximately 36 hours before WSG was at its peak. The NWS typically issues notices a few days prior to hazardous weather </w:t>
      </w:r>
      <w:r w:rsidR="00D035E2">
        <w:rPr>
          <w:sz w:val="24"/>
        </w:rPr>
        <w:fldChar w:fldCharType="begin" w:fldLock="1"/>
      </w:r>
      <w:r w:rsidR="00D035E2">
        <w:rPr>
          <w:sz w:val="24"/>
        </w:rPr>
        <w:instrText>ADDIN CSL_CITATION {"citationItems":[{"id":"ITEM-1","itemData":{"URL":"https://www.weather.gov/lwx/WarningsDefined","abstract":"National Weather Service Baltimore/Washington - Watch/Warning/Advisory Definitions","accessed":{"date-parts":[["2019","9","23"]]},"id":"ITEM-1","issued":{"date-parts":[["0"]]},"publisher":"NOAA's National Weather Service","title":"Watch/Warning/Advisory Definitions","type":"webpage"},"uris":["http://www.mendeley.com/documents/?uuid=34fd7690-ea3c-302a-a063-2f28bc149b47"]}],"mendeley":{"formattedCitation":"(“Watch/Warning/Advisory Definitions,” n.d.)","plainTextFormattedCitation":"(“Watch/Warning/Advisory Definitions,” n.d.)","previouslyFormattedCitation":"(“Watch/Warning/Advisory Definitions,” n.d.)"},"properties":{"noteIndex":0},"schema":"https://github.com/citation-style-language/schema/raw/master/csl-citation.json"}</w:instrText>
      </w:r>
      <w:r w:rsidR="00D035E2">
        <w:rPr>
          <w:sz w:val="24"/>
        </w:rPr>
        <w:fldChar w:fldCharType="separate"/>
      </w:r>
      <w:r w:rsidR="00D035E2" w:rsidRPr="00012887">
        <w:rPr>
          <w:noProof/>
          <w:sz w:val="24"/>
        </w:rPr>
        <w:t>(“Watch/Warning/Advisory Definitions,” n.d.)</w:t>
      </w:r>
      <w:r w:rsidR="00D035E2">
        <w:rPr>
          <w:sz w:val="24"/>
        </w:rPr>
        <w:fldChar w:fldCharType="end"/>
      </w:r>
      <w:r w:rsidR="00D035E2">
        <w:rPr>
          <w:sz w:val="24"/>
        </w:rPr>
        <w:t xml:space="preserve">. I used the ArcGIS Pro “Clip” tool to subset only tweets posted from 7 to 14 January and within locations warned for WSG by the NWS. </w:t>
      </w:r>
    </w:p>
    <w:p w14:paraId="16B88EEC" w14:textId="089122CB" w:rsidR="009A5641" w:rsidRDefault="009A5641" w:rsidP="009A5641">
      <w:pPr>
        <w:spacing w:line="480" w:lineRule="auto"/>
        <w:rPr>
          <w:sz w:val="24"/>
        </w:rPr>
      </w:pPr>
      <w:r>
        <w:rPr>
          <w:sz w:val="24"/>
        </w:rPr>
        <w:tab/>
        <w:t xml:space="preserve">To filter tornado-outbreak tweets by location, I first downloaded Convective Outlook shapefiles from the Storm Prediction Center. I loaded Convective Outlook data into ArcGIS Pro for 3 March. I again used the “Clip” tool to locate tweets relevant to my case study. Tweets posted on 3 March within </w:t>
      </w:r>
      <w:r w:rsidR="00433284">
        <w:rPr>
          <w:sz w:val="24"/>
        </w:rPr>
        <w:t xml:space="preserve">at least </w:t>
      </w:r>
      <w:r>
        <w:rPr>
          <w:sz w:val="24"/>
        </w:rPr>
        <w:t>the Thunderstorm Convective Outlook risk category were included in this subsection. This process reduced the WSG sample size from 5,053 to 3,021 tweets and the tornado-outbreak sample size from 3,139 to 540 tweets.</w:t>
      </w:r>
    </w:p>
    <w:p w14:paraId="5E00953E" w14:textId="77777777" w:rsidR="009A5641" w:rsidRPr="007B6368" w:rsidRDefault="009A5641" w:rsidP="009A5641">
      <w:pPr>
        <w:pStyle w:val="Heading3"/>
        <w:spacing w:line="480" w:lineRule="auto"/>
        <w:rPr>
          <w:rFonts w:asciiTheme="minorHAnsi" w:hAnsiTheme="minorHAnsi"/>
          <w:b/>
          <w:i/>
          <w:color w:val="auto"/>
        </w:rPr>
      </w:pPr>
      <w:bookmarkStart w:id="22" w:name="_Toc56898383"/>
      <w:r w:rsidRPr="007B6368">
        <w:rPr>
          <w:rFonts w:asciiTheme="minorHAnsi" w:hAnsiTheme="minorHAnsi"/>
          <w:b/>
          <w:i/>
          <w:color w:val="auto"/>
        </w:rPr>
        <w:t xml:space="preserve">3.3.b Filtering tweets </w:t>
      </w:r>
      <w:r>
        <w:rPr>
          <w:rFonts w:asciiTheme="minorHAnsi" w:hAnsiTheme="minorHAnsi"/>
          <w:b/>
          <w:i/>
          <w:color w:val="auto"/>
        </w:rPr>
        <w:t>by</w:t>
      </w:r>
      <w:r w:rsidRPr="007B6368">
        <w:rPr>
          <w:rFonts w:asciiTheme="minorHAnsi" w:hAnsiTheme="minorHAnsi"/>
          <w:b/>
          <w:i/>
          <w:color w:val="auto"/>
        </w:rPr>
        <w:t xml:space="preserve"> relevancy</w:t>
      </w:r>
      <w:bookmarkEnd w:id="22"/>
    </w:p>
    <w:p w14:paraId="43E0FACC" w14:textId="6C8A0514" w:rsidR="00CD2807" w:rsidRDefault="009A5641" w:rsidP="0084167E">
      <w:pPr>
        <w:spacing w:line="480" w:lineRule="auto"/>
        <w:rPr>
          <w:sz w:val="24"/>
        </w:rPr>
      </w:pPr>
      <w:r>
        <w:rPr>
          <w:sz w:val="24"/>
        </w:rPr>
        <w:tab/>
        <w:t xml:space="preserve">I then manually filtered random samples of tweets for content. I used Python to randomly sample 500 WSG tweets, which was approximately 16% of WSG data. </w:t>
      </w:r>
      <w:r w:rsidR="008D0F71">
        <w:rPr>
          <w:sz w:val="24"/>
        </w:rPr>
        <w:t xml:space="preserve">To be </w:t>
      </w:r>
      <w:r w:rsidR="008D0F71">
        <w:rPr>
          <w:sz w:val="24"/>
        </w:rPr>
        <w:lastRenderedPageBreak/>
        <w:t>consistent, I also randomly sampled 16% of the tornado-outbreak tweets which resulted in 90 tweets. I then separated the randomly sampled tweets into different categories. I first identified those tweets relevant to my thesis, and grouped these together in a category I called</w:t>
      </w:r>
      <w:r w:rsidR="00074C03">
        <w:rPr>
          <w:sz w:val="24"/>
        </w:rPr>
        <w:t xml:space="preserve"> </w:t>
      </w:r>
      <w:r w:rsidR="00F941E7">
        <w:rPr>
          <w:sz w:val="24"/>
        </w:rPr>
        <w:t xml:space="preserve">“Yes.” I next indicated tweets possibly relevant to my thesis, and called this category “Maybe.” I grouped tweets irrelevant to my thesis in a “No” category. </w:t>
      </w:r>
      <w:r w:rsidR="00BD5E1D">
        <w:rPr>
          <w:sz w:val="24"/>
        </w:rPr>
        <w:t>Tweets classified in the “Maybe” list needed additional consideration. Upon reexamination, “Maybe” tweets were either moved to “Yes” or “No” lists</w:t>
      </w:r>
      <w:r w:rsidR="00403513">
        <w:rPr>
          <w:sz w:val="24"/>
        </w:rPr>
        <w:t xml:space="preserve"> in </w:t>
      </w:r>
      <w:r w:rsidR="005D7729">
        <w:rPr>
          <w:sz w:val="24"/>
        </w:rPr>
        <w:t xml:space="preserve">an </w:t>
      </w:r>
      <w:r w:rsidR="00403513">
        <w:rPr>
          <w:sz w:val="24"/>
        </w:rPr>
        <w:t xml:space="preserve">attempt to accurately classify tweets. </w:t>
      </w:r>
    </w:p>
    <w:p w14:paraId="45485508" w14:textId="4D7AF13A" w:rsidR="00074C03" w:rsidRDefault="00652C46" w:rsidP="006A7984">
      <w:pPr>
        <w:spacing w:line="480" w:lineRule="auto"/>
        <w:rPr>
          <w:sz w:val="24"/>
        </w:rPr>
      </w:pPr>
      <w:r>
        <w:rPr>
          <w:sz w:val="24"/>
        </w:rPr>
        <w:tab/>
      </w:r>
      <w:r w:rsidRPr="006664B2">
        <w:rPr>
          <w:sz w:val="24"/>
        </w:rPr>
        <w:t>I created Python graphs to display</w:t>
      </w:r>
      <w:r>
        <w:rPr>
          <w:sz w:val="24"/>
        </w:rPr>
        <w:t xml:space="preserve"> the 20 most common words in</w:t>
      </w:r>
      <w:r w:rsidR="00CA43CB">
        <w:rPr>
          <w:sz w:val="24"/>
        </w:rPr>
        <w:t xml:space="preserve"> the</w:t>
      </w:r>
      <w:r>
        <w:rPr>
          <w:sz w:val="24"/>
        </w:rPr>
        <w:t xml:space="preserve"> “Yes,” “Maybe,” and “No” </w:t>
      </w:r>
      <w:r w:rsidR="00BD5E1D">
        <w:rPr>
          <w:sz w:val="24"/>
        </w:rPr>
        <w:t>lists</w:t>
      </w:r>
      <w:r w:rsidR="00AC0D68">
        <w:rPr>
          <w:sz w:val="24"/>
        </w:rPr>
        <w:t xml:space="preserve"> to identify words most commonly used in irrelevant tweets</w:t>
      </w:r>
      <w:r>
        <w:rPr>
          <w:sz w:val="24"/>
        </w:rPr>
        <w:t>. I removed punctuation, URLs, duplicate tweets, and stop words prior to graphing word frequencies.</w:t>
      </w:r>
      <w:r w:rsidR="00465D8A">
        <w:rPr>
          <w:sz w:val="24"/>
        </w:rPr>
        <w:t xml:space="preserve"> Stop word lists included API keywords used to acquire tweets (such as “Winter Storm Gia” and “tornado”).</w:t>
      </w:r>
      <w:r w:rsidR="00055962">
        <w:rPr>
          <w:sz w:val="24"/>
        </w:rPr>
        <w:t xml:space="preserve"> All characters in randomly sampled tweets were </w:t>
      </w:r>
      <w:r w:rsidR="0060233E">
        <w:rPr>
          <w:sz w:val="24"/>
        </w:rPr>
        <w:t xml:space="preserve">tokenized and </w:t>
      </w:r>
      <w:r w:rsidR="00055962">
        <w:rPr>
          <w:sz w:val="24"/>
        </w:rPr>
        <w:t>converted to the lower case</w:t>
      </w:r>
      <w:r w:rsidR="009C6EF9">
        <w:rPr>
          <w:sz w:val="24"/>
        </w:rPr>
        <w:t>,</w:t>
      </w:r>
      <w:r w:rsidR="00055962">
        <w:rPr>
          <w:sz w:val="24"/>
        </w:rPr>
        <w:t xml:space="preserve"> which </w:t>
      </w:r>
      <w:r w:rsidR="006D00D0">
        <w:rPr>
          <w:sz w:val="24"/>
        </w:rPr>
        <w:t>is</w:t>
      </w:r>
      <w:r w:rsidR="009D7B3B">
        <w:rPr>
          <w:sz w:val="24"/>
        </w:rPr>
        <w:t xml:space="preserve"> </w:t>
      </w:r>
      <w:r w:rsidR="00476CB5">
        <w:rPr>
          <w:sz w:val="24"/>
        </w:rPr>
        <w:t xml:space="preserve">a </w:t>
      </w:r>
      <w:r w:rsidR="009D7B3B">
        <w:rPr>
          <w:sz w:val="24"/>
        </w:rPr>
        <w:t>s</w:t>
      </w:r>
      <w:r w:rsidR="00476CB5">
        <w:rPr>
          <w:sz w:val="24"/>
        </w:rPr>
        <w:t>tandard text</w:t>
      </w:r>
      <w:r w:rsidR="00CA43CB">
        <w:rPr>
          <w:sz w:val="24"/>
        </w:rPr>
        <w:t>-</w:t>
      </w:r>
      <w:r w:rsidR="00476CB5">
        <w:rPr>
          <w:sz w:val="24"/>
        </w:rPr>
        <w:t>cleaning process.</w:t>
      </w:r>
      <w:r w:rsidR="006664B2">
        <w:rPr>
          <w:sz w:val="24"/>
        </w:rPr>
        <w:t xml:space="preserve"> </w:t>
      </w:r>
      <w:r w:rsidR="006664B2" w:rsidRPr="007F0A07">
        <w:rPr>
          <w:sz w:val="24"/>
        </w:rPr>
        <w:t xml:space="preserve">Figure </w:t>
      </w:r>
      <w:r w:rsidR="00992585">
        <w:rPr>
          <w:sz w:val="24"/>
        </w:rPr>
        <w:t>2</w:t>
      </w:r>
      <w:r w:rsidR="006664B2">
        <w:rPr>
          <w:sz w:val="24"/>
        </w:rPr>
        <w:t xml:space="preserve"> displays the 20 most common words in the WSG “No” list. I </w:t>
      </w:r>
      <w:r w:rsidR="009040C8">
        <w:rPr>
          <w:sz w:val="24"/>
        </w:rPr>
        <w:t xml:space="preserve">then </w:t>
      </w:r>
      <w:r w:rsidR="006664B2">
        <w:rPr>
          <w:sz w:val="24"/>
        </w:rPr>
        <w:t xml:space="preserve">removed any WSG tweet (whether in the 500 tweet random sample or not) that contained at least one of the following words: </w:t>
      </w:r>
      <w:r w:rsidR="001328BA">
        <w:rPr>
          <w:sz w:val="24"/>
        </w:rPr>
        <w:t xml:space="preserve">“Skiing,” </w:t>
      </w:r>
      <w:r w:rsidR="00F80732">
        <w:rPr>
          <w:sz w:val="24"/>
        </w:rPr>
        <w:t xml:space="preserve">“skiing,” </w:t>
      </w:r>
      <w:r w:rsidR="001328BA">
        <w:rPr>
          <w:sz w:val="24"/>
        </w:rPr>
        <w:t xml:space="preserve">“Drinking,” </w:t>
      </w:r>
      <w:r w:rsidR="00F80732">
        <w:rPr>
          <w:sz w:val="24"/>
        </w:rPr>
        <w:t xml:space="preserve">“drinking,” </w:t>
      </w:r>
      <w:r w:rsidR="001328BA">
        <w:rPr>
          <w:sz w:val="24"/>
        </w:rPr>
        <w:t xml:space="preserve">“Mountain,” </w:t>
      </w:r>
      <w:r w:rsidR="00F80732">
        <w:rPr>
          <w:sz w:val="24"/>
        </w:rPr>
        <w:t xml:space="preserve">“mountain,” </w:t>
      </w:r>
      <w:r w:rsidR="001328BA">
        <w:rPr>
          <w:sz w:val="24"/>
        </w:rPr>
        <w:t>“Ski,”</w:t>
      </w:r>
      <w:r w:rsidR="00F80732">
        <w:rPr>
          <w:sz w:val="24"/>
        </w:rPr>
        <w:t xml:space="preserve"> “ski,”</w:t>
      </w:r>
      <w:r w:rsidR="001328BA">
        <w:rPr>
          <w:sz w:val="24"/>
        </w:rPr>
        <w:t xml:space="preserve"> “Tubing,”</w:t>
      </w:r>
      <w:r w:rsidR="00F80732">
        <w:rPr>
          <w:sz w:val="24"/>
        </w:rPr>
        <w:t xml:space="preserve"> “tubing,”</w:t>
      </w:r>
      <w:r w:rsidR="001328BA">
        <w:rPr>
          <w:sz w:val="24"/>
        </w:rPr>
        <w:t xml:space="preserve"> “Snowboa</w:t>
      </w:r>
      <w:r w:rsidR="006664B2">
        <w:rPr>
          <w:sz w:val="24"/>
        </w:rPr>
        <w:t xml:space="preserve">rding,” </w:t>
      </w:r>
      <w:r w:rsidR="00F80732">
        <w:rPr>
          <w:sz w:val="24"/>
        </w:rPr>
        <w:t xml:space="preserve">“snowboarding,” </w:t>
      </w:r>
      <w:r w:rsidR="006664B2">
        <w:rPr>
          <w:sz w:val="24"/>
        </w:rPr>
        <w:t xml:space="preserve">“Hops,” </w:t>
      </w:r>
      <w:r w:rsidR="00F80732">
        <w:rPr>
          <w:sz w:val="24"/>
        </w:rPr>
        <w:t>“hops,” “Snowboard,” and “snowboard.”</w:t>
      </w:r>
      <w:r w:rsidR="007F100E">
        <w:rPr>
          <w:sz w:val="24"/>
        </w:rPr>
        <w:t xml:space="preserve"> Notice how words such as </w:t>
      </w:r>
      <w:r w:rsidR="006664B2">
        <w:rPr>
          <w:sz w:val="24"/>
        </w:rPr>
        <w:t>“day,” “today,” “first,” “park,” “12,” “river,” “last,” “like,” “Colorado,” “us,” “5,” and “35”</w:t>
      </w:r>
      <w:r w:rsidR="007F100E">
        <w:rPr>
          <w:sz w:val="24"/>
        </w:rPr>
        <w:t xml:space="preserve"> appeared in Figure </w:t>
      </w:r>
      <w:r w:rsidR="00992585">
        <w:rPr>
          <w:sz w:val="24"/>
        </w:rPr>
        <w:t>2</w:t>
      </w:r>
      <w:r w:rsidR="007F100E">
        <w:rPr>
          <w:sz w:val="24"/>
        </w:rPr>
        <w:t>, but were not included in the list to remove tweets. I considered tweets containing any of these additional words as</w:t>
      </w:r>
      <w:r w:rsidR="00423F50">
        <w:rPr>
          <w:sz w:val="24"/>
        </w:rPr>
        <w:t xml:space="preserve"> possibly related to WSG.</w:t>
      </w:r>
      <w:r w:rsidR="00544565">
        <w:rPr>
          <w:sz w:val="24"/>
        </w:rPr>
        <w:t xml:space="preserve"> Filtering </w:t>
      </w:r>
      <w:r w:rsidR="006E77C6">
        <w:rPr>
          <w:sz w:val="24"/>
        </w:rPr>
        <w:t xml:space="preserve">in this way </w:t>
      </w:r>
      <w:r w:rsidR="00544565">
        <w:rPr>
          <w:sz w:val="24"/>
        </w:rPr>
        <w:t xml:space="preserve">reduced </w:t>
      </w:r>
      <w:r w:rsidR="006E77C6">
        <w:rPr>
          <w:sz w:val="24"/>
        </w:rPr>
        <w:t xml:space="preserve">the </w:t>
      </w:r>
      <w:r w:rsidR="00544565">
        <w:rPr>
          <w:sz w:val="24"/>
        </w:rPr>
        <w:t>WSG tweet sample size from 3,021 to 2,881.</w:t>
      </w:r>
      <w:r w:rsidR="006E77C6">
        <w:rPr>
          <w:sz w:val="24"/>
        </w:rPr>
        <w:t xml:space="preserve"> F</w:t>
      </w:r>
      <w:r w:rsidR="00687B87">
        <w:rPr>
          <w:sz w:val="24"/>
        </w:rPr>
        <w:t>inally</w:t>
      </w:r>
      <w:r w:rsidR="006E77C6">
        <w:rPr>
          <w:sz w:val="24"/>
        </w:rPr>
        <w:t>, I</w:t>
      </w:r>
      <w:r w:rsidR="00687B87">
        <w:rPr>
          <w:sz w:val="24"/>
        </w:rPr>
        <w:t xml:space="preserve"> removed any duplicate tweets</w:t>
      </w:r>
      <w:r w:rsidR="00CE11A8">
        <w:rPr>
          <w:sz w:val="24"/>
        </w:rPr>
        <w:t>,</w:t>
      </w:r>
      <w:r w:rsidR="00687B87">
        <w:rPr>
          <w:sz w:val="24"/>
        </w:rPr>
        <w:t xml:space="preserve"> which further reduced the WSG sample size to 2,844 tweets.</w:t>
      </w:r>
    </w:p>
    <w:p w14:paraId="6D2024B4" w14:textId="77777777" w:rsidR="00074C03" w:rsidRDefault="00074C03" w:rsidP="00074C03">
      <w:pPr>
        <w:spacing w:line="480" w:lineRule="auto"/>
        <w:jc w:val="center"/>
        <w:rPr>
          <w:sz w:val="24"/>
        </w:rPr>
      </w:pPr>
      <w:r w:rsidRPr="00E053DB">
        <w:rPr>
          <w:noProof/>
          <w:sz w:val="24"/>
        </w:rPr>
        <w:lastRenderedPageBreak/>
        <w:drawing>
          <wp:inline distT="0" distB="0" distL="0" distR="0" wp14:anchorId="28E01B0A" wp14:editId="387A119F">
            <wp:extent cx="5488305" cy="5076290"/>
            <wp:effectExtent l="0" t="0" r="0" b="0"/>
            <wp:docPr id="12" name="Picture 12" descr="C:\Users\Alyssa\Documents\Grad School\Masters thesis\Data Analysis\Feb_Gia_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yssa\Documents\Grad School\Masters thesis\Data Analysis\Feb_Gia_no.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4992"/>
                    <a:stretch/>
                  </pic:blipFill>
                  <pic:spPr bwMode="auto">
                    <a:xfrm>
                      <a:off x="0" y="0"/>
                      <a:ext cx="5488855" cy="5076799"/>
                    </a:xfrm>
                    <a:prstGeom prst="rect">
                      <a:avLst/>
                    </a:prstGeom>
                    <a:noFill/>
                    <a:ln>
                      <a:noFill/>
                    </a:ln>
                    <a:extLst>
                      <a:ext uri="{53640926-AAD7-44D8-BBD7-CCE9431645EC}">
                        <a14:shadowObscured xmlns:a14="http://schemas.microsoft.com/office/drawing/2010/main"/>
                      </a:ext>
                    </a:extLst>
                  </pic:spPr>
                </pic:pic>
              </a:graphicData>
            </a:graphic>
          </wp:inline>
        </w:drawing>
      </w:r>
    </w:p>
    <w:p w14:paraId="052CF5D8" w14:textId="77777777" w:rsidR="00074C03" w:rsidRDefault="00074C03" w:rsidP="00074C03">
      <w:pPr>
        <w:spacing w:line="480" w:lineRule="auto"/>
        <w:rPr>
          <w:sz w:val="24"/>
        </w:rPr>
      </w:pPr>
      <w:r>
        <w:rPr>
          <w:b/>
          <w:sz w:val="24"/>
        </w:rPr>
        <w:fldChar w:fldCharType="begin"/>
      </w:r>
      <w:r>
        <w:rPr>
          <w:b/>
          <w:sz w:val="24"/>
        </w:rPr>
        <w:instrText xml:space="preserve"> TC  "</w:instrText>
      </w:r>
      <w:bookmarkStart w:id="23" w:name="_Toc56898490"/>
      <w:r>
        <w:rPr>
          <w:b/>
          <w:sz w:val="24"/>
        </w:rPr>
        <w:instrText>Figure 2: Irrelevant WSG tweets</w:instrText>
      </w:r>
      <w:bookmarkEnd w:id="23"/>
      <w:r>
        <w:rPr>
          <w:b/>
          <w:sz w:val="24"/>
        </w:rPr>
        <w:instrText xml:space="preserve">" \f f \l 1 </w:instrText>
      </w:r>
      <w:r>
        <w:rPr>
          <w:b/>
          <w:sz w:val="24"/>
        </w:rPr>
        <w:fldChar w:fldCharType="end"/>
      </w:r>
      <w:r>
        <w:rPr>
          <w:b/>
          <w:sz w:val="24"/>
        </w:rPr>
        <w:t xml:space="preserve">Figure 2: </w:t>
      </w:r>
      <w:r>
        <w:rPr>
          <w:sz w:val="24"/>
        </w:rPr>
        <w:t xml:space="preserve">Irrelevant WSG tweets. The 20 most common words from irrelevant WSG tweets within the sample of 500 random tweets. </w:t>
      </w:r>
    </w:p>
    <w:p w14:paraId="3DD69BB4" w14:textId="77777777" w:rsidR="00074C03" w:rsidRDefault="00074C03" w:rsidP="006A7984">
      <w:pPr>
        <w:spacing w:line="480" w:lineRule="auto"/>
        <w:rPr>
          <w:sz w:val="24"/>
        </w:rPr>
      </w:pPr>
    </w:p>
    <w:p w14:paraId="02BC8DFD" w14:textId="77777777" w:rsidR="00074C03" w:rsidRDefault="00074C03" w:rsidP="002236A4">
      <w:pPr>
        <w:spacing w:line="480" w:lineRule="auto"/>
        <w:rPr>
          <w:sz w:val="24"/>
        </w:rPr>
      </w:pPr>
    </w:p>
    <w:p w14:paraId="00850CD3" w14:textId="77777777" w:rsidR="00CA76FB" w:rsidRDefault="00CA76FB" w:rsidP="002236A4">
      <w:pPr>
        <w:spacing w:line="480" w:lineRule="auto"/>
        <w:rPr>
          <w:sz w:val="24"/>
        </w:rPr>
      </w:pPr>
    </w:p>
    <w:p w14:paraId="0FF84C76" w14:textId="77777777" w:rsidR="00CA76FB" w:rsidRDefault="00CA76FB" w:rsidP="002236A4">
      <w:pPr>
        <w:spacing w:line="480" w:lineRule="auto"/>
        <w:rPr>
          <w:sz w:val="24"/>
        </w:rPr>
      </w:pPr>
    </w:p>
    <w:p w14:paraId="40F6002F" w14:textId="0C6168A5" w:rsidR="002236A4" w:rsidRDefault="00CA76FB" w:rsidP="002236A4">
      <w:pPr>
        <w:spacing w:line="480" w:lineRule="auto"/>
        <w:rPr>
          <w:sz w:val="24"/>
        </w:rPr>
      </w:pPr>
      <w:r>
        <w:rPr>
          <w:sz w:val="24"/>
        </w:rPr>
        <w:lastRenderedPageBreak/>
        <w:tab/>
      </w:r>
      <w:r w:rsidRPr="00903FB4">
        <w:rPr>
          <w:sz w:val="24"/>
        </w:rPr>
        <w:t>Using a similar</w:t>
      </w:r>
      <w:r>
        <w:rPr>
          <w:sz w:val="24"/>
        </w:rPr>
        <w:t xml:space="preserve"> approach, I next created Python graphs to display the 20  most common words in the “Yes,” “Maybe,” and “No” tornado-outbreak tweets. I removed punctuation, URLs, duplicate tweets, and stop words (with the addition of API keywords used to acquire tweets</w:t>
      </w:r>
      <w:r>
        <w:rPr>
          <w:sz w:val="24"/>
        </w:rPr>
        <w:t xml:space="preserve"> </w:t>
      </w:r>
      <w:r w:rsidR="00074C03">
        <w:rPr>
          <w:sz w:val="24"/>
        </w:rPr>
        <w:t>s</w:t>
      </w:r>
      <w:r w:rsidR="001A58DB">
        <w:rPr>
          <w:sz w:val="24"/>
        </w:rPr>
        <w:t xml:space="preserve">uch as “tornado” and “shelter”). I tokenized and converted all tweets to lowercase and created my graphs. I removed tornado-outbreak tweets that contained certain words that are identified in </w:t>
      </w:r>
      <w:r w:rsidR="00992585">
        <w:rPr>
          <w:sz w:val="24"/>
        </w:rPr>
        <w:t>Figure 3</w:t>
      </w:r>
      <w:r w:rsidR="001A58DB">
        <w:rPr>
          <w:sz w:val="24"/>
        </w:rPr>
        <w:t>.</w:t>
      </w:r>
      <w:r w:rsidR="001A58DB" w:rsidRPr="00E22175">
        <w:rPr>
          <w:sz w:val="24"/>
        </w:rPr>
        <w:t xml:space="preserve"> </w:t>
      </w:r>
      <w:r w:rsidR="001A58DB">
        <w:rPr>
          <w:sz w:val="24"/>
        </w:rPr>
        <w:t>I did not include the words “pressure,” “feels,” “gust,” “weather,” “nne,” “rain,” “temperature,” “n,” “today,” “104mph,” “temp,” “89mph,” “360f,” “000in,” “93,” “light,” “11mph,” “86,” and “</w:t>
      </w:r>
      <w:r w:rsidR="00FA2509">
        <w:rPr>
          <w:sz w:val="24"/>
        </w:rPr>
        <w:t>361f” in my criteria of tornado-</w:t>
      </w:r>
      <w:r w:rsidR="001A58DB">
        <w:rPr>
          <w:sz w:val="24"/>
        </w:rPr>
        <w:t>outbreak tweets to remove. It seems many of these phrases were the result of automated weather station readings that happen automatically report to Twitter.</w:t>
      </w:r>
      <w:r w:rsidR="00903FB4" w:rsidRPr="00903FB4">
        <w:rPr>
          <w:sz w:val="24"/>
        </w:rPr>
        <w:t xml:space="preserve"> </w:t>
      </w:r>
      <w:r w:rsidR="001A58DB">
        <w:rPr>
          <w:sz w:val="24"/>
        </w:rPr>
        <w:t>I found these tweets problematic because auto-generated tweets are not from actual people, and could possibly create unreliable data. Automated weather stations almost always report humidity.</w:t>
      </w:r>
      <w:r w:rsidR="004F2DA2">
        <w:rPr>
          <w:sz w:val="24"/>
        </w:rPr>
        <w:t xml:space="preserve"> </w:t>
      </w:r>
      <w:r w:rsidR="002236A4">
        <w:rPr>
          <w:sz w:val="24"/>
        </w:rPr>
        <w:t>I used this to my advantage, and removed any tornado-outbreak tweet (whether in the 90 tweet sample or not) that contained the word “humidity.” The filtering process reduced the tornado-outbreak tweet sample size from 540 to 330.</w:t>
      </w:r>
      <w:r w:rsidR="002236A4" w:rsidRPr="00E22175">
        <w:rPr>
          <w:sz w:val="24"/>
        </w:rPr>
        <w:t xml:space="preserve"> </w:t>
      </w:r>
    </w:p>
    <w:p w14:paraId="65666780" w14:textId="2408F92F" w:rsidR="00394CD6" w:rsidRDefault="002236A4" w:rsidP="00CA76FB">
      <w:pPr>
        <w:spacing w:line="480" w:lineRule="auto"/>
        <w:rPr>
          <w:sz w:val="24"/>
        </w:rPr>
      </w:pPr>
      <w:r>
        <w:rPr>
          <w:sz w:val="24"/>
        </w:rPr>
        <w:tab/>
        <w:t>Skimming the remaining tornado tweets showed they still contained irrelevant data; thus, I manually filtered the tornado outbreak-tweets a second time. I did not complete a second manual filter on the WSG tweets.</w:t>
      </w:r>
      <w:r w:rsidRPr="00E22175">
        <w:rPr>
          <w:sz w:val="24"/>
        </w:rPr>
        <w:t xml:space="preserve"> </w:t>
      </w:r>
      <w:r>
        <w:rPr>
          <w:sz w:val="24"/>
        </w:rPr>
        <w:t xml:space="preserve">I randomly sampled 90 tweets from the 330 tornado outbreak tweet sample, and classified the tweets as “Yes,” “Maybe,” and “No.” Figure 4 shows the updated 20 most common words in the “No” list. I additionally removed tornado-outbreak tweets (whether in the 90 tweet sample or not) that contained the words “Pressure,” </w:t>
      </w:r>
    </w:p>
    <w:p w14:paraId="4C32AAAB" w14:textId="77777777" w:rsidR="00394CD6" w:rsidRDefault="00394CD6" w:rsidP="00394CD6">
      <w:pPr>
        <w:spacing w:line="480" w:lineRule="auto"/>
        <w:jc w:val="center"/>
        <w:rPr>
          <w:sz w:val="24"/>
        </w:rPr>
      </w:pPr>
      <w:r w:rsidRPr="00C76E05">
        <w:rPr>
          <w:noProof/>
          <w:sz w:val="24"/>
        </w:rPr>
        <w:lastRenderedPageBreak/>
        <w:drawing>
          <wp:inline distT="0" distB="0" distL="0" distR="0" wp14:anchorId="3E402B7D" wp14:editId="3ED13A65">
            <wp:extent cx="5467171" cy="4876165"/>
            <wp:effectExtent l="0" t="0" r="635" b="635"/>
            <wp:docPr id="13" name="Picture 13" descr="C:\Users\Alyssa\Documents\Grad School\Masters thesis\Data Analysis\Tornado\Tornado_no_wo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yssa\Documents\Grad School\Masters thesis\Data Analysis\Tornado\Tornado_no_words.png"/>
                    <pic:cNvPicPr>
                      <a:picLocks noChangeAspect="1" noChangeArrowheads="1"/>
                    </pic:cNvPicPr>
                  </pic:nvPicPr>
                  <pic:blipFill rotWithShape="1">
                    <a:blip r:embed="rId11">
                      <a:extLst>
                        <a:ext uri="{28A0092B-C50C-407E-A947-70E740481C1C}">
                          <a14:useLocalDpi xmlns:a14="http://schemas.microsoft.com/office/drawing/2010/main" val="0"/>
                        </a:ext>
                      </a:extLst>
                    </a:blip>
                    <a:srcRect t="5010"/>
                    <a:stretch/>
                  </pic:blipFill>
                  <pic:spPr bwMode="auto">
                    <a:xfrm>
                      <a:off x="0" y="0"/>
                      <a:ext cx="5471115" cy="4879682"/>
                    </a:xfrm>
                    <a:prstGeom prst="rect">
                      <a:avLst/>
                    </a:prstGeom>
                    <a:noFill/>
                    <a:ln>
                      <a:noFill/>
                    </a:ln>
                    <a:extLst>
                      <a:ext uri="{53640926-AAD7-44D8-BBD7-CCE9431645EC}">
                        <a14:shadowObscured xmlns:a14="http://schemas.microsoft.com/office/drawing/2010/main"/>
                      </a:ext>
                    </a:extLst>
                  </pic:spPr>
                </pic:pic>
              </a:graphicData>
            </a:graphic>
          </wp:inline>
        </w:drawing>
      </w:r>
    </w:p>
    <w:p w14:paraId="4ECA342B" w14:textId="77777777" w:rsidR="00394CD6" w:rsidRDefault="00394CD6" w:rsidP="00394CD6">
      <w:pPr>
        <w:spacing w:line="480" w:lineRule="auto"/>
        <w:rPr>
          <w:sz w:val="24"/>
        </w:rPr>
      </w:pPr>
      <w:r>
        <w:rPr>
          <w:b/>
          <w:sz w:val="24"/>
        </w:rPr>
        <w:fldChar w:fldCharType="begin"/>
      </w:r>
      <w:r>
        <w:rPr>
          <w:b/>
          <w:sz w:val="24"/>
        </w:rPr>
        <w:instrText xml:space="preserve"> TC  "</w:instrText>
      </w:r>
      <w:bookmarkStart w:id="24" w:name="_Toc56898491"/>
      <w:r>
        <w:rPr>
          <w:b/>
          <w:sz w:val="24"/>
        </w:rPr>
        <w:instrText>Figure 3: Irrelevant tornado-outbreak tweets (first filter pass)</w:instrText>
      </w:r>
      <w:bookmarkEnd w:id="24"/>
      <w:r>
        <w:rPr>
          <w:b/>
          <w:sz w:val="24"/>
        </w:rPr>
        <w:instrText xml:space="preserve">" \f f \l 1 </w:instrText>
      </w:r>
      <w:r>
        <w:rPr>
          <w:b/>
          <w:sz w:val="24"/>
        </w:rPr>
        <w:fldChar w:fldCharType="end"/>
      </w:r>
      <w:r>
        <w:rPr>
          <w:b/>
          <w:sz w:val="24"/>
        </w:rPr>
        <w:t xml:space="preserve">Figure 3: </w:t>
      </w:r>
      <w:r>
        <w:rPr>
          <w:sz w:val="24"/>
        </w:rPr>
        <w:t xml:space="preserve">Irrelevant tornado-outbreak tweets (first filter pass). The 20 most common words from irrelevant tornado-outbreak tweets within the sample of 90 random tweets. </w:t>
      </w:r>
    </w:p>
    <w:p w14:paraId="001C5D30" w14:textId="77777777" w:rsidR="00394CD6" w:rsidRDefault="00394CD6" w:rsidP="00394CD6">
      <w:pPr>
        <w:spacing w:line="480" w:lineRule="auto"/>
        <w:rPr>
          <w:sz w:val="24"/>
        </w:rPr>
      </w:pPr>
    </w:p>
    <w:p w14:paraId="5B2FBCAC" w14:textId="77777777" w:rsidR="00394CD6" w:rsidRDefault="00394CD6" w:rsidP="00394CD6">
      <w:pPr>
        <w:spacing w:line="480" w:lineRule="auto"/>
        <w:rPr>
          <w:sz w:val="24"/>
        </w:rPr>
      </w:pPr>
    </w:p>
    <w:p w14:paraId="51660234" w14:textId="77777777" w:rsidR="00394CD6" w:rsidRDefault="00394CD6" w:rsidP="00394CD6">
      <w:pPr>
        <w:spacing w:line="480" w:lineRule="auto"/>
        <w:rPr>
          <w:sz w:val="24"/>
        </w:rPr>
      </w:pPr>
    </w:p>
    <w:p w14:paraId="516F6672" w14:textId="77777777" w:rsidR="00394CD6" w:rsidRDefault="00394CD6" w:rsidP="00394CD6">
      <w:pPr>
        <w:spacing w:line="480" w:lineRule="auto"/>
        <w:rPr>
          <w:sz w:val="24"/>
        </w:rPr>
      </w:pPr>
    </w:p>
    <w:p w14:paraId="39BA1049" w14:textId="77777777" w:rsidR="00394CD6" w:rsidRDefault="00394CD6" w:rsidP="00394CD6">
      <w:pPr>
        <w:spacing w:line="480" w:lineRule="auto"/>
        <w:rPr>
          <w:sz w:val="24"/>
        </w:rPr>
      </w:pPr>
    </w:p>
    <w:p w14:paraId="1B317224" w14:textId="77777777" w:rsidR="00394CD6" w:rsidRDefault="00394CD6" w:rsidP="00394CD6">
      <w:pPr>
        <w:spacing w:line="480" w:lineRule="auto"/>
        <w:jc w:val="center"/>
        <w:rPr>
          <w:sz w:val="24"/>
        </w:rPr>
      </w:pPr>
      <w:r w:rsidRPr="00B742DC">
        <w:rPr>
          <w:noProof/>
          <w:sz w:val="24"/>
        </w:rPr>
        <w:lastRenderedPageBreak/>
        <w:drawing>
          <wp:inline distT="0" distB="0" distL="0" distR="0" wp14:anchorId="0A46E77E" wp14:editId="5D2B886A">
            <wp:extent cx="6252845" cy="4505192"/>
            <wp:effectExtent l="0" t="0" r="0" b="0"/>
            <wp:docPr id="15" name="Picture 15" descr="C:\Users\Alyssa\Documents\Grad School\Masters thesis\Data Analysis\Tornado\tor330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yssa\Documents\Grad School\Masters thesis\Data Analysis\Tornado\tor330No.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4829"/>
                    <a:stretch/>
                  </pic:blipFill>
                  <pic:spPr bwMode="auto">
                    <a:xfrm>
                      <a:off x="0" y="0"/>
                      <a:ext cx="6254588" cy="4506448"/>
                    </a:xfrm>
                    <a:prstGeom prst="rect">
                      <a:avLst/>
                    </a:prstGeom>
                    <a:noFill/>
                    <a:ln>
                      <a:noFill/>
                    </a:ln>
                    <a:extLst>
                      <a:ext uri="{53640926-AAD7-44D8-BBD7-CCE9431645EC}">
                        <a14:shadowObscured xmlns:a14="http://schemas.microsoft.com/office/drawing/2010/main"/>
                      </a:ext>
                    </a:extLst>
                  </pic:spPr>
                </pic:pic>
              </a:graphicData>
            </a:graphic>
          </wp:inline>
        </w:drawing>
      </w:r>
    </w:p>
    <w:p w14:paraId="52F4895F" w14:textId="77777777" w:rsidR="00394CD6" w:rsidRDefault="00394CD6" w:rsidP="00394CD6">
      <w:pPr>
        <w:spacing w:line="480" w:lineRule="auto"/>
        <w:rPr>
          <w:sz w:val="24"/>
        </w:rPr>
      </w:pPr>
      <w:r>
        <w:rPr>
          <w:b/>
          <w:sz w:val="24"/>
        </w:rPr>
        <w:fldChar w:fldCharType="begin"/>
      </w:r>
      <w:r>
        <w:rPr>
          <w:b/>
          <w:sz w:val="24"/>
        </w:rPr>
        <w:instrText xml:space="preserve"> TC  "</w:instrText>
      </w:r>
      <w:bookmarkStart w:id="25" w:name="_Toc56898492"/>
      <w:r>
        <w:rPr>
          <w:b/>
          <w:sz w:val="24"/>
        </w:rPr>
        <w:instrText>Figure 4: Irrelevant tornado-outbreak tweets (second filter pass)</w:instrText>
      </w:r>
      <w:bookmarkEnd w:id="25"/>
      <w:r>
        <w:rPr>
          <w:b/>
          <w:sz w:val="24"/>
        </w:rPr>
        <w:instrText xml:space="preserve">" \f f \l 1 </w:instrText>
      </w:r>
      <w:r>
        <w:rPr>
          <w:b/>
          <w:sz w:val="24"/>
        </w:rPr>
        <w:fldChar w:fldCharType="end"/>
      </w:r>
      <w:r>
        <w:rPr>
          <w:b/>
          <w:sz w:val="24"/>
        </w:rPr>
        <w:t xml:space="preserve">Figure 4: </w:t>
      </w:r>
      <w:r>
        <w:rPr>
          <w:sz w:val="24"/>
        </w:rPr>
        <w:t xml:space="preserve">Irrelevant tornado-outbreak tweets (second filter pass). The 20 most common words from 90 irrelevant tornado outbreak tweets within the 330 tornado outbreak tweet random sample. </w:t>
      </w:r>
    </w:p>
    <w:p w14:paraId="320F9770" w14:textId="77777777" w:rsidR="00394CD6" w:rsidRDefault="00394CD6" w:rsidP="00394CD6">
      <w:pPr>
        <w:spacing w:line="480" w:lineRule="auto"/>
        <w:rPr>
          <w:sz w:val="24"/>
        </w:rPr>
      </w:pPr>
    </w:p>
    <w:p w14:paraId="074C4144" w14:textId="77777777" w:rsidR="00CA76FB" w:rsidRDefault="00CA76FB" w:rsidP="00394CD6">
      <w:pPr>
        <w:spacing w:line="480" w:lineRule="auto"/>
        <w:rPr>
          <w:sz w:val="24"/>
        </w:rPr>
      </w:pPr>
    </w:p>
    <w:p w14:paraId="1370823B" w14:textId="77777777" w:rsidR="00CA76FB" w:rsidRDefault="00CA76FB" w:rsidP="00394CD6">
      <w:pPr>
        <w:spacing w:line="480" w:lineRule="auto"/>
        <w:rPr>
          <w:sz w:val="24"/>
        </w:rPr>
      </w:pPr>
    </w:p>
    <w:p w14:paraId="77B4BA75" w14:textId="77777777" w:rsidR="00CA76FB" w:rsidRDefault="00CA76FB" w:rsidP="00CA76FB">
      <w:pPr>
        <w:spacing w:line="480" w:lineRule="auto"/>
        <w:rPr>
          <w:sz w:val="24"/>
        </w:rPr>
      </w:pPr>
    </w:p>
    <w:p w14:paraId="15128FBE" w14:textId="77777777" w:rsidR="00CA76FB" w:rsidRDefault="00CA76FB" w:rsidP="00CA76FB">
      <w:pPr>
        <w:spacing w:line="480" w:lineRule="auto"/>
        <w:rPr>
          <w:sz w:val="24"/>
        </w:rPr>
      </w:pPr>
      <w:r>
        <w:rPr>
          <w:sz w:val="24"/>
        </w:rPr>
        <w:lastRenderedPageBreak/>
        <w:t>“pressure,” “Temp,” and “temp.” As a result, the tornado-outbreak sample size was reduced from 330 to 217 tweets. Removing duplicate tweets further reduced the sample size to 213.</w:t>
      </w:r>
    </w:p>
    <w:p w14:paraId="0421274C" w14:textId="77777777" w:rsidR="00CA76FB" w:rsidRPr="00AC7F67" w:rsidRDefault="00CA76FB" w:rsidP="00CA76FB">
      <w:pPr>
        <w:pStyle w:val="Heading2"/>
        <w:spacing w:line="480" w:lineRule="auto"/>
        <w:rPr>
          <w:rFonts w:asciiTheme="minorHAnsi" w:hAnsiTheme="minorHAnsi"/>
          <w:b/>
          <w:color w:val="auto"/>
          <w:sz w:val="24"/>
        </w:rPr>
      </w:pPr>
      <w:bookmarkStart w:id="26" w:name="_Toc56898384"/>
      <w:r w:rsidRPr="00AC7F67">
        <w:rPr>
          <w:rFonts w:asciiTheme="minorHAnsi" w:hAnsiTheme="minorHAnsi"/>
          <w:b/>
          <w:color w:val="auto"/>
          <w:sz w:val="24"/>
        </w:rPr>
        <w:t>3.4 Nearest Neighbor Index (NNI)</w:t>
      </w:r>
      <w:bookmarkEnd w:id="26"/>
    </w:p>
    <w:p w14:paraId="2BE84626" w14:textId="18EF6E31" w:rsidR="002236A4" w:rsidRPr="00CA76FB" w:rsidRDefault="00CA76FB" w:rsidP="00242771">
      <w:pPr>
        <w:spacing w:line="480" w:lineRule="auto"/>
        <w:rPr>
          <w:sz w:val="24"/>
        </w:rPr>
      </w:pPr>
      <w:r>
        <w:rPr>
          <w:sz w:val="24"/>
        </w:rPr>
        <w:tab/>
        <w:t>One technique I used to analyze data was the Nearest Neighbor Index (NNI), which I</w:t>
      </w:r>
      <w:r>
        <w:rPr>
          <w:sz w:val="24"/>
        </w:rPr>
        <w:t xml:space="preserve"> </w:t>
      </w:r>
      <w:r w:rsidR="00BB2867">
        <w:rPr>
          <w:sz w:val="24"/>
        </w:rPr>
        <w:t>used as the response variable in the regression model, described in detail in the following methods subsection. NNI relies on the statistical concept “nearest neighbor.” Neare</w:t>
      </w:r>
      <w:r w:rsidR="00F10464">
        <w:rPr>
          <w:sz w:val="24"/>
        </w:rPr>
        <w:t xml:space="preserve">st neighbor calculates </w:t>
      </w:r>
      <w:r w:rsidR="00BB2867">
        <w:rPr>
          <w:sz w:val="24"/>
        </w:rPr>
        <w:t xml:space="preserve">the distance between any arbitrary point and its closest “neighboring” point. The overall NNI calculation uses </w:t>
      </w:r>
      <w:r w:rsidR="00F10464">
        <w:rPr>
          <w:sz w:val="24"/>
        </w:rPr>
        <w:t xml:space="preserve">the </w:t>
      </w:r>
      <w:r w:rsidR="00BB2867">
        <w:rPr>
          <w:sz w:val="24"/>
        </w:rPr>
        <w:t xml:space="preserve">average calculated nearest neighbor distance, the numerator of Equation One. </w:t>
      </w:r>
      <m:oMath>
        <m:r>
          <m:rPr>
            <m:sty m:val="p"/>
          </m:rPr>
          <w:rPr>
            <w:rFonts w:ascii="Cambria Math" w:hAnsi="Cambria Math"/>
            <w:sz w:val="24"/>
          </w:rPr>
          <w:br/>
        </m:r>
      </m:oMath>
      <m:oMathPara>
        <m:oMath>
          <m:r>
            <w:rPr>
              <w:rFonts w:ascii="Cambria Math" w:hAnsi="Cambria Math"/>
              <w:sz w:val="24"/>
            </w:rPr>
            <m:t xml:space="preserve">NNI= </m:t>
          </m:r>
          <m:f>
            <m:fPr>
              <m:ctrlPr>
                <w:rPr>
                  <w:rFonts w:ascii="Cambria Math" w:hAnsi="Cambria Math"/>
                  <w:i/>
                  <w:sz w:val="24"/>
                </w:rPr>
              </m:ctrlPr>
            </m:fPr>
            <m:num>
              <m:nary>
                <m:naryPr>
                  <m:chr m:val="∑"/>
                  <m:limLoc m:val="undOvr"/>
                  <m:subHide m:val="1"/>
                  <m:supHide m:val="1"/>
                  <m:ctrlPr>
                    <w:rPr>
                      <w:rFonts w:ascii="Cambria Math" w:hAnsi="Cambria Math"/>
                      <w:i/>
                      <w:sz w:val="24"/>
                    </w:rPr>
                  </m:ctrlPr>
                </m:naryPr>
                <m:sub/>
                <m:sup/>
                <m:e>
                  <m:f>
                    <m:fPr>
                      <m:ctrlPr>
                        <w:rPr>
                          <w:rFonts w:ascii="Cambria Math" w:hAnsi="Cambria Math"/>
                          <w:i/>
                          <w:sz w:val="24"/>
                        </w:rPr>
                      </m:ctrlPr>
                    </m:fPr>
                    <m:num>
                      <m:r>
                        <w:rPr>
                          <w:rFonts w:ascii="Cambria Math" w:hAnsi="Cambria Math"/>
                          <w:sz w:val="24"/>
                        </w:rPr>
                        <m:t>Neighboring distance between points in data</m:t>
                      </m:r>
                    </m:num>
                    <m:den>
                      <m:r>
                        <w:rPr>
                          <w:rFonts w:ascii="Cambria Math" w:hAnsi="Cambria Math"/>
                          <w:sz w:val="24"/>
                        </w:rPr>
                        <m:t>Number of points in data</m:t>
                      </m:r>
                    </m:den>
                  </m:f>
                </m:e>
              </m:nary>
            </m:num>
            <m:den>
              <m:f>
                <m:fPr>
                  <m:ctrlPr>
                    <w:rPr>
                      <w:rFonts w:ascii="Cambria Math" w:hAnsi="Cambria Math"/>
                      <w:i/>
                      <w:sz w:val="24"/>
                    </w:rPr>
                  </m:ctrlPr>
                </m:fPr>
                <m:num>
                  <m:rad>
                    <m:radPr>
                      <m:degHide m:val="1"/>
                      <m:ctrlPr>
                        <w:rPr>
                          <w:rFonts w:ascii="Cambria Math" w:hAnsi="Cambria Math"/>
                          <w:i/>
                          <w:sz w:val="24"/>
                        </w:rPr>
                      </m:ctrlPr>
                    </m:radPr>
                    <m:deg/>
                    <m:e>
                      <m:f>
                        <m:fPr>
                          <m:ctrlPr>
                            <w:rPr>
                              <w:rFonts w:ascii="Cambria Math" w:hAnsi="Cambria Math"/>
                              <w:i/>
                              <w:sz w:val="24"/>
                            </w:rPr>
                          </m:ctrlPr>
                        </m:fPr>
                        <m:num>
                          <m:r>
                            <w:rPr>
                              <w:rFonts w:ascii="Cambria Math" w:hAnsi="Cambria Math"/>
                              <w:sz w:val="24"/>
                            </w:rPr>
                            <m:t>Hypothetical dat</m:t>
                          </m:r>
                          <m:sSup>
                            <m:sSupPr>
                              <m:ctrlPr>
                                <w:rPr>
                                  <w:rFonts w:ascii="Cambria Math" w:hAnsi="Cambria Math"/>
                                  <w:i/>
                                  <w:sz w:val="24"/>
                                </w:rPr>
                              </m:ctrlPr>
                            </m:sSupPr>
                            <m:e>
                              <m:r>
                                <w:rPr>
                                  <w:rFonts w:ascii="Cambria Math" w:hAnsi="Cambria Math"/>
                                  <w:sz w:val="24"/>
                                </w:rPr>
                                <m:t>a</m:t>
                              </m:r>
                            </m:e>
                            <m:sup>
                              <m:r>
                                <w:rPr>
                                  <w:rFonts w:ascii="Cambria Math" w:hAnsi="Cambria Math"/>
                                  <w:sz w:val="24"/>
                                </w:rPr>
                                <m:t>'</m:t>
                              </m:r>
                            </m:sup>
                          </m:sSup>
                          <m:r>
                            <w:rPr>
                              <w:rFonts w:ascii="Cambria Math" w:hAnsi="Cambria Math"/>
                              <w:sz w:val="24"/>
                            </w:rPr>
                            <m:t>s area</m:t>
                          </m:r>
                        </m:num>
                        <m:den>
                          <m:r>
                            <w:rPr>
                              <w:rFonts w:ascii="Cambria Math" w:hAnsi="Cambria Math"/>
                              <w:sz w:val="24"/>
                            </w:rPr>
                            <m:t>Number of points in hypothetical data</m:t>
                          </m:r>
                        </m:den>
                      </m:f>
                    </m:e>
                  </m:rad>
                </m:num>
                <m:den>
                  <m:r>
                    <w:rPr>
                      <w:rFonts w:ascii="Cambria Math" w:hAnsi="Cambria Math"/>
                      <w:sz w:val="24"/>
                    </w:rPr>
                    <m:t>2</m:t>
                  </m:r>
                </m:den>
              </m:f>
            </m:den>
          </m:f>
        </m:oMath>
      </m:oMathPara>
    </w:p>
    <w:p w14:paraId="08D7F9DF" w14:textId="77777777" w:rsidR="002236A4" w:rsidRPr="008C7491" w:rsidRDefault="002236A4" w:rsidP="002236A4">
      <w:pPr>
        <w:spacing w:line="480" w:lineRule="auto"/>
        <w:jc w:val="center"/>
        <w:rPr>
          <w:rFonts w:eastAsiaTheme="minorEastAsia"/>
          <w:b/>
          <w:sz w:val="24"/>
        </w:rPr>
      </w:pPr>
      <w:r>
        <w:rPr>
          <w:rFonts w:eastAsiaTheme="minorEastAsia"/>
          <w:b/>
          <w:sz w:val="24"/>
        </w:rPr>
        <w:t>Equation One</w:t>
      </w:r>
    </w:p>
    <w:p w14:paraId="6099A039" w14:textId="77777777" w:rsidR="002236A4" w:rsidRDefault="002236A4" w:rsidP="002236A4">
      <w:pPr>
        <w:spacing w:line="480" w:lineRule="auto"/>
        <w:rPr>
          <w:rFonts w:eastAsiaTheme="minorEastAsia"/>
          <w:sz w:val="24"/>
        </w:rPr>
      </w:pPr>
      <w:r>
        <w:rPr>
          <w:rFonts w:eastAsiaTheme="minorEastAsia"/>
          <w:sz w:val="24"/>
        </w:rPr>
        <w:t xml:space="preserve">NNI is therefore a ratio and a unitless value. It compares the average distance between points to the average distance of arbitrary points. </w:t>
      </w:r>
    </w:p>
    <w:p w14:paraId="20EFBAE0" w14:textId="511B0783" w:rsidR="00E22175" w:rsidRDefault="002236A4" w:rsidP="006A7984">
      <w:pPr>
        <w:spacing w:line="480" w:lineRule="auto"/>
        <w:rPr>
          <w:rFonts w:eastAsiaTheme="minorEastAsia"/>
          <w:sz w:val="24"/>
        </w:rPr>
      </w:pPr>
      <w:r>
        <w:rPr>
          <w:rFonts w:eastAsiaTheme="minorEastAsia"/>
          <w:sz w:val="24"/>
        </w:rPr>
        <w:tab/>
        <w:t xml:space="preserve">I used a “for” loop in R, alongside the “nni” function </w:t>
      </w:r>
      <w:r>
        <w:rPr>
          <w:rFonts w:eastAsiaTheme="minorEastAsia"/>
          <w:sz w:val="24"/>
        </w:rPr>
        <w:fldChar w:fldCharType="begin" w:fldLock="1"/>
      </w:r>
      <w:r>
        <w:rPr>
          <w:rFonts w:eastAsiaTheme="minorEastAsia"/>
          <w:sz w:val="24"/>
        </w:rPr>
        <w:instrText>ADDIN CSL_CITATION {"citationItems":[{"id":"ITEM-1","itemData":{"URL":"https://www.rdocumentation.org/packages/spatialEco/versions/1.3-2/topics/nni","accessed":{"date-parts":[["2020","9","11"]]},"author":[{"dropping-particle":"","family":"Evans","given":"Jeffery","non-dropping-particle":"","parse-names":false,"suffix":""}],"container-title":"RDocumentation","id":"ITEM-1","issued":{"date-parts":[["0"]]},"title":"nni function","type":"webpage"},"uris":["http://www.mendeley.com/documents/?uuid=aae644dd-a6a3-3f9f-b55a-81c9d1224ed9"]}],"mendeley":{"formattedCitation":"(Evans, n.d.)","plainTextFormattedCitation":"(Evans, n.d.)","previouslyFormattedCitation":"(Evans, n.d.)"},"properties":{"noteIndex":0},"schema":"https://github.com/citation-style-language/schema/raw/master/csl-citation.json"}</w:instrText>
      </w:r>
      <w:r>
        <w:rPr>
          <w:rFonts w:eastAsiaTheme="minorEastAsia"/>
          <w:sz w:val="24"/>
        </w:rPr>
        <w:fldChar w:fldCharType="separate"/>
      </w:r>
      <w:r w:rsidRPr="00F205ED">
        <w:rPr>
          <w:rFonts w:eastAsiaTheme="minorEastAsia"/>
          <w:noProof/>
          <w:sz w:val="24"/>
        </w:rPr>
        <w:t>(Evans, n.d.)</w:t>
      </w:r>
      <w:r>
        <w:rPr>
          <w:rFonts w:eastAsiaTheme="minorEastAsia"/>
          <w:sz w:val="24"/>
        </w:rPr>
        <w:fldChar w:fldCharType="end"/>
      </w:r>
      <w:r>
        <w:rPr>
          <w:rFonts w:eastAsiaTheme="minorEastAsia"/>
          <w:sz w:val="24"/>
        </w:rPr>
        <w:t xml:space="preserve"> to calculate NNI values for my Twitter data. I first stored tweet latitude and longitude values in a spatial data frame. I took the first tweet’s coordinates and calculated NNI. Since the system contained only one point, NNI resulted in an “infinite” value. Next, I added a second tweet and calculated NNI. I then calculated NNI after adding a third tweet, a fourth tweet, a fifth tweet, and so on through all tweets in the data frame. I used the following line of code to produce these NNI values:</w:t>
      </w:r>
    </w:p>
    <w:p w14:paraId="1AFC106F" w14:textId="77777777" w:rsidR="008D0F71" w:rsidRPr="008D0F71" w:rsidRDefault="008D0F71" w:rsidP="008D0F71">
      <w:pPr>
        <w:spacing w:line="480" w:lineRule="auto"/>
        <w:rPr>
          <w:rFonts w:eastAsiaTheme="minorEastAsia"/>
          <w:sz w:val="24"/>
        </w:rPr>
      </w:pPr>
      <m:oMathPara>
        <m:oMath>
          <m:r>
            <w:rPr>
              <w:rFonts w:ascii="Cambria Math" w:eastAsiaTheme="minorEastAsia" w:hAnsi="Cambria Math"/>
              <w:sz w:val="24"/>
            </w:rPr>
            <w:lastRenderedPageBreak/>
            <m:t>for</m:t>
          </m:r>
          <m:d>
            <m:dPr>
              <m:ctrlPr>
                <w:rPr>
                  <w:rFonts w:ascii="Cambria Math" w:eastAsiaTheme="minorEastAsia" w:hAnsi="Cambria Math"/>
                  <w:i/>
                  <w:sz w:val="24"/>
                </w:rPr>
              </m:ctrlPr>
            </m:dPr>
            <m:e>
              <m:r>
                <w:rPr>
                  <w:rFonts w:ascii="Cambria Math" w:eastAsiaTheme="minorEastAsia" w:hAnsi="Cambria Math"/>
                  <w:sz w:val="24"/>
                </w:rPr>
                <m:t>i in 1:length</m:t>
              </m:r>
              <m:d>
                <m:dPr>
                  <m:ctrlPr>
                    <w:rPr>
                      <w:rFonts w:ascii="Cambria Math" w:eastAsiaTheme="minorEastAsia" w:hAnsi="Cambria Math"/>
                      <w:i/>
                      <w:sz w:val="24"/>
                    </w:rPr>
                  </m:ctrlPr>
                </m:dPr>
                <m:e>
                  <m:r>
                    <w:rPr>
                      <w:rFonts w:ascii="Cambria Math" w:eastAsiaTheme="minorEastAsia" w:hAnsi="Cambria Math"/>
                      <w:sz w:val="24"/>
                    </w:rPr>
                    <m:t>data_frame</m:t>
                  </m:r>
                </m:e>
              </m:d>
            </m:e>
          </m:d>
          <m:r>
            <w:rPr>
              <w:rFonts w:ascii="Cambria Math" w:eastAsiaTheme="minorEastAsia" w:hAnsi="Cambria Math"/>
              <w:sz w:val="24"/>
            </w:rPr>
            <m:t>{list</m:t>
          </m:r>
          <m:d>
            <m:dPr>
              <m:begChr m:val="["/>
              <m:endChr m:val="]"/>
              <m:ctrlPr>
                <w:rPr>
                  <w:rFonts w:ascii="Cambria Math" w:eastAsiaTheme="minorEastAsia" w:hAnsi="Cambria Math"/>
                  <w:i/>
                  <w:sz w:val="24"/>
                </w:rPr>
              </m:ctrlPr>
            </m:dPr>
            <m:e>
              <m:d>
                <m:dPr>
                  <m:begChr m:val="["/>
                  <m:endChr m:val="]"/>
                  <m:ctrlPr>
                    <w:rPr>
                      <w:rFonts w:ascii="Cambria Math" w:eastAsiaTheme="minorEastAsia" w:hAnsi="Cambria Math"/>
                      <w:i/>
                      <w:sz w:val="24"/>
                    </w:rPr>
                  </m:ctrlPr>
                </m:dPr>
                <m:e>
                  <m:r>
                    <w:rPr>
                      <w:rFonts w:ascii="Cambria Math" w:eastAsiaTheme="minorEastAsia" w:hAnsi="Cambria Math"/>
                      <w:sz w:val="24"/>
                    </w:rPr>
                    <m:t>i</m:t>
                  </m:r>
                </m:e>
              </m:d>
            </m:e>
          </m:d>
          <m:r>
            <w:rPr>
              <w:rFonts w:ascii="Cambria Math" w:eastAsiaTheme="minorEastAsia" w:hAnsi="Cambria Math"/>
              <w:sz w:val="24"/>
            </w:rPr>
            <m:t>=nni</m:t>
          </m:r>
          <m:d>
            <m:dPr>
              <m:ctrlPr>
                <w:rPr>
                  <w:rFonts w:ascii="Cambria Math" w:eastAsiaTheme="minorEastAsia" w:hAnsi="Cambria Math"/>
                  <w:i/>
                  <w:sz w:val="24"/>
                </w:rPr>
              </m:ctrlPr>
            </m:dPr>
            <m:e>
              <m:r>
                <w:rPr>
                  <w:rFonts w:ascii="Cambria Math" w:eastAsiaTheme="minorEastAsia" w:hAnsi="Cambria Math"/>
                  <w:sz w:val="24"/>
                </w:rPr>
                <m:t>data</m:t>
              </m:r>
              <m:d>
                <m:dPr>
                  <m:begChr m:val="["/>
                  <m:endChr m:val="]"/>
                  <m:ctrlPr>
                    <w:rPr>
                      <w:rFonts w:ascii="Cambria Math" w:eastAsiaTheme="minorEastAsia" w:hAnsi="Cambria Math"/>
                      <w:i/>
                      <w:sz w:val="24"/>
                    </w:rPr>
                  </m:ctrlPr>
                </m:dPr>
                <m:e>
                  <m:r>
                    <w:rPr>
                      <w:rFonts w:ascii="Cambria Math" w:eastAsiaTheme="minorEastAsia" w:hAnsi="Cambria Math"/>
                      <w:sz w:val="24"/>
                    </w:rPr>
                    <m:t xml:space="preserve">1:i, </m:t>
                  </m:r>
                </m:e>
              </m:d>
              <m:r>
                <w:rPr>
                  <w:rFonts w:ascii="Cambria Math" w:eastAsiaTheme="minorEastAsia" w:hAnsi="Cambria Math"/>
                  <w:sz w:val="24"/>
                </w:rPr>
                <m:t>, win=extent</m:t>
              </m:r>
            </m:e>
          </m:d>
          <m:r>
            <w:rPr>
              <w:rFonts w:ascii="Cambria Math" w:eastAsiaTheme="minorEastAsia" w:hAnsi="Cambria Math"/>
              <w:sz w:val="24"/>
            </w:rPr>
            <m:t>}</m:t>
          </m:r>
        </m:oMath>
      </m:oMathPara>
    </w:p>
    <w:p w14:paraId="4E620319" w14:textId="77777777" w:rsidR="00CE396B" w:rsidRDefault="008D0F71" w:rsidP="00CE396B">
      <w:pPr>
        <w:spacing w:line="480" w:lineRule="auto"/>
        <w:rPr>
          <w:rFonts w:eastAsiaTheme="minorEastAsia"/>
          <w:sz w:val="24"/>
        </w:rPr>
      </w:pPr>
      <w:r>
        <w:rPr>
          <w:rFonts w:eastAsiaTheme="minorEastAsia"/>
          <w:sz w:val="24"/>
        </w:rPr>
        <w:t>I followed these steps in both case studies, and saved calculated NNI values in a data frame for</w:t>
      </w:r>
      <w:r w:rsidR="00F27938">
        <w:rPr>
          <w:rFonts w:eastAsiaTheme="minorEastAsia"/>
          <w:sz w:val="24"/>
        </w:rPr>
        <w:t xml:space="preserve"> </w:t>
      </w:r>
      <w:r w:rsidR="0066353E">
        <w:rPr>
          <w:rFonts w:eastAsiaTheme="minorEastAsia"/>
          <w:sz w:val="24"/>
        </w:rPr>
        <w:t>analysis.</w:t>
      </w:r>
    </w:p>
    <w:p w14:paraId="4A35C041" w14:textId="211DC368" w:rsidR="00CC65BE" w:rsidRPr="00CE396B" w:rsidRDefault="00255035" w:rsidP="00CE396B">
      <w:pPr>
        <w:pStyle w:val="Heading2"/>
        <w:spacing w:line="480" w:lineRule="auto"/>
        <w:rPr>
          <w:rFonts w:asciiTheme="minorHAnsi" w:eastAsiaTheme="minorEastAsia" w:hAnsiTheme="minorHAnsi"/>
          <w:b/>
          <w:color w:val="auto"/>
          <w:sz w:val="24"/>
        </w:rPr>
      </w:pPr>
      <w:bookmarkStart w:id="27" w:name="_Toc56898385"/>
      <w:r w:rsidRPr="00CE396B">
        <w:rPr>
          <w:rFonts w:asciiTheme="minorHAnsi" w:hAnsiTheme="minorHAnsi"/>
          <w:b/>
          <w:color w:val="auto"/>
          <w:sz w:val="24"/>
        </w:rPr>
        <w:t xml:space="preserve">3.5 </w:t>
      </w:r>
      <w:r w:rsidR="00B33FC1" w:rsidRPr="00CE396B">
        <w:rPr>
          <w:rFonts w:asciiTheme="minorHAnsi" w:hAnsiTheme="minorHAnsi"/>
          <w:b/>
          <w:color w:val="auto"/>
          <w:sz w:val="24"/>
        </w:rPr>
        <w:t xml:space="preserve">NNI and </w:t>
      </w:r>
      <w:r w:rsidR="003E67D7" w:rsidRPr="00CE396B">
        <w:rPr>
          <w:rFonts w:asciiTheme="minorHAnsi" w:hAnsiTheme="minorHAnsi"/>
          <w:b/>
          <w:color w:val="auto"/>
          <w:sz w:val="24"/>
        </w:rPr>
        <w:t>regression a</w:t>
      </w:r>
      <w:r w:rsidR="00CC65BE" w:rsidRPr="00CE396B">
        <w:rPr>
          <w:rFonts w:asciiTheme="minorHAnsi" w:hAnsiTheme="minorHAnsi"/>
          <w:b/>
          <w:color w:val="auto"/>
          <w:sz w:val="24"/>
        </w:rPr>
        <w:t>nalysis</w:t>
      </w:r>
      <w:bookmarkEnd w:id="27"/>
    </w:p>
    <w:p w14:paraId="0B1D568F" w14:textId="68C6A015" w:rsidR="005B7CF8" w:rsidRDefault="008B616B" w:rsidP="00CE396B">
      <w:pPr>
        <w:spacing w:line="480" w:lineRule="auto"/>
        <w:rPr>
          <w:sz w:val="24"/>
        </w:rPr>
      </w:pPr>
      <w:r>
        <w:rPr>
          <w:sz w:val="24"/>
        </w:rPr>
        <w:tab/>
      </w:r>
      <w:r w:rsidR="00553C99">
        <w:rPr>
          <w:sz w:val="24"/>
        </w:rPr>
        <w:t xml:space="preserve">I used NNI values in a regression model </w:t>
      </w:r>
      <w:r w:rsidR="00945EBB">
        <w:rPr>
          <w:sz w:val="24"/>
        </w:rPr>
        <w:t xml:space="preserve">based on </w:t>
      </w:r>
      <w:r w:rsidR="00553C99">
        <w:rPr>
          <w:sz w:val="24"/>
        </w:rPr>
        <w:t>methods</w:t>
      </w:r>
      <w:r w:rsidR="00945EBB">
        <w:rPr>
          <w:sz w:val="24"/>
        </w:rPr>
        <w:t xml:space="preserve"> </w:t>
      </w:r>
      <w:r w:rsidR="00553C99">
        <w:rPr>
          <w:sz w:val="24"/>
        </w:rPr>
        <w:t>used</w:t>
      </w:r>
      <w:r w:rsidR="00945EBB">
        <w:rPr>
          <w:sz w:val="24"/>
        </w:rPr>
        <w:t xml:space="preserve"> by </w:t>
      </w:r>
      <w:r w:rsidR="00C3401D">
        <w:rPr>
          <w:sz w:val="24"/>
        </w:rPr>
        <w:fldChar w:fldCharType="begin" w:fldLock="1"/>
      </w:r>
      <w:r w:rsidR="00460C6D">
        <w:rPr>
          <w:sz w:val="24"/>
        </w:rPr>
        <w:instrText>ADDIN CSL_CITATION {"citationItems":[{"id":"ITEM-1","itemData":{"DOI":"10.4018/ijagr.2014010101","ISSN":"19479662","abstract":"Spatial diffusion processes can be seen in many geographic phenomena that spread or migrate across space and over time. Studies of these processes were mostly done with verbal description until Hägerstrand (1966) started to approach it with quantitative models. A variety of attempts were made to continue this effort, but only with various degrees of success. Recognizing the critical role that distances between geographic objects or events play in a spatial diffusion process, we experimented with a new approach that uses these distances to detect and distinguish different types of spatial diffusion processes. Our approach is a two-step process that first calculates nearest neighbor ratios in a point process at each time step and then applies regression curve estimation to observe how these ratios change over time. We first report the results from applying this method to three spatio-temporal data sets which show the feasibility of our approach. We then report results of randomly simulated spatial diffusion processes to see if our approach is effective for the purpose of distinguishing different types of spatial diffusion processes. With only extreme cases as exceptions, our experiment found that using estimated regression curves of nearest neighbor ratios over time is usable in classifying spatial diffusion processes to either contagious/expansion or hierarchical/relocation diffusion processes. © 2014, IGI Global. All rights reserved.","author":[{"dropping-particle":"","family":"Lee","given":"Jay","non-dropping-particle":"","parse-names":false,"suffix":""},{"dropping-particle":"","family":"Lay","given":"Jinn-Guey","non-dropping-particle":"","parse-names":false,"suffix":""},{"dropping-particle":"","family":"Chin","given":"Wei Chien Benny","non-dropping-particle":"","parse-names":false,"suffix":""},{"dropping-particle":"","family":"Chi","given":"Yu-Lin","non-dropping-particle":"","parse-names":false,"suffix":""},{"dropping-particle":"","family":"Hsueh","given":"Ya-Hui","non-dropping-particle":"","parse-names":false,"suffix":""}],"container-title":"International Journal of Applied Geospatial Research","id":"ITEM-1","issue":"1","issued":{"date-parts":[["2014"]]},"note":"Pg 2: Given a geogrpahic phenomenon that is spreading over space and time, lets say points represented by lat/ long. First, we argue that the nearest neighbor distance at each stage of a spatial process over time are inmporant in characterizing the spatial diffusion. Second, we suggest that they way nearest neighbors change at each diffusion stage is critical to spatial diffusion process.\n\nUses nearest neighbor ratios and regression curve estimation\n\nNearest neighbor distances do plat a critical role in the spatal structure of diffusion process\n\nHagerstrang 1966, and 1967\n\nPp 3 to 4: As a geographic phenomenon spreads or migrates spatially and temporally, a spatial pattern can be observed at each time or temporal stage. A spatial process is formed by linking up these spatial patterns temporally. As point patterns receive additional points, the dynamics of how nearest neighbor distances change defines the spatial structure of the diffusion process. Distance between sources (first points) and adopters (added points) in a spatial pattern influence the number and rate of spatial diffusion processes.\n\npp3. We suggest that nearest neighbor ratios be used to measure how nearest neighbor distances change in spatial diffusion processes over time. We suggest we can then use regression curve estimation to mathematically differential spatial diffusion processes.\n\nDifferent types of spatial diffusion mthods: Contagious, expansion, hierarchial, relocation\n\nExpansion: Spreading phenomenon has a source and diffuses outwards to new areas (wildfires/ new technology)\n\nContagious: Direct contact needed to spread ideas (infections)\n\nHierarchial: Diffusion happens through ordered sequence of classes/ places (AIDS from large city centers to small towns)\n\nRelocation: Phenomenon moves into new areas, leaving its orgin/ source (migration)\n\nNearest neighbor is well-established method for analyzing spatial pattern of geographic phenomena. Nearest neighbor accounts only for locations of points, not any attribute within the points\n\nFor purposes of modeling spatial diffusion, nearest neighbor ratio is calculated after each additional point is added to point set over time\n\nWhen dist of data does not form a linear pattern, regression curve estomation is widely used method for modeling sequential changes in numeric values. Distribution of paired XY values in chart is fitted with set of mathematically constructed curves to find one that best approximates the distribution. The best one, goodness of fit, is determined by highest R^2. EXP: linear, logarithmic, inverse, quadratic, cubic, power, compond, s-curve, logistic, grwoth, expodential\n\nCase studies in paper: 1) dengue fever cases (contagiou/ expension diffusion process, inverse regression curve); 2) location of mushroom farms (contagious/ expansive); 3) new walmart/ target (hierarchial/ relocation)\n\nConventional apporaches to analyzing spatial clustering in a point pattern are useful for helping to focus on areas with high density or low densities of events. However, they do have limits when considering how a point pattern changes over space and time","page":"1-15","title":"An Experiment to Model Spatial Diffusion Process with Nearest Neighbor Analysis and Regression Estimation","type":"article-journal","volume":"5"},"uris":["http://www.mendeley.com/documents/?uuid=06de294b-e207-4545-bc65-01128992909a"]}],"mendeley":{"formattedCitation":"(Lee et al., 2014)","manualFormatting":"Lee et al. (2014)","plainTextFormattedCitation":"(Lee et al., 2014)","previouslyFormattedCitation":"(Lee et al., 2014)"},"properties":{"noteIndex":0},"schema":"https://github.com/citation-style-language/schema/raw/master/csl-citation.json"}</w:instrText>
      </w:r>
      <w:r w:rsidR="00C3401D">
        <w:rPr>
          <w:sz w:val="24"/>
        </w:rPr>
        <w:fldChar w:fldCharType="separate"/>
      </w:r>
      <w:r w:rsidR="00C3401D">
        <w:rPr>
          <w:noProof/>
          <w:sz w:val="24"/>
        </w:rPr>
        <w:t>Lee et al. (</w:t>
      </w:r>
      <w:r w:rsidR="00C3401D" w:rsidRPr="00C3401D">
        <w:rPr>
          <w:noProof/>
          <w:sz w:val="24"/>
        </w:rPr>
        <w:t>2014)</w:t>
      </w:r>
      <w:r w:rsidR="00C3401D">
        <w:rPr>
          <w:sz w:val="24"/>
        </w:rPr>
        <w:fldChar w:fldCharType="end"/>
      </w:r>
      <w:r w:rsidR="00945EBB">
        <w:rPr>
          <w:sz w:val="24"/>
        </w:rPr>
        <w:t xml:space="preserve">, who evaluated </w:t>
      </w:r>
      <w:r w:rsidR="00F65965">
        <w:rPr>
          <w:sz w:val="24"/>
        </w:rPr>
        <w:t xml:space="preserve">the </w:t>
      </w:r>
      <w:r w:rsidR="00945EBB">
        <w:rPr>
          <w:sz w:val="24"/>
        </w:rPr>
        <w:t xml:space="preserve">effectiveness of spatiotemporal diffusion regression models for point data. </w:t>
      </w:r>
      <w:r w:rsidR="00A01A42">
        <w:rPr>
          <w:sz w:val="24"/>
        </w:rPr>
        <w:t xml:space="preserve">For their work, </w:t>
      </w:r>
      <w:r w:rsidR="00CD0AE8">
        <w:rPr>
          <w:sz w:val="24"/>
        </w:rPr>
        <w:t>Lee et al</w:t>
      </w:r>
      <w:r w:rsidR="00F65965">
        <w:rPr>
          <w:sz w:val="24"/>
        </w:rPr>
        <w:t>.</w:t>
      </w:r>
      <w:r w:rsidR="00CD0AE8">
        <w:rPr>
          <w:sz w:val="24"/>
        </w:rPr>
        <w:t xml:space="preserve"> (2014)</w:t>
      </w:r>
      <w:r w:rsidR="00DA15C8">
        <w:rPr>
          <w:sz w:val="24"/>
        </w:rPr>
        <w:t xml:space="preserve"> examined the spread of mushroom farms, Dengue Fever, Target</w:t>
      </w:r>
      <w:r w:rsidR="00684DCF">
        <w:rPr>
          <w:sz w:val="24"/>
        </w:rPr>
        <w:t>s, and</w:t>
      </w:r>
      <w:r w:rsidR="00DA15C8">
        <w:rPr>
          <w:sz w:val="24"/>
        </w:rPr>
        <w:t xml:space="preserve"> </w:t>
      </w:r>
      <w:r w:rsidR="00684DCF">
        <w:rPr>
          <w:sz w:val="24"/>
        </w:rPr>
        <w:t xml:space="preserve">Walmarts </w:t>
      </w:r>
      <w:r w:rsidR="00DA15C8">
        <w:rPr>
          <w:sz w:val="24"/>
        </w:rPr>
        <w:t>over space and time.</w:t>
      </w:r>
      <w:r w:rsidR="000C36A7" w:rsidRPr="000C36A7">
        <w:rPr>
          <w:sz w:val="24"/>
        </w:rPr>
        <w:t xml:space="preserve"> </w:t>
      </w:r>
      <w:r w:rsidR="00FA2509">
        <w:rPr>
          <w:sz w:val="24"/>
        </w:rPr>
        <w:t>NNI was the response (depende</w:t>
      </w:r>
      <w:r w:rsidR="000C36A7">
        <w:rPr>
          <w:sz w:val="24"/>
        </w:rPr>
        <w:t>nt) variable while time was the exploratory (independent) variable.</w:t>
      </w:r>
      <w:r w:rsidR="008E26C5">
        <w:rPr>
          <w:sz w:val="24"/>
        </w:rPr>
        <w:t xml:space="preserve"> </w:t>
      </w:r>
      <w:r w:rsidR="00A01A42">
        <w:rPr>
          <w:sz w:val="24"/>
        </w:rPr>
        <w:t xml:space="preserve">They modeled the data using </w:t>
      </w:r>
      <w:r w:rsidR="00945EBB">
        <w:rPr>
          <w:sz w:val="24"/>
        </w:rPr>
        <w:t xml:space="preserve">different base equations such as </w:t>
      </w:r>
      <w:r w:rsidR="008E26C5">
        <w:rPr>
          <w:sz w:val="24"/>
        </w:rPr>
        <w:t>linear, quadrat</w:t>
      </w:r>
      <w:r w:rsidR="0068282C">
        <w:rPr>
          <w:sz w:val="24"/>
        </w:rPr>
        <w:t>ic, cubic, inverse, power, logarithmic, logistic, S-curve, compound, exponential, and growth</w:t>
      </w:r>
      <w:r w:rsidR="00945EBB">
        <w:rPr>
          <w:sz w:val="24"/>
        </w:rPr>
        <w:t xml:space="preserve"> (see Lee et al. (2014) chart on page 6)</w:t>
      </w:r>
      <w:r w:rsidR="0068282C">
        <w:rPr>
          <w:sz w:val="24"/>
        </w:rPr>
        <w:t>.</w:t>
      </w:r>
      <w:r w:rsidR="00945EBB">
        <w:rPr>
          <w:sz w:val="24"/>
        </w:rPr>
        <w:t xml:space="preserve"> </w:t>
      </w:r>
      <w:r w:rsidR="00684DCF">
        <w:rPr>
          <w:sz w:val="24"/>
        </w:rPr>
        <w:t>Next, they compared c</w:t>
      </w:r>
      <w:r w:rsidR="009953BE">
        <w:rPr>
          <w:sz w:val="24"/>
        </w:rPr>
        <w:t>oefficient of determination (R</w:t>
      </w:r>
      <w:r w:rsidR="009953BE">
        <w:rPr>
          <w:sz w:val="24"/>
          <w:vertAlign w:val="superscript"/>
        </w:rPr>
        <w:t>2</w:t>
      </w:r>
      <w:r w:rsidR="00945EBB">
        <w:rPr>
          <w:sz w:val="24"/>
        </w:rPr>
        <w:t xml:space="preserve">) </w:t>
      </w:r>
      <w:r w:rsidR="009953BE">
        <w:rPr>
          <w:sz w:val="24"/>
        </w:rPr>
        <w:t>v</w:t>
      </w:r>
      <w:r w:rsidR="00945EBB">
        <w:rPr>
          <w:sz w:val="24"/>
        </w:rPr>
        <w:t>alues</w:t>
      </w:r>
      <w:r w:rsidR="009953BE">
        <w:rPr>
          <w:sz w:val="24"/>
        </w:rPr>
        <w:t xml:space="preserve"> across regression model runs</w:t>
      </w:r>
      <w:r w:rsidR="00007511">
        <w:rPr>
          <w:sz w:val="24"/>
        </w:rPr>
        <w:t xml:space="preserve"> to determine what types of spatiotemporal diffusion</w:t>
      </w:r>
      <w:r w:rsidR="00F37826">
        <w:rPr>
          <w:sz w:val="24"/>
        </w:rPr>
        <w:t xml:space="preserve"> </w:t>
      </w:r>
      <w:r w:rsidR="00E1318C">
        <w:rPr>
          <w:sz w:val="24"/>
        </w:rPr>
        <w:t xml:space="preserve">classifications (contagious, expansion, hierarchical, and relocation) were </w:t>
      </w:r>
      <w:r w:rsidR="00007511">
        <w:rPr>
          <w:sz w:val="24"/>
        </w:rPr>
        <w:t xml:space="preserve">best represented by each equation. </w:t>
      </w:r>
      <w:r w:rsidR="009B23E8">
        <w:rPr>
          <w:sz w:val="24"/>
        </w:rPr>
        <w:t>Lee et al. (2014) attributed higher R</w:t>
      </w:r>
      <w:r w:rsidR="009B23E8">
        <w:rPr>
          <w:sz w:val="24"/>
          <w:vertAlign w:val="superscript"/>
        </w:rPr>
        <w:t>2</w:t>
      </w:r>
      <w:r w:rsidR="009B23E8">
        <w:rPr>
          <w:sz w:val="24"/>
        </w:rPr>
        <w:t xml:space="preserve"> values as increased assurance that any arbitrary spatiotemporal case study can be modeled by a respective regression base equation. </w:t>
      </w:r>
      <w:r w:rsidR="0068282C">
        <w:rPr>
          <w:sz w:val="24"/>
        </w:rPr>
        <w:t>Contagious and expansion diffusion events were found to be best modeled via an inverse base regression equation of the form:</w:t>
      </w:r>
    </w:p>
    <w:p w14:paraId="7F8E505C" w14:textId="77777777" w:rsidR="00626942" w:rsidRPr="00626942" w:rsidRDefault="00C23C1B" w:rsidP="00C23C1B">
      <w:pPr>
        <w:spacing w:line="480" w:lineRule="auto"/>
        <w:jc w:val="center"/>
        <w:rPr>
          <w:rFonts w:eastAsiaTheme="minorEastAsia"/>
          <w:sz w:val="24"/>
        </w:rPr>
      </w:pPr>
      <m:oMathPara>
        <m:oMath>
          <m:r>
            <w:rPr>
              <w:rFonts w:ascii="Cambria Math" w:hAnsi="Cambria Math"/>
              <w:sz w:val="24"/>
            </w:rPr>
            <m:t xml:space="preserve">Y= </m:t>
          </m:r>
          <m:sSub>
            <m:sSubPr>
              <m:ctrlPr>
                <w:rPr>
                  <w:rFonts w:ascii="Cambria Math" w:hAnsi="Cambria Math"/>
                  <w:i/>
                  <w:sz w:val="24"/>
                </w:rPr>
              </m:ctrlPr>
            </m:sSubPr>
            <m:e>
              <m:r>
                <w:rPr>
                  <w:rFonts w:ascii="Cambria Math" w:hAnsi="Cambria Math"/>
                  <w:sz w:val="24"/>
                </w:rPr>
                <m:t>b</m:t>
              </m:r>
            </m:e>
            <m:sub>
              <m:r>
                <w:rPr>
                  <w:rFonts w:ascii="Cambria Math" w:hAnsi="Cambria Math"/>
                  <w:sz w:val="24"/>
                </w:rPr>
                <m:t>0</m:t>
              </m:r>
            </m:sub>
          </m:sSub>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b</m:t>
                  </m:r>
                </m:e>
                <m:sub>
                  <m:r>
                    <w:rPr>
                      <w:rFonts w:ascii="Cambria Math" w:hAnsi="Cambria Math"/>
                      <w:sz w:val="24"/>
                    </w:rPr>
                    <m:t>1</m:t>
                  </m:r>
                </m:sub>
              </m:sSub>
            </m:num>
            <m:den>
              <m:r>
                <w:rPr>
                  <w:rFonts w:ascii="Cambria Math" w:hAnsi="Cambria Math"/>
                  <w:sz w:val="24"/>
                </w:rPr>
                <m:t>t</m:t>
              </m:r>
            </m:den>
          </m:f>
        </m:oMath>
      </m:oMathPara>
    </w:p>
    <w:p w14:paraId="11ADE444" w14:textId="77777777" w:rsidR="00534DB7" w:rsidRDefault="00534DB7" w:rsidP="00534DB7">
      <w:pPr>
        <w:spacing w:line="480" w:lineRule="auto"/>
        <w:rPr>
          <w:rFonts w:eastAsiaTheme="minorEastAsia"/>
          <w:sz w:val="24"/>
        </w:rPr>
      </w:pPr>
      <w:r>
        <w:rPr>
          <w:rFonts w:eastAsiaTheme="minorEastAsia"/>
          <w:sz w:val="24"/>
        </w:rPr>
        <w:t xml:space="preserve">Conversely, </w:t>
      </w:r>
      <w:r w:rsidR="00B70134">
        <w:rPr>
          <w:rFonts w:eastAsiaTheme="minorEastAsia"/>
          <w:sz w:val="24"/>
        </w:rPr>
        <w:t xml:space="preserve">hierarchical and relocation diffusion events were found to be best modeled by </w:t>
      </w:r>
      <w:r>
        <w:rPr>
          <w:rFonts w:eastAsiaTheme="minorEastAsia"/>
          <w:sz w:val="24"/>
        </w:rPr>
        <w:t>a cubic base regression equation:</w:t>
      </w:r>
    </w:p>
    <w:p w14:paraId="571ACE82" w14:textId="77777777" w:rsidR="00534DB7" w:rsidRDefault="00534DB7" w:rsidP="00534DB7">
      <w:pPr>
        <w:spacing w:line="480" w:lineRule="auto"/>
        <w:jc w:val="center"/>
        <w:rPr>
          <w:sz w:val="24"/>
        </w:rPr>
      </w:pPr>
      <m:oMathPara>
        <m:oMath>
          <m:r>
            <w:rPr>
              <w:rFonts w:ascii="Cambria Math" w:hAnsi="Cambria Math"/>
              <w:sz w:val="24"/>
            </w:rPr>
            <w:lastRenderedPageBreak/>
            <m:t xml:space="preserve">Y= </m:t>
          </m:r>
          <m:sSub>
            <m:sSubPr>
              <m:ctrlPr>
                <w:rPr>
                  <w:rFonts w:ascii="Cambria Math" w:hAnsi="Cambria Math"/>
                  <w:i/>
                  <w:sz w:val="24"/>
                </w:rPr>
              </m:ctrlPr>
            </m:sSubPr>
            <m:e>
              <m:r>
                <w:rPr>
                  <w:rFonts w:ascii="Cambria Math" w:hAnsi="Cambria Math"/>
                  <w:sz w:val="24"/>
                </w:rPr>
                <m:t>b</m:t>
              </m:r>
            </m:e>
            <m:sub>
              <m:r>
                <w:rPr>
                  <w:rFonts w:ascii="Cambria Math" w:hAnsi="Cambria Math"/>
                  <w:sz w:val="24"/>
                </w:rPr>
                <m:t>0</m:t>
              </m:r>
            </m:sub>
          </m:sSub>
          <m:r>
            <w:rPr>
              <w:rFonts w:ascii="Cambria Math" w:hAnsi="Cambria Math"/>
              <w:sz w:val="24"/>
            </w:rPr>
            <m:t>+</m:t>
          </m:r>
          <m:sSub>
            <m:sSubPr>
              <m:ctrlPr>
                <w:rPr>
                  <w:rFonts w:ascii="Cambria Math" w:hAnsi="Cambria Math"/>
                  <w:i/>
                  <w:sz w:val="24"/>
                </w:rPr>
              </m:ctrlPr>
            </m:sSubPr>
            <m:e>
              <m:r>
                <w:rPr>
                  <w:rFonts w:ascii="Cambria Math" w:hAnsi="Cambria Math"/>
                  <w:sz w:val="24"/>
                </w:rPr>
                <m:t>b</m:t>
              </m:r>
            </m:e>
            <m:sub>
              <m:r>
                <w:rPr>
                  <w:rFonts w:ascii="Cambria Math" w:hAnsi="Cambria Math"/>
                  <w:sz w:val="24"/>
                </w:rPr>
                <m:t>1</m:t>
              </m:r>
            </m:sub>
          </m:sSub>
          <m:r>
            <w:rPr>
              <w:rFonts w:ascii="Cambria Math" w:hAnsi="Cambria Math"/>
              <w:sz w:val="24"/>
            </w:rPr>
            <m:t>t+</m:t>
          </m:r>
          <m:sSub>
            <m:sSubPr>
              <m:ctrlPr>
                <w:rPr>
                  <w:rFonts w:ascii="Cambria Math" w:hAnsi="Cambria Math"/>
                  <w:i/>
                  <w:sz w:val="24"/>
                </w:rPr>
              </m:ctrlPr>
            </m:sSubPr>
            <m:e>
              <m:r>
                <w:rPr>
                  <w:rFonts w:ascii="Cambria Math" w:hAnsi="Cambria Math"/>
                  <w:sz w:val="24"/>
                </w:rPr>
                <m:t>b</m:t>
              </m:r>
            </m:e>
            <m:sub>
              <m:r>
                <w:rPr>
                  <w:rFonts w:ascii="Cambria Math" w:hAnsi="Cambria Math"/>
                  <w:sz w:val="24"/>
                </w:rPr>
                <m:t>2</m:t>
              </m:r>
            </m:sub>
          </m:sSub>
          <m:sSup>
            <m:sSupPr>
              <m:ctrlPr>
                <w:rPr>
                  <w:rFonts w:ascii="Cambria Math" w:hAnsi="Cambria Math"/>
                  <w:i/>
                  <w:sz w:val="24"/>
                </w:rPr>
              </m:ctrlPr>
            </m:sSupPr>
            <m:e>
              <m:r>
                <w:rPr>
                  <w:rFonts w:ascii="Cambria Math" w:hAnsi="Cambria Math"/>
                  <w:sz w:val="24"/>
                </w:rPr>
                <m:t>t</m:t>
              </m:r>
            </m:e>
            <m:sup>
              <m:r>
                <w:rPr>
                  <w:rFonts w:ascii="Cambria Math" w:hAnsi="Cambria Math"/>
                  <w:sz w:val="24"/>
                </w:rPr>
                <m:t>2</m:t>
              </m:r>
            </m:sup>
          </m:sSup>
          <m:r>
            <w:rPr>
              <w:rFonts w:ascii="Cambria Math" w:hAnsi="Cambria Math"/>
              <w:sz w:val="24"/>
            </w:rPr>
            <m:t>+</m:t>
          </m:r>
          <m:sSub>
            <m:sSubPr>
              <m:ctrlPr>
                <w:rPr>
                  <w:rFonts w:ascii="Cambria Math" w:hAnsi="Cambria Math"/>
                  <w:i/>
                  <w:sz w:val="24"/>
                </w:rPr>
              </m:ctrlPr>
            </m:sSubPr>
            <m:e>
              <m:r>
                <w:rPr>
                  <w:rFonts w:ascii="Cambria Math" w:hAnsi="Cambria Math"/>
                  <w:sz w:val="24"/>
                </w:rPr>
                <m:t>b</m:t>
              </m:r>
            </m:e>
            <m:sub>
              <m:r>
                <w:rPr>
                  <w:rFonts w:ascii="Cambria Math" w:hAnsi="Cambria Math"/>
                  <w:sz w:val="24"/>
                </w:rPr>
                <m:t>3</m:t>
              </m:r>
            </m:sub>
          </m:sSub>
          <m:sSup>
            <m:sSupPr>
              <m:ctrlPr>
                <w:rPr>
                  <w:rFonts w:ascii="Cambria Math" w:hAnsi="Cambria Math"/>
                  <w:i/>
                  <w:sz w:val="24"/>
                </w:rPr>
              </m:ctrlPr>
            </m:sSupPr>
            <m:e>
              <m:r>
                <w:rPr>
                  <w:rFonts w:ascii="Cambria Math" w:hAnsi="Cambria Math"/>
                  <w:sz w:val="24"/>
                </w:rPr>
                <m:t>t</m:t>
              </m:r>
            </m:e>
            <m:sup>
              <m:r>
                <w:rPr>
                  <w:rFonts w:ascii="Cambria Math" w:hAnsi="Cambria Math"/>
                  <w:sz w:val="24"/>
                </w:rPr>
                <m:t>3</m:t>
              </m:r>
            </m:sup>
          </m:sSup>
        </m:oMath>
      </m:oMathPara>
    </w:p>
    <w:p w14:paraId="3A7127D8" w14:textId="095B49FC" w:rsidR="0013095C" w:rsidRDefault="00807085" w:rsidP="007940F2">
      <w:pPr>
        <w:spacing w:line="480" w:lineRule="auto"/>
        <w:rPr>
          <w:sz w:val="24"/>
        </w:rPr>
      </w:pPr>
      <w:r>
        <w:rPr>
          <w:sz w:val="24"/>
        </w:rPr>
        <w:tab/>
        <w:t xml:space="preserve">I used </w:t>
      </w:r>
      <w:r w:rsidR="00A14C79">
        <w:rPr>
          <w:sz w:val="24"/>
        </w:rPr>
        <w:t>similar methods to determine how spatiotemporal tweet diffusion var</w:t>
      </w:r>
      <w:r w:rsidR="0013317C">
        <w:rPr>
          <w:sz w:val="24"/>
        </w:rPr>
        <w:t>ies between WSG and the tornado-</w:t>
      </w:r>
      <w:r w:rsidR="00A14C79">
        <w:rPr>
          <w:sz w:val="24"/>
        </w:rPr>
        <w:t xml:space="preserve">outbreak case study. Unlike the examples presented by Lee et al. (2014), I did not </w:t>
      </w:r>
      <w:r w:rsidR="007C1B34">
        <w:rPr>
          <w:sz w:val="24"/>
        </w:rPr>
        <w:t xml:space="preserve">first </w:t>
      </w:r>
      <w:r w:rsidR="00A14C79">
        <w:rPr>
          <w:sz w:val="24"/>
        </w:rPr>
        <w:t>associate case studies with diffusion classifications (contagious, expansion, hierarchical, and relocation) prior to data an</w:t>
      </w:r>
      <w:r>
        <w:rPr>
          <w:sz w:val="24"/>
        </w:rPr>
        <w:t xml:space="preserve">alysis; instead, </w:t>
      </w:r>
      <w:r w:rsidR="00A14C79">
        <w:rPr>
          <w:sz w:val="24"/>
        </w:rPr>
        <w:t xml:space="preserve">I </w:t>
      </w:r>
      <w:r w:rsidR="00007511">
        <w:rPr>
          <w:sz w:val="24"/>
        </w:rPr>
        <w:t>aim to use</w:t>
      </w:r>
      <w:r>
        <w:rPr>
          <w:sz w:val="24"/>
        </w:rPr>
        <w:t xml:space="preserve"> the findings by</w:t>
      </w:r>
      <w:r w:rsidR="00A14C79">
        <w:rPr>
          <w:sz w:val="24"/>
        </w:rPr>
        <w:t xml:space="preserve"> Lee et al. (2014)</w:t>
      </w:r>
      <w:r>
        <w:rPr>
          <w:sz w:val="24"/>
        </w:rPr>
        <w:t xml:space="preserve"> to assign a diffusion classification suggested by the regression results.</w:t>
      </w:r>
      <w:r w:rsidR="00A14C79">
        <w:rPr>
          <w:sz w:val="24"/>
        </w:rPr>
        <w:t xml:space="preserve"> </w:t>
      </w:r>
    </w:p>
    <w:p w14:paraId="22126269" w14:textId="796E8CDC" w:rsidR="003F2010" w:rsidRDefault="006E4FBF" w:rsidP="007940F2">
      <w:pPr>
        <w:spacing w:line="480" w:lineRule="auto"/>
        <w:rPr>
          <w:sz w:val="24"/>
        </w:rPr>
      </w:pPr>
      <w:r>
        <w:rPr>
          <w:sz w:val="24"/>
        </w:rPr>
        <w:tab/>
      </w:r>
      <w:r w:rsidR="00CA43AD">
        <w:rPr>
          <w:sz w:val="24"/>
        </w:rPr>
        <w:t xml:space="preserve">For each of the case studies, I </w:t>
      </w:r>
      <w:r w:rsidR="00CD0AE8">
        <w:rPr>
          <w:sz w:val="24"/>
        </w:rPr>
        <w:t xml:space="preserve">cleaned the </w:t>
      </w:r>
      <w:r w:rsidR="00CA43AD">
        <w:rPr>
          <w:sz w:val="24"/>
        </w:rPr>
        <w:t xml:space="preserve">NNI data using R’s Tidyverse. </w:t>
      </w:r>
      <w:r w:rsidR="001C7671">
        <w:rPr>
          <w:sz w:val="24"/>
        </w:rPr>
        <w:t xml:space="preserve">Next, I calculated elapsed time from any arbitrary tweet and the first tweet. </w:t>
      </w:r>
      <w:r w:rsidR="00CA0DFB">
        <w:rPr>
          <w:sz w:val="24"/>
        </w:rPr>
        <w:t xml:space="preserve">I </w:t>
      </w:r>
      <w:r w:rsidR="001C7671">
        <w:rPr>
          <w:sz w:val="24"/>
        </w:rPr>
        <w:t>then</w:t>
      </w:r>
      <w:r w:rsidR="00CA0DFB">
        <w:rPr>
          <w:sz w:val="24"/>
        </w:rPr>
        <w:t xml:space="preserve"> converted elapsed time from seconds to hours to more easily interpret results. I removed “infinite”</w:t>
      </w:r>
      <w:r w:rsidR="00056990">
        <w:rPr>
          <w:sz w:val="24"/>
        </w:rPr>
        <w:t xml:space="preserve"> and “not a number” (NaN) values</w:t>
      </w:r>
      <w:r w:rsidR="00CA0DFB">
        <w:rPr>
          <w:sz w:val="24"/>
        </w:rPr>
        <w:t>.</w:t>
      </w:r>
      <w:r w:rsidR="00C8593C">
        <w:rPr>
          <w:sz w:val="24"/>
        </w:rPr>
        <w:t xml:space="preserve"> </w:t>
      </w:r>
      <w:r w:rsidR="00C8593C">
        <w:rPr>
          <w:sz w:val="24"/>
        </w:rPr>
        <w:fldChar w:fldCharType="begin" w:fldLock="1"/>
      </w:r>
      <w:r w:rsidR="00015E09">
        <w:rPr>
          <w:sz w:val="24"/>
        </w:rPr>
        <w:instrText>ADDIN CSL_CITATION {"citationItems":[{"id":"ITEM-1","itemData":{"author":[{"dropping-particle":"","family":"Clark","given":"Philip J","non-dropping-particle":"","parse-names":false,"suffix":""},{"dropping-particle":"","family":"Evans","given":"Francis C","non-dropping-particle":"","parse-names":false,"suffix":""}],"container-title":"Ecology","id":"ITEM-1","issue":"4","issued":{"date-parts":[["1954"]]},"page":"445-453","title":"Distance to Nearest Neighbor as a Measure of Spatial Relationships in Populations","type":"article-journal","volume":"35"},"uris":["http://www.mendeley.com/documents/?uuid=18747464-bc3d-4872-a745-4e6c26309efd"]}],"mendeley":{"formattedCitation":"(Clark &amp; Evans, 1954)","manualFormatting":"Clark and Evans (1954)","plainTextFormattedCitation":"(Clark &amp; Evans, 1954)","previouslyFormattedCitation":"(Clark &amp; Evans, 1954)"},"properties":{"noteIndex":0},"schema":"https://github.com/citation-style-language/schema/raw/master/csl-citation.json"}</w:instrText>
      </w:r>
      <w:r w:rsidR="00C8593C">
        <w:rPr>
          <w:sz w:val="24"/>
        </w:rPr>
        <w:fldChar w:fldCharType="separate"/>
      </w:r>
      <w:r w:rsidR="00015E09">
        <w:rPr>
          <w:noProof/>
          <w:sz w:val="24"/>
        </w:rPr>
        <w:t xml:space="preserve">Clark and </w:t>
      </w:r>
      <w:r w:rsidR="00C8593C">
        <w:rPr>
          <w:noProof/>
          <w:sz w:val="24"/>
        </w:rPr>
        <w:t>Evans (</w:t>
      </w:r>
      <w:r w:rsidR="00C8593C" w:rsidRPr="00C8593C">
        <w:rPr>
          <w:noProof/>
          <w:sz w:val="24"/>
        </w:rPr>
        <w:t>1954)</w:t>
      </w:r>
      <w:r w:rsidR="00C8593C">
        <w:rPr>
          <w:sz w:val="24"/>
        </w:rPr>
        <w:fldChar w:fldCharType="end"/>
      </w:r>
      <w:r w:rsidR="00E44B13">
        <w:rPr>
          <w:sz w:val="24"/>
        </w:rPr>
        <w:t xml:space="preserve"> </w:t>
      </w:r>
      <w:r w:rsidR="003F2010">
        <w:rPr>
          <w:sz w:val="24"/>
        </w:rPr>
        <w:t>report NNI values less (more) than one indicate cluster</w:t>
      </w:r>
      <w:r w:rsidR="005705E7">
        <w:rPr>
          <w:sz w:val="24"/>
        </w:rPr>
        <w:t xml:space="preserve">ed (dispersed) data, while </w:t>
      </w:r>
      <w:r w:rsidR="00FA2509">
        <w:rPr>
          <w:sz w:val="24"/>
        </w:rPr>
        <w:t>NNI values close to 2.149</w:t>
      </w:r>
      <w:r w:rsidR="005705E7">
        <w:rPr>
          <w:sz w:val="24"/>
        </w:rPr>
        <w:t>1</w:t>
      </w:r>
      <w:r w:rsidR="00FA2509">
        <w:rPr>
          <w:sz w:val="24"/>
        </w:rPr>
        <w:t xml:space="preserve"> </w:t>
      </w:r>
      <w:r w:rsidR="00582498">
        <w:rPr>
          <w:sz w:val="24"/>
        </w:rPr>
        <w:t>indicate uniform data</w:t>
      </w:r>
      <w:r w:rsidR="00015E09">
        <w:rPr>
          <w:sz w:val="24"/>
        </w:rPr>
        <w:t xml:space="preserve">. </w:t>
      </w:r>
      <w:r w:rsidR="00037228">
        <w:rPr>
          <w:sz w:val="24"/>
        </w:rPr>
        <w:t>I removed outliers, by means of two standard deviations, prio</w:t>
      </w:r>
      <w:r w:rsidR="008A57B8">
        <w:rPr>
          <w:sz w:val="24"/>
        </w:rPr>
        <w:t>r to p</w:t>
      </w:r>
      <w:r w:rsidR="00CD0AE8">
        <w:rPr>
          <w:sz w:val="24"/>
        </w:rPr>
        <w:t xml:space="preserve">erforming regression. There were </w:t>
      </w:r>
      <w:r w:rsidR="008A57B8">
        <w:rPr>
          <w:sz w:val="24"/>
        </w:rPr>
        <w:t xml:space="preserve">35 outliers in the WSG case study, and 6 for the tornado outbreak. </w:t>
      </w:r>
      <w:r w:rsidR="00A91461">
        <w:rPr>
          <w:sz w:val="24"/>
        </w:rPr>
        <w:t>I then used the following line of R code to run cubic regression models:</w:t>
      </w:r>
    </w:p>
    <w:p w14:paraId="365620ED" w14:textId="77777777" w:rsidR="00C51E76" w:rsidRPr="00300185" w:rsidRDefault="00C51E76" w:rsidP="00C51E76">
      <w:pPr>
        <w:spacing w:line="480" w:lineRule="auto"/>
        <w:jc w:val="center"/>
        <w:rPr>
          <w:rFonts w:eastAsiaTheme="minorEastAsia"/>
          <w:sz w:val="24"/>
        </w:rPr>
      </w:pPr>
      <m:oMathPara>
        <m:oMath>
          <m:r>
            <w:rPr>
              <w:rFonts w:ascii="Cambria Math" w:hAnsi="Cambria Math"/>
              <w:sz w:val="24"/>
            </w:rPr>
            <m:t>lm(NNI ~ poly</m:t>
          </m:r>
          <m:d>
            <m:dPr>
              <m:ctrlPr>
                <w:rPr>
                  <w:rFonts w:ascii="Cambria Math" w:hAnsi="Cambria Math"/>
                  <w:i/>
                  <w:sz w:val="24"/>
                </w:rPr>
              </m:ctrlPr>
            </m:dPr>
            <m:e>
              <m:r>
                <w:rPr>
                  <w:rFonts w:ascii="Cambria Math" w:hAnsi="Cambria Math"/>
                  <w:sz w:val="24"/>
                </w:rPr>
                <m:t>hours, 3, raw=TRUE</m:t>
              </m:r>
            </m:e>
          </m:d>
          <m:r>
            <w:rPr>
              <w:rFonts w:ascii="Cambria Math" w:hAnsi="Cambria Math"/>
              <w:sz w:val="24"/>
            </w:rPr>
            <m:t>)</m:t>
          </m:r>
        </m:oMath>
      </m:oMathPara>
    </w:p>
    <w:p w14:paraId="2139E237" w14:textId="77777777" w:rsidR="00827845" w:rsidRDefault="00300185" w:rsidP="00827845">
      <w:pPr>
        <w:spacing w:line="480" w:lineRule="auto"/>
        <w:rPr>
          <w:rFonts w:eastAsiaTheme="minorEastAsia"/>
          <w:sz w:val="24"/>
        </w:rPr>
      </w:pPr>
      <w:r>
        <w:rPr>
          <w:rFonts w:eastAsiaTheme="minorEastAsia"/>
          <w:sz w:val="24"/>
        </w:rPr>
        <w:t xml:space="preserve">The </w:t>
      </w:r>
      <w:r w:rsidR="004B3A4C">
        <w:rPr>
          <w:rFonts w:eastAsiaTheme="minorEastAsia"/>
          <w:sz w:val="24"/>
        </w:rPr>
        <w:t>“</w:t>
      </w:r>
      <w:r>
        <w:rPr>
          <w:rFonts w:eastAsiaTheme="minorEastAsia"/>
          <w:sz w:val="24"/>
        </w:rPr>
        <w:t>poly</w:t>
      </w:r>
      <w:r w:rsidR="004B3A4C">
        <w:rPr>
          <w:rFonts w:eastAsiaTheme="minorEastAsia"/>
          <w:sz w:val="24"/>
        </w:rPr>
        <w:t>”</w:t>
      </w:r>
      <w:r>
        <w:rPr>
          <w:rFonts w:eastAsiaTheme="minorEastAsia"/>
          <w:sz w:val="24"/>
        </w:rPr>
        <w:t xml:space="preserve"> function </w:t>
      </w:r>
      <w:r w:rsidR="00D07DB9">
        <w:rPr>
          <w:rFonts w:eastAsiaTheme="minorEastAsia"/>
          <w:sz w:val="24"/>
        </w:rPr>
        <w:t>is used</w:t>
      </w:r>
      <w:r>
        <w:rPr>
          <w:rFonts w:eastAsiaTheme="minorEastAsia"/>
          <w:sz w:val="24"/>
        </w:rPr>
        <w:t xml:space="preserve"> for polynomial regression, in this case, cubic polynomial regression (as indicated by the number three). </w:t>
      </w:r>
      <w:r w:rsidR="00D07DB9">
        <w:rPr>
          <w:rFonts w:eastAsiaTheme="minorEastAsia"/>
          <w:sz w:val="24"/>
        </w:rPr>
        <w:t xml:space="preserve">I </w:t>
      </w:r>
      <w:r w:rsidR="00547012">
        <w:rPr>
          <w:rFonts w:eastAsiaTheme="minorEastAsia"/>
          <w:sz w:val="24"/>
        </w:rPr>
        <w:t>made</w:t>
      </w:r>
      <w:r w:rsidR="00D07DB9">
        <w:rPr>
          <w:rFonts w:eastAsiaTheme="minorEastAsia"/>
          <w:sz w:val="24"/>
        </w:rPr>
        <w:t xml:space="preserve"> </w:t>
      </w:r>
      <w:r>
        <w:rPr>
          <w:rFonts w:eastAsiaTheme="minorEastAsia"/>
          <w:sz w:val="24"/>
        </w:rPr>
        <w:t xml:space="preserve">“NNI” and “hours” the response and exploratory variables, respectively. </w:t>
      </w:r>
      <w:r w:rsidR="00527C87">
        <w:rPr>
          <w:rFonts w:eastAsiaTheme="minorEastAsia"/>
          <w:sz w:val="24"/>
        </w:rPr>
        <w:t>The parameter “raw = TRUE”</w:t>
      </w:r>
      <w:r w:rsidR="002A1211">
        <w:rPr>
          <w:rFonts w:eastAsiaTheme="minorEastAsia"/>
          <w:sz w:val="24"/>
        </w:rPr>
        <w:t xml:space="preserve"> </w:t>
      </w:r>
      <w:r w:rsidR="00D07DB9">
        <w:rPr>
          <w:rFonts w:eastAsiaTheme="minorEastAsia"/>
          <w:sz w:val="24"/>
        </w:rPr>
        <w:t xml:space="preserve">prevents calculation using </w:t>
      </w:r>
      <w:r w:rsidR="002A1211">
        <w:rPr>
          <w:rFonts w:eastAsiaTheme="minorEastAsia"/>
          <w:sz w:val="24"/>
        </w:rPr>
        <w:t xml:space="preserve">orthogonal polygons </w:t>
      </w:r>
      <w:r w:rsidR="00ED29B6">
        <w:rPr>
          <w:rFonts w:eastAsiaTheme="minorEastAsia"/>
          <w:sz w:val="24"/>
        </w:rPr>
        <w:fldChar w:fldCharType="begin" w:fldLock="1"/>
      </w:r>
      <w:r w:rsidR="00275465">
        <w:rPr>
          <w:rFonts w:eastAsiaTheme="minorEastAsia"/>
          <w:sz w:val="24"/>
        </w:rPr>
        <w:instrText>ADDIN CSL_CITATION {"citationItems":[{"id":"ITEM-1","itemData":{"URL":"https://www.rdocumentation.org/packages/stats/versions/3.6.2/topics/poly","accessed":{"date-parts":[["2020","9","10"]]},"author":[{"dropping-particle":"","family":"R-core R-core@R-project.org","given":"","non-dropping-particle":"","parse-names":false,"suffix":""}],"container-title":"RDocumentation","id":"ITEM-1","issued":{"date-parts":[["0"]]},"title":"poly function","type":"webpage"},"uris":["http://www.mendeley.com/documents/?uuid=b7659388-d453-39e1-b064-4228d52feb6e"]}],"mendeley":{"formattedCitation":"(R-core R-core@R-project.org, n.d.)","plainTextFormattedCitation":"(R-core R-core@R-project.org, n.d.)","previouslyFormattedCitation":"(R-core R-core@R-project.org, n.d.)"},"properties":{"noteIndex":0},"schema":"https://github.com/citation-style-language/schema/raw/master/csl-citation.json"}</w:instrText>
      </w:r>
      <w:r w:rsidR="00ED29B6">
        <w:rPr>
          <w:rFonts w:eastAsiaTheme="minorEastAsia"/>
          <w:sz w:val="24"/>
        </w:rPr>
        <w:fldChar w:fldCharType="separate"/>
      </w:r>
      <w:r w:rsidR="00ED29B6" w:rsidRPr="00ED29B6">
        <w:rPr>
          <w:rFonts w:eastAsiaTheme="minorEastAsia"/>
          <w:noProof/>
          <w:sz w:val="24"/>
        </w:rPr>
        <w:t>(R-core R-core@R-project.org, n.d.)</w:t>
      </w:r>
      <w:r w:rsidR="00ED29B6">
        <w:rPr>
          <w:rFonts w:eastAsiaTheme="minorEastAsia"/>
          <w:sz w:val="24"/>
        </w:rPr>
        <w:fldChar w:fldCharType="end"/>
      </w:r>
      <w:r w:rsidR="009D566D">
        <w:rPr>
          <w:rFonts w:eastAsiaTheme="minorEastAsia"/>
          <w:sz w:val="24"/>
        </w:rPr>
        <w:t xml:space="preserve">. </w:t>
      </w:r>
      <w:r w:rsidR="00D07DB9">
        <w:rPr>
          <w:rFonts w:eastAsiaTheme="minorEastAsia"/>
          <w:sz w:val="24"/>
        </w:rPr>
        <w:t>I ran inverse regressi</w:t>
      </w:r>
      <w:r w:rsidR="00626942">
        <w:rPr>
          <w:rFonts w:eastAsiaTheme="minorEastAsia"/>
          <w:sz w:val="24"/>
        </w:rPr>
        <w:t>on models using this code line:</w:t>
      </w:r>
      <w:r w:rsidR="00827845">
        <w:rPr>
          <w:rFonts w:eastAsiaTheme="minorEastAsia"/>
          <w:sz w:val="24"/>
        </w:rPr>
        <w:t xml:space="preserve"> </w:t>
      </w:r>
    </w:p>
    <w:p w14:paraId="44A821B6" w14:textId="77777777" w:rsidR="009D566D" w:rsidRPr="004B3A4C" w:rsidRDefault="009D566D" w:rsidP="00827845">
      <w:pPr>
        <w:spacing w:line="480" w:lineRule="auto"/>
        <w:rPr>
          <w:rFonts w:eastAsiaTheme="minorEastAsia"/>
          <w:sz w:val="24"/>
        </w:rPr>
      </w:pPr>
      <m:oMathPara>
        <m:oMath>
          <m:r>
            <w:rPr>
              <w:rFonts w:ascii="Cambria Math" w:eastAsiaTheme="minorEastAsia" w:hAnsi="Cambria Math"/>
              <w:sz w:val="24"/>
            </w:rPr>
            <m:t>lm(NNI ~ I</m:t>
          </m:r>
          <m:d>
            <m:dPr>
              <m:ctrlPr>
                <w:rPr>
                  <w:rFonts w:ascii="Cambria Math" w:eastAsiaTheme="minorEastAsia" w:hAnsi="Cambria Math"/>
                  <w:i/>
                  <w:sz w:val="24"/>
                </w:rPr>
              </m:ctrlPr>
            </m:dPr>
            <m:e>
              <m:r>
                <w:rPr>
                  <w:rFonts w:ascii="Cambria Math" w:eastAsiaTheme="minorEastAsia" w:hAnsi="Cambria Math"/>
                  <w:sz w:val="24"/>
                </w:rPr>
                <m:t>1/</m:t>
              </m:r>
              <m:r>
                <w:rPr>
                  <w:rFonts w:ascii="Cambria Math" w:eastAsiaTheme="minorEastAsia" w:hAnsi="Cambria Math"/>
                  <w:sz w:val="24"/>
                </w:rPr>
                <m:t>hours</m:t>
              </m:r>
            </m:e>
          </m:d>
          <m:r>
            <w:rPr>
              <w:rFonts w:ascii="Cambria Math" w:eastAsiaTheme="minorEastAsia" w:hAnsi="Cambria Math"/>
              <w:sz w:val="24"/>
            </w:rPr>
            <m:t>)</m:t>
          </m:r>
        </m:oMath>
      </m:oMathPara>
    </w:p>
    <w:p w14:paraId="012212C5" w14:textId="2ED7789B" w:rsidR="0022652A" w:rsidRDefault="004B3A4C" w:rsidP="004B3A4C">
      <w:pPr>
        <w:spacing w:line="480" w:lineRule="auto"/>
        <w:rPr>
          <w:rFonts w:eastAsiaTheme="minorEastAsia"/>
          <w:sz w:val="24"/>
        </w:rPr>
      </w:pPr>
      <w:r>
        <w:rPr>
          <w:rFonts w:eastAsiaTheme="minorEastAsia"/>
          <w:sz w:val="24"/>
        </w:rPr>
        <w:lastRenderedPageBreak/>
        <w:t>The “Inhibit Interpretation/ Conversion of Objects” (“I”) function</w:t>
      </w:r>
      <w:r w:rsidR="0046017A">
        <w:rPr>
          <w:rFonts w:eastAsiaTheme="minorEastAsia"/>
          <w:sz w:val="24"/>
        </w:rPr>
        <w:t xml:space="preserve"> </w:t>
      </w:r>
      <w:r w:rsidR="00275465">
        <w:rPr>
          <w:rFonts w:eastAsiaTheme="minorEastAsia"/>
          <w:sz w:val="24"/>
        </w:rPr>
        <w:fldChar w:fldCharType="begin" w:fldLock="1"/>
      </w:r>
      <w:r w:rsidR="00275465">
        <w:rPr>
          <w:rFonts w:eastAsiaTheme="minorEastAsia"/>
          <w:sz w:val="24"/>
        </w:rPr>
        <w:instrText>ADDIN CSL_CITATION {"citationItems":[{"id":"ITEM-1","itemData":{"URL":"https://stat.ethz.ch/R-manual/R-devel/library/base/html/AsIs.html","accessed":{"date-parts":[["2020","9","10"]]},"container-title":"RDocumentation","id":"ITEM-1","issued":{"date-parts":[["0"]]},"title":"Inhibit Interpretation/Conversion of Objects","type":"webpage"},"uris":["http://www.mendeley.com/documents/?uuid=80e5e238-6d2c-3c38-b85e-541eb113976c"]}],"mendeley":{"formattedCitation":"(“Inhibit Interpretation/Conversion of Objects,” n.d.)","plainTextFormattedCitation":"(“Inhibit Interpretation/Conversion of Objects,” n.d.)","previouslyFormattedCitation":"(“Inhibit Interpretation/Conversion of Objects,” n.d.)"},"properties":{"noteIndex":0},"schema":"https://github.com/citation-style-language/schema/raw/master/csl-citation.json"}</w:instrText>
      </w:r>
      <w:r w:rsidR="00275465">
        <w:rPr>
          <w:rFonts w:eastAsiaTheme="minorEastAsia"/>
          <w:sz w:val="24"/>
        </w:rPr>
        <w:fldChar w:fldCharType="separate"/>
      </w:r>
      <w:r w:rsidR="00275465" w:rsidRPr="00275465">
        <w:rPr>
          <w:rFonts w:eastAsiaTheme="minorEastAsia"/>
          <w:noProof/>
          <w:sz w:val="24"/>
        </w:rPr>
        <w:t>(“Inhibit Interpretation/Conversion of Objects,” n.d.)</w:t>
      </w:r>
      <w:r w:rsidR="00275465">
        <w:rPr>
          <w:rFonts w:eastAsiaTheme="minorEastAsia"/>
          <w:sz w:val="24"/>
        </w:rPr>
        <w:fldChar w:fldCharType="end"/>
      </w:r>
      <w:r w:rsidR="00275465">
        <w:rPr>
          <w:rFonts w:eastAsiaTheme="minorEastAsia"/>
          <w:sz w:val="24"/>
        </w:rPr>
        <w:t xml:space="preserve"> </w:t>
      </w:r>
      <w:r w:rsidR="0046017A">
        <w:rPr>
          <w:rFonts w:eastAsiaTheme="minorEastAsia"/>
          <w:sz w:val="24"/>
        </w:rPr>
        <w:t>prevents binar</w:t>
      </w:r>
      <w:r w:rsidR="009C6EF9">
        <w:rPr>
          <w:rFonts w:eastAsiaTheme="minorEastAsia"/>
          <w:sz w:val="24"/>
        </w:rPr>
        <w:t>y division, which is what the “/</w:t>
      </w:r>
      <w:r w:rsidR="0046017A">
        <w:rPr>
          <w:rFonts w:eastAsiaTheme="minorEastAsia"/>
          <w:sz w:val="24"/>
        </w:rPr>
        <w:t>” symbol means to R</w:t>
      </w:r>
      <w:r w:rsidR="00B56F08">
        <w:rPr>
          <w:rFonts w:eastAsiaTheme="minorEastAsia"/>
          <w:sz w:val="24"/>
        </w:rPr>
        <w:t xml:space="preserve"> </w:t>
      </w:r>
      <w:r w:rsidR="00B56F08">
        <w:rPr>
          <w:rFonts w:eastAsiaTheme="minorEastAsia"/>
          <w:sz w:val="24"/>
        </w:rPr>
        <w:fldChar w:fldCharType="begin" w:fldLock="1"/>
      </w:r>
      <w:r w:rsidR="00B56F08">
        <w:rPr>
          <w:rFonts w:eastAsiaTheme="minorEastAsia"/>
          <w:sz w:val="24"/>
        </w:rPr>
        <w:instrText>ADDIN CSL_CITATION {"citationItems":[{"id":"ITEM-1","itemData":{"DOI":"10.1002/9781119197515.app4","abstract":"Umfangreiches Material für R zur Einführung und erweiterten Anwendung.","id":"ITEM-1","issued":{"date-parts":[["2020"]]},"page":"10","title":"R Language Definition","type":"article-journal","volume":"4.0.3"},"uris":["http://www.mendeley.com/documents/?uuid=8de109f1-791b-4634-979c-9d490b25e54c"]}],"mendeley":{"formattedCitation":"(“R Language Definition,” 2020)","plainTextFormattedCitation":"(“R Language Definition,” 2020)"},"properties":{"noteIndex":0},"schema":"https://github.com/citation-style-language/schema/raw/master/csl-citation.json"}</w:instrText>
      </w:r>
      <w:r w:rsidR="00B56F08">
        <w:rPr>
          <w:rFonts w:eastAsiaTheme="minorEastAsia"/>
          <w:sz w:val="24"/>
        </w:rPr>
        <w:fldChar w:fldCharType="separate"/>
      </w:r>
      <w:r w:rsidR="00B56F08" w:rsidRPr="00B56F08">
        <w:rPr>
          <w:rFonts w:eastAsiaTheme="minorEastAsia"/>
          <w:noProof/>
          <w:sz w:val="24"/>
        </w:rPr>
        <w:t>(“R Language Definition,” 2020)</w:t>
      </w:r>
      <w:r w:rsidR="00B56F08">
        <w:rPr>
          <w:rFonts w:eastAsiaTheme="minorEastAsia"/>
          <w:sz w:val="24"/>
        </w:rPr>
        <w:fldChar w:fldCharType="end"/>
      </w:r>
      <w:r w:rsidR="0046017A">
        <w:rPr>
          <w:rFonts w:eastAsiaTheme="minorEastAsia"/>
          <w:sz w:val="24"/>
        </w:rPr>
        <w:t xml:space="preserve">. </w:t>
      </w:r>
      <w:r w:rsidR="000D2E6A">
        <w:rPr>
          <w:rFonts w:eastAsiaTheme="minorEastAsia"/>
          <w:sz w:val="24"/>
        </w:rPr>
        <w:t>Binary division would be problematic because values in “NNI” and “hours” are numeric (base ten) not binary (base two).</w:t>
      </w:r>
      <w:r w:rsidR="0022652A">
        <w:rPr>
          <w:rFonts w:eastAsiaTheme="minorEastAsia"/>
          <w:sz w:val="24"/>
        </w:rPr>
        <w:t xml:space="preserve"> The “augment” function in the “broom” package </w:t>
      </w:r>
      <w:r w:rsidR="00E8119F">
        <w:rPr>
          <w:rFonts w:eastAsiaTheme="minorEastAsia"/>
          <w:sz w:val="24"/>
        </w:rPr>
        <w:fldChar w:fldCharType="begin" w:fldLock="1"/>
      </w:r>
      <w:r w:rsidR="0058153B">
        <w:rPr>
          <w:rFonts w:eastAsiaTheme="minorEastAsia"/>
          <w:sz w:val="24"/>
        </w:rPr>
        <w:instrText>ADDIN CSL_CITATION {"citationItems":[{"id":"ITEM-1","itemData":{"URL":"https://www.rdocumentation.org/packages/broom/versions/0.7.0","accessed":{"date-parts":[["2020","9","10"]]},"author":[{"dropping-particle":"","family":"Hayes","given":"Alex","non-dropping-particle":"","parse-names":false,"suffix":""}],"container-title":"RDocumentation","id":"ITEM-1","issued":{"date-parts":[["0"]]},"title":"broom package","type":"webpage"},"uris":["http://www.mendeley.com/documents/?uuid=b99f4f09-fdd0-3c71-992f-05b10b32cc54"]}],"mendeley":{"formattedCitation":"(A. Hayes, n.d.)","manualFormatting":"(Hayes, n.d.)","plainTextFormattedCitation":"(A. Hayes, n.d.)","previouslyFormattedCitation":"(A. Hayes, n.d.)"},"properties":{"noteIndex":0},"schema":"https://github.com/citation-style-language/schema/raw/master/csl-citation.json"}</w:instrText>
      </w:r>
      <w:r w:rsidR="00E8119F">
        <w:rPr>
          <w:rFonts w:eastAsiaTheme="minorEastAsia"/>
          <w:sz w:val="24"/>
        </w:rPr>
        <w:fldChar w:fldCharType="separate"/>
      </w:r>
      <w:r w:rsidR="0058153B">
        <w:rPr>
          <w:rFonts w:eastAsiaTheme="minorEastAsia"/>
          <w:noProof/>
          <w:sz w:val="24"/>
        </w:rPr>
        <w:t>(</w:t>
      </w:r>
      <w:r w:rsidR="00E8119F" w:rsidRPr="00E8119F">
        <w:rPr>
          <w:rFonts w:eastAsiaTheme="minorEastAsia"/>
          <w:noProof/>
          <w:sz w:val="24"/>
        </w:rPr>
        <w:t>Hayes, n.d.)</w:t>
      </w:r>
      <w:r w:rsidR="00E8119F">
        <w:rPr>
          <w:rFonts w:eastAsiaTheme="minorEastAsia"/>
          <w:sz w:val="24"/>
        </w:rPr>
        <w:fldChar w:fldCharType="end"/>
      </w:r>
      <w:r w:rsidR="00E8119F">
        <w:rPr>
          <w:rFonts w:eastAsiaTheme="minorEastAsia"/>
          <w:sz w:val="24"/>
        </w:rPr>
        <w:t xml:space="preserve"> </w:t>
      </w:r>
      <w:r w:rsidR="00D15DBB">
        <w:rPr>
          <w:rFonts w:eastAsiaTheme="minorEastAsia"/>
          <w:sz w:val="24"/>
        </w:rPr>
        <w:t>reports</w:t>
      </w:r>
      <w:r w:rsidR="0022652A">
        <w:rPr>
          <w:rFonts w:eastAsiaTheme="minorEastAsia"/>
          <w:sz w:val="24"/>
        </w:rPr>
        <w:t xml:space="preserve"> regression model standard error, fitted values, and residuals among other parameters</w:t>
      </w:r>
      <w:r w:rsidR="003F0E22">
        <w:rPr>
          <w:rFonts w:eastAsiaTheme="minorEastAsia"/>
          <w:sz w:val="24"/>
        </w:rPr>
        <w:t xml:space="preserve"> for assessing model quality</w:t>
      </w:r>
      <w:r w:rsidR="0022652A">
        <w:rPr>
          <w:rFonts w:eastAsiaTheme="minorEastAsia"/>
          <w:sz w:val="24"/>
        </w:rPr>
        <w:t>:</w:t>
      </w:r>
    </w:p>
    <w:p w14:paraId="1336C644" w14:textId="77777777" w:rsidR="0022652A" w:rsidRPr="00613D84" w:rsidRDefault="003F0E22" w:rsidP="004B3A4C">
      <w:pPr>
        <w:spacing w:line="480" w:lineRule="auto"/>
        <w:rPr>
          <w:rFonts w:eastAsiaTheme="minorEastAsia"/>
          <w:sz w:val="24"/>
        </w:rPr>
      </w:pPr>
      <m:oMathPara>
        <m:oMath>
          <m:r>
            <w:rPr>
              <w:rFonts w:ascii="Cambria Math" w:eastAsiaTheme="minorEastAsia" w:hAnsi="Cambria Math"/>
              <w:sz w:val="24"/>
            </w:rPr>
            <m:t>broom∷augment(regression_model)</m:t>
          </m:r>
        </m:oMath>
      </m:oMathPara>
    </w:p>
    <w:p w14:paraId="3760E91C" w14:textId="55E576FE" w:rsidR="00B33FC1" w:rsidRPr="00CC58F0" w:rsidRDefault="00255035" w:rsidP="00CC58F0">
      <w:pPr>
        <w:pStyle w:val="Heading2"/>
        <w:spacing w:line="480" w:lineRule="auto"/>
        <w:rPr>
          <w:rFonts w:asciiTheme="minorHAnsi" w:hAnsiTheme="minorHAnsi"/>
          <w:b/>
          <w:color w:val="auto"/>
          <w:sz w:val="24"/>
        </w:rPr>
      </w:pPr>
      <w:bookmarkStart w:id="28" w:name="_Toc56898386"/>
      <w:r>
        <w:rPr>
          <w:rFonts w:asciiTheme="minorHAnsi" w:hAnsiTheme="minorHAnsi"/>
          <w:b/>
          <w:color w:val="auto"/>
          <w:sz w:val="24"/>
        </w:rPr>
        <w:t xml:space="preserve">3.6 </w:t>
      </w:r>
      <w:r w:rsidR="006230C6" w:rsidRPr="00CC58F0">
        <w:rPr>
          <w:rFonts w:asciiTheme="minorHAnsi" w:hAnsiTheme="minorHAnsi"/>
          <w:b/>
          <w:color w:val="auto"/>
          <w:sz w:val="24"/>
        </w:rPr>
        <w:t>Standard Deviational Ellipse (SDE)</w:t>
      </w:r>
      <w:bookmarkEnd w:id="28"/>
    </w:p>
    <w:p w14:paraId="1BDBA450" w14:textId="4561F8A2" w:rsidR="00EC34F7" w:rsidRDefault="00B3599C" w:rsidP="00CC58F0">
      <w:pPr>
        <w:spacing w:line="480" w:lineRule="auto"/>
        <w:rPr>
          <w:sz w:val="24"/>
        </w:rPr>
      </w:pPr>
      <w:r>
        <w:rPr>
          <w:sz w:val="24"/>
        </w:rPr>
        <w:tab/>
        <w:t xml:space="preserve">I used SDE </w:t>
      </w:r>
      <w:r w:rsidR="00E3338C">
        <w:rPr>
          <w:sz w:val="24"/>
        </w:rPr>
        <w:t xml:space="preserve">as an alternative </w:t>
      </w:r>
      <w:r w:rsidR="00E51382">
        <w:rPr>
          <w:sz w:val="24"/>
        </w:rPr>
        <w:t xml:space="preserve">method </w:t>
      </w:r>
      <w:r w:rsidR="00E3338C">
        <w:rPr>
          <w:sz w:val="24"/>
        </w:rPr>
        <w:t>to quantitatively study spatiotemporal diffusion.</w:t>
      </w:r>
      <w:r w:rsidR="00E51382">
        <w:rPr>
          <w:sz w:val="24"/>
        </w:rPr>
        <w:t xml:space="preserve"> I used the “Directional Distribution (Standard Deviational Ellipse)” tool in ArcGIS Pro to </w:t>
      </w:r>
      <w:r w:rsidR="008622E9">
        <w:rPr>
          <w:sz w:val="24"/>
        </w:rPr>
        <w:t>map SDEs atop case study tweet layers</w:t>
      </w:r>
      <w:r w:rsidR="00E51382">
        <w:rPr>
          <w:sz w:val="24"/>
        </w:rPr>
        <w:t>.</w:t>
      </w:r>
      <w:r w:rsidR="00110179">
        <w:rPr>
          <w:sz w:val="24"/>
        </w:rPr>
        <w:t xml:space="preserve"> This tool provided detailed SDE properties such as “Mean Center Location,” “Standard Distance,” “Rotation,” “Shape Length,” and “Shape Area.”</w:t>
      </w:r>
      <w:r w:rsidR="00200968">
        <w:rPr>
          <w:sz w:val="24"/>
        </w:rPr>
        <w:t xml:space="preserve"> </w:t>
      </w:r>
      <w:r w:rsidR="00731B42">
        <w:rPr>
          <w:sz w:val="24"/>
        </w:rPr>
        <w:t>“Mean Center</w:t>
      </w:r>
      <w:r w:rsidR="009C6EF9">
        <w:rPr>
          <w:sz w:val="24"/>
        </w:rPr>
        <w:t xml:space="preserve"> Location</w:t>
      </w:r>
      <w:r w:rsidR="00731B42">
        <w:rPr>
          <w:sz w:val="24"/>
        </w:rPr>
        <w:t xml:space="preserve">” </w:t>
      </w:r>
      <w:r w:rsidR="004A722E">
        <w:rPr>
          <w:sz w:val="24"/>
        </w:rPr>
        <w:t>is</w:t>
      </w:r>
      <w:r w:rsidR="009C6EF9">
        <w:rPr>
          <w:sz w:val="24"/>
        </w:rPr>
        <w:t xml:space="preserve"> defined by X and Y coordinate</w:t>
      </w:r>
      <w:r w:rsidR="00072599">
        <w:rPr>
          <w:sz w:val="24"/>
        </w:rPr>
        <w:t xml:space="preserve"> centroids. </w:t>
      </w:r>
      <w:r w:rsidR="00EC6E98">
        <w:rPr>
          <w:sz w:val="24"/>
        </w:rPr>
        <w:t xml:space="preserve">Standard deviation, along the X and Y axes, is how to interpret </w:t>
      </w:r>
      <w:r w:rsidR="00731B42">
        <w:rPr>
          <w:sz w:val="24"/>
        </w:rPr>
        <w:t>“</w:t>
      </w:r>
      <w:r w:rsidR="00EC6E98">
        <w:rPr>
          <w:sz w:val="24"/>
        </w:rPr>
        <w:t xml:space="preserve">Standard </w:t>
      </w:r>
      <w:r w:rsidR="00EC6E98" w:rsidRPr="00166CD1">
        <w:rPr>
          <w:sz w:val="24"/>
        </w:rPr>
        <w:t>Distance.</w:t>
      </w:r>
      <w:r w:rsidR="00731B42" w:rsidRPr="00166CD1">
        <w:rPr>
          <w:sz w:val="24"/>
        </w:rPr>
        <w:t xml:space="preserve">” </w:t>
      </w:r>
      <w:r w:rsidR="00EC262B" w:rsidRPr="00166CD1">
        <w:rPr>
          <w:sz w:val="24"/>
        </w:rPr>
        <w:t>Standard distance is particularly useful because</w:t>
      </w:r>
      <w:r w:rsidR="00CE0698" w:rsidRPr="00166CD1">
        <w:rPr>
          <w:sz w:val="24"/>
        </w:rPr>
        <w:t xml:space="preserve"> it defines the SDE’s overall shape and is not effected by the SDE’s area. </w:t>
      </w:r>
      <w:r w:rsidR="00731B42" w:rsidRPr="00166CD1">
        <w:rPr>
          <w:sz w:val="24"/>
        </w:rPr>
        <w:t>“Rotation</w:t>
      </w:r>
      <w:r w:rsidR="00731B42">
        <w:rPr>
          <w:sz w:val="24"/>
        </w:rPr>
        <w:t>” defines the SDE’s positioning and alignment, whether titled horizontal or more vertical.</w:t>
      </w:r>
      <w:r w:rsidR="00DC4374">
        <w:rPr>
          <w:sz w:val="24"/>
        </w:rPr>
        <w:t xml:space="preserve"> “Shape Length” and “Shape Area”</w:t>
      </w:r>
      <w:r w:rsidR="00EC34F7">
        <w:rPr>
          <w:sz w:val="24"/>
        </w:rPr>
        <w:t xml:space="preserve"> report SDE length and area, respectively.</w:t>
      </w:r>
    </w:p>
    <w:p w14:paraId="543B57A5" w14:textId="5AE73A7C" w:rsidR="00D07EF1" w:rsidRDefault="009C6EF9" w:rsidP="006E1528">
      <w:pPr>
        <w:spacing w:line="480" w:lineRule="auto"/>
        <w:rPr>
          <w:sz w:val="24"/>
        </w:rPr>
      </w:pPr>
      <w:r>
        <w:rPr>
          <w:sz w:val="24"/>
        </w:rPr>
        <w:tab/>
        <w:t xml:space="preserve">I used “Mean Center </w:t>
      </w:r>
      <w:r w:rsidR="002B4C12">
        <w:rPr>
          <w:sz w:val="24"/>
        </w:rPr>
        <w:t>Location” and “Shape Area” in my analysis for each case study.</w:t>
      </w:r>
      <w:r w:rsidR="00D07EF1">
        <w:rPr>
          <w:sz w:val="24"/>
        </w:rPr>
        <w:t xml:space="preserve"> </w:t>
      </w:r>
      <w:r w:rsidR="008634C3">
        <w:rPr>
          <w:sz w:val="24"/>
        </w:rPr>
        <w:t xml:space="preserve">I then used </w:t>
      </w:r>
      <w:r w:rsidR="0068177A">
        <w:rPr>
          <w:sz w:val="24"/>
        </w:rPr>
        <w:t>R to calculate how the SDE’s X component, Y c</w:t>
      </w:r>
      <w:r w:rsidR="008634C3">
        <w:rPr>
          <w:sz w:val="24"/>
        </w:rPr>
        <w:t xml:space="preserve">omponent, and Shape Area changed throughout case studies. </w:t>
      </w:r>
    </w:p>
    <w:p w14:paraId="039E32D5" w14:textId="77777777" w:rsidR="00816D32" w:rsidRDefault="00816D32" w:rsidP="006E1528">
      <w:pPr>
        <w:spacing w:line="480" w:lineRule="auto"/>
        <w:rPr>
          <w:sz w:val="24"/>
        </w:rPr>
      </w:pPr>
      <m:oMathPara>
        <m:oMath>
          <m:r>
            <w:rPr>
              <w:rFonts w:ascii="Cambria Math" w:hAnsi="Cambria Math"/>
              <w:sz w:val="24"/>
            </w:rPr>
            <m:t>for(i in 1:Number_of_points_in_data_frame)  {list</m:t>
          </m:r>
          <m:d>
            <m:dPr>
              <m:begChr m:val="["/>
              <m:endChr m:val="]"/>
              <m:ctrlPr>
                <w:rPr>
                  <w:rFonts w:ascii="Cambria Math" w:hAnsi="Cambria Math"/>
                  <w:i/>
                  <w:sz w:val="24"/>
                </w:rPr>
              </m:ctrlPr>
            </m:dPr>
            <m:e>
              <m:r>
                <w:rPr>
                  <w:rFonts w:ascii="Cambria Math" w:hAnsi="Cambria Math"/>
                  <w:sz w:val="24"/>
                </w:rPr>
                <m:t>i</m:t>
              </m:r>
            </m:e>
          </m:d>
          <m:r>
            <w:rPr>
              <w:rFonts w:ascii="Cambria Math" w:hAnsi="Cambria Math"/>
              <w:sz w:val="24"/>
            </w:rPr>
            <m:t>=data</m:t>
          </m:r>
          <m:d>
            <m:dPr>
              <m:begChr m:val="["/>
              <m:endChr m:val="]"/>
              <m:ctrlPr>
                <w:rPr>
                  <w:rFonts w:ascii="Cambria Math" w:hAnsi="Cambria Math"/>
                  <w:i/>
                  <w:sz w:val="24"/>
                </w:rPr>
              </m:ctrlPr>
            </m:dPr>
            <m:e>
              <m:r>
                <w:rPr>
                  <w:rFonts w:ascii="Cambria Math" w:hAnsi="Cambria Math"/>
                  <w:sz w:val="24"/>
                </w:rPr>
                <m:t>i+1</m:t>
              </m:r>
            </m:e>
          </m:d>
          <m:r>
            <w:rPr>
              <w:rFonts w:ascii="Cambria Math" w:hAnsi="Cambria Math"/>
              <w:sz w:val="24"/>
            </w:rPr>
            <m:t>-data</m:t>
          </m:r>
          <m:d>
            <m:dPr>
              <m:begChr m:val="["/>
              <m:endChr m:val="]"/>
              <m:ctrlPr>
                <w:rPr>
                  <w:rFonts w:ascii="Cambria Math" w:hAnsi="Cambria Math"/>
                  <w:i/>
                  <w:sz w:val="24"/>
                </w:rPr>
              </m:ctrlPr>
            </m:dPr>
            <m:e>
              <m:r>
                <w:rPr>
                  <w:rFonts w:ascii="Cambria Math" w:hAnsi="Cambria Math"/>
                  <w:sz w:val="24"/>
                </w:rPr>
                <m:t>i</m:t>
              </m:r>
            </m:e>
          </m:d>
          <m:r>
            <w:rPr>
              <w:rFonts w:ascii="Cambria Math" w:hAnsi="Cambria Math"/>
              <w:sz w:val="24"/>
            </w:rPr>
            <m:t xml:space="preserve">} </m:t>
          </m:r>
        </m:oMath>
      </m:oMathPara>
    </w:p>
    <w:p w14:paraId="05CDB64E" w14:textId="66B20298" w:rsidR="00CB0244" w:rsidRDefault="004132EB" w:rsidP="00CE396B">
      <w:pPr>
        <w:spacing w:line="480" w:lineRule="auto"/>
        <w:rPr>
          <w:rFonts w:eastAsiaTheme="minorEastAsia"/>
          <w:sz w:val="24"/>
        </w:rPr>
      </w:pPr>
      <w:r>
        <w:rPr>
          <w:sz w:val="24"/>
        </w:rPr>
        <w:lastRenderedPageBreak/>
        <w:t>The phrase “</w:t>
      </w:r>
      <m:oMath>
        <m:r>
          <w:rPr>
            <w:rFonts w:ascii="Cambria Math" w:hAnsi="Cambria Math"/>
            <w:sz w:val="24"/>
          </w:rPr>
          <m:t>data</m:t>
        </m:r>
        <m:d>
          <m:dPr>
            <m:begChr m:val="["/>
            <m:endChr m:val="]"/>
            <m:ctrlPr>
              <w:rPr>
                <w:rFonts w:ascii="Cambria Math" w:hAnsi="Cambria Math"/>
                <w:i/>
                <w:sz w:val="24"/>
              </w:rPr>
            </m:ctrlPr>
          </m:dPr>
          <m:e>
            <m:r>
              <w:rPr>
                <w:rFonts w:ascii="Cambria Math" w:hAnsi="Cambria Math"/>
                <w:sz w:val="24"/>
              </w:rPr>
              <m:t>i+1</m:t>
            </m:r>
          </m:e>
        </m:d>
      </m:oMath>
      <w:r>
        <w:rPr>
          <w:rFonts w:eastAsiaTheme="minorEastAsia"/>
          <w:sz w:val="24"/>
        </w:rPr>
        <w:t xml:space="preserve">” </w:t>
      </w:r>
      <w:r w:rsidR="00AB0E17">
        <w:rPr>
          <w:rFonts w:eastAsiaTheme="minorEastAsia"/>
          <w:sz w:val="24"/>
        </w:rPr>
        <w:t>was used to access</w:t>
      </w:r>
      <w:r w:rsidR="0068177A">
        <w:rPr>
          <w:rFonts w:eastAsiaTheme="minorEastAsia"/>
          <w:sz w:val="24"/>
        </w:rPr>
        <w:t xml:space="preserve"> data (whether X component, Y c</w:t>
      </w:r>
      <w:r>
        <w:rPr>
          <w:rFonts w:eastAsiaTheme="minorEastAsia"/>
          <w:sz w:val="24"/>
        </w:rPr>
        <w:t>omponent, or Shape Area) stor</w:t>
      </w:r>
      <w:r w:rsidR="00AB0E17">
        <w:rPr>
          <w:rFonts w:eastAsiaTheme="minorEastAsia"/>
          <w:sz w:val="24"/>
        </w:rPr>
        <w:t xml:space="preserve">ed one time step in the future while the </w:t>
      </w:r>
      <w:r>
        <w:rPr>
          <w:rFonts w:eastAsiaTheme="minorEastAsia"/>
          <w:sz w:val="24"/>
        </w:rPr>
        <w:t xml:space="preserve">phrase </w:t>
      </w:r>
      <w:r w:rsidR="008D4BDD">
        <w:rPr>
          <w:rFonts w:eastAsiaTheme="minorEastAsia"/>
          <w:sz w:val="24"/>
        </w:rPr>
        <w:t>“</w:t>
      </w:r>
      <m:oMath>
        <m:r>
          <w:rPr>
            <w:rFonts w:ascii="Cambria Math" w:eastAsiaTheme="minorEastAsia" w:hAnsi="Cambria Math"/>
            <w:sz w:val="24"/>
          </w:rPr>
          <m:t xml:space="preserve">- </m:t>
        </m:r>
        <m:r>
          <w:rPr>
            <w:rFonts w:ascii="Cambria Math" w:hAnsi="Cambria Math"/>
            <w:sz w:val="24"/>
          </w:rPr>
          <m:t>data</m:t>
        </m:r>
        <m:d>
          <m:dPr>
            <m:begChr m:val="["/>
            <m:endChr m:val="]"/>
            <m:ctrlPr>
              <w:rPr>
                <w:rFonts w:ascii="Cambria Math" w:hAnsi="Cambria Math"/>
                <w:i/>
                <w:sz w:val="24"/>
              </w:rPr>
            </m:ctrlPr>
          </m:dPr>
          <m:e>
            <m:r>
              <w:rPr>
                <w:rFonts w:ascii="Cambria Math" w:hAnsi="Cambria Math"/>
                <w:sz w:val="24"/>
              </w:rPr>
              <m:t>i</m:t>
            </m:r>
          </m:e>
        </m:d>
      </m:oMath>
      <w:r w:rsidR="008D4BDD">
        <w:rPr>
          <w:rFonts w:eastAsiaTheme="minorEastAsia"/>
          <w:sz w:val="24"/>
        </w:rPr>
        <w:t>”</w:t>
      </w:r>
      <w:r>
        <w:rPr>
          <w:rFonts w:eastAsiaTheme="minorEastAsia"/>
          <w:sz w:val="24"/>
        </w:rPr>
        <w:t xml:space="preserve"> </w:t>
      </w:r>
      <w:r w:rsidR="00AB0E17">
        <w:rPr>
          <w:rFonts w:eastAsiaTheme="minorEastAsia"/>
          <w:sz w:val="24"/>
        </w:rPr>
        <w:t>subtracted</w:t>
      </w:r>
      <w:r w:rsidR="008D4BDD">
        <w:rPr>
          <w:rFonts w:eastAsiaTheme="minorEastAsia"/>
          <w:sz w:val="24"/>
        </w:rPr>
        <w:t xml:space="preserve"> this value from data stored in the current time step.</w:t>
      </w:r>
      <w:r w:rsidR="003C0764">
        <w:rPr>
          <w:rFonts w:eastAsiaTheme="minorEastAsia"/>
          <w:sz w:val="24"/>
        </w:rPr>
        <w:t xml:space="preserve"> </w:t>
      </w:r>
      <w:r w:rsidR="00AB0E17">
        <w:rPr>
          <w:rFonts w:eastAsiaTheme="minorEastAsia"/>
          <w:sz w:val="24"/>
        </w:rPr>
        <w:t xml:space="preserve">The difference shows the change in SDE components, and provides information about how the tweets diffused over time. </w:t>
      </w:r>
    </w:p>
    <w:p w14:paraId="6B621456" w14:textId="77777777" w:rsidR="00CA76FB" w:rsidRDefault="00CA76FB" w:rsidP="00CE396B">
      <w:pPr>
        <w:spacing w:line="480" w:lineRule="auto"/>
        <w:rPr>
          <w:rFonts w:eastAsiaTheme="minorEastAsia"/>
          <w:sz w:val="24"/>
        </w:rPr>
      </w:pPr>
    </w:p>
    <w:p w14:paraId="2CB30E92" w14:textId="77777777" w:rsidR="00CA76FB" w:rsidRDefault="00CA76FB" w:rsidP="00CE396B">
      <w:pPr>
        <w:spacing w:line="480" w:lineRule="auto"/>
        <w:rPr>
          <w:rFonts w:eastAsiaTheme="minorEastAsia"/>
          <w:sz w:val="24"/>
        </w:rPr>
      </w:pPr>
    </w:p>
    <w:p w14:paraId="6C42BD18" w14:textId="77777777" w:rsidR="00CA76FB" w:rsidRDefault="00CA76FB" w:rsidP="00CE396B">
      <w:pPr>
        <w:spacing w:line="480" w:lineRule="auto"/>
        <w:rPr>
          <w:rFonts w:eastAsiaTheme="minorEastAsia"/>
          <w:sz w:val="24"/>
        </w:rPr>
      </w:pPr>
    </w:p>
    <w:p w14:paraId="575D3B8D" w14:textId="77777777" w:rsidR="00CA76FB" w:rsidRDefault="00CA76FB" w:rsidP="00CE396B">
      <w:pPr>
        <w:spacing w:line="480" w:lineRule="auto"/>
        <w:rPr>
          <w:rFonts w:eastAsiaTheme="minorEastAsia"/>
          <w:sz w:val="24"/>
        </w:rPr>
      </w:pPr>
    </w:p>
    <w:p w14:paraId="2EC2778D" w14:textId="77777777" w:rsidR="00CA76FB" w:rsidRDefault="00CA76FB" w:rsidP="00CE396B">
      <w:pPr>
        <w:spacing w:line="480" w:lineRule="auto"/>
        <w:rPr>
          <w:rFonts w:eastAsiaTheme="minorEastAsia"/>
          <w:sz w:val="24"/>
        </w:rPr>
      </w:pPr>
    </w:p>
    <w:p w14:paraId="75712234" w14:textId="77777777" w:rsidR="00CA76FB" w:rsidRDefault="00CA76FB" w:rsidP="00CE396B">
      <w:pPr>
        <w:spacing w:line="480" w:lineRule="auto"/>
        <w:rPr>
          <w:rFonts w:eastAsiaTheme="minorEastAsia"/>
          <w:sz w:val="24"/>
        </w:rPr>
      </w:pPr>
    </w:p>
    <w:p w14:paraId="103A17C2" w14:textId="77777777" w:rsidR="00CA76FB" w:rsidRDefault="00CA76FB" w:rsidP="00CE396B">
      <w:pPr>
        <w:spacing w:line="480" w:lineRule="auto"/>
        <w:rPr>
          <w:rFonts w:eastAsiaTheme="minorEastAsia"/>
          <w:sz w:val="24"/>
        </w:rPr>
      </w:pPr>
    </w:p>
    <w:p w14:paraId="1FAE327D" w14:textId="77777777" w:rsidR="00CA76FB" w:rsidRDefault="00CA76FB" w:rsidP="00CE396B">
      <w:pPr>
        <w:spacing w:line="480" w:lineRule="auto"/>
        <w:rPr>
          <w:rFonts w:eastAsiaTheme="minorEastAsia"/>
          <w:sz w:val="24"/>
        </w:rPr>
      </w:pPr>
    </w:p>
    <w:p w14:paraId="78D3A40C" w14:textId="77777777" w:rsidR="00CA76FB" w:rsidRDefault="00CA76FB" w:rsidP="00CE396B">
      <w:pPr>
        <w:spacing w:line="480" w:lineRule="auto"/>
        <w:rPr>
          <w:rFonts w:eastAsiaTheme="minorEastAsia"/>
          <w:sz w:val="24"/>
        </w:rPr>
      </w:pPr>
    </w:p>
    <w:p w14:paraId="6A495ADD" w14:textId="77777777" w:rsidR="00CA76FB" w:rsidRDefault="00CA76FB" w:rsidP="00CE396B">
      <w:pPr>
        <w:spacing w:line="480" w:lineRule="auto"/>
        <w:rPr>
          <w:rFonts w:eastAsiaTheme="minorEastAsia"/>
          <w:sz w:val="24"/>
        </w:rPr>
      </w:pPr>
    </w:p>
    <w:p w14:paraId="1B2FCFE4" w14:textId="77777777" w:rsidR="00CA76FB" w:rsidRDefault="00CA76FB" w:rsidP="00CE396B">
      <w:pPr>
        <w:spacing w:line="480" w:lineRule="auto"/>
        <w:rPr>
          <w:rFonts w:eastAsiaTheme="minorEastAsia"/>
          <w:sz w:val="24"/>
        </w:rPr>
      </w:pPr>
    </w:p>
    <w:p w14:paraId="14471E1F" w14:textId="77777777" w:rsidR="00CA76FB" w:rsidRDefault="00CA76FB" w:rsidP="00CE396B">
      <w:pPr>
        <w:spacing w:line="480" w:lineRule="auto"/>
        <w:rPr>
          <w:rFonts w:eastAsiaTheme="minorEastAsia"/>
          <w:sz w:val="24"/>
        </w:rPr>
      </w:pPr>
    </w:p>
    <w:p w14:paraId="075B38E6" w14:textId="77777777" w:rsidR="00CA76FB" w:rsidRDefault="00CA76FB" w:rsidP="00CE396B">
      <w:pPr>
        <w:spacing w:line="480" w:lineRule="auto"/>
        <w:rPr>
          <w:rFonts w:eastAsiaTheme="minorEastAsia"/>
          <w:sz w:val="24"/>
        </w:rPr>
      </w:pPr>
    </w:p>
    <w:p w14:paraId="51A2746B" w14:textId="77777777" w:rsidR="00CA76FB" w:rsidRPr="00CE396B" w:rsidRDefault="00CA76FB" w:rsidP="00CE396B">
      <w:pPr>
        <w:spacing w:line="480" w:lineRule="auto"/>
        <w:rPr>
          <w:rFonts w:eastAsiaTheme="minorEastAsia"/>
          <w:sz w:val="24"/>
        </w:rPr>
      </w:pPr>
    </w:p>
    <w:p w14:paraId="7FCDD489" w14:textId="77777777" w:rsidR="00A72FBA" w:rsidRPr="00AC3CF9" w:rsidRDefault="00A72FBA" w:rsidP="00AC3CF9">
      <w:pPr>
        <w:jc w:val="center"/>
        <w:rPr>
          <w:b/>
          <w:caps/>
          <w:sz w:val="28"/>
          <w:szCs w:val="28"/>
        </w:rPr>
      </w:pPr>
      <w:r w:rsidRPr="00AC3CF9">
        <w:rPr>
          <w:b/>
          <w:caps/>
          <w:sz w:val="28"/>
          <w:szCs w:val="28"/>
        </w:rPr>
        <w:lastRenderedPageBreak/>
        <w:t>Chapter Four</w:t>
      </w:r>
    </w:p>
    <w:p w14:paraId="165F92B8" w14:textId="77777777" w:rsidR="00A72FBA" w:rsidRPr="00AC3CF9" w:rsidRDefault="00A72FBA" w:rsidP="005B71EC">
      <w:pPr>
        <w:pStyle w:val="Heading1"/>
        <w:spacing w:line="480" w:lineRule="auto"/>
        <w:jc w:val="center"/>
        <w:rPr>
          <w:rFonts w:asciiTheme="minorHAnsi" w:hAnsiTheme="minorHAnsi"/>
          <w:b/>
          <w:caps/>
          <w:color w:val="auto"/>
          <w:sz w:val="28"/>
          <w:szCs w:val="28"/>
        </w:rPr>
      </w:pPr>
      <w:bookmarkStart w:id="29" w:name="_Toc56194396"/>
      <w:bookmarkStart w:id="30" w:name="_Toc56898387"/>
      <w:r w:rsidRPr="00AC3CF9">
        <w:rPr>
          <w:rFonts w:asciiTheme="minorHAnsi" w:hAnsiTheme="minorHAnsi"/>
          <w:b/>
          <w:caps/>
          <w:color w:val="auto"/>
          <w:sz w:val="28"/>
          <w:szCs w:val="28"/>
        </w:rPr>
        <w:t>Result</w:t>
      </w:r>
      <w:r w:rsidR="002357E6" w:rsidRPr="00AC3CF9">
        <w:rPr>
          <w:rFonts w:asciiTheme="minorHAnsi" w:hAnsiTheme="minorHAnsi"/>
          <w:b/>
          <w:caps/>
          <w:color w:val="auto"/>
          <w:sz w:val="28"/>
          <w:szCs w:val="28"/>
        </w:rPr>
        <w:t>s</w:t>
      </w:r>
      <w:bookmarkEnd w:id="29"/>
      <w:bookmarkEnd w:id="30"/>
    </w:p>
    <w:p w14:paraId="6B8C5590" w14:textId="553F6431" w:rsidR="00B467E8" w:rsidRPr="00D1083B" w:rsidRDefault="00A66005" w:rsidP="005B71EC">
      <w:pPr>
        <w:pStyle w:val="Heading2"/>
        <w:spacing w:line="480" w:lineRule="auto"/>
        <w:rPr>
          <w:rFonts w:asciiTheme="minorHAnsi" w:hAnsiTheme="minorHAnsi"/>
          <w:b/>
          <w:color w:val="auto"/>
          <w:sz w:val="24"/>
        </w:rPr>
      </w:pPr>
      <w:bookmarkStart w:id="31" w:name="_Toc56898388"/>
      <w:r>
        <w:rPr>
          <w:rFonts w:asciiTheme="minorHAnsi" w:hAnsiTheme="minorHAnsi"/>
          <w:b/>
          <w:color w:val="auto"/>
          <w:sz w:val="24"/>
        </w:rPr>
        <w:t xml:space="preserve">4.1 </w:t>
      </w:r>
      <w:r w:rsidR="00AC3943" w:rsidRPr="00D1083B">
        <w:rPr>
          <w:rFonts w:asciiTheme="minorHAnsi" w:hAnsiTheme="minorHAnsi"/>
          <w:b/>
          <w:color w:val="auto"/>
          <w:sz w:val="24"/>
        </w:rPr>
        <w:t>Daily t</w:t>
      </w:r>
      <w:r w:rsidR="007627F5" w:rsidRPr="00D1083B">
        <w:rPr>
          <w:rFonts w:asciiTheme="minorHAnsi" w:hAnsiTheme="minorHAnsi"/>
          <w:b/>
          <w:color w:val="auto"/>
          <w:sz w:val="24"/>
        </w:rPr>
        <w:t xml:space="preserve">weet counts over case study </w:t>
      </w:r>
      <w:r w:rsidR="00AC3943" w:rsidRPr="00D1083B">
        <w:rPr>
          <w:rFonts w:asciiTheme="minorHAnsi" w:hAnsiTheme="minorHAnsi"/>
          <w:b/>
          <w:color w:val="auto"/>
          <w:sz w:val="24"/>
        </w:rPr>
        <w:t>periods</w:t>
      </w:r>
      <w:bookmarkEnd w:id="31"/>
    </w:p>
    <w:p w14:paraId="01BB626A" w14:textId="041ABCA0" w:rsidR="00945F75" w:rsidRDefault="003F00FD" w:rsidP="00D1083B">
      <w:pPr>
        <w:spacing w:line="480" w:lineRule="auto"/>
        <w:rPr>
          <w:sz w:val="24"/>
        </w:rPr>
      </w:pPr>
      <w:r>
        <w:rPr>
          <w:sz w:val="24"/>
        </w:rPr>
        <w:tab/>
      </w:r>
      <w:r w:rsidR="007C0FEB">
        <w:rPr>
          <w:sz w:val="24"/>
        </w:rPr>
        <w:t>I notice</w:t>
      </w:r>
      <w:r w:rsidR="002357E6">
        <w:rPr>
          <w:sz w:val="24"/>
        </w:rPr>
        <w:t>d</w:t>
      </w:r>
      <w:r w:rsidR="007C0FEB">
        <w:rPr>
          <w:sz w:val="24"/>
        </w:rPr>
        <w:t xml:space="preserve"> similar, yet uniquely distinguishable, temporal tweet patterns across both case studies. </w:t>
      </w:r>
      <w:r w:rsidR="0070611B" w:rsidRPr="00D3137A">
        <w:rPr>
          <w:sz w:val="24"/>
        </w:rPr>
        <w:t xml:space="preserve">Figure </w:t>
      </w:r>
      <w:r w:rsidR="00992585">
        <w:rPr>
          <w:sz w:val="24"/>
        </w:rPr>
        <w:t>5</w:t>
      </w:r>
      <w:r w:rsidR="008D14D5" w:rsidRPr="00D3137A">
        <w:rPr>
          <w:sz w:val="24"/>
        </w:rPr>
        <w:t>a</w:t>
      </w:r>
      <w:r w:rsidR="0070611B">
        <w:rPr>
          <w:sz w:val="24"/>
        </w:rPr>
        <w:t xml:space="preserve"> shows </w:t>
      </w:r>
      <w:r w:rsidR="00DC314E">
        <w:rPr>
          <w:sz w:val="24"/>
        </w:rPr>
        <w:t xml:space="preserve">daily </w:t>
      </w:r>
      <w:r w:rsidR="0070611B">
        <w:rPr>
          <w:sz w:val="24"/>
        </w:rPr>
        <w:t xml:space="preserve">WSG tweet counts from 7 January to 14 January 2019. Tweets remained fairly steady across the first two days </w:t>
      </w:r>
      <w:r w:rsidR="002357E6">
        <w:rPr>
          <w:sz w:val="24"/>
        </w:rPr>
        <w:t xml:space="preserve">in the WSG case study, as </w:t>
      </w:r>
      <w:r w:rsidR="0070611B">
        <w:rPr>
          <w:sz w:val="24"/>
        </w:rPr>
        <w:t>there was only a difference of three tweets between 7 January and 8 January (69 and 71 tweets on each day, respectively).</w:t>
      </w:r>
      <w:r w:rsidR="00E8577D">
        <w:rPr>
          <w:sz w:val="24"/>
        </w:rPr>
        <w:t xml:space="preserve"> </w:t>
      </w:r>
      <w:r w:rsidR="008D14D5">
        <w:rPr>
          <w:sz w:val="24"/>
        </w:rPr>
        <w:t>The Weather Channel</w:t>
      </w:r>
      <w:r w:rsidR="00FF1C7D">
        <w:rPr>
          <w:sz w:val="24"/>
        </w:rPr>
        <w:t xml:space="preserve"> had only just begun to report a potential winter storm. Tweet counts reached 172 on 9 January, but dipped to 93 on 10 January. Counts then rose quite dramatically</w:t>
      </w:r>
      <w:r w:rsidR="00935493">
        <w:rPr>
          <w:sz w:val="24"/>
        </w:rPr>
        <w:t>—by 850%—</w:t>
      </w:r>
      <w:r w:rsidR="0076739F">
        <w:rPr>
          <w:sz w:val="24"/>
        </w:rPr>
        <w:t xml:space="preserve">from 10 </w:t>
      </w:r>
      <w:r w:rsidR="00801E18">
        <w:rPr>
          <w:sz w:val="24"/>
        </w:rPr>
        <w:t xml:space="preserve">January </w:t>
      </w:r>
      <w:r w:rsidR="0076739F">
        <w:rPr>
          <w:sz w:val="24"/>
        </w:rPr>
        <w:t xml:space="preserve">(93 tweets) to 12 </w:t>
      </w:r>
      <w:r w:rsidR="00801E18">
        <w:rPr>
          <w:sz w:val="24"/>
        </w:rPr>
        <w:t xml:space="preserve">January </w:t>
      </w:r>
      <w:r w:rsidR="0076739F">
        <w:rPr>
          <w:sz w:val="24"/>
        </w:rPr>
        <w:t>(884 tweets).</w:t>
      </w:r>
      <w:r w:rsidR="00AB3428">
        <w:rPr>
          <w:sz w:val="24"/>
        </w:rPr>
        <w:t xml:space="preserve"> </w:t>
      </w:r>
      <w:r w:rsidR="00B125D7">
        <w:rPr>
          <w:sz w:val="24"/>
        </w:rPr>
        <w:t xml:space="preserve">WSG traversed through the Central Plains and Ohio River Valley on these days, and caused numerous flight cancelations </w:t>
      </w:r>
      <w:r w:rsidR="00B125D7">
        <w:rPr>
          <w:sz w:val="24"/>
        </w:rPr>
        <w:fldChar w:fldCharType="begin" w:fldLock="1"/>
      </w:r>
      <w:r w:rsidR="0088552C">
        <w:rPr>
          <w:sz w:val="24"/>
        </w:rPr>
        <w:instrText>ADDIN CSL_CITATION {"citationItems":[{"id":"ITEM-1","itemData":{"author":[{"dropping-particle":"","family":"Jackson","given":"Brian","non-dropping-particle":"","parse-names":false,"suffix":""}],"id":"ITEM-1","issued":{"date-parts":[["2019"]]},"title":"Central Rockies to Mid-Atlantic Winter Storm (11 - 14 January, 2019)","type":"report"},"uris":["http://www.mendeley.com/documents/?uuid=aa559bf3-47a6-3241-a96b-492da1eda784"]}],"mendeley":{"formattedCitation":"(Jackson, 2019)","plainTextFormattedCitation":"(Jackson, 2019)","previouslyFormattedCitation":"(Jackson, 2019)"},"properties":{"noteIndex":0},"schema":"https://github.com/citation-style-language/schema/raw/master/csl-citation.json"}</w:instrText>
      </w:r>
      <w:r w:rsidR="00B125D7">
        <w:rPr>
          <w:sz w:val="24"/>
        </w:rPr>
        <w:fldChar w:fldCharType="separate"/>
      </w:r>
      <w:r w:rsidR="00B125D7" w:rsidRPr="00B125D7">
        <w:rPr>
          <w:noProof/>
          <w:sz w:val="24"/>
        </w:rPr>
        <w:t>(Jackson, 2019)</w:t>
      </w:r>
      <w:r w:rsidR="00B125D7">
        <w:rPr>
          <w:sz w:val="24"/>
        </w:rPr>
        <w:fldChar w:fldCharType="end"/>
      </w:r>
      <w:r w:rsidR="00B125D7">
        <w:rPr>
          <w:sz w:val="24"/>
        </w:rPr>
        <w:t>.</w:t>
      </w:r>
      <w:r w:rsidR="00A5676F">
        <w:rPr>
          <w:sz w:val="24"/>
        </w:rPr>
        <w:t xml:space="preserve"> Tweet counts again rose between 12 and 13 January, but at a less steep slope than previously observed. These days, 12 and 13 January, saw the highest counts seen across any two-day period.</w:t>
      </w:r>
      <w:r w:rsidR="00BB1661">
        <w:rPr>
          <w:sz w:val="24"/>
        </w:rPr>
        <w:t xml:space="preserve"> </w:t>
      </w:r>
      <w:r w:rsidR="00992585">
        <w:rPr>
          <w:sz w:val="24"/>
        </w:rPr>
        <w:t>Figure 6</w:t>
      </w:r>
      <w:r w:rsidR="00BB1661">
        <w:rPr>
          <w:sz w:val="24"/>
        </w:rPr>
        <w:t xml:space="preserve"> shows a comparison of tweet locations during the for</w:t>
      </w:r>
      <w:r w:rsidR="00992585">
        <w:rPr>
          <w:sz w:val="24"/>
        </w:rPr>
        <w:t>ecast period before the event (6</w:t>
      </w:r>
      <w:r w:rsidR="00BB1661">
        <w:rPr>
          <w:sz w:val="24"/>
        </w:rPr>
        <w:t>a) versus midway t</w:t>
      </w:r>
      <w:r w:rsidR="00992585">
        <w:rPr>
          <w:sz w:val="24"/>
        </w:rPr>
        <w:t>hrough WSG (6</w:t>
      </w:r>
      <w:r w:rsidR="00BB1661">
        <w:rPr>
          <w:sz w:val="24"/>
        </w:rPr>
        <w:t>b).</w:t>
      </w:r>
      <w:r w:rsidR="00A5676F">
        <w:rPr>
          <w:sz w:val="24"/>
        </w:rPr>
        <w:t xml:space="preserve"> </w:t>
      </w:r>
      <w:r w:rsidR="004D6CA4">
        <w:rPr>
          <w:sz w:val="24"/>
        </w:rPr>
        <w:t xml:space="preserve">Tweet counts plummeted from 934 on 13 January to 296 on 14 January. </w:t>
      </w:r>
      <w:r w:rsidR="00071A8D">
        <w:rPr>
          <w:sz w:val="24"/>
        </w:rPr>
        <w:t>By this point in the storm’s track, WSG</w:t>
      </w:r>
      <w:r w:rsidR="00945F75">
        <w:rPr>
          <w:sz w:val="24"/>
        </w:rPr>
        <w:t xml:space="preserve"> had already passed peek intensity. The system was dissipating, and social media interest had already moved onto the next winter </w:t>
      </w:r>
      <w:r w:rsidR="00AF4B96">
        <w:rPr>
          <w:sz w:val="24"/>
        </w:rPr>
        <w:t>storm,</w:t>
      </w:r>
      <w:r w:rsidR="008D14D5">
        <w:rPr>
          <w:sz w:val="24"/>
        </w:rPr>
        <w:t xml:space="preserve"> as shown by a tweet saying,</w:t>
      </w:r>
      <w:r w:rsidR="00AF4B96">
        <w:rPr>
          <w:sz w:val="24"/>
        </w:rPr>
        <w:t xml:space="preserve"> </w:t>
      </w:r>
      <w:r w:rsidR="00AF4B96">
        <w:rPr>
          <w:i/>
          <w:sz w:val="24"/>
        </w:rPr>
        <w:t xml:space="preserve">“After the weekend’s #WinterStormGia another snowstorm is looking increasingly likely Friday [18 January 2019] -&gt; next weekend in the Plains, Midwest and Northeast…” </w:t>
      </w:r>
      <w:r w:rsidR="00AF4B96">
        <w:rPr>
          <w:sz w:val="24"/>
        </w:rPr>
        <w:t>(@weatherchannel, 2019b).</w:t>
      </w:r>
    </w:p>
    <w:p w14:paraId="0CBB1B9B" w14:textId="34F4FCC2" w:rsidR="00945F75" w:rsidRDefault="00F0065C" w:rsidP="002E2AAF">
      <w:pPr>
        <w:spacing w:line="480" w:lineRule="auto"/>
        <w:rPr>
          <w:sz w:val="24"/>
        </w:rPr>
      </w:pPr>
      <w:r>
        <w:rPr>
          <w:sz w:val="24"/>
        </w:rPr>
        <w:tab/>
        <w:t>The daily tweet frequency during the tornado-outbreak case study exhibited a different pattern (Figure 5b). Only 15 tweets were observed on 28 February—the lowest single-day total</w:t>
      </w:r>
    </w:p>
    <w:p w14:paraId="156DDA78" w14:textId="1634D83A" w:rsidR="00BE1E41" w:rsidRDefault="00CF4BF5" w:rsidP="00364F92">
      <w:pPr>
        <w:spacing w:line="480" w:lineRule="auto"/>
        <w:jc w:val="center"/>
        <w:rPr>
          <w:sz w:val="24"/>
        </w:rPr>
      </w:pPr>
      <w:r>
        <w:rPr>
          <w:noProof/>
        </w:rPr>
        <w:lastRenderedPageBreak/>
        <w:drawing>
          <wp:inline distT="0" distB="0" distL="0" distR="0" wp14:anchorId="208D96E6" wp14:editId="0816BA46">
            <wp:extent cx="5943600" cy="21799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179955"/>
                    </a:xfrm>
                    <a:prstGeom prst="rect">
                      <a:avLst/>
                    </a:prstGeom>
                  </pic:spPr>
                </pic:pic>
              </a:graphicData>
            </a:graphic>
          </wp:inline>
        </w:drawing>
      </w:r>
    </w:p>
    <w:p w14:paraId="3262F0AF" w14:textId="3E56FF41" w:rsidR="0018340E" w:rsidRDefault="005158F1" w:rsidP="0018340E">
      <w:pPr>
        <w:spacing w:line="480" w:lineRule="auto"/>
        <w:rPr>
          <w:sz w:val="24"/>
        </w:rPr>
      </w:pPr>
      <w:r>
        <w:rPr>
          <w:b/>
          <w:sz w:val="24"/>
        </w:rPr>
        <w:fldChar w:fldCharType="begin"/>
      </w:r>
      <w:r>
        <w:rPr>
          <w:b/>
          <w:sz w:val="24"/>
        </w:rPr>
        <w:instrText xml:space="preserve"> TC  "</w:instrText>
      </w:r>
      <w:bookmarkStart w:id="32" w:name="_Toc56898493"/>
      <w:r>
        <w:rPr>
          <w:b/>
          <w:sz w:val="24"/>
        </w:rPr>
        <w:instrText xml:space="preserve">Figure </w:instrText>
      </w:r>
      <w:r w:rsidR="004679B5">
        <w:rPr>
          <w:b/>
          <w:sz w:val="24"/>
        </w:rPr>
        <w:instrText>5</w:instrText>
      </w:r>
      <w:r w:rsidR="00CF5FDF">
        <w:rPr>
          <w:b/>
          <w:sz w:val="24"/>
        </w:rPr>
        <w:instrText>: Daily tweet counts</w:instrText>
      </w:r>
      <w:bookmarkEnd w:id="32"/>
      <w:r>
        <w:rPr>
          <w:b/>
          <w:sz w:val="24"/>
        </w:rPr>
        <w:instrText xml:space="preserve">" \f f \l 1 </w:instrText>
      </w:r>
      <w:r>
        <w:rPr>
          <w:b/>
          <w:sz w:val="24"/>
        </w:rPr>
        <w:fldChar w:fldCharType="end"/>
      </w:r>
      <w:r w:rsidR="004679B5">
        <w:rPr>
          <w:b/>
          <w:sz w:val="24"/>
        </w:rPr>
        <w:t>Figure 5</w:t>
      </w:r>
      <w:r w:rsidR="0018340E" w:rsidRPr="0018340E">
        <w:rPr>
          <w:b/>
          <w:sz w:val="24"/>
        </w:rPr>
        <w:t xml:space="preserve">: </w:t>
      </w:r>
      <w:r w:rsidR="00CF5FDF">
        <w:rPr>
          <w:sz w:val="24"/>
        </w:rPr>
        <w:t xml:space="preserve">Daily tweet counts. </w:t>
      </w:r>
      <w:r w:rsidR="00D3137A">
        <w:rPr>
          <w:sz w:val="24"/>
        </w:rPr>
        <w:t>Daily WSG (a) and tornado-</w:t>
      </w:r>
      <w:r w:rsidR="003A03F9">
        <w:rPr>
          <w:sz w:val="24"/>
        </w:rPr>
        <w:t>outbreak (b) tweet counts</w:t>
      </w:r>
      <w:r w:rsidR="009E5505">
        <w:rPr>
          <w:sz w:val="24"/>
        </w:rPr>
        <w:t>.</w:t>
      </w:r>
    </w:p>
    <w:p w14:paraId="6BDAE15C" w14:textId="77777777" w:rsidR="00C62E23" w:rsidRDefault="00C62E23" w:rsidP="0018340E">
      <w:pPr>
        <w:spacing w:line="480" w:lineRule="auto"/>
        <w:rPr>
          <w:sz w:val="24"/>
        </w:rPr>
      </w:pPr>
    </w:p>
    <w:p w14:paraId="6364FF50" w14:textId="77777777" w:rsidR="00F92E99" w:rsidRDefault="00F92E99" w:rsidP="00BE1E41">
      <w:pPr>
        <w:tabs>
          <w:tab w:val="left" w:pos="3315"/>
        </w:tabs>
        <w:rPr>
          <w:sz w:val="24"/>
        </w:rPr>
      </w:pPr>
    </w:p>
    <w:p w14:paraId="006E2EBD" w14:textId="77777777" w:rsidR="00F92E99" w:rsidRDefault="00F92E99" w:rsidP="00BE1E41">
      <w:pPr>
        <w:tabs>
          <w:tab w:val="left" w:pos="3315"/>
        </w:tabs>
        <w:rPr>
          <w:sz w:val="24"/>
        </w:rPr>
      </w:pPr>
    </w:p>
    <w:p w14:paraId="7058DF1E" w14:textId="450A6058" w:rsidR="00EA45F6" w:rsidRDefault="007D73C3" w:rsidP="002562A6">
      <w:pPr>
        <w:tabs>
          <w:tab w:val="left" w:pos="3315"/>
        </w:tabs>
        <w:jc w:val="center"/>
        <w:rPr>
          <w:b/>
          <w:sz w:val="24"/>
        </w:rPr>
      </w:pPr>
      <w:r>
        <w:rPr>
          <w:noProof/>
        </w:rPr>
        <w:drawing>
          <wp:inline distT="0" distB="0" distL="0" distR="0" wp14:anchorId="3A1EF413" wp14:editId="1916BB40">
            <wp:extent cx="5943600" cy="18713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871345"/>
                    </a:xfrm>
                    <a:prstGeom prst="rect">
                      <a:avLst/>
                    </a:prstGeom>
                  </pic:spPr>
                </pic:pic>
              </a:graphicData>
            </a:graphic>
          </wp:inline>
        </w:drawing>
      </w:r>
    </w:p>
    <w:p w14:paraId="1C747238" w14:textId="03069F72" w:rsidR="00A8702D" w:rsidRDefault="005158F1" w:rsidP="00925EDB">
      <w:pPr>
        <w:tabs>
          <w:tab w:val="left" w:pos="3315"/>
        </w:tabs>
        <w:spacing w:line="480" w:lineRule="auto"/>
        <w:rPr>
          <w:sz w:val="24"/>
        </w:rPr>
      </w:pPr>
      <w:r>
        <w:rPr>
          <w:b/>
          <w:sz w:val="24"/>
        </w:rPr>
        <w:fldChar w:fldCharType="begin"/>
      </w:r>
      <w:r>
        <w:rPr>
          <w:b/>
          <w:sz w:val="24"/>
        </w:rPr>
        <w:instrText xml:space="preserve"> TC  "</w:instrText>
      </w:r>
      <w:bookmarkStart w:id="33" w:name="_Toc56898494"/>
      <w:r>
        <w:rPr>
          <w:b/>
          <w:sz w:val="24"/>
        </w:rPr>
        <w:instrText xml:space="preserve">Figure </w:instrText>
      </w:r>
      <w:r w:rsidR="004679B5">
        <w:rPr>
          <w:b/>
          <w:sz w:val="24"/>
        </w:rPr>
        <w:instrText>6</w:instrText>
      </w:r>
      <w:r w:rsidR="00832692">
        <w:rPr>
          <w:b/>
          <w:sz w:val="24"/>
        </w:rPr>
        <w:instrText>: WSG tweets on two different days</w:instrText>
      </w:r>
      <w:bookmarkEnd w:id="33"/>
      <w:r>
        <w:rPr>
          <w:b/>
          <w:sz w:val="24"/>
        </w:rPr>
        <w:instrText xml:space="preserve">" \f f \l 1 </w:instrText>
      </w:r>
      <w:r>
        <w:rPr>
          <w:b/>
          <w:sz w:val="24"/>
        </w:rPr>
        <w:fldChar w:fldCharType="end"/>
      </w:r>
      <w:r w:rsidR="004679B5">
        <w:rPr>
          <w:b/>
          <w:sz w:val="24"/>
        </w:rPr>
        <w:t>Figure 6</w:t>
      </w:r>
      <w:r w:rsidR="00832692">
        <w:rPr>
          <w:b/>
          <w:sz w:val="24"/>
        </w:rPr>
        <w:t xml:space="preserve">: </w:t>
      </w:r>
      <w:r w:rsidR="00832692">
        <w:rPr>
          <w:sz w:val="24"/>
        </w:rPr>
        <w:t xml:space="preserve">WSG tweets on two different days. </w:t>
      </w:r>
      <w:r w:rsidR="00A8702D">
        <w:rPr>
          <w:sz w:val="24"/>
        </w:rPr>
        <w:t>WSG tweets, shown by blue dots, for 7 January 2019 (</w:t>
      </w:r>
      <w:r w:rsidR="00A1336C">
        <w:rPr>
          <w:sz w:val="24"/>
        </w:rPr>
        <w:t>a</w:t>
      </w:r>
      <w:r w:rsidR="00A8702D">
        <w:rPr>
          <w:sz w:val="24"/>
        </w:rPr>
        <w:t>) and 12 January (</w:t>
      </w:r>
      <w:r w:rsidR="00A1336C">
        <w:rPr>
          <w:sz w:val="24"/>
        </w:rPr>
        <w:t>b</w:t>
      </w:r>
      <w:r w:rsidR="00A8702D">
        <w:rPr>
          <w:sz w:val="24"/>
        </w:rPr>
        <w:t>). WSG snowfall was most widespread from 11 to 14 January 2019. There are noticeably more tweets on 12 January than 7 January 2019.</w:t>
      </w:r>
    </w:p>
    <w:p w14:paraId="4C520AA7" w14:textId="77777777" w:rsidR="000B7124" w:rsidRDefault="000B7124" w:rsidP="00925EDB">
      <w:pPr>
        <w:tabs>
          <w:tab w:val="left" w:pos="3315"/>
        </w:tabs>
        <w:spacing w:line="480" w:lineRule="auto"/>
        <w:rPr>
          <w:sz w:val="24"/>
        </w:rPr>
      </w:pPr>
    </w:p>
    <w:p w14:paraId="0B41E327" w14:textId="77777777" w:rsidR="000B7124" w:rsidRPr="00A8702D" w:rsidRDefault="000B7124" w:rsidP="00925EDB">
      <w:pPr>
        <w:tabs>
          <w:tab w:val="left" w:pos="3315"/>
        </w:tabs>
        <w:spacing w:line="480" w:lineRule="auto"/>
        <w:rPr>
          <w:sz w:val="24"/>
        </w:rPr>
      </w:pPr>
    </w:p>
    <w:p w14:paraId="72751456" w14:textId="6ABD09B7" w:rsidR="00F512CA" w:rsidRDefault="00176290" w:rsidP="00B467E8">
      <w:pPr>
        <w:spacing w:line="480" w:lineRule="auto"/>
        <w:rPr>
          <w:sz w:val="24"/>
        </w:rPr>
      </w:pPr>
      <w:r>
        <w:rPr>
          <w:sz w:val="24"/>
        </w:rPr>
        <w:lastRenderedPageBreak/>
        <w:t>seen across my entire thesis.</w:t>
      </w:r>
      <w:r w:rsidR="000673BC">
        <w:rPr>
          <w:sz w:val="24"/>
        </w:rPr>
        <w:t xml:space="preserve"> There was no pre-event dip in tweet counts for the tornado</w:t>
      </w:r>
      <w:r w:rsidR="00D3137A">
        <w:rPr>
          <w:sz w:val="24"/>
        </w:rPr>
        <w:t>-</w:t>
      </w:r>
      <w:r w:rsidR="000673BC">
        <w:rPr>
          <w:sz w:val="24"/>
        </w:rPr>
        <w:t>outbreak case study, as observed in WSG between 9 and 10 January.</w:t>
      </w:r>
      <w:r w:rsidR="00D80CF9">
        <w:rPr>
          <w:sz w:val="24"/>
        </w:rPr>
        <w:t xml:space="preserve"> </w:t>
      </w:r>
      <w:r w:rsidR="007D1C91">
        <w:rPr>
          <w:sz w:val="24"/>
        </w:rPr>
        <w:t xml:space="preserve">Tweet counts steadily rose between 1 March (20 tweets) and 2 March (30 tweets), as word of a possible tornado outbreak spread </w:t>
      </w:r>
      <w:r w:rsidR="00D94EE9">
        <w:rPr>
          <w:sz w:val="24"/>
        </w:rPr>
        <w:t>through news sources such as The Weather Channel</w:t>
      </w:r>
      <w:r w:rsidR="007D1C91">
        <w:rPr>
          <w:sz w:val="24"/>
        </w:rPr>
        <w:t xml:space="preserve">. </w:t>
      </w:r>
      <w:r w:rsidR="00992585">
        <w:rPr>
          <w:sz w:val="24"/>
        </w:rPr>
        <w:t>Figure 7</w:t>
      </w:r>
      <w:r w:rsidR="00D94EE9">
        <w:rPr>
          <w:sz w:val="24"/>
        </w:rPr>
        <w:t xml:space="preserve"> compares the location</w:t>
      </w:r>
      <w:r w:rsidR="00992585">
        <w:rPr>
          <w:sz w:val="24"/>
        </w:rPr>
        <w:t xml:space="preserve"> of tweets on 28 February (7</w:t>
      </w:r>
      <w:r w:rsidR="005F0C9E">
        <w:rPr>
          <w:sz w:val="24"/>
        </w:rPr>
        <w:t xml:space="preserve">a), </w:t>
      </w:r>
      <w:r w:rsidR="00D94EE9" w:rsidRPr="005F0C9E">
        <w:rPr>
          <w:sz w:val="24"/>
        </w:rPr>
        <w:t>when</w:t>
      </w:r>
      <w:r w:rsidR="005F0C9E">
        <w:rPr>
          <w:sz w:val="24"/>
        </w:rPr>
        <w:t xml:space="preserve"> Weather Underground first mentioned the tornado outbreak, versu</w:t>
      </w:r>
      <w:r w:rsidR="00992585">
        <w:rPr>
          <w:sz w:val="24"/>
        </w:rPr>
        <w:t>s a few days later on 1 March (7</w:t>
      </w:r>
      <w:r w:rsidR="005F0C9E">
        <w:rPr>
          <w:sz w:val="24"/>
        </w:rPr>
        <w:t xml:space="preserve">b). </w:t>
      </w:r>
      <w:r w:rsidR="005E094B">
        <w:rPr>
          <w:sz w:val="24"/>
        </w:rPr>
        <w:t xml:space="preserve">Tweet counts reached a maxima on 3 March </w:t>
      </w:r>
      <w:r w:rsidR="00D94EE9">
        <w:rPr>
          <w:sz w:val="24"/>
        </w:rPr>
        <w:t>(60 tweets). The Storm Prediction Center</w:t>
      </w:r>
      <w:r w:rsidR="001A6E64">
        <w:rPr>
          <w:sz w:val="24"/>
        </w:rPr>
        <w:t xml:space="preserve"> reported over 80 tornado</w:t>
      </w:r>
      <w:r w:rsidR="00DD1244">
        <w:rPr>
          <w:sz w:val="24"/>
        </w:rPr>
        <w:t>es on this day</w:t>
      </w:r>
      <w:r w:rsidR="001A6E64">
        <w:rPr>
          <w:sz w:val="24"/>
        </w:rPr>
        <w:t>.</w:t>
      </w:r>
      <w:r w:rsidR="004F0ACA">
        <w:rPr>
          <w:sz w:val="24"/>
        </w:rPr>
        <w:t xml:space="preserve"> Tweet counts dropped considerably from 3 March (60</w:t>
      </w:r>
      <w:r w:rsidR="00D80CF9">
        <w:rPr>
          <w:sz w:val="24"/>
        </w:rPr>
        <w:t xml:space="preserve"> tweets) to 4 March (41 tweets), but rose again </w:t>
      </w:r>
      <w:r w:rsidR="00C36E91">
        <w:rPr>
          <w:sz w:val="24"/>
        </w:rPr>
        <w:t xml:space="preserve">slightly </w:t>
      </w:r>
      <w:r w:rsidR="00D80CF9">
        <w:rPr>
          <w:sz w:val="24"/>
        </w:rPr>
        <w:t>on 5 March (46 tweets).</w:t>
      </w:r>
      <w:r w:rsidR="00F512CA">
        <w:rPr>
          <w:sz w:val="24"/>
        </w:rPr>
        <w:t xml:space="preserve"> WSG counts, conversely, never increased post-event</w:t>
      </w:r>
      <w:r w:rsidR="00C36E91">
        <w:rPr>
          <w:sz w:val="24"/>
        </w:rPr>
        <w:t xml:space="preserve"> and instead dropped dramatically</w:t>
      </w:r>
      <w:r w:rsidR="00F512CA">
        <w:rPr>
          <w:sz w:val="24"/>
        </w:rPr>
        <w:t>.</w:t>
      </w:r>
    </w:p>
    <w:p w14:paraId="109A1504" w14:textId="7BF38D6E" w:rsidR="007A6B22" w:rsidRPr="00B46832" w:rsidRDefault="00A66005" w:rsidP="00B46832">
      <w:pPr>
        <w:pStyle w:val="Heading2"/>
        <w:spacing w:line="480" w:lineRule="auto"/>
        <w:rPr>
          <w:rFonts w:asciiTheme="minorHAnsi" w:hAnsiTheme="minorHAnsi"/>
          <w:b/>
          <w:color w:val="auto"/>
          <w:sz w:val="24"/>
        </w:rPr>
      </w:pPr>
      <w:bookmarkStart w:id="34" w:name="_Toc56898389"/>
      <w:r>
        <w:rPr>
          <w:rFonts w:asciiTheme="minorHAnsi" w:hAnsiTheme="minorHAnsi"/>
          <w:b/>
          <w:color w:val="auto"/>
          <w:sz w:val="24"/>
        </w:rPr>
        <w:t xml:space="preserve">4.2 </w:t>
      </w:r>
      <w:r w:rsidR="007A6B22" w:rsidRPr="00B46832">
        <w:rPr>
          <w:rFonts w:asciiTheme="minorHAnsi" w:hAnsiTheme="minorHAnsi"/>
          <w:b/>
          <w:color w:val="auto"/>
          <w:sz w:val="24"/>
        </w:rPr>
        <w:t>Spatiotemporal diffusion regression analysis</w:t>
      </w:r>
      <w:bookmarkEnd w:id="34"/>
    </w:p>
    <w:p w14:paraId="7B288D5A" w14:textId="4D49C0B5" w:rsidR="0021661B" w:rsidRDefault="007A6B22" w:rsidP="00B46832">
      <w:pPr>
        <w:spacing w:line="480" w:lineRule="auto"/>
        <w:rPr>
          <w:sz w:val="24"/>
        </w:rPr>
      </w:pPr>
      <w:r>
        <w:rPr>
          <w:sz w:val="24"/>
        </w:rPr>
        <w:tab/>
      </w:r>
      <w:r w:rsidR="00890848">
        <w:rPr>
          <w:sz w:val="24"/>
        </w:rPr>
        <w:t xml:space="preserve">For my regression analysis, </w:t>
      </w:r>
      <w:r>
        <w:rPr>
          <w:sz w:val="24"/>
        </w:rPr>
        <w:t xml:space="preserve">NNI and time are the response (dependent) and explanatory (independent) variables, respectively. </w:t>
      </w:r>
      <w:r w:rsidR="00992585">
        <w:rPr>
          <w:sz w:val="24"/>
        </w:rPr>
        <w:t>Figure 8</w:t>
      </w:r>
      <w:r w:rsidR="00890848">
        <w:rPr>
          <w:sz w:val="24"/>
        </w:rPr>
        <w:t xml:space="preserve"> shows NNI plotted against elapsed time (in hours) </w:t>
      </w:r>
      <w:r w:rsidR="0021661B">
        <w:rPr>
          <w:sz w:val="24"/>
        </w:rPr>
        <w:t xml:space="preserve">since </w:t>
      </w:r>
      <w:r w:rsidR="00F65965">
        <w:rPr>
          <w:sz w:val="24"/>
        </w:rPr>
        <w:t xml:space="preserve">the </w:t>
      </w:r>
      <w:r w:rsidR="0021661B">
        <w:rPr>
          <w:sz w:val="24"/>
        </w:rPr>
        <w:t>first WSG tweet (</w:t>
      </w:r>
      <m:oMath>
        <m:r>
          <w:rPr>
            <w:rFonts w:ascii="Cambria Math" w:hAnsi="Cambria Math"/>
            <w:sz w:val="24"/>
          </w:rPr>
          <m:t>∆t</m:t>
        </m:r>
      </m:oMath>
      <w:r w:rsidR="0021661B">
        <w:rPr>
          <w:rFonts w:eastAsiaTheme="minorEastAsia"/>
          <w:sz w:val="24"/>
        </w:rPr>
        <w:t>)</w:t>
      </w:r>
      <w:r w:rsidR="00992585">
        <w:rPr>
          <w:sz w:val="24"/>
        </w:rPr>
        <w:t>. The purple line in Figure 8</w:t>
      </w:r>
      <w:r w:rsidR="0021661B">
        <w:rPr>
          <w:sz w:val="24"/>
        </w:rPr>
        <w:t xml:space="preserve">a shows a cubic regression fit for WSG, </w:t>
      </w:r>
      <w:r>
        <w:rPr>
          <w:sz w:val="24"/>
        </w:rPr>
        <w:t xml:space="preserve">which </w:t>
      </w:r>
      <w:r w:rsidR="006127A3">
        <w:rPr>
          <w:sz w:val="24"/>
        </w:rPr>
        <w:t xml:space="preserve">is modeled by Equation Two and </w:t>
      </w:r>
      <w:r>
        <w:rPr>
          <w:sz w:val="24"/>
        </w:rPr>
        <w:t>resulted in an R</w:t>
      </w:r>
      <w:r>
        <w:rPr>
          <w:sz w:val="24"/>
          <w:vertAlign w:val="superscript"/>
        </w:rPr>
        <w:t>2</w:t>
      </w:r>
      <w:r w:rsidR="006127A3">
        <w:rPr>
          <w:sz w:val="24"/>
        </w:rPr>
        <w:t xml:space="preserve"> value of 0.836.</w:t>
      </w:r>
    </w:p>
    <w:p w14:paraId="5E63CE26" w14:textId="77777777" w:rsidR="007A6B22" w:rsidRDefault="007A6B22" w:rsidP="007A6B22">
      <w:pPr>
        <w:spacing w:line="480" w:lineRule="auto"/>
        <w:jc w:val="center"/>
        <w:rPr>
          <w:rFonts w:eastAsiaTheme="minorEastAsia"/>
          <w:sz w:val="24"/>
        </w:rPr>
      </w:pPr>
      <m:oMathPara>
        <m:oMath>
          <m:r>
            <w:rPr>
              <w:rFonts w:ascii="Cambria Math" w:hAnsi="Cambria Math"/>
              <w:sz w:val="24"/>
            </w:rPr>
            <m:t>NNI=</m:t>
          </m:r>
          <m:d>
            <m:dPr>
              <m:ctrlPr>
                <w:rPr>
                  <w:rFonts w:ascii="Cambria Math" w:hAnsi="Cambria Math"/>
                  <w:i/>
                  <w:sz w:val="24"/>
                </w:rPr>
              </m:ctrlPr>
            </m:dPr>
            <m:e>
              <m:r>
                <w:rPr>
                  <w:rFonts w:ascii="Cambria Math" w:hAnsi="Cambria Math"/>
                  <w:sz w:val="24"/>
                </w:rPr>
                <m:t>4.85e-01</m:t>
              </m:r>
            </m:e>
          </m:d>
          <m:r>
            <w:rPr>
              <w:rFonts w:ascii="Cambria Math" w:hAnsi="Cambria Math"/>
              <w:sz w:val="24"/>
            </w:rPr>
            <m:t>-</m:t>
          </m:r>
          <m:d>
            <m:dPr>
              <m:ctrlPr>
                <w:rPr>
                  <w:rFonts w:ascii="Cambria Math" w:hAnsi="Cambria Math"/>
                  <w:i/>
                  <w:sz w:val="24"/>
                </w:rPr>
              </m:ctrlPr>
            </m:dPr>
            <m:e>
              <m:r>
                <w:rPr>
                  <w:rFonts w:ascii="Cambria Math" w:hAnsi="Cambria Math"/>
                  <w:sz w:val="24"/>
                </w:rPr>
                <m:t>5.13e-03</m:t>
              </m:r>
            </m:e>
          </m:d>
          <m:r>
            <w:rPr>
              <w:rFonts w:ascii="Cambria Math" w:hAnsi="Cambria Math"/>
              <w:sz w:val="24"/>
            </w:rPr>
            <m:t>∆t+</m:t>
          </m:r>
          <m:d>
            <m:dPr>
              <m:ctrlPr>
                <w:rPr>
                  <w:rFonts w:ascii="Cambria Math" w:hAnsi="Cambria Math"/>
                  <w:i/>
                  <w:sz w:val="24"/>
                </w:rPr>
              </m:ctrlPr>
            </m:dPr>
            <m:e>
              <m:r>
                <w:rPr>
                  <w:rFonts w:ascii="Cambria Math" w:hAnsi="Cambria Math"/>
                  <w:sz w:val="24"/>
                </w:rPr>
                <m:t>3.88e-05</m:t>
              </m:r>
            </m:e>
          </m:d>
          <m:r>
            <w:rPr>
              <w:rFonts w:ascii="Cambria Math" w:hAnsi="Cambria Math"/>
              <w:sz w:val="24"/>
            </w:rPr>
            <m:t>∆</m:t>
          </m:r>
          <m:sSup>
            <m:sSupPr>
              <m:ctrlPr>
                <w:rPr>
                  <w:rFonts w:ascii="Cambria Math" w:hAnsi="Cambria Math"/>
                  <w:i/>
                  <w:sz w:val="24"/>
                </w:rPr>
              </m:ctrlPr>
            </m:sSupPr>
            <m:e>
              <m:r>
                <w:rPr>
                  <w:rFonts w:ascii="Cambria Math" w:hAnsi="Cambria Math"/>
                  <w:sz w:val="24"/>
                </w:rPr>
                <m:t>t</m:t>
              </m:r>
            </m:e>
            <m:sup>
              <m:r>
                <w:rPr>
                  <w:rFonts w:ascii="Cambria Math" w:hAnsi="Cambria Math"/>
                  <w:sz w:val="24"/>
                </w:rPr>
                <m:t>2</m:t>
              </m:r>
            </m:sup>
          </m:sSup>
          <m:r>
            <w:rPr>
              <w:rFonts w:ascii="Cambria Math" w:hAnsi="Cambria Math"/>
              <w:sz w:val="24"/>
            </w:rPr>
            <m:t>-</m:t>
          </m:r>
          <m:d>
            <m:dPr>
              <m:ctrlPr>
                <w:rPr>
                  <w:rFonts w:ascii="Cambria Math" w:hAnsi="Cambria Math"/>
                  <w:i/>
                  <w:sz w:val="24"/>
                </w:rPr>
              </m:ctrlPr>
            </m:dPr>
            <m:e>
              <m:r>
                <w:rPr>
                  <w:rFonts w:ascii="Cambria Math" w:hAnsi="Cambria Math"/>
                  <w:sz w:val="24"/>
                </w:rPr>
                <m:t>1.11e-07</m:t>
              </m:r>
            </m:e>
          </m:d>
          <m:r>
            <w:rPr>
              <w:rFonts w:ascii="Cambria Math" w:hAnsi="Cambria Math"/>
              <w:sz w:val="24"/>
            </w:rPr>
            <m:t>∆</m:t>
          </m:r>
          <m:sSup>
            <m:sSupPr>
              <m:ctrlPr>
                <w:rPr>
                  <w:rFonts w:ascii="Cambria Math" w:hAnsi="Cambria Math"/>
                  <w:i/>
                  <w:sz w:val="24"/>
                </w:rPr>
              </m:ctrlPr>
            </m:sSupPr>
            <m:e>
              <m:r>
                <w:rPr>
                  <w:rFonts w:ascii="Cambria Math" w:hAnsi="Cambria Math"/>
                  <w:sz w:val="24"/>
                </w:rPr>
                <m:t>t</m:t>
              </m:r>
            </m:e>
            <m:sup>
              <m:r>
                <w:rPr>
                  <w:rFonts w:ascii="Cambria Math" w:hAnsi="Cambria Math"/>
                  <w:sz w:val="24"/>
                </w:rPr>
                <m:t>3</m:t>
              </m:r>
            </m:sup>
          </m:sSup>
          <m:r>
            <w:rPr>
              <w:rFonts w:ascii="Cambria Math" w:hAnsi="Cambria Math"/>
              <w:sz w:val="24"/>
            </w:rPr>
            <m:t>+ ε</m:t>
          </m:r>
        </m:oMath>
      </m:oMathPara>
    </w:p>
    <w:p w14:paraId="35E868D7" w14:textId="3F27DA9F" w:rsidR="007A6B22" w:rsidRDefault="0061453D" w:rsidP="007A6B22">
      <w:pPr>
        <w:spacing w:line="480" w:lineRule="auto"/>
        <w:jc w:val="center"/>
        <w:rPr>
          <w:rFonts w:eastAsiaTheme="minorEastAsia"/>
          <w:b/>
          <w:sz w:val="24"/>
        </w:rPr>
      </w:pPr>
      <w:r>
        <w:rPr>
          <w:rFonts w:eastAsiaTheme="minorEastAsia"/>
          <w:b/>
          <w:sz w:val="24"/>
        </w:rPr>
        <w:t xml:space="preserve">Equation </w:t>
      </w:r>
      <w:r w:rsidR="006127A3">
        <w:rPr>
          <w:rFonts w:eastAsiaTheme="minorEastAsia"/>
          <w:b/>
          <w:sz w:val="24"/>
        </w:rPr>
        <w:t>Two</w:t>
      </w:r>
    </w:p>
    <w:p w14:paraId="3FD5F986" w14:textId="0ED25AC1" w:rsidR="00F0065C" w:rsidRDefault="00F0065C" w:rsidP="00B467E8">
      <w:pPr>
        <w:spacing w:line="480" w:lineRule="auto"/>
        <w:rPr>
          <w:sz w:val="24"/>
        </w:rPr>
      </w:pPr>
      <w:r>
        <w:rPr>
          <w:sz w:val="24"/>
        </w:rPr>
        <w:tab/>
        <w:t>Similar to the approach of Lee et al. (2014), I compared R</w:t>
      </w:r>
      <w:r>
        <w:rPr>
          <w:sz w:val="24"/>
          <w:vertAlign w:val="superscript"/>
        </w:rPr>
        <w:t>2</w:t>
      </w:r>
      <w:r>
        <w:rPr>
          <w:sz w:val="24"/>
        </w:rPr>
        <w:t xml:space="preserve"> values across different regression model runs. The WSG case study was not well-modeled by inverse regression (Figure 8b), as the R</w:t>
      </w:r>
      <w:r>
        <w:rPr>
          <w:sz w:val="24"/>
          <w:vertAlign w:val="superscript"/>
        </w:rPr>
        <w:t>2</w:t>
      </w:r>
      <w:r>
        <w:rPr>
          <w:sz w:val="24"/>
        </w:rPr>
        <w:t xml:space="preserve"> value was lower at 0.459. Equation Three is the “line of best fit” for the WSG inverse regression model.</w:t>
      </w:r>
    </w:p>
    <w:p w14:paraId="4994E40F" w14:textId="285C34A4" w:rsidR="00DE2DE6" w:rsidRDefault="007D73C3" w:rsidP="007D73C3">
      <w:pPr>
        <w:jc w:val="center"/>
        <w:rPr>
          <w:b/>
          <w:sz w:val="24"/>
          <w:highlight w:val="yellow"/>
        </w:rPr>
      </w:pPr>
      <w:r>
        <w:rPr>
          <w:noProof/>
        </w:rPr>
        <w:lastRenderedPageBreak/>
        <w:drawing>
          <wp:inline distT="0" distB="0" distL="0" distR="0" wp14:anchorId="745C516A" wp14:editId="0BE1A7D7">
            <wp:extent cx="5943600" cy="21278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127885"/>
                    </a:xfrm>
                    <a:prstGeom prst="rect">
                      <a:avLst/>
                    </a:prstGeom>
                  </pic:spPr>
                </pic:pic>
              </a:graphicData>
            </a:graphic>
          </wp:inline>
        </w:drawing>
      </w:r>
    </w:p>
    <w:p w14:paraId="1F82CB48" w14:textId="5FE28672" w:rsidR="00775EC4" w:rsidRDefault="005158F1" w:rsidP="00B467E8">
      <w:pPr>
        <w:spacing w:line="480" w:lineRule="auto"/>
        <w:rPr>
          <w:sz w:val="24"/>
        </w:rPr>
      </w:pPr>
      <w:r>
        <w:rPr>
          <w:b/>
          <w:sz w:val="24"/>
        </w:rPr>
        <w:fldChar w:fldCharType="begin"/>
      </w:r>
      <w:r>
        <w:rPr>
          <w:b/>
          <w:sz w:val="24"/>
        </w:rPr>
        <w:instrText xml:space="preserve"> TC  "</w:instrText>
      </w:r>
      <w:bookmarkStart w:id="35" w:name="_Toc56898495"/>
      <w:r>
        <w:rPr>
          <w:b/>
          <w:sz w:val="24"/>
        </w:rPr>
        <w:instrText xml:space="preserve">Figure </w:instrText>
      </w:r>
      <w:r w:rsidR="004679B5">
        <w:rPr>
          <w:b/>
          <w:sz w:val="24"/>
        </w:rPr>
        <w:instrText>7</w:instrText>
      </w:r>
      <w:r w:rsidR="00832692">
        <w:rPr>
          <w:b/>
          <w:sz w:val="24"/>
        </w:rPr>
        <w:instrText>: Tornado outbreak tweets on two different days</w:instrText>
      </w:r>
      <w:bookmarkEnd w:id="35"/>
      <w:r>
        <w:rPr>
          <w:b/>
          <w:sz w:val="24"/>
        </w:rPr>
        <w:instrText xml:space="preserve">" \f f \l 1 </w:instrText>
      </w:r>
      <w:r>
        <w:rPr>
          <w:b/>
          <w:sz w:val="24"/>
        </w:rPr>
        <w:fldChar w:fldCharType="end"/>
      </w:r>
      <w:r w:rsidR="004679B5">
        <w:rPr>
          <w:b/>
          <w:sz w:val="24"/>
        </w:rPr>
        <w:t>Figure 7</w:t>
      </w:r>
      <w:r w:rsidR="00DE2DE6" w:rsidRPr="00DE2DE6">
        <w:rPr>
          <w:b/>
          <w:sz w:val="24"/>
        </w:rPr>
        <w:t>:</w:t>
      </w:r>
      <w:r w:rsidR="006A2B8E">
        <w:rPr>
          <w:sz w:val="24"/>
        </w:rPr>
        <w:t xml:space="preserve"> </w:t>
      </w:r>
      <w:r w:rsidR="00832692">
        <w:rPr>
          <w:sz w:val="24"/>
        </w:rPr>
        <w:t xml:space="preserve">Tornado-outbreak tweets on two different days. </w:t>
      </w:r>
      <w:r w:rsidR="006A2B8E">
        <w:rPr>
          <w:sz w:val="24"/>
        </w:rPr>
        <w:t>Tornado-</w:t>
      </w:r>
      <w:r w:rsidR="00DE2DE6">
        <w:rPr>
          <w:sz w:val="24"/>
        </w:rPr>
        <w:t>outbreak tweets, showed by blue dots, on 28 February 2019 (</w:t>
      </w:r>
      <w:r w:rsidR="00D95858">
        <w:rPr>
          <w:sz w:val="24"/>
        </w:rPr>
        <w:t>a</w:t>
      </w:r>
      <w:r w:rsidR="00DE2DE6">
        <w:rPr>
          <w:sz w:val="24"/>
        </w:rPr>
        <w:t>) versus 1 March 2019 (</w:t>
      </w:r>
      <w:r w:rsidR="00D95858">
        <w:rPr>
          <w:sz w:val="24"/>
        </w:rPr>
        <w:t>b</w:t>
      </w:r>
      <w:r w:rsidR="00DE2DE6">
        <w:rPr>
          <w:sz w:val="24"/>
        </w:rPr>
        <w:t xml:space="preserve">). Atmospheric conditions leading to the tornado outbreak started </w:t>
      </w:r>
      <w:r w:rsidR="005F1865">
        <w:rPr>
          <w:sz w:val="24"/>
        </w:rPr>
        <w:t>to form</w:t>
      </w:r>
      <w:r w:rsidR="00DE2DE6">
        <w:rPr>
          <w:sz w:val="24"/>
        </w:rPr>
        <w:t xml:space="preserve"> on 1 and 2 March 2019.</w:t>
      </w:r>
      <w:r w:rsidR="00324F95">
        <w:rPr>
          <w:sz w:val="24"/>
        </w:rPr>
        <w:t xml:space="preserve"> There are noticeably more tweets on 1 March than 28 February 2019.</w:t>
      </w:r>
    </w:p>
    <w:p w14:paraId="0606F535" w14:textId="77777777" w:rsidR="002E268A" w:rsidRDefault="002E268A" w:rsidP="00B467E8">
      <w:pPr>
        <w:spacing w:line="480" w:lineRule="auto"/>
        <w:rPr>
          <w:sz w:val="24"/>
        </w:rPr>
      </w:pPr>
    </w:p>
    <w:p w14:paraId="1C786203" w14:textId="77777777" w:rsidR="00F0065C" w:rsidRDefault="00F0065C" w:rsidP="00B467E8">
      <w:pPr>
        <w:spacing w:line="480" w:lineRule="auto"/>
        <w:rPr>
          <w:sz w:val="24"/>
        </w:rPr>
      </w:pPr>
    </w:p>
    <w:p w14:paraId="77BD4373" w14:textId="77777777" w:rsidR="00775EC4" w:rsidRDefault="00775EC4" w:rsidP="00775EC4">
      <w:pPr>
        <w:spacing w:line="480" w:lineRule="auto"/>
        <w:jc w:val="center"/>
        <w:rPr>
          <w:rFonts w:eastAsiaTheme="minorEastAsia"/>
          <w:sz w:val="24"/>
        </w:rPr>
      </w:pPr>
      <w:r>
        <w:rPr>
          <w:noProof/>
        </w:rPr>
        <w:drawing>
          <wp:inline distT="0" distB="0" distL="0" distR="0" wp14:anchorId="29126632" wp14:editId="41E75D16">
            <wp:extent cx="5943600" cy="18948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894840"/>
                    </a:xfrm>
                    <a:prstGeom prst="rect">
                      <a:avLst/>
                    </a:prstGeom>
                  </pic:spPr>
                </pic:pic>
              </a:graphicData>
            </a:graphic>
          </wp:inline>
        </w:drawing>
      </w:r>
    </w:p>
    <w:p w14:paraId="32D178C2" w14:textId="1478E3B3" w:rsidR="00775EC4" w:rsidRDefault="005158F1" w:rsidP="00775EC4">
      <w:pPr>
        <w:spacing w:line="480" w:lineRule="auto"/>
        <w:rPr>
          <w:rFonts w:eastAsiaTheme="minorEastAsia"/>
          <w:sz w:val="24"/>
        </w:rPr>
      </w:pPr>
      <w:r>
        <w:rPr>
          <w:b/>
          <w:sz w:val="24"/>
        </w:rPr>
        <w:fldChar w:fldCharType="begin"/>
      </w:r>
      <w:r>
        <w:rPr>
          <w:b/>
          <w:sz w:val="24"/>
        </w:rPr>
        <w:instrText xml:space="preserve"> TC  "</w:instrText>
      </w:r>
      <w:bookmarkStart w:id="36" w:name="_Toc56898496"/>
      <w:r>
        <w:rPr>
          <w:b/>
          <w:sz w:val="24"/>
        </w:rPr>
        <w:instrText xml:space="preserve">Figure </w:instrText>
      </w:r>
      <w:r w:rsidR="004679B5">
        <w:rPr>
          <w:b/>
          <w:sz w:val="24"/>
        </w:rPr>
        <w:instrText>8</w:instrText>
      </w:r>
      <w:r w:rsidR="002538D9">
        <w:rPr>
          <w:b/>
          <w:sz w:val="24"/>
        </w:rPr>
        <w:instrText>: WSG regression analysis</w:instrText>
      </w:r>
      <w:bookmarkEnd w:id="36"/>
      <w:r>
        <w:rPr>
          <w:b/>
          <w:sz w:val="24"/>
        </w:rPr>
        <w:instrText xml:space="preserve">" \f f \l 1 </w:instrText>
      </w:r>
      <w:r>
        <w:rPr>
          <w:b/>
          <w:sz w:val="24"/>
        </w:rPr>
        <w:fldChar w:fldCharType="end"/>
      </w:r>
      <w:r w:rsidR="004679B5">
        <w:rPr>
          <w:rFonts w:eastAsiaTheme="minorEastAsia"/>
          <w:b/>
          <w:sz w:val="24"/>
        </w:rPr>
        <w:t>Figure 8</w:t>
      </w:r>
      <w:r w:rsidR="00775EC4">
        <w:rPr>
          <w:rFonts w:eastAsiaTheme="minorEastAsia"/>
          <w:b/>
          <w:sz w:val="24"/>
        </w:rPr>
        <w:t xml:space="preserve">: </w:t>
      </w:r>
      <w:r w:rsidR="002538D9">
        <w:rPr>
          <w:rFonts w:eastAsiaTheme="minorEastAsia"/>
          <w:sz w:val="24"/>
        </w:rPr>
        <w:t xml:space="preserve">WSG regression analysis. </w:t>
      </w:r>
      <w:r w:rsidR="00775EC4">
        <w:rPr>
          <w:rFonts w:eastAsiaTheme="minorEastAsia"/>
          <w:sz w:val="24"/>
        </w:rPr>
        <w:t>NNI of WSG tweets (points) versus elapsed time. Purple line models cubic regression (a) and inverse regression (b).</w:t>
      </w:r>
    </w:p>
    <w:p w14:paraId="7B6562F9" w14:textId="187B4EBA" w:rsidR="006E6E2C" w:rsidRPr="00F0065C" w:rsidRDefault="00DE2DE6" w:rsidP="00B467E8">
      <w:pPr>
        <w:spacing w:line="480" w:lineRule="auto"/>
        <w:rPr>
          <w:b/>
          <w:sz w:val="24"/>
          <w:highlight w:val="yellow"/>
        </w:rPr>
      </w:pPr>
      <w:r>
        <w:rPr>
          <w:b/>
          <w:sz w:val="24"/>
          <w:highlight w:val="yellow"/>
        </w:rPr>
        <w:br w:type="page"/>
      </w:r>
    </w:p>
    <w:p w14:paraId="7B92F140" w14:textId="77777777" w:rsidR="00DD1244" w:rsidRDefault="007D3483" w:rsidP="00DD1244">
      <w:pPr>
        <w:spacing w:line="480" w:lineRule="auto"/>
        <w:jc w:val="center"/>
        <w:rPr>
          <w:rFonts w:eastAsiaTheme="minorEastAsia"/>
          <w:sz w:val="24"/>
        </w:rPr>
      </w:pPr>
      <m:oMathPara>
        <m:oMath>
          <m:r>
            <w:rPr>
              <w:rFonts w:ascii="Cambria Math" w:hAnsi="Cambria Math"/>
              <w:sz w:val="24"/>
            </w:rPr>
            <w:lastRenderedPageBreak/>
            <m:t>NNI=</m:t>
          </m:r>
          <m:d>
            <m:dPr>
              <m:ctrlPr>
                <w:rPr>
                  <w:rFonts w:ascii="Cambria Math" w:hAnsi="Cambria Math"/>
                  <w:i/>
                  <w:sz w:val="24"/>
                </w:rPr>
              </m:ctrlPr>
            </m:dPr>
            <m:e>
              <m:r>
                <w:rPr>
                  <w:rFonts w:ascii="Cambria Math" w:hAnsi="Cambria Math"/>
                  <w:sz w:val="24"/>
                </w:rPr>
                <m:t>1.97e-01</m:t>
              </m:r>
            </m:e>
          </m:d>
          <m:r>
            <w:rPr>
              <w:rFonts w:ascii="Cambria Math" w:hAnsi="Cambria Math"/>
              <w:sz w:val="24"/>
            </w:rPr>
            <m:t>+(3.13)</m:t>
          </m:r>
          <m:f>
            <m:fPr>
              <m:ctrlPr>
                <w:rPr>
                  <w:rFonts w:ascii="Cambria Math" w:hAnsi="Cambria Math"/>
                  <w:i/>
                  <w:sz w:val="24"/>
                </w:rPr>
              </m:ctrlPr>
            </m:fPr>
            <m:num>
              <m:r>
                <w:rPr>
                  <w:rFonts w:ascii="Cambria Math" w:hAnsi="Cambria Math"/>
                  <w:sz w:val="24"/>
                </w:rPr>
                <m:t>1</m:t>
              </m:r>
            </m:num>
            <m:den>
              <m:r>
                <m:rPr>
                  <m:sty m:val="p"/>
                </m:rPr>
                <w:rPr>
                  <w:rFonts w:ascii="Cambria Math" w:hAnsi="Cambria Math"/>
                  <w:sz w:val="24"/>
                </w:rPr>
                <m:t>Δ</m:t>
              </m:r>
              <m:r>
                <w:rPr>
                  <w:rFonts w:ascii="Cambria Math" w:hAnsi="Cambria Math"/>
                  <w:sz w:val="24"/>
                </w:rPr>
                <m:t>t</m:t>
              </m:r>
            </m:den>
          </m:f>
          <m:r>
            <w:rPr>
              <w:rFonts w:ascii="Cambria Math" w:hAnsi="Cambria Math"/>
              <w:sz w:val="24"/>
            </w:rPr>
            <m:t>+ε</m:t>
          </m:r>
        </m:oMath>
      </m:oMathPara>
    </w:p>
    <w:p w14:paraId="4F3E1BC3" w14:textId="370588D2" w:rsidR="007D3483" w:rsidRDefault="006127A3" w:rsidP="00DD1244">
      <w:pPr>
        <w:spacing w:line="480" w:lineRule="auto"/>
        <w:jc w:val="center"/>
        <w:rPr>
          <w:rFonts w:eastAsiaTheme="minorEastAsia"/>
          <w:b/>
          <w:sz w:val="24"/>
        </w:rPr>
      </w:pPr>
      <w:r>
        <w:rPr>
          <w:rFonts w:eastAsiaTheme="minorEastAsia"/>
          <w:b/>
          <w:sz w:val="24"/>
        </w:rPr>
        <w:t>Equation Three</w:t>
      </w:r>
    </w:p>
    <w:p w14:paraId="1CBBD6E4" w14:textId="257BBD82" w:rsidR="006529C9" w:rsidRDefault="006529C9" w:rsidP="006529C9">
      <w:pPr>
        <w:spacing w:line="480" w:lineRule="auto"/>
        <w:rPr>
          <w:rFonts w:eastAsiaTheme="minorEastAsia"/>
          <w:sz w:val="24"/>
        </w:rPr>
      </w:pPr>
      <w:r>
        <w:rPr>
          <w:rFonts w:eastAsiaTheme="minorEastAsia"/>
          <w:sz w:val="24"/>
        </w:rPr>
        <w:tab/>
        <w:t xml:space="preserve">Cubic and inverse regression were not </w:t>
      </w:r>
      <w:r w:rsidR="00D3137A">
        <w:rPr>
          <w:rFonts w:eastAsiaTheme="minorEastAsia"/>
          <w:sz w:val="24"/>
        </w:rPr>
        <w:t>suitable models for the tornado-</w:t>
      </w:r>
      <w:r>
        <w:rPr>
          <w:rFonts w:eastAsiaTheme="minorEastAsia"/>
          <w:sz w:val="24"/>
        </w:rPr>
        <w:t>outbreak case study. The cubic model, for instance, had a R</w:t>
      </w:r>
      <w:r>
        <w:rPr>
          <w:rFonts w:eastAsiaTheme="minorEastAsia"/>
          <w:sz w:val="24"/>
          <w:vertAlign w:val="superscript"/>
        </w:rPr>
        <w:t>2</w:t>
      </w:r>
      <w:r>
        <w:rPr>
          <w:rFonts w:eastAsiaTheme="minorEastAsia"/>
          <w:sz w:val="24"/>
        </w:rPr>
        <w:t xml:space="preserve"> value of 0.159. The purple line, seen in </w:t>
      </w:r>
      <w:r w:rsidRPr="00D3137A">
        <w:rPr>
          <w:rFonts w:eastAsiaTheme="minorEastAsia"/>
          <w:sz w:val="24"/>
        </w:rPr>
        <w:t xml:space="preserve">Figure </w:t>
      </w:r>
      <w:r w:rsidR="00966A20">
        <w:rPr>
          <w:rFonts w:eastAsiaTheme="minorEastAsia"/>
          <w:sz w:val="24"/>
        </w:rPr>
        <w:t>9</w:t>
      </w:r>
      <w:r w:rsidR="00D54DDE" w:rsidRPr="00D3137A">
        <w:rPr>
          <w:rFonts w:eastAsiaTheme="minorEastAsia"/>
          <w:sz w:val="24"/>
        </w:rPr>
        <w:t>a</w:t>
      </w:r>
      <w:r>
        <w:rPr>
          <w:rFonts w:eastAsiaTheme="minorEastAsia"/>
          <w:sz w:val="24"/>
        </w:rPr>
        <w:t>, poorly fits the data. This lack of fit is especially evident between hours 0 and 25, along the x axis. Data are widely scattered both above and below the purple “line of best fit</w:t>
      </w:r>
      <w:r w:rsidR="009068B3">
        <w:rPr>
          <w:rFonts w:eastAsiaTheme="minorEastAsia"/>
          <w:sz w:val="24"/>
        </w:rPr>
        <w:t>,</w:t>
      </w:r>
      <w:r>
        <w:rPr>
          <w:rFonts w:eastAsiaTheme="minorEastAsia"/>
          <w:sz w:val="24"/>
        </w:rPr>
        <w:t>” which is modeled by the following equation:</w:t>
      </w:r>
    </w:p>
    <w:p w14:paraId="6D2FB481" w14:textId="77777777" w:rsidR="007A6B22" w:rsidRPr="00DD1244" w:rsidRDefault="007A6B22" w:rsidP="007A6B22">
      <w:pPr>
        <w:spacing w:line="480" w:lineRule="auto"/>
        <w:rPr>
          <w:rFonts w:eastAsiaTheme="minorEastAsia"/>
          <w:sz w:val="24"/>
        </w:rPr>
      </w:pPr>
      <m:oMathPara>
        <m:oMath>
          <m:r>
            <w:rPr>
              <w:rFonts w:ascii="Cambria Math" w:eastAsiaTheme="minorEastAsia" w:hAnsi="Cambria Math"/>
              <w:sz w:val="24"/>
            </w:rPr>
            <m:t>NNI=</m:t>
          </m:r>
          <m:d>
            <m:dPr>
              <m:ctrlPr>
                <w:rPr>
                  <w:rFonts w:ascii="Cambria Math" w:eastAsiaTheme="minorEastAsia" w:hAnsi="Cambria Math"/>
                  <w:i/>
                  <w:sz w:val="24"/>
                </w:rPr>
              </m:ctrlPr>
            </m:dPr>
            <m:e>
              <m:r>
                <w:rPr>
                  <w:rFonts w:ascii="Cambria Math" w:eastAsiaTheme="minorEastAsia" w:hAnsi="Cambria Math"/>
                  <w:sz w:val="24"/>
                </w:rPr>
                <m:t>5.13e-01</m:t>
              </m:r>
            </m:e>
          </m:d>
          <m:r>
            <w:rPr>
              <w:rFonts w:ascii="Cambria Math" w:eastAsiaTheme="minorEastAsia" w:hAnsi="Cambria Math"/>
              <w:sz w:val="24"/>
            </w:rPr>
            <m:t>-</m:t>
          </m:r>
          <m:d>
            <m:dPr>
              <m:ctrlPr>
                <w:rPr>
                  <w:rFonts w:ascii="Cambria Math" w:eastAsiaTheme="minorEastAsia" w:hAnsi="Cambria Math"/>
                  <w:i/>
                  <w:sz w:val="24"/>
                </w:rPr>
              </m:ctrlPr>
            </m:dPr>
            <m:e>
              <m:r>
                <w:rPr>
                  <w:rFonts w:ascii="Cambria Math" w:eastAsiaTheme="minorEastAsia" w:hAnsi="Cambria Math"/>
                  <w:sz w:val="24"/>
                </w:rPr>
                <m:t>2.90e-04</m:t>
              </m:r>
            </m:e>
          </m:d>
          <m:r>
            <m:rPr>
              <m:sty m:val="p"/>
            </m:rPr>
            <w:rPr>
              <w:rFonts w:ascii="Cambria Math" w:hAnsi="Cambria Math"/>
              <w:sz w:val="24"/>
            </w:rPr>
            <m:t>Δ</m:t>
          </m:r>
          <m:r>
            <w:rPr>
              <w:rFonts w:ascii="Cambria Math" w:hAnsi="Cambria Math"/>
              <w:sz w:val="24"/>
            </w:rPr>
            <m:t>t-</m:t>
          </m:r>
          <m:d>
            <m:dPr>
              <m:ctrlPr>
                <w:rPr>
                  <w:rFonts w:ascii="Cambria Math" w:hAnsi="Cambria Math"/>
                  <w:i/>
                  <w:sz w:val="24"/>
                </w:rPr>
              </m:ctrlPr>
            </m:dPr>
            <m:e>
              <m:r>
                <w:rPr>
                  <w:rFonts w:ascii="Cambria Math" w:hAnsi="Cambria Math"/>
                  <w:sz w:val="24"/>
                </w:rPr>
                <m:t>2.47e-05</m:t>
              </m:r>
            </m:e>
          </m:d>
          <m:r>
            <m:rPr>
              <m:sty m:val="p"/>
            </m:rPr>
            <w:rPr>
              <w:rFonts w:ascii="Cambria Math" w:hAnsi="Cambria Math"/>
              <w:sz w:val="24"/>
            </w:rPr>
            <m:t>Δ</m:t>
          </m:r>
          <m:sSup>
            <m:sSupPr>
              <m:ctrlPr>
                <w:rPr>
                  <w:rFonts w:ascii="Cambria Math" w:hAnsi="Cambria Math"/>
                  <w:i/>
                  <w:sz w:val="24"/>
                </w:rPr>
              </m:ctrlPr>
            </m:sSupPr>
            <m:e>
              <m:r>
                <w:rPr>
                  <w:rFonts w:ascii="Cambria Math" w:hAnsi="Cambria Math"/>
                  <w:sz w:val="24"/>
                </w:rPr>
                <m:t>t</m:t>
              </m:r>
            </m:e>
            <m:sup>
              <m:r>
                <w:rPr>
                  <w:rFonts w:ascii="Cambria Math" w:hAnsi="Cambria Math"/>
                  <w:sz w:val="24"/>
                </w:rPr>
                <m:t>2</m:t>
              </m:r>
            </m:sup>
          </m:sSup>
          <m:r>
            <w:rPr>
              <w:rFonts w:ascii="Cambria Math" w:hAnsi="Cambria Math"/>
              <w:sz w:val="24"/>
            </w:rPr>
            <m:t>+</m:t>
          </m:r>
          <m:d>
            <m:dPr>
              <m:ctrlPr>
                <w:rPr>
                  <w:rFonts w:ascii="Cambria Math" w:hAnsi="Cambria Math"/>
                  <w:i/>
                  <w:sz w:val="24"/>
                </w:rPr>
              </m:ctrlPr>
            </m:dPr>
            <m:e>
              <m:r>
                <w:rPr>
                  <w:rFonts w:ascii="Cambria Math" w:hAnsi="Cambria Math"/>
                  <w:sz w:val="24"/>
                </w:rPr>
                <m:t>1.49e-07</m:t>
              </m:r>
            </m:e>
          </m:d>
          <m:r>
            <m:rPr>
              <m:sty m:val="p"/>
            </m:rPr>
            <w:rPr>
              <w:rFonts w:ascii="Cambria Math" w:hAnsi="Cambria Math"/>
              <w:sz w:val="24"/>
            </w:rPr>
            <m:t>Δ</m:t>
          </m:r>
          <m:sSup>
            <m:sSupPr>
              <m:ctrlPr>
                <w:rPr>
                  <w:rFonts w:ascii="Cambria Math" w:hAnsi="Cambria Math"/>
                  <w:i/>
                  <w:sz w:val="24"/>
                </w:rPr>
              </m:ctrlPr>
            </m:sSupPr>
            <m:e>
              <m:r>
                <w:rPr>
                  <w:rFonts w:ascii="Cambria Math" w:hAnsi="Cambria Math"/>
                  <w:sz w:val="24"/>
                </w:rPr>
                <m:t>t</m:t>
              </m:r>
            </m:e>
            <m:sup>
              <m:r>
                <w:rPr>
                  <w:rFonts w:ascii="Cambria Math" w:hAnsi="Cambria Math"/>
                  <w:sz w:val="24"/>
                </w:rPr>
                <m:t>3</m:t>
              </m:r>
            </m:sup>
          </m:sSup>
          <m:r>
            <w:rPr>
              <w:rFonts w:ascii="Cambria Math" w:hAnsi="Cambria Math"/>
              <w:sz w:val="24"/>
            </w:rPr>
            <m:t>+ ε</m:t>
          </m:r>
        </m:oMath>
      </m:oMathPara>
    </w:p>
    <w:p w14:paraId="5A2CA43C" w14:textId="26F881A6" w:rsidR="007A6B22" w:rsidRPr="00DD1244" w:rsidRDefault="00D54DDE" w:rsidP="007A6B22">
      <w:pPr>
        <w:spacing w:line="480" w:lineRule="auto"/>
        <w:jc w:val="center"/>
        <w:rPr>
          <w:rFonts w:eastAsiaTheme="minorEastAsia"/>
          <w:b/>
          <w:sz w:val="24"/>
        </w:rPr>
      </w:pPr>
      <w:r>
        <w:rPr>
          <w:rFonts w:eastAsiaTheme="minorEastAsia"/>
          <w:b/>
          <w:sz w:val="24"/>
        </w:rPr>
        <w:t>Equation Four</w:t>
      </w:r>
    </w:p>
    <w:p w14:paraId="7DA576DF" w14:textId="0C92D592" w:rsidR="007A6B22" w:rsidRDefault="007A6B22" w:rsidP="007A6B22">
      <w:pPr>
        <w:spacing w:line="480" w:lineRule="auto"/>
        <w:rPr>
          <w:rFonts w:eastAsiaTheme="minorEastAsia"/>
          <w:sz w:val="24"/>
        </w:rPr>
      </w:pPr>
      <w:r>
        <w:rPr>
          <w:rFonts w:eastAsiaTheme="minorEastAsia"/>
          <w:sz w:val="24"/>
        </w:rPr>
        <w:t>The inverse regression model performed worse (R</w:t>
      </w:r>
      <w:r>
        <w:rPr>
          <w:rFonts w:eastAsiaTheme="minorEastAsia"/>
          <w:sz w:val="24"/>
          <w:vertAlign w:val="superscript"/>
        </w:rPr>
        <w:t>2</w:t>
      </w:r>
      <w:r>
        <w:rPr>
          <w:rFonts w:eastAsiaTheme="minorEastAsia"/>
          <w:sz w:val="24"/>
        </w:rPr>
        <w:t xml:space="preserve"> value 0.123) than the cubic model</w:t>
      </w:r>
      <w:r w:rsidR="00966A20">
        <w:rPr>
          <w:rFonts w:eastAsiaTheme="minorEastAsia"/>
          <w:sz w:val="24"/>
        </w:rPr>
        <w:t>, as seen in Figure 9</w:t>
      </w:r>
      <w:r w:rsidR="00D54DDE">
        <w:rPr>
          <w:rFonts w:eastAsiaTheme="minorEastAsia"/>
          <w:sz w:val="24"/>
        </w:rPr>
        <w:t>b</w:t>
      </w:r>
      <w:r>
        <w:rPr>
          <w:rFonts w:eastAsiaTheme="minorEastAsia"/>
          <w:sz w:val="24"/>
        </w:rPr>
        <w:t xml:space="preserve">. </w:t>
      </w:r>
      <w:r w:rsidR="00D54DDE">
        <w:rPr>
          <w:rFonts w:eastAsiaTheme="minorEastAsia"/>
          <w:sz w:val="24"/>
        </w:rPr>
        <w:t>Equation five</w:t>
      </w:r>
      <w:r w:rsidR="00BA539B">
        <w:rPr>
          <w:rFonts w:eastAsiaTheme="minorEastAsia"/>
          <w:sz w:val="24"/>
        </w:rPr>
        <w:t xml:space="preserve"> produces the </w:t>
      </w:r>
      <w:r>
        <w:rPr>
          <w:rFonts w:eastAsiaTheme="minorEastAsia"/>
          <w:sz w:val="24"/>
        </w:rPr>
        <w:t>“line of best fit” for the inverse regression model:</w:t>
      </w:r>
    </w:p>
    <w:p w14:paraId="4FCE4A7D" w14:textId="77777777" w:rsidR="007A6B22" w:rsidRPr="00DD1244" w:rsidRDefault="007A6B22" w:rsidP="007A6B22">
      <w:pPr>
        <w:spacing w:line="480" w:lineRule="auto"/>
        <w:rPr>
          <w:rFonts w:eastAsiaTheme="minorEastAsia"/>
          <w:sz w:val="24"/>
        </w:rPr>
      </w:pPr>
      <m:oMathPara>
        <m:oMath>
          <m:r>
            <w:rPr>
              <w:rFonts w:ascii="Cambria Math" w:eastAsiaTheme="minorEastAsia" w:hAnsi="Cambria Math"/>
              <w:sz w:val="24"/>
            </w:rPr>
            <m:t>NNI=</m:t>
          </m:r>
          <m:d>
            <m:dPr>
              <m:ctrlPr>
                <w:rPr>
                  <w:rFonts w:ascii="Cambria Math" w:eastAsiaTheme="minorEastAsia" w:hAnsi="Cambria Math"/>
                  <w:i/>
                  <w:sz w:val="24"/>
                </w:rPr>
              </m:ctrlPr>
            </m:dPr>
            <m:e>
              <m:r>
                <w:rPr>
                  <w:rFonts w:ascii="Cambria Math" w:eastAsiaTheme="minorEastAsia" w:hAnsi="Cambria Math"/>
                  <w:sz w:val="24"/>
                </w:rPr>
                <m:t>3.89e-01</m:t>
              </m:r>
            </m:e>
          </m:d>
          <m:r>
            <w:rPr>
              <w:rFonts w:ascii="Cambria Math" w:eastAsiaTheme="minorEastAsia" w:hAnsi="Cambria Math"/>
              <w:sz w:val="24"/>
            </w:rPr>
            <m:t>+</m:t>
          </m:r>
          <m:d>
            <m:dPr>
              <m:ctrlPr>
                <w:rPr>
                  <w:rFonts w:ascii="Cambria Math" w:eastAsiaTheme="minorEastAsia" w:hAnsi="Cambria Math"/>
                  <w:i/>
                  <w:sz w:val="24"/>
                </w:rPr>
              </m:ctrlPr>
            </m:dPr>
            <m:e>
              <m:r>
                <w:rPr>
                  <w:rFonts w:ascii="Cambria Math" w:eastAsiaTheme="minorEastAsia" w:hAnsi="Cambria Math"/>
                  <w:sz w:val="24"/>
                </w:rPr>
                <m:t>1.62</m:t>
              </m:r>
            </m:e>
          </m:d>
          <m:f>
            <m:fPr>
              <m:ctrlPr>
                <w:rPr>
                  <w:rFonts w:ascii="Cambria Math" w:eastAsiaTheme="minorEastAsia" w:hAnsi="Cambria Math"/>
                  <w:i/>
                  <w:sz w:val="24"/>
                </w:rPr>
              </m:ctrlPr>
            </m:fPr>
            <m:num>
              <m:r>
                <w:rPr>
                  <w:rFonts w:ascii="Cambria Math" w:eastAsiaTheme="minorEastAsia" w:hAnsi="Cambria Math"/>
                  <w:sz w:val="24"/>
                </w:rPr>
                <m:t>1</m:t>
              </m:r>
            </m:num>
            <m:den>
              <m:r>
                <m:rPr>
                  <m:sty m:val="p"/>
                </m:rPr>
                <w:rPr>
                  <w:rFonts w:ascii="Cambria Math" w:hAnsi="Cambria Math"/>
                  <w:sz w:val="24"/>
                </w:rPr>
                <m:t>Δ</m:t>
              </m:r>
              <m:r>
                <w:rPr>
                  <w:rFonts w:ascii="Cambria Math" w:hAnsi="Cambria Math"/>
                  <w:sz w:val="24"/>
                </w:rPr>
                <m:t>t</m:t>
              </m:r>
            </m:den>
          </m:f>
          <m:r>
            <w:rPr>
              <w:rFonts w:ascii="Cambria Math" w:eastAsiaTheme="minorEastAsia" w:hAnsi="Cambria Math"/>
              <w:sz w:val="24"/>
            </w:rPr>
            <m:t>+</m:t>
          </m:r>
          <m:r>
            <w:rPr>
              <w:rFonts w:ascii="Cambria Math" w:hAnsi="Cambria Math"/>
              <w:sz w:val="24"/>
            </w:rPr>
            <m:t>ε</m:t>
          </m:r>
        </m:oMath>
      </m:oMathPara>
    </w:p>
    <w:p w14:paraId="380C7274" w14:textId="083F9B04" w:rsidR="007A6B22" w:rsidRDefault="00D54DDE" w:rsidP="007A6B22">
      <w:pPr>
        <w:spacing w:line="480" w:lineRule="auto"/>
        <w:jc w:val="center"/>
        <w:rPr>
          <w:rFonts w:eastAsiaTheme="minorEastAsia"/>
          <w:b/>
          <w:sz w:val="24"/>
        </w:rPr>
      </w:pPr>
      <w:r>
        <w:rPr>
          <w:rFonts w:eastAsiaTheme="minorEastAsia"/>
          <w:b/>
          <w:sz w:val="24"/>
        </w:rPr>
        <w:t>Equation Five</w:t>
      </w:r>
    </w:p>
    <w:p w14:paraId="740CBC08" w14:textId="285ADCF9" w:rsidR="004521C1" w:rsidRPr="000C0A2E" w:rsidRDefault="004521C1" w:rsidP="004521C1">
      <w:pPr>
        <w:pStyle w:val="Heading2"/>
        <w:spacing w:line="480" w:lineRule="auto"/>
        <w:rPr>
          <w:rFonts w:asciiTheme="minorHAnsi" w:hAnsiTheme="minorHAnsi"/>
          <w:b/>
          <w:color w:val="auto"/>
          <w:sz w:val="24"/>
        </w:rPr>
      </w:pPr>
      <w:bookmarkStart w:id="37" w:name="_Toc56898390"/>
      <w:r>
        <w:rPr>
          <w:rFonts w:asciiTheme="minorHAnsi" w:hAnsiTheme="minorHAnsi"/>
          <w:b/>
          <w:color w:val="auto"/>
          <w:sz w:val="24"/>
        </w:rPr>
        <w:t xml:space="preserve">4.3 </w:t>
      </w:r>
      <w:r w:rsidR="00153AF4">
        <w:rPr>
          <w:rFonts w:asciiTheme="minorHAnsi" w:hAnsiTheme="minorHAnsi"/>
          <w:b/>
          <w:color w:val="auto"/>
          <w:sz w:val="24"/>
        </w:rPr>
        <w:t>Standard D</w:t>
      </w:r>
      <w:r w:rsidRPr="000C0A2E">
        <w:rPr>
          <w:rFonts w:asciiTheme="minorHAnsi" w:hAnsiTheme="minorHAnsi"/>
          <w:b/>
          <w:color w:val="auto"/>
          <w:sz w:val="24"/>
        </w:rPr>
        <w:t xml:space="preserve">eviational </w:t>
      </w:r>
      <w:r w:rsidR="00153AF4">
        <w:rPr>
          <w:rFonts w:asciiTheme="minorHAnsi" w:hAnsiTheme="minorHAnsi"/>
          <w:b/>
          <w:color w:val="auto"/>
          <w:sz w:val="24"/>
        </w:rPr>
        <w:t>E</w:t>
      </w:r>
      <w:r w:rsidRPr="000C0A2E">
        <w:rPr>
          <w:rFonts w:asciiTheme="minorHAnsi" w:hAnsiTheme="minorHAnsi"/>
          <w:b/>
          <w:color w:val="auto"/>
          <w:sz w:val="24"/>
        </w:rPr>
        <w:t>llipse (SDE) analysis</w:t>
      </w:r>
      <w:bookmarkEnd w:id="37"/>
    </w:p>
    <w:p w14:paraId="46469255" w14:textId="50B18849" w:rsidR="00B611F3" w:rsidRPr="004521C1" w:rsidRDefault="004521C1" w:rsidP="000D4B9A">
      <w:pPr>
        <w:spacing w:line="480" w:lineRule="auto"/>
        <w:rPr>
          <w:sz w:val="24"/>
        </w:rPr>
      </w:pPr>
      <w:r>
        <w:rPr>
          <w:sz w:val="24"/>
        </w:rPr>
        <w:tab/>
        <w:t xml:space="preserve">I used the “Directional Distribution (Standard Deviational Ellipse)” tool in ArcGIS Pro to analyze changes in SDE location and area over two-day periods. </w:t>
      </w:r>
      <w:r w:rsidRPr="00891A55">
        <w:rPr>
          <w:sz w:val="24"/>
        </w:rPr>
        <w:t>Results</w:t>
      </w:r>
      <w:r>
        <w:rPr>
          <w:sz w:val="24"/>
        </w:rPr>
        <w:t xml:space="preserve"> are best conceptualized with respect to the Cartesian coordinate system. The x-axis can be broken up into “positive-x” and “negative-x” while the y-axis can be broken into “positive-y” and “negative-y” axes (</w:t>
      </w:r>
      <w:r w:rsidRPr="00D3137A">
        <w:rPr>
          <w:sz w:val="24"/>
        </w:rPr>
        <w:t xml:space="preserve">Figure </w:t>
      </w:r>
      <w:r>
        <w:rPr>
          <w:sz w:val="24"/>
        </w:rPr>
        <w:t>10).</w:t>
      </w:r>
    </w:p>
    <w:p w14:paraId="1C68A13F" w14:textId="1ACFD757" w:rsidR="00B611F3" w:rsidRDefault="007F024F" w:rsidP="00F01250">
      <w:pPr>
        <w:spacing w:line="480" w:lineRule="auto"/>
        <w:jc w:val="center"/>
        <w:rPr>
          <w:rFonts w:eastAsiaTheme="minorEastAsia"/>
          <w:sz w:val="24"/>
        </w:rPr>
      </w:pPr>
      <w:r>
        <w:rPr>
          <w:noProof/>
        </w:rPr>
        <w:lastRenderedPageBreak/>
        <w:drawing>
          <wp:inline distT="0" distB="0" distL="0" distR="0" wp14:anchorId="3284EEB6" wp14:editId="28973C48">
            <wp:extent cx="5943600" cy="18757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1875790"/>
                    </a:xfrm>
                    <a:prstGeom prst="rect">
                      <a:avLst/>
                    </a:prstGeom>
                  </pic:spPr>
                </pic:pic>
              </a:graphicData>
            </a:graphic>
          </wp:inline>
        </w:drawing>
      </w:r>
    </w:p>
    <w:p w14:paraId="74FEA39B" w14:textId="2216CB5D" w:rsidR="00B611F3" w:rsidRDefault="005158F1" w:rsidP="000D4B9A">
      <w:pPr>
        <w:spacing w:line="480" w:lineRule="auto"/>
        <w:rPr>
          <w:rFonts w:eastAsiaTheme="minorEastAsia"/>
          <w:sz w:val="24"/>
        </w:rPr>
      </w:pPr>
      <w:r>
        <w:rPr>
          <w:b/>
          <w:sz w:val="24"/>
        </w:rPr>
        <w:fldChar w:fldCharType="begin"/>
      </w:r>
      <w:r>
        <w:rPr>
          <w:b/>
          <w:sz w:val="24"/>
        </w:rPr>
        <w:instrText xml:space="preserve"> TC  "</w:instrText>
      </w:r>
      <w:bookmarkStart w:id="38" w:name="_Toc56898497"/>
      <w:r>
        <w:rPr>
          <w:b/>
          <w:sz w:val="24"/>
        </w:rPr>
        <w:instrText xml:space="preserve">Figure </w:instrText>
      </w:r>
      <w:r w:rsidR="004679B5">
        <w:rPr>
          <w:b/>
          <w:sz w:val="24"/>
        </w:rPr>
        <w:instrText>9</w:instrText>
      </w:r>
      <w:r w:rsidR="00F86134">
        <w:rPr>
          <w:b/>
          <w:sz w:val="24"/>
        </w:rPr>
        <w:instrText>: Tornado-outbreak regression analysis</w:instrText>
      </w:r>
      <w:bookmarkEnd w:id="38"/>
      <w:r>
        <w:rPr>
          <w:b/>
          <w:sz w:val="24"/>
        </w:rPr>
        <w:instrText xml:space="preserve">" \f f \l 1 </w:instrText>
      </w:r>
      <w:r>
        <w:rPr>
          <w:b/>
          <w:sz w:val="24"/>
        </w:rPr>
        <w:fldChar w:fldCharType="end"/>
      </w:r>
      <w:r w:rsidR="004679B5">
        <w:rPr>
          <w:rFonts w:eastAsiaTheme="minorEastAsia"/>
          <w:b/>
          <w:sz w:val="24"/>
        </w:rPr>
        <w:t>Figure 9</w:t>
      </w:r>
      <w:r w:rsidR="00B611F3">
        <w:rPr>
          <w:rFonts w:eastAsiaTheme="minorEastAsia"/>
          <w:b/>
          <w:sz w:val="24"/>
        </w:rPr>
        <w:t xml:space="preserve">: </w:t>
      </w:r>
      <w:r w:rsidR="00F86134">
        <w:rPr>
          <w:rFonts w:eastAsiaTheme="minorEastAsia"/>
          <w:sz w:val="24"/>
        </w:rPr>
        <w:t xml:space="preserve">Tornado-outbreak regression analysis. </w:t>
      </w:r>
      <w:r w:rsidR="007D1A3F">
        <w:rPr>
          <w:rFonts w:eastAsiaTheme="minorEastAsia"/>
          <w:sz w:val="24"/>
        </w:rPr>
        <w:t>NNI of t</w:t>
      </w:r>
      <w:r w:rsidR="00E74CB5">
        <w:rPr>
          <w:rFonts w:eastAsiaTheme="minorEastAsia"/>
          <w:sz w:val="24"/>
        </w:rPr>
        <w:t>ornado-</w:t>
      </w:r>
      <w:r w:rsidR="00B611F3">
        <w:rPr>
          <w:rFonts w:eastAsiaTheme="minorEastAsia"/>
          <w:sz w:val="24"/>
        </w:rPr>
        <w:t xml:space="preserve">outbreak </w:t>
      </w:r>
      <w:r w:rsidR="000D4B8D">
        <w:rPr>
          <w:rFonts w:eastAsiaTheme="minorEastAsia"/>
          <w:sz w:val="24"/>
        </w:rPr>
        <w:t xml:space="preserve">tweets (points) </w:t>
      </w:r>
      <w:r w:rsidR="00B611F3">
        <w:rPr>
          <w:rFonts w:eastAsiaTheme="minorEastAsia"/>
          <w:sz w:val="24"/>
        </w:rPr>
        <w:t xml:space="preserve">versus </w:t>
      </w:r>
      <w:r w:rsidR="008D6829">
        <w:rPr>
          <w:rFonts w:eastAsiaTheme="minorEastAsia"/>
          <w:sz w:val="24"/>
        </w:rPr>
        <w:t xml:space="preserve">elapsed time. Purple line models </w:t>
      </w:r>
      <w:r w:rsidR="00B611F3">
        <w:rPr>
          <w:rFonts w:eastAsiaTheme="minorEastAsia"/>
          <w:sz w:val="24"/>
        </w:rPr>
        <w:t>cubic regression (a) and inverse regression (b).</w:t>
      </w:r>
    </w:p>
    <w:p w14:paraId="1439F9CA" w14:textId="77777777" w:rsidR="00F92E99" w:rsidRDefault="00F92E99" w:rsidP="000D4B9A">
      <w:pPr>
        <w:spacing w:line="480" w:lineRule="auto"/>
        <w:rPr>
          <w:rFonts w:eastAsiaTheme="minorEastAsia"/>
          <w:sz w:val="24"/>
        </w:rPr>
      </w:pPr>
    </w:p>
    <w:p w14:paraId="6BC3F81F" w14:textId="77777777" w:rsidR="00F92E99" w:rsidRDefault="00F92E99" w:rsidP="000D4B9A">
      <w:pPr>
        <w:spacing w:line="480" w:lineRule="auto"/>
        <w:rPr>
          <w:rFonts w:eastAsiaTheme="minorEastAsia"/>
          <w:sz w:val="24"/>
        </w:rPr>
      </w:pPr>
    </w:p>
    <w:p w14:paraId="60CA9DAF" w14:textId="77777777" w:rsidR="00F92E99" w:rsidRDefault="00F92E99" w:rsidP="00F92E99">
      <w:pPr>
        <w:spacing w:line="480" w:lineRule="auto"/>
        <w:jc w:val="center"/>
        <w:rPr>
          <w:sz w:val="24"/>
        </w:rPr>
      </w:pPr>
      <w:r>
        <w:rPr>
          <w:noProof/>
        </w:rPr>
        <w:drawing>
          <wp:inline distT="0" distB="0" distL="0" distR="0" wp14:anchorId="00521B53" wp14:editId="68EF00F0">
            <wp:extent cx="3067050" cy="3067050"/>
            <wp:effectExtent l="19050" t="19050" r="19050" b="190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67050" cy="3067050"/>
                    </a:xfrm>
                    <a:prstGeom prst="rect">
                      <a:avLst/>
                    </a:prstGeom>
                    <a:ln>
                      <a:solidFill>
                        <a:schemeClr val="accent1"/>
                      </a:solidFill>
                    </a:ln>
                  </pic:spPr>
                </pic:pic>
              </a:graphicData>
            </a:graphic>
          </wp:inline>
        </w:drawing>
      </w:r>
    </w:p>
    <w:p w14:paraId="581031C4" w14:textId="77777777" w:rsidR="00F92E99" w:rsidRDefault="00F92E99" w:rsidP="00F92E99">
      <w:pPr>
        <w:spacing w:line="480" w:lineRule="auto"/>
        <w:rPr>
          <w:sz w:val="24"/>
        </w:rPr>
      </w:pPr>
      <w:r>
        <w:rPr>
          <w:b/>
          <w:sz w:val="24"/>
        </w:rPr>
        <w:fldChar w:fldCharType="begin"/>
      </w:r>
      <w:r>
        <w:rPr>
          <w:b/>
          <w:sz w:val="24"/>
        </w:rPr>
        <w:instrText xml:space="preserve"> TC  "</w:instrText>
      </w:r>
      <w:bookmarkStart w:id="39" w:name="_Toc56898498"/>
      <w:r>
        <w:rPr>
          <w:b/>
          <w:sz w:val="24"/>
        </w:rPr>
        <w:instrText>Figure 10: SDE mean center location reference axes</w:instrText>
      </w:r>
      <w:bookmarkEnd w:id="39"/>
      <w:r>
        <w:rPr>
          <w:b/>
          <w:sz w:val="24"/>
        </w:rPr>
        <w:instrText xml:space="preserve">" \f f \l 1 </w:instrText>
      </w:r>
      <w:r>
        <w:rPr>
          <w:b/>
          <w:sz w:val="24"/>
        </w:rPr>
        <w:fldChar w:fldCharType="end"/>
      </w:r>
      <w:r>
        <w:rPr>
          <w:b/>
          <w:sz w:val="24"/>
        </w:rPr>
        <w:t xml:space="preserve">Figure 10: </w:t>
      </w:r>
      <w:r>
        <w:rPr>
          <w:sz w:val="24"/>
        </w:rPr>
        <w:t>SDE mean center location reference axes.</w:t>
      </w:r>
    </w:p>
    <w:p w14:paraId="60CCF11C" w14:textId="77777777" w:rsidR="00775EC4" w:rsidRDefault="00775EC4" w:rsidP="006529C9">
      <w:pPr>
        <w:spacing w:line="480" w:lineRule="auto"/>
        <w:rPr>
          <w:rFonts w:eastAsiaTheme="minorEastAsia"/>
          <w:sz w:val="24"/>
        </w:rPr>
      </w:pPr>
    </w:p>
    <w:p w14:paraId="65F560CD" w14:textId="2C2573DA" w:rsidR="006163C5" w:rsidRDefault="006529C9" w:rsidP="00B467E8">
      <w:pPr>
        <w:spacing w:line="480" w:lineRule="auto"/>
        <w:rPr>
          <w:sz w:val="24"/>
        </w:rPr>
      </w:pPr>
      <w:r>
        <w:rPr>
          <w:sz w:val="24"/>
        </w:rPr>
        <w:lastRenderedPageBreak/>
        <w:tab/>
      </w:r>
      <w:r w:rsidRPr="00D3137A">
        <w:rPr>
          <w:sz w:val="24"/>
        </w:rPr>
        <w:t xml:space="preserve">Table </w:t>
      </w:r>
      <w:r w:rsidR="00992585">
        <w:rPr>
          <w:sz w:val="24"/>
        </w:rPr>
        <w:t>3</w:t>
      </w:r>
      <w:r w:rsidRPr="00C6487A">
        <w:rPr>
          <w:sz w:val="24"/>
        </w:rPr>
        <w:t xml:space="preserve"> reports changes in SDE mean center</w:t>
      </w:r>
      <w:r>
        <w:rPr>
          <w:sz w:val="24"/>
        </w:rPr>
        <w:t xml:space="preserve"> locations for the WSG case study. </w:t>
      </w:r>
      <w:r w:rsidR="00B764ED">
        <w:rPr>
          <w:sz w:val="24"/>
        </w:rPr>
        <w:t xml:space="preserve">Locations shift </w:t>
      </w:r>
      <w:r w:rsidR="00D57976">
        <w:rPr>
          <w:sz w:val="24"/>
        </w:rPr>
        <w:t>in both positive and negative directions along the X and Y axes</w:t>
      </w:r>
      <w:r w:rsidR="00966A20">
        <w:rPr>
          <w:sz w:val="24"/>
        </w:rPr>
        <w:t>, described in Figure 10</w:t>
      </w:r>
      <w:r w:rsidR="00D57976">
        <w:rPr>
          <w:sz w:val="24"/>
        </w:rPr>
        <w:t xml:space="preserve">. </w:t>
      </w:r>
      <w:r>
        <w:rPr>
          <w:sz w:val="24"/>
        </w:rPr>
        <w:t xml:space="preserve">Between 7 and 8 January (first row in </w:t>
      </w:r>
      <w:r w:rsidR="00992585">
        <w:rPr>
          <w:sz w:val="24"/>
        </w:rPr>
        <w:t>Table 3</w:t>
      </w:r>
      <w:r>
        <w:rPr>
          <w:sz w:val="24"/>
        </w:rPr>
        <w:t xml:space="preserve">), SDE mean center location shifted 150 km in the positive-x direction and 19 km in the negative-y direction. </w:t>
      </w:r>
      <w:r w:rsidR="00C6487A">
        <w:rPr>
          <w:sz w:val="24"/>
        </w:rPr>
        <w:t>Then</w:t>
      </w:r>
      <w:r>
        <w:rPr>
          <w:sz w:val="24"/>
        </w:rPr>
        <w:t xml:space="preserve">, between 8 and 9 January (second row in </w:t>
      </w:r>
      <w:r w:rsidR="00992585">
        <w:rPr>
          <w:sz w:val="24"/>
        </w:rPr>
        <w:t>Table 3</w:t>
      </w:r>
      <w:r>
        <w:rPr>
          <w:sz w:val="24"/>
        </w:rPr>
        <w:t xml:space="preserve">), SDE mean center location shifted 174 km in the positive-x direction and 45 km in the positive-y direction. </w:t>
      </w:r>
      <w:r w:rsidR="00F65965">
        <w:rPr>
          <w:sz w:val="24"/>
        </w:rPr>
        <w:t>The r</w:t>
      </w:r>
      <w:r>
        <w:rPr>
          <w:sz w:val="24"/>
        </w:rPr>
        <w:t xml:space="preserve">emaining rows in Table </w:t>
      </w:r>
      <w:r w:rsidR="00992585">
        <w:rPr>
          <w:sz w:val="24"/>
        </w:rPr>
        <w:t>3</w:t>
      </w:r>
      <w:r w:rsidR="00EE7288">
        <w:rPr>
          <w:sz w:val="24"/>
        </w:rPr>
        <w:t xml:space="preserve"> </w:t>
      </w:r>
      <w:r>
        <w:rPr>
          <w:sz w:val="24"/>
        </w:rPr>
        <w:t xml:space="preserve">can be interpreted similarly. </w:t>
      </w:r>
      <w:r w:rsidR="00DD32B7">
        <w:rPr>
          <w:sz w:val="24"/>
        </w:rPr>
        <w:t xml:space="preserve">The first row (7 to 8 January) is the only instance when one X or Y column increases while the other decreases. </w:t>
      </w:r>
      <w:r w:rsidR="00D57976">
        <w:rPr>
          <w:sz w:val="24"/>
        </w:rPr>
        <w:t xml:space="preserve">Across other time periods, one component (either X or Y) increased while the other component (either X or Y) decreased. </w:t>
      </w:r>
      <w:r w:rsidR="004343B6">
        <w:rPr>
          <w:sz w:val="24"/>
        </w:rPr>
        <w:t xml:space="preserve">Mean center locations, throughout WSG, are mapped in </w:t>
      </w:r>
      <w:r w:rsidR="00966A20">
        <w:rPr>
          <w:sz w:val="24"/>
        </w:rPr>
        <w:t>Figure 11</w:t>
      </w:r>
      <w:r w:rsidR="00BA0C82" w:rsidRPr="006243FA">
        <w:rPr>
          <w:sz w:val="24"/>
        </w:rPr>
        <w:t xml:space="preserve">. </w:t>
      </w:r>
      <w:r w:rsidR="00DD32B7" w:rsidRPr="006243FA">
        <w:rPr>
          <w:sz w:val="24"/>
        </w:rPr>
        <w:t xml:space="preserve">Table </w:t>
      </w:r>
      <w:r w:rsidR="00992585">
        <w:rPr>
          <w:sz w:val="24"/>
        </w:rPr>
        <w:t>4</w:t>
      </w:r>
      <w:r w:rsidR="00DD32B7">
        <w:rPr>
          <w:sz w:val="24"/>
        </w:rPr>
        <w:t xml:space="preserve"> shows the change in SDE area for the WSG case study.</w:t>
      </w:r>
      <w:r w:rsidR="008B34CF">
        <w:rPr>
          <w:sz w:val="24"/>
        </w:rPr>
        <w:t xml:space="preserve"> The SDE decreased in size and became more concentrated </w:t>
      </w:r>
      <w:r w:rsidR="00CB63CC">
        <w:rPr>
          <w:sz w:val="24"/>
        </w:rPr>
        <w:t>from 7 to 8 January (change in SDE shape area of -3.8+E08) and from 8 to 9 January (change in SDE shape area of -2.7E+08). SDE area increased over the next few days before decreasing again from 11 to 12 January</w:t>
      </w:r>
      <w:r w:rsidR="00CB63CC" w:rsidRPr="006243FA">
        <w:rPr>
          <w:sz w:val="24"/>
        </w:rPr>
        <w:t>.</w:t>
      </w:r>
      <w:r w:rsidR="00E652A1" w:rsidRPr="006243FA">
        <w:rPr>
          <w:sz w:val="24"/>
        </w:rPr>
        <w:t xml:space="preserve"> </w:t>
      </w:r>
      <w:r w:rsidR="00966A20">
        <w:rPr>
          <w:sz w:val="24"/>
        </w:rPr>
        <w:t>Figure 12</w:t>
      </w:r>
      <w:r w:rsidR="00BA0C82">
        <w:rPr>
          <w:sz w:val="24"/>
        </w:rPr>
        <w:t xml:space="preserve"> shows where tweets were located each day, along with SDEs (purple polygons) and mean centers (purple dots). </w:t>
      </w:r>
    </w:p>
    <w:p w14:paraId="6EA964B2" w14:textId="6928FFC1" w:rsidR="006B6AB6" w:rsidRPr="005F3BA6" w:rsidRDefault="006B6AB6" w:rsidP="00B467E8">
      <w:pPr>
        <w:spacing w:line="480" w:lineRule="auto"/>
        <w:rPr>
          <w:sz w:val="24"/>
        </w:rPr>
      </w:pPr>
      <w:r>
        <w:rPr>
          <w:sz w:val="24"/>
        </w:rPr>
        <w:tab/>
        <w:t>Similar to WSG, I observed both positive and negative changes in mean center location and SDE area for the tornado-outbreak case study. Some days had positive changes in both X and Y axes while other days showed negative X and Y axes changes, as seen in Table 5</w:t>
      </w:r>
      <w:r w:rsidRPr="006243FA">
        <w:rPr>
          <w:sz w:val="24"/>
        </w:rPr>
        <w:t>. The date range of 3 to 4 March was the only time when one component (either X or Y mean center location) increased while the other decreased.</w:t>
      </w:r>
      <w:r>
        <w:rPr>
          <w:sz w:val="24"/>
        </w:rPr>
        <w:t xml:space="preserve"> </w:t>
      </w:r>
      <w:r w:rsidRPr="006243FA">
        <w:rPr>
          <w:sz w:val="24"/>
        </w:rPr>
        <w:t xml:space="preserve">I observed this general trend, of values both increasing and decreasing throughout time, when analyzing SDE area too. </w:t>
      </w:r>
      <w:r w:rsidR="00837353">
        <w:rPr>
          <w:sz w:val="24"/>
        </w:rPr>
        <w:t>SDE mean center</w:t>
      </w:r>
      <w:r w:rsidR="00F92E99">
        <w:rPr>
          <w:sz w:val="24"/>
        </w:rPr>
        <w:t xml:space="preserve"> </w:t>
      </w:r>
      <w:r w:rsidR="00F92E99" w:rsidRPr="006243FA">
        <w:rPr>
          <w:sz w:val="24"/>
        </w:rPr>
        <w:t xml:space="preserve">locations throughout the tornado-outbreak case study </w:t>
      </w:r>
      <w:r w:rsidR="00F92E99">
        <w:rPr>
          <w:sz w:val="24"/>
        </w:rPr>
        <w:t>are mapped in Figure 13</w:t>
      </w:r>
      <w:r w:rsidR="00F92E99" w:rsidRPr="006243FA">
        <w:rPr>
          <w:sz w:val="24"/>
        </w:rPr>
        <w:t xml:space="preserve">. </w:t>
      </w:r>
      <w:r w:rsidR="00F92E99">
        <w:rPr>
          <w:sz w:val="24"/>
        </w:rPr>
        <w:t>SDE area</w:t>
      </w:r>
    </w:p>
    <w:p w14:paraId="0237AD6B" w14:textId="355A56B1" w:rsidR="00BA0C82" w:rsidRDefault="00706615" w:rsidP="00BA0C82">
      <w:pPr>
        <w:spacing w:line="480" w:lineRule="auto"/>
        <w:rPr>
          <w:sz w:val="24"/>
        </w:rPr>
      </w:pPr>
      <w:r w:rsidRPr="000F0335">
        <w:rPr>
          <w:b/>
          <w:sz w:val="24"/>
        </w:rPr>
        <w:lastRenderedPageBreak/>
        <w:fldChar w:fldCharType="begin"/>
      </w:r>
      <w:r w:rsidRPr="000F0335">
        <w:rPr>
          <w:b/>
          <w:sz w:val="24"/>
        </w:rPr>
        <w:instrText xml:space="preserve"> TC  "</w:instrText>
      </w:r>
      <w:bookmarkStart w:id="40" w:name="_Toc56898441"/>
      <w:r w:rsidRPr="000F0335">
        <w:rPr>
          <w:b/>
          <w:sz w:val="24"/>
        </w:rPr>
        <w:instrText xml:space="preserve">Table </w:instrText>
      </w:r>
      <w:r w:rsidR="004679B5" w:rsidRPr="000F0335">
        <w:rPr>
          <w:b/>
          <w:sz w:val="24"/>
        </w:rPr>
        <w:instrText>3</w:instrText>
      </w:r>
      <w:r w:rsidR="00773DFC" w:rsidRPr="000F0335">
        <w:rPr>
          <w:b/>
          <w:sz w:val="24"/>
        </w:rPr>
        <w:instrText>: Properties of the SDE mean centers for WSG tweets</w:instrText>
      </w:r>
      <w:bookmarkEnd w:id="40"/>
      <w:r w:rsidRPr="000F0335">
        <w:rPr>
          <w:b/>
          <w:sz w:val="24"/>
        </w:rPr>
        <w:instrText>" \f</w:instrText>
      </w:r>
      <w:r w:rsidR="009F02C6" w:rsidRPr="000F0335">
        <w:rPr>
          <w:b/>
          <w:sz w:val="24"/>
        </w:rPr>
        <w:instrText xml:space="preserve"> t</w:instrText>
      </w:r>
      <w:r w:rsidRPr="000F0335">
        <w:rPr>
          <w:b/>
          <w:sz w:val="24"/>
        </w:rPr>
        <w:instrText xml:space="preserve"> \l 1 </w:instrText>
      </w:r>
      <w:r w:rsidRPr="000F0335">
        <w:rPr>
          <w:b/>
          <w:sz w:val="24"/>
        </w:rPr>
        <w:fldChar w:fldCharType="end"/>
      </w:r>
      <w:r w:rsidR="004679B5" w:rsidRPr="000F0335">
        <w:rPr>
          <w:b/>
          <w:sz w:val="24"/>
        </w:rPr>
        <w:t>Table 3</w:t>
      </w:r>
      <w:r w:rsidR="00BA0C82" w:rsidRPr="000F0335">
        <w:rPr>
          <w:b/>
          <w:sz w:val="24"/>
        </w:rPr>
        <w:t xml:space="preserve">: </w:t>
      </w:r>
      <w:r w:rsidR="00BA0C82" w:rsidRPr="000F0335">
        <w:rPr>
          <w:sz w:val="24"/>
        </w:rPr>
        <w:t>Properties</w:t>
      </w:r>
      <w:r w:rsidR="00BA0C82">
        <w:rPr>
          <w:sz w:val="24"/>
        </w:rPr>
        <w:t xml:space="preserve"> of SDE mean centers for WSG</w:t>
      </w:r>
      <w:r w:rsidR="00906747">
        <w:rPr>
          <w:sz w:val="24"/>
        </w:rPr>
        <w:t xml:space="preserve"> tweets</w:t>
      </w:r>
      <w:r w:rsidR="00BA0C82">
        <w:rPr>
          <w:sz w:val="24"/>
        </w:rPr>
        <w:t xml:space="preserve">. “X (km)” and “Y (km)” are the X and Y components to the location of the mean center. </w:t>
      </w:r>
      <w:r w:rsidR="000E6F2D">
        <w:rPr>
          <w:sz w:val="24"/>
        </w:rPr>
        <w:t>“X Standard Distance</w:t>
      </w:r>
      <w:r w:rsidR="002F6DC8">
        <w:rPr>
          <w:sz w:val="24"/>
        </w:rPr>
        <w:t xml:space="preserve"> (km)</w:t>
      </w:r>
      <w:r w:rsidR="000E6F2D">
        <w:rPr>
          <w:sz w:val="24"/>
        </w:rPr>
        <w:t>” and “Y Standard Distance</w:t>
      </w:r>
      <w:r w:rsidR="002F6DC8">
        <w:rPr>
          <w:sz w:val="24"/>
        </w:rPr>
        <w:t xml:space="preserve"> (km)</w:t>
      </w:r>
      <w:r w:rsidR="000E6F2D">
        <w:rPr>
          <w:sz w:val="24"/>
        </w:rPr>
        <w:t>” are</w:t>
      </w:r>
      <w:r w:rsidR="008422ED">
        <w:rPr>
          <w:sz w:val="24"/>
        </w:rPr>
        <w:t xml:space="preserve"> standard deviations along the X and Y axes</w:t>
      </w:r>
      <w:r w:rsidR="000E6F2D">
        <w:rPr>
          <w:sz w:val="24"/>
        </w:rPr>
        <w:t xml:space="preserve">. </w:t>
      </w:r>
      <w:r w:rsidR="00BA0C82">
        <w:rPr>
          <w:sz w:val="24"/>
        </w:rPr>
        <w:t>“Delta X (km)” and “Delta Y (km)” are the change in X and Y components.</w:t>
      </w:r>
    </w:p>
    <w:tbl>
      <w:tblPr>
        <w:tblW w:w="9827" w:type="dxa"/>
        <w:jc w:val="center"/>
        <w:tblLook w:val="04A0" w:firstRow="1" w:lastRow="0" w:firstColumn="1" w:lastColumn="0" w:noHBand="0" w:noVBand="1"/>
      </w:tblPr>
      <w:tblGrid>
        <w:gridCol w:w="1581"/>
        <w:gridCol w:w="1351"/>
        <w:gridCol w:w="1351"/>
        <w:gridCol w:w="1351"/>
        <w:gridCol w:w="1351"/>
        <w:gridCol w:w="1421"/>
        <w:gridCol w:w="1421"/>
      </w:tblGrid>
      <w:tr w:rsidR="000E6F2D" w:rsidRPr="000E6F2D" w14:paraId="009C2C6E" w14:textId="77777777" w:rsidTr="002E268A">
        <w:trPr>
          <w:trHeight w:val="535"/>
          <w:jc w:val="center"/>
        </w:trPr>
        <w:tc>
          <w:tcPr>
            <w:tcW w:w="1581"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8064676" w14:textId="77777777" w:rsidR="000E6F2D" w:rsidRPr="000E6F2D" w:rsidRDefault="000E6F2D" w:rsidP="000E6F2D">
            <w:pPr>
              <w:spacing w:after="0" w:line="240" w:lineRule="auto"/>
              <w:jc w:val="center"/>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Date Range</w:t>
            </w:r>
          </w:p>
        </w:tc>
        <w:tc>
          <w:tcPr>
            <w:tcW w:w="1351" w:type="dxa"/>
            <w:tcBorders>
              <w:top w:val="single" w:sz="4" w:space="0" w:color="auto"/>
              <w:left w:val="nil"/>
              <w:bottom w:val="double" w:sz="6" w:space="0" w:color="auto"/>
              <w:right w:val="single" w:sz="4" w:space="0" w:color="auto"/>
            </w:tcBorders>
            <w:shd w:val="clear" w:color="auto" w:fill="auto"/>
            <w:noWrap/>
            <w:vAlign w:val="center"/>
            <w:hideMark/>
          </w:tcPr>
          <w:p w14:paraId="13C9D5F7" w14:textId="77777777" w:rsidR="000E6F2D" w:rsidRPr="000E6F2D" w:rsidRDefault="000E6F2D" w:rsidP="000E6F2D">
            <w:pPr>
              <w:spacing w:after="0" w:line="240" w:lineRule="auto"/>
              <w:jc w:val="center"/>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X (km)</w:t>
            </w:r>
          </w:p>
        </w:tc>
        <w:tc>
          <w:tcPr>
            <w:tcW w:w="1351" w:type="dxa"/>
            <w:tcBorders>
              <w:top w:val="single" w:sz="4" w:space="0" w:color="auto"/>
              <w:left w:val="nil"/>
              <w:bottom w:val="double" w:sz="6" w:space="0" w:color="auto"/>
              <w:right w:val="single" w:sz="4" w:space="0" w:color="auto"/>
            </w:tcBorders>
            <w:shd w:val="clear" w:color="auto" w:fill="auto"/>
            <w:noWrap/>
            <w:vAlign w:val="center"/>
            <w:hideMark/>
          </w:tcPr>
          <w:p w14:paraId="412227F1" w14:textId="77777777" w:rsidR="000E6F2D" w:rsidRPr="000E6F2D" w:rsidRDefault="000E6F2D" w:rsidP="000E6F2D">
            <w:pPr>
              <w:spacing w:after="0" w:line="240" w:lineRule="auto"/>
              <w:jc w:val="center"/>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Y (km)</w:t>
            </w:r>
          </w:p>
        </w:tc>
        <w:tc>
          <w:tcPr>
            <w:tcW w:w="1351" w:type="dxa"/>
            <w:tcBorders>
              <w:top w:val="single" w:sz="4" w:space="0" w:color="auto"/>
              <w:left w:val="nil"/>
              <w:bottom w:val="double" w:sz="6" w:space="0" w:color="auto"/>
              <w:right w:val="single" w:sz="4" w:space="0" w:color="auto"/>
            </w:tcBorders>
            <w:shd w:val="clear" w:color="auto" w:fill="auto"/>
            <w:vAlign w:val="bottom"/>
            <w:hideMark/>
          </w:tcPr>
          <w:p w14:paraId="56631FC4" w14:textId="6BC29354" w:rsidR="000E6F2D" w:rsidRPr="000E6F2D" w:rsidRDefault="000E6F2D" w:rsidP="000E6F2D">
            <w:pPr>
              <w:spacing w:after="0" w:line="240" w:lineRule="auto"/>
              <w:jc w:val="center"/>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X Standard Distance</w:t>
            </w:r>
            <w:r w:rsidR="00BA11E0">
              <w:rPr>
                <w:rFonts w:ascii="Calibri" w:eastAsia="Times New Roman" w:hAnsi="Calibri" w:cs="Times New Roman"/>
                <w:b/>
                <w:bCs/>
                <w:color w:val="000000"/>
                <w:sz w:val="24"/>
                <w:szCs w:val="24"/>
              </w:rPr>
              <w:t xml:space="preserve"> (km)</w:t>
            </w:r>
          </w:p>
        </w:tc>
        <w:tc>
          <w:tcPr>
            <w:tcW w:w="1351" w:type="dxa"/>
            <w:tcBorders>
              <w:top w:val="single" w:sz="4" w:space="0" w:color="auto"/>
              <w:left w:val="nil"/>
              <w:bottom w:val="double" w:sz="6" w:space="0" w:color="auto"/>
              <w:right w:val="single" w:sz="4" w:space="0" w:color="auto"/>
            </w:tcBorders>
            <w:shd w:val="clear" w:color="auto" w:fill="auto"/>
            <w:vAlign w:val="bottom"/>
            <w:hideMark/>
          </w:tcPr>
          <w:p w14:paraId="33C68C87" w14:textId="229AE60B" w:rsidR="000E6F2D" w:rsidRPr="000E6F2D" w:rsidRDefault="000E6F2D" w:rsidP="000E6F2D">
            <w:pPr>
              <w:spacing w:after="0" w:line="240" w:lineRule="auto"/>
              <w:jc w:val="center"/>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Y Standard Distance</w:t>
            </w:r>
            <w:r w:rsidR="00BA11E0">
              <w:rPr>
                <w:rFonts w:ascii="Calibri" w:eastAsia="Times New Roman" w:hAnsi="Calibri" w:cs="Times New Roman"/>
                <w:b/>
                <w:bCs/>
                <w:color w:val="000000"/>
                <w:sz w:val="24"/>
                <w:szCs w:val="24"/>
              </w:rPr>
              <w:t xml:space="preserve"> (km)</w:t>
            </w:r>
          </w:p>
        </w:tc>
        <w:tc>
          <w:tcPr>
            <w:tcW w:w="1421" w:type="dxa"/>
            <w:tcBorders>
              <w:top w:val="single" w:sz="4" w:space="0" w:color="auto"/>
              <w:left w:val="nil"/>
              <w:bottom w:val="double" w:sz="6" w:space="0" w:color="auto"/>
              <w:right w:val="single" w:sz="4" w:space="0" w:color="auto"/>
            </w:tcBorders>
            <w:shd w:val="clear" w:color="auto" w:fill="auto"/>
            <w:noWrap/>
            <w:vAlign w:val="center"/>
            <w:hideMark/>
          </w:tcPr>
          <w:p w14:paraId="6309E737" w14:textId="77777777" w:rsidR="000E6F2D" w:rsidRPr="000E6F2D" w:rsidRDefault="000E6F2D" w:rsidP="000E6F2D">
            <w:pPr>
              <w:spacing w:after="0" w:line="240" w:lineRule="auto"/>
              <w:jc w:val="center"/>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Delta X (km)</w:t>
            </w:r>
          </w:p>
        </w:tc>
        <w:tc>
          <w:tcPr>
            <w:tcW w:w="1421" w:type="dxa"/>
            <w:tcBorders>
              <w:top w:val="single" w:sz="4" w:space="0" w:color="auto"/>
              <w:left w:val="nil"/>
              <w:bottom w:val="double" w:sz="6" w:space="0" w:color="auto"/>
              <w:right w:val="single" w:sz="4" w:space="0" w:color="auto"/>
            </w:tcBorders>
            <w:shd w:val="clear" w:color="auto" w:fill="auto"/>
            <w:noWrap/>
            <w:vAlign w:val="center"/>
            <w:hideMark/>
          </w:tcPr>
          <w:p w14:paraId="0DF81076" w14:textId="77777777" w:rsidR="000E6F2D" w:rsidRPr="000E6F2D" w:rsidRDefault="000E6F2D" w:rsidP="000E6F2D">
            <w:pPr>
              <w:spacing w:after="0" w:line="240" w:lineRule="auto"/>
              <w:jc w:val="center"/>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Delta Y (km)</w:t>
            </w:r>
          </w:p>
        </w:tc>
      </w:tr>
      <w:tr w:rsidR="000E6F2D" w:rsidRPr="000E6F2D" w14:paraId="3BB9577C" w14:textId="77777777" w:rsidTr="002E268A">
        <w:trPr>
          <w:trHeight w:val="273"/>
          <w:jc w:val="center"/>
        </w:trPr>
        <w:tc>
          <w:tcPr>
            <w:tcW w:w="1581" w:type="dxa"/>
            <w:tcBorders>
              <w:top w:val="nil"/>
              <w:left w:val="single" w:sz="4" w:space="0" w:color="auto"/>
              <w:bottom w:val="nil"/>
              <w:right w:val="single" w:sz="4" w:space="0" w:color="auto"/>
            </w:tcBorders>
            <w:shd w:val="clear" w:color="auto" w:fill="auto"/>
            <w:noWrap/>
            <w:vAlign w:val="bottom"/>
            <w:hideMark/>
          </w:tcPr>
          <w:p w14:paraId="026115DD" w14:textId="77777777" w:rsidR="000E6F2D" w:rsidRPr="000E6F2D" w:rsidRDefault="000E6F2D" w:rsidP="000E6F2D">
            <w:pPr>
              <w:spacing w:after="0" w:line="240" w:lineRule="auto"/>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7 Jan</w:t>
            </w:r>
          </w:p>
        </w:tc>
        <w:tc>
          <w:tcPr>
            <w:tcW w:w="1351" w:type="dxa"/>
            <w:tcBorders>
              <w:top w:val="nil"/>
              <w:left w:val="nil"/>
              <w:bottom w:val="nil"/>
              <w:right w:val="single" w:sz="4" w:space="0" w:color="auto"/>
            </w:tcBorders>
            <w:shd w:val="clear" w:color="auto" w:fill="auto"/>
            <w:noWrap/>
            <w:vAlign w:val="bottom"/>
            <w:hideMark/>
          </w:tcPr>
          <w:p w14:paraId="61905E9B"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1,054</w:t>
            </w:r>
          </w:p>
        </w:tc>
        <w:tc>
          <w:tcPr>
            <w:tcW w:w="1351" w:type="dxa"/>
            <w:tcBorders>
              <w:top w:val="nil"/>
              <w:left w:val="nil"/>
              <w:bottom w:val="nil"/>
              <w:right w:val="single" w:sz="4" w:space="0" w:color="auto"/>
            </w:tcBorders>
            <w:shd w:val="clear" w:color="auto" w:fill="auto"/>
            <w:noWrap/>
            <w:vAlign w:val="bottom"/>
            <w:hideMark/>
          </w:tcPr>
          <w:p w14:paraId="7A8A42CC"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364</w:t>
            </w:r>
          </w:p>
        </w:tc>
        <w:tc>
          <w:tcPr>
            <w:tcW w:w="1351" w:type="dxa"/>
            <w:tcBorders>
              <w:top w:val="nil"/>
              <w:left w:val="nil"/>
              <w:bottom w:val="nil"/>
              <w:right w:val="single" w:sz="4" w:space="0" w:color="auto"/>
            </w:tcBorders>
            <w:shd w:val="clear" w:color="auto" w:fill="auto"/>
            <w:noWrap/>
            <w:vAlign w:val="bottom"/>
            <w:hideMark/>
          </w:tcPr>
          <w:p w14:paraId="25317F93"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1487</w:t>
            </w:r>
          </w:p>
        </w:tc>
        <w:tc>
          <w:tcPr>
            <w:tcW w:w="1351" w:type="dxa"/>
            <w:tcBorders>
              <w:top w:val="nil"/>
              <w:left w:val="nil"/>
              <w:bottom w:val="nil"/>
              <w:right w:val="single" w:sz="4" w:space="0" w:color="auto"/>
            </w:tcBorders>
            <w:shd w:val="clear" w:color="auto" w:fill="auto"/>
            <w:noWrap/>
            <w:vAlign w:val="bottom"/>
            <w:hideMark/>
          </w:tcPr>
          <w:p w14:paraId="76F800CB"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206</w:t>
            </w:r>
          </w:p>
        </w:tc>
        <w:tc>
          <w:tcPr>
            <w:tcW w:w="14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435625"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150</w:t>
            </w:r>
          </w:p>
        </w:tc>
        <w:tc>
          <w:tcPr>
            <w:tcW w:w="14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94CA095"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-19</w:t>
            </w:r>
          </w:p>
        </w:tc>
      </w:tr>
      <w:tr w:rsidR="000E6F2D" w:rsidRPr="000E6F2D" w14:paraId="10AC0DB8" w14:textId="77777777" w:rsidTr="002E268A">
        <w:trPr>
          <w:trHeight w:val="260"/>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505E0457" w14:textId="77777777" w:rsidR="000E6F2D" w:rsidRPr="000E6F2D" w:rsidRDefault="000E6F2D" w:rsidP="000E6F2D">
            <w:pPr>
              <w:spacing w:after="0" w:line="240" w:lineRule="auto"/>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8 Jan</w:t>
            </w:r>
          </w:p>
        </w:tc>
        <w:tc>
          <w:tcPr>
            <w:tcW w:w="1351" w:type="dxa"/>
            <w:tcBorders>
              <w:top w:val="nil"/>
              <w:left w:val="nil"/>
              <w:bottom w:val="single" w:sz="4" w:space="0" w:color="auto"/>
              <w:right w:val="single" w:sz="4" w:space="0" w:color="auto"/>
            </w:tcBorders>
            <w:shd w:val="clear" w:color="auto" w:fill="auto"/>
            <w:noWrap/>
            <w:vAlign w:val="bottom"/>
            <w:hideMark/>
          </w:tcPr>
          <w:p w14:paraId="41D964B5"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1,203</w:t>
            </w:r>
          </w:p>
        </w:tc>
        <w:tc>
          <w:tcPr>
            <w:tcW w:w="1351" w:type="dxa"/>
            <w:tcBorders>
              <w:top w:val="nil"/>
              <w:left w:val="nil"/>
              <w:bottom w:val="single" w:sz="4" w:space="0" w:color="auto"/>
              <w:right w:val="single" w:sz="4" w:space="0" w:color="auto"/>
            </w:tcBorders>
            <w:shd w:val="clear" w:color="auto" w:fill="auto"/>
            <w:noWrap/>
            <w:vAlign w:val="bottom"/>
            <w:hideMark/>
          </w:tcPr>
          <w:p w14:paraId="4BF94B32"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345</w:t>
            </w:r>
          </w:p>
        </w:tc>
        <w:tc>
          <w:tcPr>
            <w:tcW w:w="1351" w:type="dxa"/>
            <w:tcBorders>
              <w:top w:val="nil"/>
              <w:left w:val="nil"/>
              <w:bottom w:val="single" w:sz="4" w:space="0" w:color="auto"/>
              <w:right w:val="single" w:sz="4" w:space="0" w:color="auto"/>
            </w:tcBorders>
            <w:shd w:val="clear" w:color="auto" w:fill="auto"/>
            <w:noWrap/>
            <w:vAlign w:val="bottom"/>
            <w:hideMark/>
          </w:tcPr>
          <w:p w14:paraId="35C69608"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933</w:t>
            </w:r>
          </w:p>
        </w:tc>
        <w:tc>
          <w:tcPr>
            <w:tcW w:w="1351" w:type="dxa"/>
            <w:tcBorders>
              <w:top w:val="nil"/>
              <w:left w:val="nil"/>
              <w:bottom w:val="single" w:sz="4" w:space="0" w:color="auto"/>
              <w:right w:val="single" w:sz="4" w:space="0" w:color="auto"/>
            </w:tcBorders>
            <w:shd w:val="clear" w:color="auto" w:fill="auto"/>
            <w:noWrap/>
            <w:vAlign w:val="bottom"/>
            <w:hideMark/>
          </w:tcPr>
          <w:p w14:paraId="1E7674B8"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197</w:t>
            </w:r>
          </w:p>
        </w:tc>
        <w:tc>
          <w:tcPr>
            <w:tcW w:w="1421" w:type="dxa"/>
            <w:vMerge/>
            <w:tcBorders>
              <w:top w:val="nil"/>
              <w:left w:val="single" w:sz="4" w:space="0" w:color="auto"/>
              <w:bottom w:val="single" w:sz="4" w:space="0" w:color="000000"/>
              <w:right w:val="single" w:sz="4" w:space="0" w:color="auto"/>
            </w:tcBorders>
            <w:vAlign w:val="center"/>
            <w:hideMark/>
          </w:tcPr>
          <w:p w14:paraId="41687915" w14:textId="77777777" w:rsidR="000E6F2D" w:rsidRPr="000E6F2D" w:rsidRDefault="000E6F2D" w:rsidP="000E6F2D">
            <w:pPr>
              <w:spacing w:after="0" w:line="240" w:lineRule="auto"/>
              <w:rPr>
                <w:rFonts w:ascii="Calibri" w:eastAsia="Times New Roman" w:hAnsi="Calibri" w:cs="Times New Roman"/>
                <w:color w:val="000000"/>
                <w:sz w:val="24"/>
                <w:szCs w:val="24"/>
              </w:rPr>
            </w:pPr>
          </w:p>
        </w:tc>
        <w:tc>
          <w:tcPr>
            <w:tcW w:w="1421" w:type="dxa"/>
            <w:vMerge/>
            <w:tcBorders>
              <w:top w:val="nil"/>
              <w:left w:val="single" w:sz="4" w:space="0" w:color="auto"/>
              <w:bottom w:val="single" w:sz="4" w:space="0" w:color="000000"/>
              <w:right w:val="single" w:sz="4" w:space="0" w:color="auto"/>
            </w:tcBorders>
            <w:vAlign w:val="center"/>
            <w:hideMark/>
          </w:tcPr>
          <w:p w14:paraId="5FF9E3FB" w14:textId="77777777" w:rsidR="000E6F2D" w:rsidRPr="000E6F2D" w:rsidRDefault="000E6F2D" w:rsidP="000E6F2D">
            <w:pPr>
              <w:spacing w:after="0" w:line="240" w:lineRule="auto"/>
              <w:rPr>
                <w:rFonts w:ascii="Calibri" w:eastAsia="Times New Roman" w:hAnsi="Calibri" w:cs="Times New Roman"/>
                <w:color w:val="000000"/>
                <w:sz w:val="24"/>
                <w:szCs w:val="24"/>
              </w:rPr>
            </w:pPr>
          </w:p>
        </w:tc>
      </w:tr>
      <w:tr w:rsidR="000E6F2D" w:rsidRPr="000E6F2D" w14:paraId="36963AAE" w14:textId="77777777" w:rsidTr="002E268A">
        <w:trPr>
          <w:trHeight w:val="260"/>
          <w:jc w:val="center"/>
        </w:trPr>
        <w:tc>
          <w:tcPr>
            <w:tcW w:w="1581" w:type="dxa"/>
            <w:tcBorders>
              <w:top w:val="nil"/>
              <w:left w:val="single" w:sz="4" w:space="0" w:color="auto"/>
              <w:bottom w:val="nil"/>
              <w:right w:val="single" w:sz="4" w:space="0" w:color="auto"/>
            </w:tcBorders>
            <w:shd w:val="clear" w:color="auto" w:fill="auto"/>
            <w:noWrap/>
            <w:vAlign w:val="bottom"/>
            <w:hideMark/>
          </w:tcPr>
          <w:p w14:paraId="33971726" w14:textId="77777777" w:rsidR="000E6F2D" w:rsidRPr="000E6F2D" w:rsidRDefault="000E6F2D" w:rsidP="000E6F2D">
            <w:pPr>
              <w:spacing w:after="0" w:line="240" w:lineRule="auto"/>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8 Jan</w:t>
            </w:r>
          </w:p>
        </w:tc>
        <w:tc>
          <w:tcPr>
            <w:tcW w:w="1351" w:type="dxa"/>
            <w:tcBorders>
              <w:top w:val="nil"/>
              <w:left w:val="nil"/>
              <w:bottom w:val="nil"/>
              <w:right w:val="single" w:sz="4" w:space="0" w:color="auto"/>
            </w:tcBorders>
            <w:shd w:val="clear" w:color="auto" w:fill="auto"/>
            <w:noWrap/>
            <w:vAlign w:val="bottom"/>
            <w:hideMark/>
          </w:tcPr>
          <w:p w14:paraId="465FD556"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1,203</w:t>
            </w:r>
          </w:p>
        </w:tc>
        <w:tc>
          <w:tcPr>
            <w:tcW w:w="1351" w:type="dxa"/>
            <w:tcBorders>
              <w:top w:val="nil"/>
              <w:left w:val="nil"/>
              <w:bottom w:val="nil"/>
              <w:right w:val="single" w:sz="4" w:space="0" w:color="auto"/>
            </w:tcBorders>
            <w:shd w:val="clear" w:color="auto" w:fill="auto"/>
            <w:noWrap/>
            <w:vAlign w:val="bottom"/>
            <w:hideMark/>
          </w:tcPr>
          <w:p w14:paraId="6588177C"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345</w:t>
            </w:r>
          </w:p>
        </w:tc>
        <w:tc>
          <w:tcPr>
            <w:tcW w:w="1351" w:type="dxa"/>
            <w:tcBorders>
              <w:top w:val="nil"/>
              <w:left w:val="nil"/>
              <w:bottom w:val="nil"/>
              <w:right w:val="single" w:sz="4" w:space="0" w:color="auto"/>
            </w:tcBorders>
            <w:shd w:val="clear" w:color="auto" w:fill="auto"/>
            <w:noWrap/>
            <w:vAlign w:val="bottom"/>
            <w:hideMark/>
          </w:tcPr>
          <w:p w14:paraId="30F9E8AF"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933</w:t>
            </w:r>
          </w:p>
        </w:tc>
        <w:tc>
          <w:tcPr>
            <w:tcW w:w="1351" w:type="dxa"/>
            <w:tcBorders>
              <w:top w:val="nil"/>
              <w:left w:val="nil"/>
              <w:bottom w:val="nil"/>
              <w:right w:val="single" w:sz="4" w:space="0" w:color="auto"/>
            </w:tcBorders>
            <w:shd w:val="clear" w:color="auto" w:fill="auto"/>
            <w:noWrap/>
            <w:vAlign w:val="bottom"/>
            <w:hideMark/>
          </w:tcPr>
          <w:p w14:paraId="7E6045FB"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197</w:t>
            </w:r>
          </w:p>
        </w:tc>
        <w:tc>
          <w:tcPr>
            <w:tcW w:w="14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69A82B"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174</w:t>
            </w:r>
          </w:p>
        </w:tc>
        <w:tc>
          <w:tcPr>
            <w:tcW w:w="14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65485F"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46</w:t>
            </w:r>
          </w:p>
        </w:tc>
      </w:tr>
      <w:tr w:rsidR="000E6F2D" w:rsidRPr="000E6F2D" w14:paraId="70A5EEEE" w14:textId="77777777" w:rsidTr="002E268A">
        <w:trPr>
          <w:trHeight w:val="260"/>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3C55FAB4" w14:textId="77777777" w:rsidR="000E6F2D" w:rsidRPr="000E6F2D" w:rsidRDefault="000E6F2D" w:rsidP="000E6F2D">
            <w:pPr>
              <w:spacing w:after="0" w:line="240" w:lineRule="auto"/>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9 Jan</w:t>
            </w:r>
          </w:p>
        </w:tc>
        <w:tc>
          <w:tcPr>
            <w:tcW w:w="1351" w:type="dxa"/>
            <w:tcBorders>
              <w:top w:val="nil"/>
              <w:left w:val="nil"/>
              <w:bottom w:val="single" w:sz="4" w:space="0" w:color="auto"/>
              <w:right w:val="single" w:sz="4" w:space="0" w:color="auto"/>
            </w:tcBorders>
            <w:shd w:val="clear" w:color="auto" w:fill="auto"/>
            <w:noWrap/>
            <w:vAlign w:val="bottom"/>
            <w:hideMark/>
          </w:tcPr>
          <w:p w14:paraId="497FAEE5"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1,377</w:t>
            </w:r>
          </w:p>
        </w:tc>
        <w:tc>
          <w:tcPr>
            <w:tcW w:w="1351" w:type="dxa"/>
            <w:tcBorders>
              <w:top w:val="nil"/>
              <w:left w:val="nil"/>
              <w:bottom w:val="single" w:sz="4" w:space="0" w:color="auto"/>
              <w:right w:val="single" w:sz="4" w:space="0" w:color="auto"/>
            </w:tcBorders>
            <w:shd w:val="clear" w:color="auto" w:fill="auto"/>
            <w:noWrap/>
            <w:vAlign w:val="bottom"/>
            <w:hideMark/>
          </w:tcPr>
          <w:p w14:paraId="4265696C"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391</w:t>
            </w:r>
          </w:p>
        </w:tc>
        <w:tc>
          <w:tcPr>
            <w:tcW w:w="1351" w:type="dxa"/>
            <w:tcBorders>
              <w:top w:val="nil"/>
              <w:left w:val="nil"/>
              <w:bottom w:val="single" w:sz="4" w:space="0" w:color="auto"/>
              <w:right w:val="single" w:sz="4" w:space="0" w:color="auto"/>
            </w:tcBorders>
            <w:shd w:val="clear" w:color="auto" w:fill="auto"/>
            <w:noWrap/>
            <w:vAlign w:val="bottom"/>
            <w:hideMark/>
          </w:tcPr>
          <w:p w14:paraId="478A3318"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554</w:t>
            </w:r>
          </w:p>
        </w:tc>
        <w:tc>
          <w:tcPr>
            <w:tcW w:w="1351" w:type="dxa"/>
            <w:tcBorders>
              <w:top w:val="nil"/>
              <w:left w:val="nil"/>
              <w:bottom w:val="single" w:sz="4" w:space="0" w:color="auto"/>
              <w:right w:val="single" w:sz="4" w:space="0" w:color="auto"/>
            </w:tcBorders>
            <w:shd w:val="clear" w:color="auto" w:fill="auto"/>
            <w:noWrap/>
            <w:vAlign w:val="bottom"/>
            <w:hideMark/>
          </w:tcPr>
          <w:p w14:paraId="1BD6F7E9"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179</w:t>
            </w:r>
          </w:p>
        </w:tc>
        <w:tc>
          <w:tcPr>
            <w:tcW w:w="1421" w:type="dxa"/>
            <w:vMerge/>
            <w:tcBorders>
              <w:top w:val="nil"/>
              <w:left w:val="single" w:sz="4" w:space="0" w:color="auto"/>
              <w:bottom w:val="single" w:sz="4" w:space="0" w:color="000000"/>
              <w:right w:val="single" w:sz="4" w:space="0" w:color="auto"/>
            </w:tcBorders>
            <w:vAlign w:val="center"/>
            <w:hideMark/>
          </w:tcPr>
          <w:p w14:paraId="20F17778" w14:textId="77777777" w:rsidR="000E6F2D" w:rsidRPr="000E6F2D" w:rsidRDefault="000E6F2D" w:rsidP="000E6F2D">
            <w:pPr>
              <w:spacing w:after="0" w:line="240" w:lineRule="auto"/>
              <w:rPr>
                <w:rFonts w:ascii="Calibri" w:eastAsia="Times New Roman" w:hAnsi="Calibri" w:cs="Times New Roman"/>
                <w:color w:val="000000"/>
                <w:sz w:val="24"/>
                <w:szCs w:val="24"/>
              </w:rPr>
            </w:pPr>
          </w:p>
        </w:tc>
        <w:tc>
          <w:tcPr>
            <w:tcW w:w="1421" w:type="dxa"/>
            <w:vMerge/>
            <w:tcBorders>
              <w:top w:val="nil"/>
              <w:left w:val="single" w:sz="4" w:space="0" w:color="auto"/>
              <w:bottom w:val="single" w:sz="4" w:space="0" w:color="000000"/>
              <w:right w:val="single" w:sz="4" w:space="0" w:color="auto"/>
            </w:tcBorders>
            <w:vAlign w:val="center"/>
            <w:hideMark/>
          </w:tcPr>
          <w:p w14:paraId="6A80F78E" w14:textId="77777777" w:rsidR="000E6F2D" w:rsidRPr="000E6F2D" w:rsidRDefault="000E6F2D" w:rsidP="000E6F2D">
            <w:pPr>
              <w:spacing w:after="0" w:line="240" w:lineRule="auto"/>
              <w:rPr>
                <w:rFonts w:ascii="Calibri" w:eastAsia="Times New Roman" w:hAnsi="Calibri" w:cs="Times New Roman"/>
                <w:color w:val="000000"/>
                <w:sz w:val="24"/>
                <w:szCs w:val="24"/>
              </w:rPr>
            </w:pPr>
          </w:p>
        </w:tc>
      </w:tr>
      <w:tr w:rsidR="000E6F2D" w:rsidRPr="000E6F2D" w14:paraId="09F1D532" w14:textId="77777777" w:rsidTr="002E268A">
        <w:trPr>
          <w:trHeight w:val="260"/>
          <w:jc w:val="center"/>
        </w:trPr>
        <w:tc>
          <w:tcPr>
            <w:tcW w:w="1581" w:type="dxa"/>
            <w:tcBorders>
              <w:top w:val="nil"/>
              <w:left w:val="single" w:sz="4" w:space="0" w:color="auto"/>
              <w:bottom w:val="nil"/>
              <w:right w:val="single" w:sz="4" w:space="0" w:color="auto"/>
            </w:tcBorders>
            <w:shd w:val="clear" w:color="auto" w:fill="auto"/>
            <w:noWrap/>
            <w:vAlign w:val="bottom"/>
            <w:hideMark/>
          </w:tcPr>
          <w:p w14:paraId="28CC1354" w14:textId="77777777" w:rsidR="000E6F2D" w:rsidRPr="000E6F2D" w:rsidRDefault="000E6F2D" w:rsidP="000E6F2D">
            <w:pPr>
              <w:spacing w:after="0" w:line="240" w:lineRule="auto"/>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9 Jan</w:t>
            </w:r>
          </w:p>
        </w:tc>
        <w:tc>
          <w:tcPr>
            <w:tcW w:w="1351" w:type="dxa"/>
            <w:tcBorders>
              <w:top w:val="nil"/>
              <w:left w:val="nil"/>
              <w:bottom w:val="nil"/>
              <w:right w:val="single" w:sz="4" w:space="0" w:color="auto"/>
            </w:tcBorders>
            <w:shd w:val="clear" w:color="auto" w:fill="auto"/>
            <w:noWrap/>
            <w:vAlign w:val="bottom"/>
            <w:hideMark/>
          </w:tcPr>
          <w:p w14:paraId="380E4287"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1,377</w:t>
            </w:r>
          </w:p>
        </w:tc>
        <w:tc>
          <w:tcPr>
            <w:tcW w:w="1351" w:type="dxa"/>
            <w:tcBorders>
              <w:top w:val="nil"/>
              <w:left w:val="nil"/>
              <w:bottom w:val="nil"/>
              <w:right w:val="single" w:sz="4" w:space="0" w:color="auto"/>
            </w:tcBorders>
            <w:shd w:val="clear" w:color="auto" w:fill="auto"/>
            <w:noWrap/>
            <w:vAlign w:val="bottom"/>
            <w:hideMark/>
          </w:tcPr>
          <w:p w14:paraId="161AF3B0"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391</w:t>
            </w:r>
          </w:p>
        </w:tc>
        <w:tc>
          <w:tcPr>
            <w:tcW w:w="1351" w:type="dxa"/>
            <w:tcBorders>
              <w:top w:val="nil"/>
              <w:left w:val="nil"/>
              <w:bottom w:val="nil"/>
              <w:right w:val="single" w:sz="4" w:space="0" w:color="auto"/>
            </w:tcBorders>
            <w:shd w:val="clear" w:color="auto" w:fill="auto"/>
            <w:noWrap/>
            <w:vAlign w:val="bottom"/>
            <w:hideMark/>
          </w:tcPr>
          <w:p w14:paraId="230354B9"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554</w:t>
            </w:r>
          </w:p>
        </w:tc>
        <w:tc>
          <w:tcPr>
            <w:tcW w:w="1351" w:type="dxa"/>
            <w:tcBorders>
              <w:top w:val="nil"/>
              <w:left w:val="nil"/>
              <w:bottom w:val="nil"/>
              <w:right w:val="single" w:sz="4" w:space="0" w:color="auto"/>
            </w:tcBorders>
            <w:shd w:val="clear" w:color="auto" w:fill="auto"/>
            <w:noWrap/>
            <w:vAlign w:val="bottom"/>
            <w:hideMark/>
          </w:tcPr>
          <w:p w14:paraId="51D5F002"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179</w:t>
            </w:r>
          </w:p>
        </w:tc>
        <w:tc>
          <w:tcPr>
            <w:tcW w:w="14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7655C6A"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-201</w:t>
            </w:r>
          </w:p>
        </w:tc>
        <w:tc>
          <w:tcPr>
            <w:tcW w:w="14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970043"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-61</w:t>
            </w:r>
          </w:p>
        </w:tc>
      </w:tr>
      <w:tr w:rsidR="000E6F2D" w:rsidRPr="000E6F2D" w14:paraId="251F6DA9" w14:textId="77777777" w:rsidTr="002E268A">
        <w:trPr>
          <w:trHeight w:val="260"/>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1D8CA440" w14:textId="77777777" w:rsidR="000E6F2D" w:rsidRPr="000E6F2D" w:rsidRDefault="000E6F2D" w:rsidP="000E6F2D">
            <w:pPr>
              <w:spacing w:after="0" w:line="240" w:lineRule="auto"/>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10 Jan</w:t>
            </w:r>
          </w:p>
        </w:tc>
        <w:tc>
          <w:tcPr>
            <w:tcW w:w="1351" w:type="dxa"/>
            <w:tcBorders>
              <w:top w:val="nil"/>
              <w:left w:val="nil"/>
              <w:bottom w:val="single" w:sz="4" w:space="0" w:color="auto"/>
              <w:right w:val="single" w:sz="4" w:space="0" w:color="auto"/>
            </w:tcBorders>
            <w:shd w:val="clear" w:color="auto" w:fill="auto"/>
            <w:noWrap/>
            <w:vAlign w:val="bottom"/>
            <w:hideMark/>
          </w:tcPr>
          <w:p w14:paraId="3785F0DC"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1,176</w:t>
            </w:r>
          </w:p>
        </w:tc>
        <w:tc>
          <w:tcPr>
            <w:tcW w:w="1351" w:type="dxa"/>
            <w:tcBorders>
              <w:top w:val="nil"/>
              <w:left w:val="nil"/>
              <w:bottom w:val="single" w:sz="4" w:space="0" w:color="auto"/>
              <w:right w:val="single" w:sz="4" w:space="0" w:color="auto"/>
            </w:tcBorders>
            <w:shd w:val="clear" w:color="auto" w:fill="auto"/>
            <w:noWrap/>
            <w:vAlign w:val="bottom"/>
            <w:hideMark/>
          </w:tcPr>
          <w:p w14:paraId="2875F7F2"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329</w:t>
            </w:r>
          </w:p>
        </w:tc>
        <w:tc>
          <w:tcPr>
            <w:tcW w:w="1351" w:type="dxa"/>
            <w:tcBorders>
              <w:top w:val="nil"/>
              <w:left w:val="nil"/>
              <w:bottom w:val="single" w:sz="4" w:space="0" w:color="auto"/>
              <w:right w:val="single" w:sz="4" w:space="0" w:color="auto"/>
            </w:tcBorders>
            <w:shd w:val="clear" w:color="auto" w:fill="auto"/>
            <w:noWrap/>
            <w:vAlign w:val="bottom"/>
            <w:hideMark/>
          </w:tcPr>
          <w:p w14:paraId="50B5D874"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817</w:t>
            </w:r>
          </w:p>
        </w:tc>
        <w:tc>
          <w:tcPr>
            <w:tcW w:w="1351" w:type="dxa"/>
            <w:tcBorders>
              <w:top w:val="nil"/>
              <w:left w:val="nil"/>
              <w:bottom w:val="single" w:sz="4" w:space="0" w:color="auto"/>
              <w:right w:val="single" w:sz="4" w:space="0" w:color="auto"/>
            </w:tcBorders>
            <w:shd w:val="clear" w:color="auto" w:fill="auto"/>
            <w:noWrap/>
            <w:vAlign w:val="bottom"/>
            <w:hideMark/>
          </w:tcPr>
          <w:p w14:paraId="6B3DB64D"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218</w:t>
            </w:r>
          </w:p>
        </w:tc>
        <w:tc>
          <w:tcPr>
            <w:tcW w:w="1421" w:type="dxa"/>
            <w:vMerge/>
            <w:tcBorders>
              <w:top w:val="nil"/>
              <w:left w:val="single" w:sz="4" w:space="0" w:color="auto"/>
              <w:bottom w:val="single" w:sz="4" w:space="0" w:color="000000"/>
              <w:right w:val="single" w:sz="4" w:space="0" w:color="auto"/>
            </w:tcBorders>
            <w:vAlign w:val="center"/>
            <w:hideMark/>
          </w:tcPr>
          <w:p w14:paraId="398791D9" w14:textId="77777777" w:rsidR="000E6F2D" w:rsidRPr="000E6F2D" w:rsidRDefault="000E6F2D" w:rsidP="000E6F2D">
            <w:pPr>
              <w:spacing w:after="0" w:line="240" w:lineRule="auto"/>
              <w:rPr>
                <w:rFonts w:ascii="Calibri" w:eastAsia="Times New Roman" w:hAnsi="Calibri" w:cs="Times New Roman"/>
                <w:color w:val="000000"/>
                <w:sz w:val="24"/>
                <w:szCs w:val="24"/>
              </w:rPr>
            </w:pPr>
          </w:p>
        </w:tc>
        <w:tc>
          <w:tcPr>
            <w:tcW w:w="1421" w:type="dxa"/>
            <w:vMerge/>
            <w:tcBorders>
              <w:top w:val="nil"/>
              <w:left w:val="single" w:sz="4" w:space="0" w:color="auto"/>
              <w:bottom w:val="single" w:sz="4" w:space="0" w:color="000000"/>
              <w:right w:val="single" w:sz="4" w:space="0" w:color="auto"/>
            </w:tcBorders>
            <w:vAlign w:val="center"/>
            <w:hideMark/>
          </w:tcPr>
          <w:p w14:paraId="20F2FEA3" w14:textId="77777777" w:rsidR="000E6F2D" w:rsidRPr="000E6F2D" w:rsidRDefault="000E6F2D" w:rsidP="000E6F2D">
            <w:pPr>
              <w:spacing w:after="0" w:line="240" w:lineRule="auto"/>
              <w:rPr>
                <w:rFonts w:ascii="Calibri" w:eastAsia="Times New Roman" w:hAnsi="Calibri" w:cs="Times New Roman"/>
                <w:color w:val="000000"/>
                <w:sz w:val="24"/>
                <w:szCs w:val="24"/>
              </w:rPr>
            </w:pPr>
          </w:p>
        </w:tc>
      </w:tr>
      <w:tr w:rsidR="000E6F2D" w:rsidRPr="000E6F2D" w14:paraId="41B82D04" w14:textId="77777777" w:rsidTr="002E268A">
        <w:trPr>
          <w:trHeight w:val="260"/>
          <w:jc w:val="center"/>
        </w:trPr>
        <w:tc>
          <w:tcPr>
            <w:tcW w:w="1581" w:type="dxa"/>
            <w:tcBorders>
              <w:top w:val="nil"/>
              <w:left w:val="single" w:sz="4" w:space="0" w:color="auto"/>
              <w:bottom w:val="nil"/>
              <w:right w:val="single" w:sz="4" w:space="0" w:color="auto"/>
            </w:tcBorders>
            <w:shd w:val="clear" w:color="auto" w:fill="auto"/>
            <w:noWrap/>
            <w:vAlign w:val="bottom"/>
            <w:hideMark/>
          </w:tcPr>
          <w:p w14:paraId="41BEB9F2" w14:textId="77777777" w:rsidR="000E6F2D" w:rsidRPr="000E6F2D" w:rsidRDefault="000E6F2D" w:rsidP="000E6F2D">
            <w:pPr>
              <w:spacing w:after="0" w:line="240" w:lineRule="auto"/>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10 Jan</w:t>
            </w:r>
          </w:p>
        </w:tc>
        <w:tc>
          <w:tcPr>
            <w:tcW w:w="1351" w:type="dxa"/>
            <w:tcBorders>
              <w:top w:val="nil"/>
              <w:left w:val="nil"/>
              <w:bottom w:val="nil"/>
              <w:right w:val="single" w:sz="4" w:space="0" w:color="auto"/>
            </w:tcBorders>
            <w:shd w:val="clear" w:color="auto" w:fill="auto"/>
            <w:noWrap/>
            <w:vAlign w:val="bottom"/>
            <w:hideMark/>
          </w:tcPr>
          <w:p w14:paraId="4CF052AD"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1,176</w:t>
            </w:r>
          </w:p>
        </w:tc>
        <w:tc>
          <w:tcPr>
            <w:tcW w:w="1351" w:type="dxa"/>
            <w:tcBorders>
              <w:top w:val="nil"/>
              <w:left w:val="nil"/>
              <w:bottom w:val="nil"/>
              <w:right w:val="single" w:sz="4" w:space="0" w:color="auto"/>
            </w:tcBorders>
            <w:shd w:val="clear" w:color="auto" w:fill="auto"/>
            <w:noWrap/>
            <w:vAlign w:val="bottom"/>
            <w:hideMark/>
          </w:tcPr>
          <w:p w14:paraId="3AA0A7EA"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329</w:t>
            </w:r>
          </w:p>
        </w:tc>
        <w:tc>
          <w:tcPr>
            <w:tcW w:w="1351" w:type="dxa"/>
            <w:tcBorders>
              <w:top w:val="nil"/>
              <w:left w:val="nil"/>
              <w:bottom w:val="nil"/>
              <w:right w:val="single" w:sz="4" w:space="0" w:color="auto"/>
            </w:tcBorders>
            <w:shd w:val="clear" w:color="auto" w:fill="auto"/>
            <w:noWrap/>
            <w:vAlign w:val="bottom"/>
            <w:hideMark/>
          </w:tcPr>
          <w:p w14:paraId="40569985"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817</w:t>
            </w:r>
          </w:p>
        </w:tc>
        <w:tc>
          <w:tcPr>
            <w:tcW w:w="1351" w:type="dxa"/>
            <w:tcBorders>
              <w:top w:val="nil"/>
              <w:left w:val="nil"/>
              <w:bottom w:val="nil"/>
              <w:right w:val="single" w:sz="4" w:space="0" w:color="auto"/>
            </w:tcBorders>
            <w:shd w:val="clear" w:color="auto" w:fill="auto"/>
            <w:noWrap/>
            <w:vAlign w:val="bottom"/>
            <w:hideMark/>
          </w:tcPr>
          <w:p w14:paraId="554C512A"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218</w:t>
            </w:r>
          </w:p>
        </w:tc>
        <w:tc>
          <w:tcPr>
            <w:tcW w:w="14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D2ADE5"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-412</w:t>
            </w:r>
          </w:p>
        </w:tc>
        <w:tc>
          <w:tcPr>
            <w:tcW w:w="14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C660AC7"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-62</w:t>
            </w:r>
          </w:p>
        </w:tc>
      </w:tr>
      <w:tr w:rsidR="000E6F2D" w:rsidRPr="000E6F2D" w14:paraId="7FC04D76" w14:textId="77777777" w:rsidTr="002E268A">
        <w:trPr>
          <w:trHeight w:val="260"/>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51A3B92F" w14:textId="77777777" w:rsidR="000E6F2D" w:rsidRPr="000E6F2D" w:rsidRDefault="000E6F2D" w:rsidP="000E6F2D">
            <w:pPr>
              <w:spacing w:after="0" w:line="240" w:lineRule="auto"/>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11 Jan</w:t>
            </w:r>
          </w:p>
        </w:tc>
        <w:tc>
          <w:tcPr>
            <w:tcW w:w="1351" w:type="dxa"/>
            <w:tcBorders>
              <w:top w:val="nil"/>
              <w:left w:val="nil"/>
              <w:bottom w:val="single" w:sz="4" w:space="0" w:color="auto"/>
              <w:right w:val="single" w:sz="4" w:space="0" w:color="auto"/>
            </w:tcBorders>
            <w:shd w:val="clear" w:color="auto" w:fill="auto"/>
            <w:noWrap/>
            <w:vAlign w:val="bottom"/>
            <w:hideMark/>
          </w:tcPr>
          <w:p w14:paraId="11042BE6"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764</w:t>
            </w:r>
          </w:p>
        </w:tc>
        <w:tc>
          <w:tcPr>
            <w:tcW w:w="1351" w:type="dxa"/>
            <w:tcBorders>
              <w:top w:val="nil"/>
              <w:left w:val="nil"/>
              <w:bottom w:val="single" w:sz="4" w:space="0" w:color="auto"/>
              <w:right w:val="single" w:sz="4" w:space="0" w:color="auto"/>
            </w:tcBorders>
            <w:shd w:val="clear" w:color="auto" w:fill="auto"/>
            <w:noWrap/>
            <w:vAlign w:val="bottom"/>
            <w:hideMark/>
          </w:tcPr>
          <w:p w14:paraId="6814D8A4"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267</w:t>
            </w:r>
          </w:p>
        </w:tc>
        <w:tc>
          <w:tcPr>
            <w:tcW w:w="1351" w:type="dxa"/>
            <w:tcBorders>
              <w:top w:val="nil"/>
              <w:left w:val="nil"/>
              <w:bottom w:val="single" w:sz="4" w:space="0" w:color="auto"/>
              <w:right w:val="single" w:sz="4" w:space="0" w:color="auto"/>
            </w:tcBorders>
            <w:shd w:val="clear" w:color="auto" w:fill="auto"/>
            <w:noWrap/>
            <w:vAlign w:val="bottom"/>
            <w:hideMark/>
          </w:tcPr>
          <w:p w14:paraId="02C7ED5D"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1040</w:t>
            </w:r>
          </w:p>
        </w:tc>
        <w:tc>
          <w:tcPr>
            <w:tcW w:w="1351" w:type="dxa"/>
            <w:tcBorders>
              <w:top w:val="nil"/>
              <w:left w:val="nil"/>
              <w:bottom w:val="single" w:sz="4" w:space="0" w:color="auto"/>
              <w:right w:val="single" w:sz="4" w:space="0" w:color="auto"/>
            </w:tcBorders>
            <w:shd w:val="clear" w:color="auto" w:fill="auto"/>
            <w:noWrap/>
            <w:vAlign w:val="bottom"/>
            <w:hideMark/>
          </w:tcPr>
          <w:p w14:paraId="4AE9BDD6"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234</w:t>
            </w:r>
          </w:p>
        </w:tc>
        <w:tc>
          <w:tcPr>
            <w:tcW w:w="1421" w:type="dxa"/>
            <w:vMerge/>
            <w:tcBorders>
              <w:top w:val="nil"/>
              <w:left w:val="single" w:sz="4" w:space="0" w:color="auto"/>
              <w:bottom w:val="single" w:sz="4" w:space="0" w:color="000000"/>
              <w:right w:val="single" w:sz="4" w:space="0" w:color="auto"/>
            </w:tcBorders>
            <w:vAlign w:val="center"/>
            <w:hideMark/>
          </w:tcPr>
          <w:p w14:paraId="0424854D" w14:textId="77777777" w:rsidR="000E6F2D" w:rsidRPr="000E6F2D" w:rsidRDefault="000E6F2D" w:rsidP="000E6F2D">
            <w:pPr>
              <w:spacing w:after="0" w:line="240" w:lineRule="auto"/>
              <w:rPr>
                <w:rFonts w:ascii="Calibri" w:eastAsia="Times New Roman" w:hAnsi="Calibri" w:cs="Times New Roman"/>
                <w:color w:val="000000"/>
                <w:sz w:val="24"/>
                <w:szCs w:val="24"/>
              </w:rPr>
            </w:pPr>
          </w:p>
        </w:tc>
        <w:tc>
          <w:tcPr>
            <w:tcW w:w="1421" w:type="dxa"/>
            <w:vMerge/>
            <w:tcBorders>
              <w:top w:val="nil"/>
              <w:left w:val="single" w:sz="4" w:space="0" w:color="auto"/>
              <w:bottom w:val="single" w:sz="4" w:space="0" w:color="000000"/>
              <w:right w:val="single" w:sz="4" w:space="0" w:color="auto"/>
            </w:tcBorders>
            <w:vAlign w:val="center"/>
            <w:hideMark/>
          </w:tcPr>
          <w:p w14:paraId="081A9B31" w14:textId="77777777" w:rsidR="000E6F2D" w:rsidRPr="000E6F2D" w:rsidRDefault="000E6F2D" w:rsidP="000E6F2D">
            <w:pPr>
              <w:spacing w:after="0" w:line="240" w:lineRule="auto"/>
              <w:rPr>
                <w:rFonts w:ascii="Calibri" w:eastAsia="Times New Roman" w:hAnsi="Calibri" w:cs="Times New Roman"/>
                <w:color w:val="000000"/>
                <w:sz w:val="24"/>
                <w:szCs w:val="24"/>
              </w:rPr>
            </w:pPr>
          </w:p>
        </w:tc>
      </w:tr>
      <w:tr w:rsidR="000E6F2D" w:rsidRPr="000E6F2D" w14:paraId="42E893AC" w14:textId="77777777" w:rsidTr="002E268A">
        <w:trPr>
          <w:trHeight w:val="260"/>
          <w:jc w:val="center"/>
        </w:trPr>
        <w:tc>
          <w:tcPr>
            <w:tcW w:w="1581" w:type="dxa"/>
            <w:tcBorders>
              <w:top w:val="nil"/>
              <w:left w:val="single" w:sz="4" w:space="0" w:color="auto"/>
              <w:bottom w:val="nil"/>
              <w:right w:val="single" w:sz="4" w:space="0" w:color="auto"/>
            </w:tcBorders>
            <w:shd w:val="clear" w:color="auto" w:fill="auto"/>
            <w:noWrap/>
            <w:vAlign w:val="bottom"/>
            <w:hideMark/>
          </w:tcPr>
          <w:p w14:paraId="0F689D95" w14:textId="77777777" w:rsidR="000E6F2D" w:rsidRPr="000E6F2D" w:rsidRDefault="000E6F2D" w:rsidP="000E6F2D">
            <w:pPr>
              <w:spacing w:after="0" w:line="240" w:lineRule="auto"/>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11 Jan</w:t>
            </w:r>
          </w:p>
        </w:tc>
        <w:tc>
          <w:tcPr>
            <w:tcW w:w="1351" w:type="dxa"/>
            <w:tcBorders>
              <w:top w:val="nil"/>
              <w:left w:val="nil"/>
              <w:bottom w:val="nil"/>
              <w:right w:val="single" w:sz="4" w:space="0" w:color="auto"/>
            </w:tcBorders>
            <w:shd w:val="clear" w:color="auto" w:fill="auto"/>
            <w:noWrap/>
            <w:vAlign w:val="bottom"/>
            <w:hideMark/>
          </w:tcPr>
          <w:p w14:paraId="3B721E64"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764</w:t>
            </w:r>
          </w:p>
        </w:tc>
        <w:tc>
          <w:tcPr>
            <w:tcW w:w="1351" w:type="dxa"/>
            <w:tcBorders>
              <w:top w:val="nil"/>
              <w:left w:val="nil"/>
              <w:bottom w:val="nil"/>
              <w:right w:val="single" w:sz="4" w:space="0" w:color="auto"/>
            </w:tcBorders>
            <w:shd w:val="clear" w:color="auto" w:fill="auto"/>
            <w:noWrap/>
            <w:vAlign w:val="bottom"/>
            <w:hideMark/>
          </w:tcPr>
          <w:p w14:paraId="2404C430"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267</w:t>
            </w:r>
          </w:p>
        </w:tc>
        <w:tc>
          <w:tcPr>
            <w:tcW w:w="1351" w:type="dxa"/>
            <w:tcBorders>
              <w:top w:val="nil"/>
              <w:left w:val="nil"/>
              <w:bottom w:val="nil"/>
              <w:right w:val="single" w:sz="4" w:space="0" w:color="auto"/>
            </w:tcBorders>
            <w:shd w:val="clear" w:color="auto" w:fill="auto"/>
            <w:noWrap/>
            <w:vAlign w:val="bottom"/>
            <w:hideMark/>
          </w:tcPr>
          <w:p w14:paraId="65E72174"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1040</w:t>
            </w:r>
          </w:p>
        </w:tc>
        <w:tc>
          <w:tcPr>
            <w:tcW w:w="1351" w:type="dxa"/>
            <w:tcBorders>
              <w:top w:val="nil"/>
              <w:left w:val="nil"/>
              <w:bottom w:val="nil"/>
              <w:right w:val="single" w:sz="4" w:space="0" w:color="auto"/>
            </w:tcBorders>
            <w:shd w:val="clear" w:color="auto" w:fill="auto"/>
            <w:noWrap/>
            <w:vAlign w:val="bottom"/>
            <w:hideMark/>
          </w:tcPr>
          <w:p w14:paraId="6EFB4BEF"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234</w:t>
            </w:r>
          </w:p>
        </w:tc>
        <w:tc>
          <w:tcPr>
            <w:tcW w:w="14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9D0623"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145</w:t>
            </w:r>
          </w:p>
        </w:tc>
        <w:tc>
          <w:tcPr>
            <w:tcW w:w="14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013F5C"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30</w:t>
            </w:r>
          </w:p>
        </w:tc>
      </w:tr>
      <w:tr w:rsidR="000E6F2D" w:rsidRPr="000E6F2D" w14:paraId="06CF6A60" w14:textId="77777777" w:rsidTr="002E268A">
        <w:trPr>
          <w:trHeight w:val="260"/>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6F7612DC" w14:textId="77777777" w:rsidR="000E6F2D" w:rsidRPr="000E6F2D" w:rsidRDefault="000E6F2D" w:rsidP="000E6F2D">
            <w:pPr>
              <w:spacing w:after="0" w:line="240" w:lineRule="auto"/>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12 Jan</w:t>
            </w:r>
          </w:p>
        </w:tc>
        <w:tc>
          <w:tcPr>
            <w:tcW w:w="1351" w:type="dxa"/>
            <w:tcBorders>
              <w:top w:val="nil"/>
              <w:left w:val="nil"/>
              <w:bottom w:val="single" w:sz="4" w:space="0" w:color="auto"/>
              <w:right w:val="single" w:sz="4" w:space="0" w:color="auto"/>
            </w:tcBorders>
            <w:shd w:val="clear" w:color="auto" w:fill="auto"/>
            <w:noWrap/>
            <w:vAlign w:val="bottom"/>
            <w:hideMark/>
          </w:tcPr>
          <w:p w14:paraId="1FBE78E9"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909</w:t>
            </w:r>
          </w:p>
        </w:tc>
        <w:tc>
          <w:tcPr>
            <w:tcW w:w="1351" w:type="dxa"/>
            <w:tcBorders>
              <w:top w:val="nil"/>
              <w:left w:val="nil"/>
              <w:bottom w:val="single" w:sz="4" w:space="0" w:color="auto"/>
              <w:right w:val="single" w:sz="4" w:space="0" w:color="auto"/>
            </w:tcBorders>
            <w:shd w:val="clear" w:color="auto" w:fill="auto"/>
            <w:noWrap/>
            <w:vAlign w:val="bottom"/>
            <w:hideMark/>
          </w:tcPr>
          <w:p w14:paraId="69314734"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298</w:t>
            </w:r>
          </w:p>
        </w:tc>
        <w:tc>
          <w:tcPr>
            <w:tcW w:w="1351" w:type="dxa"/>
            <w:tcBorders>
              <w:top w:val="nil"/>
              <w:left w:val="nil"/>
              <w:bottom w:val="single" w:sz="4" w:space="0" w:color="auto"/>
              <w:right w:val="single" w:sz="4" w:space="0" w:color="auto"/>
            </w:tcBorders>
            <w:shd w:val="clear" w:color="auto" w:fill="auto"/>
            <w:noWrap/>
            <w:vAlign w:val="bottom"/>
            <w:hideMark/>
          </w:tcPr>
          <w:p w14:paraId="22857773"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918</w:t>
            </w:r>
          </w:p>
        </w:tc>
        <w:tc>
          <w:tcPr>
            <w:tcW w:w="1351" w:type="dxa"/>
            <w:tcBorders>
              <w:top w:val="nil"/>
              <w:left w:val="nil"/>
              <w:bottom w:val="single" w:sz="4" w:space="0" w:color="auto"/>
              <w:right w:val="single" w:sz="4" w:space="0" w:color="auto"/>
            </w:tcBorders>
            <w:shd w:val="clear" w:color="auto" w:fill="auto"/>
            <w:noWrap/>
            <w:vAlign w:val="bottom"/>
            <w:hideMark/>
          </w:tcPr>
          <w:p w14:paraId="75443D48"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192</w:t>
            </w:r>
          </w:p>
        </w:tc>
        <w:tc>
          <w:tcPr>
            <w:tcW w:w="1421" w:type="dxa"/>
            <w:vMerge/>
            <w:tcBorders>
              <w:top w:val="nil"/>
              <w:left w:val="single" w:sz="4" w:space="0" w:color="auto"/>
              <w:bottom w:val="single" w:sz="4" w:space="0" w:color="000000"/>
              <w:right w:val="single" w:sz="4" w:space="0" w:color="auto"/>
            </w:tcBorders>
            <w:vAlign w:val="center"/>
            <w:hideMark/>
          </w:tcPr>
          <w:p w14:paraId="55EFF06F" w14:textId="77777777" w:rsidR="000E6F2D" w:rsidRPr="000E6F2D" w:rsidRDefault="000E6F2D" w:rsidP="000E6F2D">
            <w:pPr>
              <w:spacing w:after="0" w:line="240" w:lineRule="auto"/>
              <w:rPr>
                <w:rFonts w:ascii="Calibri" w:eastAsia="Times New Roman" w:hAnsi="Calibri" w:cs="Times New Roman"/>
                <w:color w:val="000000"/>
                <w:sz w:val="24"/>
                <w:szCs w:val="24"/>
              </w:rPr>
            </w:pPr>
          </w:p>
        </w:tc>
        <w:tc>
          <w:tcPr>
            <w:tcW w:w="1421" w:type="dxa"/>
            <w:vMerge/>
            <w:tcBorders>
              <w:top w:val="nil"/>
              <w:left w:val="single" w:sz="4" w:space="0" w:color="auto"/>
              <w:bottom w:val="single" w:sz="4" w:space="0" w:color="000000"/>
              <w:right w:val="single" w:sz="4" w:space="0" w:color="auto"/>
            </w:tcBorders>
            <w:vAlign w:val="center"/>
            <w:hideMark/>
          </w:tcPr>
          <w:p w14:paraId="70E7C722" w14:textId="77777777" w:rsidR="000E6F2D" w:rsidRPr="000E6F2D" w:rsidRDefault="000E6F2D" w:rsidP="000E6F2D">
            <w:pPr>
              <w:spacing w:after="0" w:line="240" w:lineRule="auto"/>
              <w:rPr>
                <w:rFonts w:ascii="Calibri" w:eastAsia="Times New Roman" w:hAnsi="Calibri" w:cs="Times New Roman"/>
                <w:color w:val="000000"/>
                <w:sz w:val="24"/>
                <w:szCs w:val="24"/>
              </w:rPr>
            </w:pPr>
          </w:p>
        </w:tc>
      </w:tr>
      <w:tr w:rsidR="000E6F2D" w:rsidRPr="000E6F2D" w14:paraId="4000F9EB" w14:textId="77777777" w:rsidTr="002E268A">
        <w:trPr>
          <w:trHeight w:val="260"/>
          <w:jc w:val="center"/>
        </w:trPr>
        <w:tc>
          <w:tcPr>
            <w:tcW w:w="1581" w:type="dxa"/>
            <w:tcBorders>
              <w:top w:val="nil"/>
              <w:left w:val="single" w:sz="4" w:space="0" w:color="auto"/>
              <w:bottom w:val="nil"/>
              <w:right w:val="single" w:sz="4" w:space="0" w:color="auto"/>
            </w:tcBorders>
            <w:shd w:val="clear" w:color="auto" w:fill="auto"/>
            <w:noWrap/>
            <w:vAlign w:val="bottom"/>
            <w:hideMark/>
          </w:tcPr>
          <w:p w14:paraId="5E30A4A3" w14:textId="77777777" w:rsidR="000E6F2D" w:rsidRPr="000E6F2D" w:rsidRDefault="000E6F2D" w:rsidP="000E6F2D">
            <w:pPr>
              <w:spacing w:after="0" w:line="240" w:lineRule="auto"/>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12 Jan</w:t>
            </w:r>
          </w:p>
        </w:tc>
        <w:tc>
          <w:tcPr>
            <w:tcW w:w="1351" w:type="dxa"/>
            <w:tcBorders>
              <w:top w:val="nil"/>
              <w:left w:val="nil"/>
              <w:bottom w:val="nil"/>
              <w:right w:val="single" w:sz="4" w:space="0" w:color="auto"/>
            </w:tcBorders>
            <w:shd w:val="clear" w:color="auto" w:fill="auto"/>
            <w:noWrap/>
            <w:vAlign w:val="bottom"/>
            <w:hideMark/>
          </w:tcPr>
          <w:p w14:paraId="0B28F129"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909</w:t>
            </w:r>
          </w:p>
        </w:tc>
        <w:tc>
          <w:tcPr>
            <w:tcW w:w="1351" w:type="dxa"/>
            <w:tcBorders>
              <w:top w:val="nil"/>
              <w:left w:val="nil"/>
              <w:bottom w:val="nil"/>
              <w:right w:val="single" w:sz="4" w:space="0" w:color="auto"/>
            </w:tcBorders>
            <w:shd w:val="clear" w:color="auto" w:fill="auto"/>
            <w:noWrap/>
            <w:vAlign w:val="bottom"/>
            <w:hideMark/>
          </w:tcPr>
          <w:p w14:paraId="3CB8739B"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298</w:t>
            </w:r>
          </w:p>
        </w:tc>
        <w:tc>
          <w:tcPr>
            <w:tcW w:w="1351" w:type="dxa"/>
            <w:tcBorders>
              <w:top w:val="nil"/>
              <w:left w:val="nil"/>
              <w:bottom w:val="nil"/>
              <w:right w:val="single" w:sz="4" w:space="0" w:color="auto"/>
            </w:tcBorders>
            <w:shd w:val="clear" w:color="auto" w:fill="auto"/>
            <w:noWrap/>
            <w:vAlign w:val="bottom"/>
            <w:hideMark/>
          </w:tcPr>
          <w:p w14:paraId="0B37E69D"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918</w:t>
            </w:r>
          </w:p>
        </w:tc>
        <w:tc>
          <w:tcPr>
            <w:tcW w:w="1351" w:type="dxa"/>
            <w:tcBorders>
              <w:top w:val="nil"/>
              <w:left w:val="nil"/>
              <w:bottom w:val="nil"/>
              <w:right w:val="single" w:sz="4" w:space="0" w:color="auto"/>
            </w:tcBorders>
            <w:shd w:val="clear" w:color="auto" w:fill="auto"/>
            <w:noWrap/>
            <w:vAlign w:val="bottom"/>
            <w:hideMark/>
          </w:tcPr>
          <w:p w14:paraId="7A96DEB0"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192</w:t>
            </w:r>
          </w:p>
        </w:tc>
        <w:tc>
          <w:tcPr>
            <w:tcW w:w="14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E9F4FC"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296</w:t>
            </w:r>
          </w:p>
        </w:tc>
        <w:tc>
          <w:tcPr>
            <w:tcW w:w="14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2682285"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20</w:t>
            </w:r>
          </w:p>
        </w:tc>
      </w:tr>
      <w:tr w:rsidR="000E6F2D" w:rsidRPr="000E6F2D" w14:paraId="36C08D79" w14:textId="77777777" w:rsidTr="002E268A">
        <w:trPr>
          <w:trHeight w:val="260"/>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00808FA8" w14:textId="77777777" w:rsidR="000E6F2D" w:rsidRPr="000E6F2D" w:rsidRDefault="000E6F2D" w:rsidP="000E6F2D">
            <w:pPr>
              <w:spacing w:after="0" w:line="240" w:lineRule="auto"/>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13 Jan</w:t>
            </w:r>
          </w:p>
        </w:tc>
        <w:tc>
          <w:tcPr>
            <w:tcW w:w="1351" w:type="dxa"/>
            <w:tcBorders>
              <w:top w:val="nil"/>
              <w:left w:val="nil"/>
              <w:bottom w:val="single" w:sz="4" w:space="0" w:color="auto"/>
              <w:right w:val="single" w:sz="4" w:space="0" w:color="auto"/>
            </w:tcBorders>
            <w:shd w:val="clear" w:color="auto" w:fill="auto"/>
            <w:noWrap/>
            <w:vAlign w:val="bottom"/>
            <w:hideMark/>
          </w:tcPr>
          <w:p w14:paraId="5F13C6FE"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1,206</w:t>
            </w:r>
          </w:p>
        </w:tc>
        <w:tc>
          <w:tcPr>
            <w:tcW w:w="1351" w:type="dxa"/>
            <w:tcBorders>
              <w:top w:val="nil"/>
              <w:left w:val="nil"/>
              <w:bottom w:val="single" w:sz="4" w:space="0" w:color="auto"/>
              <w:right w:val="single" w:sz="4" w:space="0" w:color="auto"/>
            </w:tcBorders>
            <w:shd w:val="clear" w:color="auto" w:fill="auto"/>
            <w:noWrap/>
            <w:vAlign w:val="bottom"/>
            <w:hideMark/>
          </w:tcPr>
          <w:p w14:paraId="14C5E980"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318</w:t>
            </w:r>
          </w:p>
        </w:tc>
        <w:tc>
          <w:tcPr>
            <w:tcW w:w="1351" w:type="dxa"/>
            <w:tcBorders>
              <w:top w:val="nil"/>
              <w:left w:val="nil"/>
              <w:bottom w:val="single" w:sz="4" w:space="0" w:color="auto"/>
              <w:right w:val="single" w:sz="4" w:space="0" w:color="auto"/>
            </w:tcBorders>
            <w:shd w:val="clear" w:color="auto" w:fill="auto"/>
            <w:noWrap/>
            <w:vAlign w:val="bottom"/>
            <w:hideMark/>
          </w:tcPr>
          <w:p w14:paraId="079B8FAC"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982</w:t>
            </w:r>
          </w:p>
        </w:tc>
        <w:tc>
          <w:tcPr>
            <w:tcW w:w="1351" w:type="dxa"/>
            <w:tcBorders>
              <w:top w:val="nil"/>
              <w:left w:val="nil"/>
              <w:bottom w:val="single" w:sz="4" w:space="0" w:color="auto"/>
              <w:right w:val="single" w:sz="4" w:space="0" w:color="auto"/>
            </w:tcBorders>
            <w:shd w:val="clear" w:color="auto" w:fill="auto"/>
            <w:noWrap/>
            <w:vAlign w:val="bottom"/>
            <w:hideMark/>
          </w:tcPr>
          <w:p w14:paraId="75E3677D"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166</w:t>
            </w:r>
          </w:p>
        </w:tc>
        <w:tc>
          <w:tcPr>
            <w:tcW w:w="1421" w:type="dxa"/>
            <w:vMerge/>
            <w:tcBorders>
              <w:top w:val="nil"/>
              <w:left w:val="single" w:sz="4" w:space="0" w:color="auto"/>
              <w:bottom w:val="single" w:sz="4" w:space="0" w:color="000000"/>
              <w:right w:val="single" w:sz="4" w:space="0" w:color="auto"/>
            </w:tcBorders>
            <w:vAlign w:val="center"/>
            <w:hideMark/>
          </w:tcPr>
          <w:p w14:paraId="3006147B" w14:textId="77777777" w:rsidR="000E6F2D" w:rsidRPr="000E6F2D" w:rsidRDefault="000E6F2D" w:rsidP="000E6F2D">
            <w:pPr>
              <w:spacing w:after="0" w:line="240" w:lineRule="auto"/>
              <w:rPr>
                <w:rFonts w:ascii="Calibri" w:eastAsia="Times New Roman" w:hAnsi="Calibri" w:cs="Times New Roman"/>
                <w:color w:val="000000"/>
                <w:sz w:val="24"/>
                <w:szCs w:val="24"/>
              </w:rPr>
            </w:pPr>
          </w:p>
        </w:tc>
        <w:tc>
          <w:tcPr>
            <w:tcW w:w="1421" w:type="dxa"/>
            <w:vMerge/>
            <w:tcBorders>
              <w:top w:val="nil"/>
              <w:left w:val="single" w:sz="4" w:space="0" w:color="auto"/>
              <w:bottom w:val="single" w:sz="4" w:space="0" w:color="000000"/>
              <w:right w:val="single" w:sz="4" w:space="0" w:color="auto"/>
            </w:tcBorders>
            <w:vAlign w:val="center"/>
            <w:hideMark/>
          </w:tcPr>
          <w:p w14:paraId="744C8613" w14:textId="77777777" w:rsidR="000E6F2D" w:rsidRPr="000E6F2D" w:rsidRDefault="000E6F2D" w:rsidP="000E6F2D">
            <w:pPr>
              <w:spacing w:after="0" w:line="240" w:lineRule="auto"/>
              <w:rPr>
                <w:rFonts w:ascii="Calibri" w:eastAsia="Times New Roman" w:hAnsi="Calibri" w:cs="Times New Roman"/>
                <w:color w:val="000000"/>
                <w:sz w:val="24"/>
                <w:szCs w:val="24"/>
              </w:rPr>
            </w:pPr>
          </w:p>
        </w:tc>
      </w:tr>
      <w:tr w:rsidR="000E6F2D" w:rsidRPr="000E6F2D" w14:paraId="11A03B1D" w14:textId="77777777" w:rsidTr="002E268A">
        <w:trPr>
          <w:trHeight w:val="260"/>
          <w:jc w:val="center"/>
        </w:trPr>
        <w:tc>
          <w:tcPr>
            <w:tcW w:w="1581" w:type="dxa"/>
            <w:tcBorders>
              <w:top w:val="nil"/>
              <w:left w:val="single" w:sz="4" w:space="0" w:color="auto"/>
              <w:bottom w:val="nil"/>
              <w:right w:val="single" w:sz="4" w:space="0" w:color="auto"/>
            </w:tcBorders>
            <w:shd w:val="clear" w:color="auto" w:fill="auto"/>
            <w:noWrap/>
            <w:vAlign w:val="bottom"/>
            <w:hideMark/>
          </w:tcPr>
          <w:p w14:paraId="14003D7E" w14:textId="77777777" w:rsidR="000E6F2D" w:rsidRPr="000E6F2D" w:rsidRDefault="000E6F2D" w:rsidP="000E6F2D">
            <w:pPr>
              <w:spacing w:after="0" w:line="240" w:lineRule="auto"/>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13 Jan</w:t>
            </w:r>
          </w:p>
        </w:tc>
        <w:tc>
          <w:tcPr>
            <w:tcW w:w="1351" w:type="dxa"/>
            <w:tcBorders>
              <w:top w:val="nil"/>
              <w:left w:val="nil"/>
              <w:bottom w:val="nil"/>
              <w:right w:val="single" w:sz="4" w:space="0" w:color="auto"/>
            </w:tcBorders>
            <w:shd w:val="clear" w:color="auto" w:fill="auto"/>
            <w:noWrap/>
            <w:vAlign w:val="bottom"/>
            <w:hideMark/>
          </w:tcPr>
          <w:p w14:paraId="6843B8C7"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1,206</w:t>
            </w:r>
          </w:p>
        </w:tc>
        <w:tc>
          <w:tcPr>
            <w:tcW w:w="1351" w:type="dxa"/>
            <w:tcBorders>
              <w:top w:val="nil"/>
              <w:left w:val="nil"/>
              <w:bottom w:val="nil"/>
              <w:right w:val="single" w:sz="4" w:space="0" w:color="auto"/>
            </w:tcBorders>
            <w:shd w:val="clear" w:color="auto" w:fill="auto"/>
            <w:noWrap/>
            <w:vAlign w:val="bottom"/>
            <w:hideMark/>
          </w:tcPr>
          <w:p w14:paraId="0914985E"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318</w:t>
            </w:r>
          </w:p>
        </w:tc>
        <w:tc>
          <w:tcPr>
            <w:tcW w:w="1351" w:type="dxa"/>
            <w:tcBorders>
              <w:top w:val="nil"/>
              <w:left w:val="nil"/>
              <w:bottom w:val="nil"/>
              <w:right w:val="single" w:sz="4" w:space="0" w:color="auto"/>
            </w:tcBorders>
            <w:shd w:val="clear" w:color="auto" w:fill="auto"/>
            <w:noWrap/>
            <w:vAlign w:val="bottom"/>
            <w:hideMark/>
          </w:tcPr>
          <w:p w14:paraId="7625FB1A"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982</w:t>
            </w:r>
          </w:p>
        </w:tc>
        <w:tc>
          <w:tcPr>
            <w:tcW w:w="1351" w:type="dxa"/>
            <w:tcBorders>
              <w:top w:val="nil"/>
              <w:left w:val="nil"/>
              <w:bottom w:val="nil"/>
              <w:right w:val="single" w:sz="4" w:space="0" w:color="auto"/>
            </w:tcBorders>
            <w:shd w:val="clear" w:color="auto" w:fill="auto"/>
            <w:noWrap/>
            <w:vAlign w:val="bottom"/>
            <w:hideMark/>
          </w:tcPr>
          <w:p w14:paraId="2A1F140D"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166</w:t>
            </w:r>
          </w:p>
        </w:tc>
        <w:tc>
          <w:tcPr>
            <w:tcW w:w="14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50F717"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-44</w:t>
            </w:r>
          </w:p>
        </w:tc>
        <w:tc>
          <w:tcPr>
            <w:tcW w:w="14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23E1F5"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-4</w:t>
            </w:r>
          </w:p>
        </w:tc>
      </w:tr>
      <w:tr w:rsidR="000E6F2D" w:rsidRPr="000E6F2D" w14:paraId="247F29C8" w14:textId="77777777" w:rsidTr="002E268A">
        <w:trPr>
          <w:trHeight w:val="260"/>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4B088979" w14:textId="77777777" w:rsidR="000E6F2D" w:rsidRPr="000E6F2D" w:rsidRDefault="000E6F2D" w:rsidP="000E6F2D">
            <w:pPr>
              <w:spacing w:after="0" w:line="240" w:lineRule="auto"/>
              <w:rPr>
                <w:rFonts w:ascii="Calibri" w:eastAsia="Times New Roman" w:hAnsi="Calibri" w:cs="Times New Roman"/>
                <w:b/>
                <w:bCs/>
                <w:color w:val="000000"/>
                <w:sz w:val="24"/>
                <w:szCs w:val="24"/>
              </w:rPr>
            </w:pPr>
            <w:r w:rsidRPr="000E6F2D">
              <w:rPr>
                <w:rFonts w:ascii="Calibri" w:eastAsia="Times New Roman" w:hAnsi="Calibri" w:cs="Times New Roman"/>
                <w:b/>
                <w:bCs/>
                <w:color w:val="000000"/>
                <w:sz w:val="24"/>
                <w:szCs w:val="24"/>
              </w:rPr>
              <w:t>14 Jan</w:t>
            </w:r>
          </w:p>
        </w:tc>
        <w:tc>
          <w:tcPr>
            <w:tcW w:w="1351" w:type="dxa"/>
            <w:tcBorders>
              <w:top w:val="nil"/>
              <w:left w:val="nil"/>
              <w:bottom w:val="single" w:sz="4" w:space="0" w:color="auto"/>
              <w:right w:val="single" w:sz="4" w:space="0" w:color="auto"/>
            </w:tcBorders>
            <w:shd w:val="clear" w:color="auto" w:fill="auto"/>
            <w:noWrap/>
            <w:vAlign w:val="bottom"/>
            <w:hideMark/>
          </w:tcPr>
          <w:p w14:paraId="218EBACE"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1,162</w:t>
            </w:r>
          </w:p>
        </w:tc>
        <w:tc>
          <w:tcPr>
            <w:tcW w:w="1351" w:type="dxa"/>
            <w:tcBorders>
              <w:top w:val="nil"/>
              <w:left w:val="nil"/>
              <w:bottom w:val="single" w:sz="4" w:space="0" w:color="auto"/>
              <w:right w:val="single" w:sz="4" w:space="0" w:color="auto"/>
            </w:tcBorders>
            <w:shd w:val="clear" w:color="auto" w:fill="auto"/>
            <w:noWrap/>
            <w:vAlign w:val="bottom"/>
            <w:hideMark/>
          </w:tcPr>
          <w:p w14:paraId="7BA12E20"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314</w:t>
            </w:r>
          </w:p>
        </w:tc>
        <w:tc>
          <w:tcPr>
            <w:tcW w:w="1351" w:type="dxa"/>
            <w:tcBorders>
              <w:top w:val="nil"/>
              <w:left w:val="nil"/>
              <w:bottom w:val="single" w:sz="4" w:space="0" w:color="auto"/>
              <w:right w:val="single" w:sz="4" w:space="0" w:color="auto"/>
            </w:tcBorders>
            <w:shd w:val="clear" w:color="auto" w:fill="auto"/>
            <w:noWrap/>
            <w:vAlign w:val="bottom"/>
            <w:hideMark/>
          </w:tcPr>
          <w:p w14:paraId="717371CA"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1215</w:t>
            </w:r>
          </w:p>
        </w:tc>
        <w:tc>
          <w:tcPr>
            <w:tcW w:w="1351" w:type="dxa"/>
            <w:tcBorders>
              <w:top w:val="nil"/>
              <w:left w:val="nil"/>
              <w:bottom w:val="single" w:sz="4" w:space="0" w:color="auto"/>
              <w:right w:val="single" w:sz="4" w:space="0" w:color="auto"/>
            </w:tcBorders>
            <w:shd w:val="clear" w:color="auto" w:fill="auto"/>
            <w:noWrap/>
            <w:vAlign w:val="bottom"/>
            <w:hideMark/>
          </w:tcPr>
          <w:p w14:paraId="74E14F6F" w14:textId="77777777" w:rsidR="000E6F2D" w:rsidRPr="000E6F2D" w:rsidRDefault="000E6F2D" w:rsidP="000E6F2D">
            <w:pPr>
              <w:spacing w:after="0" w:line="240" w:lineRule="auto"/>
              <w:jc w:val="center"/>
              <w:rPr>
                <w:rFonts w:ascii="Calibri" w:eastAsia="Times New Roman" w:hAnsi="Calibri" w:cs="Times New Roman"/>
                <w:color w:val="000000"/>
                <w:sz w:val="24"/>
                <w:szCs w:val="24"/>
              </w:rPr>
            </w:pPr>
            <w:r w:rsidRPr="000E6F2D">
              <w:rPr>
                <w:rFonts w:ascii="Calibri" w:eastAsia="Times New Roman" w:hAnsi="Calibri" w:cs="Times New Roman"/>
                <w:color w:val="000000"/>
                <w:sz w:val="24"/>
                <w:szCs w:val="24"/>
              </w:rPr>
              <w:t>429</w:t>
            </w:r>
          </w:p>
        </w:tc>
        <w:tc>
          <w:tcPr>
            <w:tcW w:w="1421" w:type="dxa"/>
            <w:vMerge/>
            <w:tcBorders>
              <w:top w:val="nil"/>
              <w:left w:val="single" w:sz="4" w:space="0" w:color="auto"/>
              <w:bottom w:val="single" w:sz="4" w:space="0" w:color="000000"/>
              <w:right w:val="single" w:sz="4" w:space="0" w:color="auto"/>
            </w:tcBorders>
            <w:vAlign w:val="center"/>
            <w:hideMark/>
          </w:tcPr>
          <w:p w14:paraId="02B15BAD" w14:textId="77777777" w:rsidR="000E6F2D" w:rsidRPr="000E6F2D" w:rsidRDefault="000E6F2D" w:rsidP="000E6F2D">
            <w:pPr>
              <w:spacing w:after="0" w:line="240" w:lineRule="auto"/>
              <w:rPr>
                <w:rFonts w:ascii="Calibri" w:eastAsia="Times New Roman" w:hAnsi="Calibri" w:cs="Times New Roman"/>
                <w:color w:val="000000"/>
                <w:sz w:val="24"/>
                <w:szCs w:val="24"/>
              </w:rPr>
            </w:pPr>
          </w:p>
        </w:tc>
        <w:tc>
          <w:tcPr>
            <w:tcW w:w="1421" w:type="dxa"/>
            <w:vMerge/>
            <w:tcBorders>
              <w:top w:val="nil"/>
              <w:left w:val="single" w:sz="4" w:space="0" w:color="auto"/>
              <w:bottom w:val="single" w:sz="4" w:space="0" w:color="000000"/>
              <w:right w:val="single" w:sz="4" w:space="0" w:color="auto"/>
            </w:tcBorders>
            <w:vAlign w:val="center"/>
            <w:hideMark/>
          </w:tcPr>
          <w:p w14:paraId="6916A32F" w14:textId="77777777" w:rsidR="000E6F2D" w:rsidRPr="000E6F2D" w:rsidRDefault="000E6F2D" w:rsidP="000E6F2D">
            <w:pPr>
              <w:spacing w:after="0" w:line="240" w:lineRule="auto"/>
              <w:rPr>
                <w:rFonts w:ascii="Calibri" w:eastAsia="Times New Roman" w:hAnsi="Calibri" w:cs="Times New Roman"/>
                <w:color w:val="000000"/>
                <w:sz w:val="24"/>
                <w:szCs w:val="24"/>
              </w:rPr>
            </w:pPr>
          </w:p>
        </w:tc>
      </w:tr>
    </w:tbl>
    <w:p w14:paraId="70282EE6" w14:textId="77777777" w:rsidR="000E6F2D" w:rsidRPr="000A0606" w:rsidRDefault="000E6F2D" w:rsidP="00BA0C82">
      <w:pPr>
        <w:spacing w:line="480" w:lineRule="auto"/>
        <w:rPr>
          <w:sz w:val="24"/>
        </w:rPr>
      </w:pPr>
    </w:p>
    <w:p w14:paraId="79CCFBC0" w14:textId="77777777" w:rsidR="006332AC" w:rsidRPr="00D25300" w:rsidRDefault="006332AC" w:rsidP="00F01250">
      <w:pPr>
        <w:spacing w:line="480" w:lineRule="auto"/>
        <w:jc w:val="center"/>
        <w:rPr>
          <w:b/>
          <w:sz w:val="24"/>
        </w:rPr>
      </w:pPr>
      <w:r>
        <w:rPr>
          <w:b/>
          <w:noProof/>
          <w:sz w:val="24"/>
        </w:rPr>
        <w:lastRenderedPageBreak/>
        <w:drawing>
          <wp:inline distT="0" distB="0" distL="0" distR="0" wp14:anchorId="6532F08C" wp14:editId="6E430BF7">
            <wp:extent cx="5943600" cy="3276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ct_temp3.jpg"/>
                    <pic:cNvPicPr/>
                  </pic:nvPicPr>
                  <pic:blipFill rotWithShape="1">
                    <a:blip r:embed="rId19" cstate="print">
                      <a:extLst>
                        <a:ext uri="{28A0092B-C50C-407E-A947-70E740481C1C}">
                          <a14:useLocalDpi xmlns:a14="http://schemas.microsoft.com/office/drawing/2010/main" val="0"/>
                        </a:ext>
                      </a:extLst>
                    </a:blip>
                    <a:srcRect t="7926" b="6869"/>
                    <a:stretch/>
                  </pic:blipFill>
                  <pic:spPr bwMode="auto">
                    <a:xfrm>
                      <a:off x="0" y="0"/>
                      <a:ext cx="5943600" cy="3276600"/>
                    </a:xfrm>
                    <a:prstGeom prst="rect">
                      <a:avLst/>
                    </a:prstGeom>
                    <a:ln>
                      <a:noFill/>
                    </a:ln>
                    <a:extLst>
                      <a:ext uri="{53640926-AAD7-44D8-BBD7-CCE9431645EC}">
                        <a14:shadowObscured xmlns:a14="http://schemas.microsoft.com/office/drawing/2010/main"/>
                      </a:ext>
                    </a:extLst>
                  </pic:spPr>
                </pic:pic>
              </a:graphicData>
            </a:graphic>
          </wp:inline>
        </w:drawing>
      </w:r>
    </w:p>
    <w:p w14:paraId="69443C5F" w14:textId="41D49C79" w:rsidR="006332AC" w:rsidRDefault="005158F1" w:rsidP="00BA0C82">
      <w:pPr>
        <w:spacing w:line="480" w:lineRule="auto"/>
        <w:rPr>
          <w:sz w:val="24"/>
        </w:rPr>
      </w:pPr>
      <w:r>
        <w:rPr>
          <w:b/>
          <w:sz w:val="24"/>
        </w:rPr>
        <w:fldChar w:fldCharType="begin"/>
      </w:r>
      <w:r>
        <w:rPr>
          <w:b/>
          <w:sz w:val="24"/>
        </w:rPr>
        <w:instrText xml:space="preserve"> TC  "</w:instrText>
      </w:r>
      <w:bookmarkStart w:id="41" w:name="_Toc56898499"/>
      <w:r>
        <w:rPr>
          <w:b/>
          <w:sz w:val="24"/>
        </w:rPr>
        <w:instrText>Figure 1</w:instrText>
      </w:r>
      <w:r w:rsidR="004679B5">
        <w:rPr>
          <w:b/>
          <w:sz w:val="24"/>
        </w:rPr>
        <w:instrText>1</w:instrText>
      </w:r>
      <w:r w:rsidR="003C50F1">
        <w:rPr>
          <w:b/>
          <w:sz w:val="24"/>
        </w:rPr>
        <w:instrText>: Daily mean center locations for WSG tweets</w:instrText>
      </w:r>
      <w:bookmarkEnd w:id="41"/>
      <w:r>
        <w:rPr>
          <w:b/>
          <w:sz w:val="24"/>
        </w:rPr>
        <w:instrText xml:space="preserve">" \f f \l 1 </w:instrText>
      </w:r>
      <w:r>
        <w:rPr>
          <w:b/>
          <w:sz w:val="24"/>
        </w:rPr>
        <w:fldChar w:fldCharType="end"/>
      </w:r>
      <w:r w:rsidR="004679B5">
        <w:rPr>
          <w:b/>
          <w:sz w:val="24"/>
        </w:rPr>
        <w:t>Figure 11</w:t>
      </w:r>
      <w:r w:rsidR="006332AC">
        <w:rPr>
          <w:b/>
          <w:sz w:val="24"/>
        </w:rPr>
        <w:t xml:space="preserve">: </w:t>
      </w:r>
      <w:r w:rsidR="006332AC">
        <w:rPr>
          <w:sz w:val="24"/>
        </w:rPr>
        <w:t>Daily mean center locations for WSG tweets.</w:t>
      </w:r>
    </w:p>
    <w:p w14:paraId="2EFDD0C4" w14:textId="77777777" w:rsidR="00CB0244" w:rsidRDefault="00CB0244" w:rsidP="00BA0C82">
      <w:pPr>
        <w:spacing w:line="480" w:lineRule="auto"/>
        <w:rPr>
          <w:sz w:val="24"/>
        </w:rPr>
      </w:pPr>
    </w:p>
    <w:p w14:paraId="5A3EAE70" w14:textId="77777777" w:rsidR="00CB0244" w:rsidRDefault="00CB0244" w:rsidP="00BA0C82">
      <w:pPr>
        <w:spacing w:line="480" w:lineRule="auto"/>
        <w:rPr>
          <w:sz w:val="24"/>
        </w:rPr>
      </w:pPr>
    </w:p>
    <w:p w14:paraId="31B6DC93" w14:textId="77777777" w:rsidR="00CB0244" w:rsidRDefault="00CB0244" w:rsidP="00BA0C82">
      <w:pPr>
        <w:spacing w:line="480" w:lineRule="auto"/>
        <w:rPr>
          <w:sz w:val="24"/>
        </w:rPr>
      </w:pPr>
    </w:p>
    <w:p w14:paraId="4F38BDBB" w14:textId="77777777" w:rsidR="00CB0244" w:rsidRDefault="00CB0244" w:rsidP="00BA0C82">
      <w:pPr>
        <w:spacing w:line="480" w:lineRule="auto"/>
        <w:rPr>
          <w:sz w:val="24"/>
        </w:rPr>
      </w:pPr>
    </w:p>
    <w:p w14:paraId="4ED38FF7" w14:textId="77777777" w:rsidR="00CB0244" w:rsidRDefault="00CB0244" w:rsidP="00BA0C82">
      <w:pPr>
        <w:spacing w:line="480" w:lineRule="auto"/>
        <w:rPr>
          <w:sz w:val="24"/>
        </w:rPr>
      </w:pPr>
    </w:p>
    <w:p w14:paraId="2546D930" w14:textId="77777777" w:rsidR="00CB0244" w:rsidRDefault="00CB0244" w:rsidP="00BA0C82">
      <w:pPr>
        <w:spacing w:line="480" w:lineRule="auto"/>
        <w:rPr>
          <w:sz w:val="24"/>
        </w:rPr>
      </w:pPr>
    </w:p>
    <w:p w14:paraId="2A06D3D7" w14:textId="77777777" w:rsidR="00CB0244" w:rsidRDefault="00CB0244" w:rsidP="00BA0C82">
      <w:pPr>
        <w:spacing w:line="480" w:lineRule="auto"/>
        <w:rPr>
          <w:sz w:val="24"/>
        </w:rPr>
      </w:pPr>
    </w:p>
    <w:p w14:paraId="62F9AAEE" w14:textId="77777777" w:rsidR="00CB0244" w:rsidRDefault="00CB0244" w:rsidP="00BA0C82">
      <w:pPr>
        <w:spacing w:line="480" w:lineRule="auto"/>
        <w:rPr>
          <w:sz w:val="24"/>
        </w:rPr>
      </w:pPr>
    </w:p>
    <w:p w14:paraId="1F1F65C6" w14:textId="77777777" w:rsidR="00CB0244" w:rsidRPr="006332AC" w:rsidRDefault="00CB0244" w:rsidP="00BA0C82">
      <w:pPr>
        <w:spacing w:line="480" w:lineRule="auto"/>
        <w:rPr>
          <w:sz w:val="24"/>
        </w:rPr>
      </w:pPr>
    </w:p>
    <w:p w14:paraId="66B79D1E" w14:textId="2DAC6DF1" w:rsidR="00BA0C82" w:rsidRPr="00166AA8" w:rsidRDefault="00706615" w:rsidP="00BA0C82">
      <w:pPr>
        <w:spacing w:line="480" w:lineRule="auto"/>
        <w:rPr>
          <w:sz w:val="24"/>
        </w:rPr>
      </w:pPr>
      <w:r w:rsidRPr="000F0335">
        <w:rPr>
          <w:b/>
          <w:sz w:val="24"/>
        </w:rPr>
        <w:lastRenderedPageBreak/>
        <w:fldChar w:fldCharType="begin"/>
      </w:r>
      <w:r w:rsidRPr="000F0335">
        <w:rPr>
          <w:b/>
          <w:sz w:val="24"/>
        </w:rPr>
        <w:instrText xml:space="preserve"> TC  "</w:instrText>
      </w:r>
      <w:bookmarkStart w:id="42" w:name="_Toc56898442"/>
      <w:r w:rsidRPr="000F0335">
        <w:rPr>
          <w:b/>
          <w:sz w:val="24"/>
        </w:rPr>
        <w:instrText xml:space="preserve">Table </w:instrText>
      </w:r>
      <w:r w:rsidR="004679B5" w:rsidRPr="000F0335">
        <w:rPr>
          <w:b/>
          <w:sz w:val="24"/>
        </w:rPr>
        <w:instrText>4</w:instrText>
      </w:r>
      <w:r w:rsidR="003C50F1" w:rsidRPr="000F0335">
        <w:rPr>
          <w:b/>
          <w:sz w:val="24"/>
        </w:rPr>
        <w:instrText>: Properties of SDE area for WSG tweets</w:instrText>
      </w:r>
      <w:bookmarkEnd w:id="42"/>
      <w:r w:rsidRPr="000F0335">
        <w:rPr>
          <w:b/>
          <w:sz w:val="24"/>
        </w:rPr>
        <w:instrText>" \f</w:instrText>
      </w:r>
      <w:r w:rsidR="009F02C6" w:rsidRPr="000F0335">
        <w:rPr>
          <w:b/>
          <w:sz w:val="24"/>
        </w:rPr>
        <w:instrText xml:space="preserve"> t</w:instrText>
      </w:r>
      <w:r w:rsidRPr="000F0335">
        <w:rPr>
          <w:b/>
          <w:sz w:val="24"/>
        </w:rPr>
        <w:instrText xml:space="preserve"> \l 1 </w:instrText>
      </w:r>
      <w:r w:rsidRPr="000F0335">
        <w:rPr>
          <w:b/>
          <w:sz w:val="24"/>
        </w:rPr>
        <w:fldChar w:fldCharType="end"/>
      </w:r>
      <w:r w:rsidR="00BA0C82" w:rsidRPr="000F0335">
        <w:rPr>
          <w:b/>
          <w:sz w:val="24"/>
        </w:rPr>
        <w:t xml:space="preserve">Table </w:t>
      </w:r>
      <w:r w:rsidR="004679B5" w:rsidRPr="000F0335">
        <w:rPr>
          <w:b/>
          <w:sz w:val="24"/>
        </w:rPr>
        <w:t>4</w:t>
      </w:r>
      <w:r w:rsidR="00BA0C82" w:rsidRPr="000F0335">
        <w:rPr>
          <w:b/>
          <w:sz w:val="24"/>
        </w:rPr>
        <w:t xml:space="preserve">: </w:t>
      </w:r>
      <w:r w:rsidR="00BA0C82" w:rsidRPr="000F0335">
        <w:rPr>
          <w:sz w:val="24"/>
        </w:rPr>
        <w:t>Properties</w:t>
      </w:r>
      <w:r w:rsidR="00BA0C82">
        <w:rPr>
          <w:sz w:val="24"/>
        </w:rPr>
        <w:t xml:space="preserve"> of SDE area for WSG</w:t>
      </w:r>
      <w:r w:rsidR="00906747">
        <w:rPr>
          <w:sz w:val="24"/>
        </w:rPr>
        <w:t xml:space="preserve"> tweets</w:t>
      </w:r>
      <w:r w:rsidR="009E5505">
        <w:rPr>
          <w:sz w:val="24"/>
        </w:rPr>
        <w:t>.</w:t>
      </w:r>
    </w:p>
    <w:tbl>
      <w:tblPr>
        <w:tblW w:w="8700" w:type="dxa"/>
        <w:jc w:val="center"/>
        <w:tblLook w:val="04A0" w:firstRow="1" w:lastRow="0" w:firstColumn="1" w:lastColumn="0" w:noHBand="0" w:noVBand="1"/>
      </w:tblPr>
      <w:tblGrid>
        <w:gridCol w:w="1280"/>
        <w:gridCol w:w="1500"/>
        <w:gridCol w:w="1500"/>
        <w:gridCol w:w="1500"/>
        <w:gridCol w:w="2920"/>
      </w:tblGrid>
      <w:tr w:rsidR="000B7B4A" w:rsidRPr="000B7B4A" w14:paraId="6EFDD918" w14:textId="77777777" w:rsidTr="00AC2C0E">
        <w:trPr>
          <w:trHeight w:val="960"/>
          <w:jc w:val="center"/>
        </w:trPr>
        <w:tc>
          <w:tcPr>
            <w:tcW w:w="128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6BA45A46" w14:textId="77777777" w:rsidR="000B7B4A" w:rsidRPr="000B7B4A" w:rsidRDefault="000B7B4A" w:rsidP="000B7B4A">
            <w:pPr>
              <w:spacing w:after="0" w:line="240" w:lineRule="auto"/>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Date Range</w:t>
            </w:r>
          </w:p>
        </w:tc>
        <w:tc>
          <w:tcPr>
            <w:tcW w:w="1500" w:type="dxa"/>
            <w:tcBorders>
              <w:top w:val="single" w:sz="4" w:space="0" w:color="auto"/>
              <w:left w:val="nil"/>
              <w:bottom w:val="double" w:sz="6" w:space="0" w:color="auto"/>
              <w:right w:val="single" w:sz="4" w:space="0" w:color="auto"/>
            </w:tcBorders>
            <w:shd w:val="clear" w:color="auto" w:fill="auto"/>
            <w:vAlign w:val="center"/>
            <w:hideMark/>
          </w:tcPr>
          <w:p w14:paraId="1B2826F1" w14:textId="77777777" w:rsidR="000B7B4A" w:rsidRPr="000B7B4A" w:rsidRDefault="000B7B4A" w:rsidP="000B7B4A">
            <w:pPr>
              <w:spacing w:after="0" w:line="240" w:lineRule="auto"/>
              <w:jc w:val="center"/>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Shape Area (km)</w:t>
            </w:r>
          </w:p>
        </w:tc>
        <w:tc>
          <w:tcPr>
            <w:tcW w:w="1500" w:type="dxa"/>
            <w:tcBorders>
              <w:top w:val="single" w:sz="4" w:space="0" w:color="auto"/>
              <w:left w:val="nil"/>
              <w:bottom w:val="double" w:sz="6" w:space="0" w:color="auto"/>
              <w:right w:val="single" w:sz="4" w:space="0" w:color="auto"/>
            </w:tcBorders>
            <w:shd w:val="clear" w:color="auto" w:fill="auto"/>
            <w:vAlign w:val="center"/>
            <w:hideMark/>
          </w:tcPr>
          <w:p w14:paraId="6E6ABA99" w14:textId="77777777" w:rsidR="000B7B4A" w:rsidRPr="000B7B4A" w:rsidRDefault="000B7B4A" w:rsidP="000B7B4A">
            <w:pPr>
              <w:spacing w:after="0" w:line="240" w:lineRule="auto"/>
              <w:jc w:val="center"/>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X Standard Distance (km)</w:t>
            </w:r>
          </w:p>
        </w:tc>
        <w:tc>
          <w:tcPr>
            <w:tcW w:w="1500" w:type="dxa"/>
            <w:tcBorders>
              <w:top w:val="single" w:sz="4" w:space="0" w:color="auto"/>
              <w:left w:val="nil"/>
              <w:bottom w:val="double" w:sz="6" w:space="0" w:color="auto"/>
              <w:right w:val="single" w:sz="4" w:space="0" w:color="auto"/>
            </w:tcBorders>
            <w:shd w:val="clear" w:color="auto" w:fill="auto"/>
            <w:vAlign w:val="center"/>
            <w:hideMark/>
          </w:tcPr>
          <w:p w14:paraId="0F8571A0" w14:textId="77777777" w:rsidR="000B7B4A" w:rsidRPr="000B7B4A" w:rsidRDefault="000B7B4A" w:rsidP="000B7B4A">
            <w:pPr>
              <w:spacing w:after="0" w:line="240" w:lineRule="auto"/>
              <w:jc w:val="center"/>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Y Standard Distance (km)</w:t>
            </w:r>
          </w:p>
        </w:tc>
        <w:tc>
          <w:tcPr>
            <w:tcW w:w="2920" w:type="dxa"/>
            <w:tcBorders>
              <w:top w:val="single" w:sz="4" w:space="0" w:color="auto"/>
              <w:left w:val="nil"/>
              <w:bottom w:val="double" w:sz="6" w:space="0" w:color="auto"/>
              <w:right w:val="single" w:sz="4" w:space="0" w:color="auto"/>
            </w:tcBorders>
            <w:shd w:val="clear" w:color="auto" w:fill="auto"/>
            <w:noWrap/>
            <w:vAlign w:val="center"/>
            <w:hideMark/>
          </w:tcPr>
          <w:p w14:paraId="0D64CC4A" w14:textId="77777777" w:rsidR="000B7B4A" w:rsidRPr="000B7B4A" w:rsidRDefault="000B7B4A" w:rsidP="000B7B4A">
            <w:pPr>
              <w:spacing w:after="0" w:line="240" w:lineRule="auto"/>
              <w:jc w:val="center"/>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Change in Shape Area (km)</w:t>
            </w:r>
          </w:p>
        </w:tc>
      </w:tr>
      <w:tr w:rsidR="000B7B4A" w:rsidRPr="000B7B4A" w14:paraId="38DD4343" w14:textId="77777777" w:rsidTr="00AC2C0E">
        <w:trPr>
          <w:trHeight w:val="330"/>
          <w:jc w:val="center"/>
        </w:trPr>
        <w:tc>
          <w:tcPr>
            <w:tcW w:w="1280" w:type="dxa"/>
            <w:tcBorders>
              <w:top w:val="nil"/>
              <w:left w:val="single" w:sz="4" w:space="0" w:color="auto"/>
              <w:bottom w:val="nil"/>
              <w:right w:val="single" w:sz="4" w:space="0" w:color="auto"/>
            </w:tcBorders>
            <w:shd w:val="clear" w:color="auto" w:fill="auto"/>
            <w:noWrap/>
            <w:vAlign w:val="bottom"/>
            <w:hideMark/>
          </w:tcPr>
          <w:p w14:paraId="1B7E5FFD" w14:textId="77777777" w:rsidR="000B7B4A" w:rsidRPr="000B7B4A" w:rsidRDefault="000B7B4A" w:rsidP="000B7B4A">
            <w:pPr>
              <w:spacing w:after="0" w:line="240" w:lineRule="auto"/>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7 Jan</w:t>
            </w:r>
          </w:p>
        </w:tc>
        <w:tc>
          <w:tcPr>
            <w:tcW w:w="1500" w:type="dxa"/>
            <w:tcBorders>
              <w:top w:val="nil"/>
              <w:left w:val="nil"/>
              <w:bottom w:val="nil"/>
              <w:right w:val="single" w:sz="4" w:space="0" w:color="auto"/>
            </w:tcBorders>
            <w:shd w:val="clear" w:color="auto" w:fill="auto"/>
            <w:noWrap/>
            <w:vAlign w:val="bottom"/>
            <w:hideMark/>
          </w:tcPr>
          <w:p w14:paraId="5A352089"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9.6E+08</w:t>
            </w:r>
          </w:p>
        </w:tc>
        <w:tc>
          <w:tcPr>
            <w:tcW w:w="1500" w:type="dxa"/>
            <w:tcBorders>
              <w:top w:val="nil"/>
              <w:left w:val="nil"/>
              <w:bottom w:val="nil"/>
              <w:right w:val="single" w:sz="4" w:space="0" w:color="auto"/>
            </w:tcBorders>
            <w:shd w:val="clear" w:color="auto" w:fill="auto"/>
            <w:noWrap/>
            <w:vAlign w:val="bottom"/>
            <w:hideMark/>
          </w:tcPr>
          <w:p w14:paraId="432E0761"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1487</w:t>
            </w:r>
          </w:p>
        </w:tc>
        <w:tc>
          <w:tcPr>
            <w:tcW w:w="1500" w:type="dxa"/>
            <w:tcBorders>
              <w:top w:val="nil"/>
              <w:left w:val="nil"/>
              <w:bottom w:val="nil"/>
              <w:right w:val="single" w:sz="4" w:space="0" w:color="auto"/>
            </w:tcBorders>
            <w:shd w:val="clear" w:color="auto" w:fill="auto"/>
            <w:noWrap/>
            <w:vAlign w:val="bottom"/>
            <w:hideMark/>
          </w:tcPr>
          <w:p w14:paraId="57DDE562"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206</w:t>
            </w:r>
          </w:p>
        </w:tc>
        <w:tc>
          <w:tcPr>
            <w:tcW w:w="29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6B5D5F0"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-3.8E+08</w:t>
            </w:r>
          </w:p>
        </w:tc>
      </w:tr>
      <w:tr w:rsidR="000B7B4A" w:rsidRPr="000B7B4A" w14:paraId="60C0816F" w14:textId="77777777" w:rsidTr="00AC2C0E">
        <w:trPr>
          <w:trHeight w:val="315"/>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B6A2A8C" w14:textId="77777777" w:rsidR="000B7B4A" w:rsidRPr="000B7B4A" w:rsidRDefault="000B7B4A" w:rsidP="000B7B4A">
            <w:pPr>
              <w:spacing w:after="0" w:line="240" w:lineRule="auto"/>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8 Jan</w:t>
            </w:r>
          </w:p>
        </w:tc>
        <w:tc>
          <w:tcPr>
            <w:tcW w:w="1500" w:type="dxa"/>
            <w:tcBorders>
              <w:top w:val="nil"/>
              <w:left w:val="nil"/>
              <w:bottom w:val="single" w:sz="4" w:space="0" w:color="auto"/>
              <w:right w:val="single" w:sz="4" w:space="0" w:color="auto"/>
            </w:tcBorders>
            <w:shd w:val="clear" w:color="auto" w:fill="auto"/>
            <w:noWrap/>
            <w:vAlign w:val="bottom"/>
            <w:hideMark/>
          </w:tcPr>
          <w:p w14:paraId="52EF0218"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5.8E+08</w:t>
            </w:r>
          </w:p>
        </w:tc>
        <w:tc>
          <w:tcPr>
            <w:tcW w:w="1500" w:type="dxa"/>
            <w:tcBorders>
              <w:top w:val="nil"/>
              <w:left w:val="nil"/>
              <w:bottom w:val="single" w:sz="4" w:space="0" w:color="auto"/>
              <w:right w:val="single" w:sz="4" w:space="0" w:color="auto"/>
            </w:tcBorders>
            <w:shd w:val="clear" w:color="auto" w:fill="auto"/>
            <w:noWrap/>
            <w:vAlign w:val="bottom"/>
            <w:hideMark/>
          </w:tcPr>
          <w:p w14:paraId="36302644"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933</w:t>
            </w:r>
          </w:p>
        </w:tc>
        <w:tc>
          <w:tcPr>
            <w:tcW w:w="1500" w:type="dxa"/>
            <w:tcBorders>
              <w:top w:val="nil"/>
              <w:left w:val="nil"/>
              <w:bottom w:val="single" w:sz="4" w:space="0" w:color="auto"/>
              <w:right w:val="single" w:sz="4" w:space="0" w:color="auto"/>
            </w:tcBorders>
            <w:shd w:val="clear" w:color="auto" w:fill="auto"/>
            <w:noWrap/>
            <w:vAlign w:val="bottom"/>
            <w:hideMark/>
          </w:tcPr>
          <w:p w14:paraId="7038C67B"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197</w:t>
            </w:r>
          </w:p>
        </w:tc>
        <w:tc>
          <w:tcPr>
            <w:tcW w:w="2920" w:type="dxa"/>
            <w:vMerge/>
            <w:tcBorders>
              <w:top w:val="nil"/>
              <w:left w:val="single" w:sz="4" w:space="0" w:color="auto"/>
              <w:bottom w:val="single" w:sz="4" w:space="0" w:color="000000"/>
              <w:right w:val="single" w:sz="4" w:space="0" w:color="auto"/>
            </w:tcBorders>
            <w:vAlign w:val="center"/>
            <w:hideMark/>
          </w:tcPr>
          <w:p w14:paraId="4D235D56" w14:textId="77777777" w:rsidR="000B7B4A" w:rsidRPr="000B7B4A" w:rsidRDefault="000B7B4A" w:rsidP="000B7B4A">
            <w:pPr>
              <w:spacing w:after="0" w:line="240" w:lineRule="auto"/>
              <w:rPr>
                <w:rFonts w:ascii="Calibri" w:eastAsia="Times New Roman" w:hAnsi="Calibri" w:cs="Times New Roman"/>
                <w:color w:val="000000"/>
                <w:sz w:val="24"/>
                <w:szCs w:val="24"/>
              </w:rPr>
            </w:pPr>
          </w:p>
        </w:tc>
      </w:tr>
      <w:tr w:rsidR="000B7B4A" w:rsidRPr="000B7B4A" w14:paraId="2173A6B9" w14:textId="77777777" w:rsidTr="00AC2C0E">
        <w:trPr>
          <w:trHeight w:val="315"/>
          <w:jc w:val="center"/>
        </w:trPr>
        <w:tc>
          <w:tcPr>
            <w:tcW w:w="1280" w:type="dxa"/>
            <w:tcBorders>
              <w:top w:val="nil"/>
              <w:left w:val="single" w:sz="4" w:space="0" w:color="auto"/>
              <w:bottom w:val="nil"/>
              <w:right w:val="single" w:sz="4" w:space="0" w:color="auto"/>
            </w:tcBorders>
            <w:shd w:val="clear" w:color="auto" w:fill="auto"/>
            <w:noWrap/>
            <w:vAlign w:val="bottom"/>
            <w:hideMark/>
          </w:tcPr>
          <w:p w14:paraId="54326D51" w14:textId="77777777" w:rsidR="000B7B4A" w:rsidRPr="000B7B4A" w:rsidRDefault="000B7B4A" w:rsidP="000B7B4A">
            <w:pPr>
              <w:spacing w:after="0" w:line="240" w:lineRule="auto"/>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8 Jan</w:t>
            </w:r>
          </w:p>
        </w:tc>
        <w:tc>
          <w:tcPr>
            <w:tcW w:w="1500" w:type="dxa"/>
            <w:tcBorders>
              <w:top w:val="nil"/>
              <w:left w:val="nil"/>
              <w:bottom w:val="nil"/>
              <w:right w:val="single" w:sz="4" w:space="0" w:color="auto"/>
            </w:tcBorders>
            <w:shd w:val="clear" w:color="auto" w:fill="auto"/>
            <w:noWrap/>
            <w:vAlign w:val="bottom"/>
            <w:hideMark/>
          </w:tcPr>
          <w:p w14:paraId="2D98AF24"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5.8E+08</w:t>
            </w:r>
          </w:p>
        </w:tc>
        <w:tc>
          <w:tcPr>
            <w:tcW w:w="1500" w:type="dxa"/>
            <w:tcBorders>
              <w:top w:val="nil"/>
              <w:left w:val="nil"/>
              <w:bottom w:val="nil"/>
              <w:right w:val="single" w:sz="4" w:space="0" w:color="auto"/>
            </w:tcBorders>
            <w:shd w:val="clear" w:color="auto" w:fill="auto"/>
            <w:noWrap/>
            <w:vAlign w:val="bottom"/>
            <w:hideMark/>
          </w:tcPr>
          <w:p w14:paraId="5583D570"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933</w:t>
            </w:r>
          </w:p>
        </w:tc>
        <w:tc>
          <w:tcPr>
            <w:tcW w:w="1500" w:type="dxa"/>
            <w:tcBorders>
              <w:top w:val="nil"/>
              <w:left w:val="nil"/>
              <w:bottom w:val="nil"/>
              <w:right w:val="single" w:sz="4" w:space="0" w:color="auto"/>
            </w:tcBorders>
            <w:shd w:val="clear" w:color="auto" w:fill="auto"/>
            <w:noWrap/>
            <w:vAlign w:val="bottom"/>
            <w:hideMark/>
          </w:tcPr>
          <w:p w14:paraId="3DA00FF7"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197</w:t>
            </w:r>
          </w:p>
        </w:tc>
        <w:tc>
          <w:tcPr>
            <w:tcW w:w="29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914E3F"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-2.7E+08</w:t>
            </w:r>
          </w:p>
        </w:tc>
      </w:tr>
      <w:tr w:rsidR="000B7B4A" w:rsidRPr="000B7B4A" w14:paraId="0365A0DD" w14:textId="77777777" w:rsidTr="00AC2C0E">
        <w:trPr>
          <w:trHeight w:val="315"/>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CCFC6E5" w14:textId="77777777" w:rsidR="000B7B4A" w:rsidRPr="000B7B4A" w:rsidRDefault="000B7B4A" w:rsidP="000B7B4A">
            <w:pPr>
              <w:spacing w:after="0" w:line="240" w:lineRule="auto"/>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9 Jan</w:t>
            </w:r>
          </w:p>
        </w:tc>
        <w:tc>
          <w:tcPr>
            <w:tcW w:w="1500" w:type="dxa"/>
            <w:tcBorders>
              <w:top w:val="nil"/>
              <w:left w:val="nil"/>
              <w:bottom w:val="single" w:sz="4" w:space="0" w:color="auto"/>
              <w:right w:val="single" w:sz="4" w:space="0" w:color="auto"/>
            </w:tcBorders>
            <w:shd w:val="clear" w:color="auto" w:fill="auto"/>
            <w:noWrap/>
            <w:vAlign w:val="bottom"/>
            <w:hideMark/>
          </w:tcPr>
          <w:p w14:paraId="7A0E282A"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3.1E+08</w:t>
            </w:r>
          </w:p>
        </w:tc>
        <w:tc>
          <w:tcPr>
            <w:tcW w:w="1500" w:type="dxa"/>
            <w:tcBorders>
              <w:top w:val="nil"/>
              <w:left w:val="nil"/>
              <w:bottom w:val="single" w:sz="4" w:space="0" w:color="auto"/>
              <w:right w:val="single" w:sz="4" w:space="0" w:color="auto"/>
            </w:tcBorders>
            <w:shd w:val="clear" w:color="auto" w:fill="auto"/>
            <w:noWrap/>
            <w:vAlign w:val="bottom"/>
            <w:hideMark/>
          </w:tcPr>
          <w:p w14:paraId="0C27BF88"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554</w:t>
            </w:r>
          </w:p>
        </w:tc>
        <w:tc>
          <w:tcPr>
            <w:tcW w:w="1500" w:type="dxa"/>
            <w:tcBorders>
              <w:top w:val="nil"/>
              <w:left w:val="nil"/>
              <w:bottom w:val="single" w:sz="4" w:space="0" w:color="auto"/>
              <w:right w:val="single" w:sz="4" w:space="0" w:color="auto"/>
            </w:tcBorders>
            <w:shd w:val="clear" w:color="auto" w:fill="auto"/>
            <w:noWrap/>
            <w:vAlign w:val="bottom"/>
            <w:hideMark/>
          </w:tcPr>
          <w:p w14:paraId="6BEB8A03"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179</w:t>
            </w:r>
          </w:p>
        </w:tc>
        <w:tc>
          <w:tcPr>
            <w:tcW w:w="2920" w:type="dxa"/>
            <w:vMerge/>
            <w:tcBorders>
              <w:top w:val="nil"/>
              <w:left w:val="single" w:sz="4" w:space="0" w:color="auto"/>
              <w:bottom w:val="single" w:sz="4" w:space="0" w:color="000000"/>
              <w:right w:val="single" w:sz="4" w:space="0" w:color="auto"/>
            </w:tcBorders>
            <w:vAlign w:val="center"/>
            <w:hideMark/>
          </w:tcPr>
          <w:p w14:paraId="461A8B7A" w14:textId="77777777" w:rsidR="000B7B4A" w:rsidRPr="000B7B4A" w:rsidRDefault="000B7B4A" w:rsidP="000B7B4A">
            <w:pPr>
              <w:spacing w:after="0" w:line="240" w:lineRule="auto"/>
              <w:rPr>
                <w:rFonts w:ascii="Calibri" w:eastAsia="Times New Roman" w:hAnsi="Calibri" w:cs="Times New Roman"/>
                <w:color w:val="000000"/>
                <w:sz w:val="24"/>
                <w:szCs w:val="24"/>
              </w:rPr>
            </w:pPr>
          </w:p>
        </w:tc>
      </w:tr>
      <w:tr w:rsidR="000B7B4A" w:rsidRPr="000B7B4A" w14:paraId="10F7704D" w14:textId="77777777" w:rsidTr="00AC2C0E">
        <w:trPr>
          <w:trHeight w:val="315"/>
          <w:jc w:val="center"/>
        </w:trPr>
        <w:tc>
          <w:tcPr>
            <w:tcW w:w="1280" w:type="dxa"/>
            <w:tcBorders>
              <w:top w:val="nil"/>
              <w:left w:val="single" w:sz="4" w:space="0" w:color="auto"/>
              <w:bottom w:val="nil"/>
              <w:right w:val="single" w:sz="4" w:space="0" w:color="auto"/>
            </w:tcBorders>
            <w:shd w:val="clear" w:color="auto" w:fill="auto"/>
            <w:noWrap/>
            <w:vAlign w:val="bottom"/>
            <w:hideMark/>
          </w:tcPr>
          <w:p w14:paraId="6CD8F415" w14:textId="77777777" w:rsidR="000B7B4A" w:rsidRPr="000B7B4A" w:rsidRDefault="000B7B4A" w:rsidP="000B7B4A">
            <w:pPr>
              <w:spacing w:after="0" w:line="240" w:lineRule="auto"/>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9 Jan</w:t>
            </w:r>
          </w:p>
        </w:tc>
        <w:tc>
          <w:tcPr>
            <w:tcW w:w="1500" w:type="dxa"/>
            <w:tcBorders>
              <w:top w:val="nil"/>
              <w:left w:val="nil"/>
              <w:bottom w:val="nil"/>
              <w:right w:val="single" w:sz="4" w:space="0" w:color="auto"/>
            </w:tcBorders>
            <w:shd w:val="clear" w:color="auto" w:fill="auto"/>
            <w:noWrap/>
            <w:vAlign w:val="bottom"/>
            <w:hideMark/>
          </w:tcPr>
          <w:p w14:paraId="5A18B380"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3.1E+08</w:t>
            </w:r>
          </w:p>
        </w:tc>
        <w:tc>
          <w:tcPr>
            <w:tcW w:w="1500" w:type="dxa"/>
            <w:tcBorders>
              <w:top w:val="nil"/>
              <w:left w:val="nil"/>
              <w:bottom w:val="nil"/>
              <w:right w:val="single" w:sz="4" w:space="0" w:color="auto"/>
            </w:tcBorders>
            <w:shd w:val="clear" w:color="auto" w:fill="auto"/>
            <w:noWrap/>
            <w:vAlign w:val="bottom"/>
            <w:hideMark/>
          </w:tcPr>
          <w:p w14:paraId="00AB28AB"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554</w:t>
            </w:r>
          </w:p>
        </w:tc>
        <w:tc>
          <w:tcPr>
            <w:tcW w:w="1500" w:type="dxa"/>
            <w:tcBorders>
              <w:top w:val="nil"/>
              <w:left w:val="nil"/>
              <w:bottom w:val="nil"/>
              <w:right w:val="single" w:sz="4" w:space="0" w:color="auto"/>
            </w:tcBorders>
            <w:shd w:val="clear" w:color="auto" w:fill="auto"/>
            <w:noWrap/>
            <w:vAlign w:val="bottom"/>
            <w:hideMark/>
          </w:tcPr>
          <w:p w14:paraId="4143E291"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179</w:t>
            </w:r>
          </w:p>
        </w:tc>
        <w:tc>
          <w:tcPr>
            <w:tcW w:w="29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57A23A"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2.5E+08</w:t>
            </w:r>
          </w:p>
        </w:tc>
      </w:tr>
      <w:tr w:rsidR="000B7B4A" w:rsidRPr="000B7B4A" w14:paraId="06A49AAF" w14:textId="77777777" w:rsidTr="00AC2C0E">
        <w:trPr>
          <w:trHeight w:val="315"/>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7F9BFCA8" w14:textId="77777777" w:rsidR="000B7B4A" w:rsidRPr="000B7B4A" w:rsidRDefault="000B7B4A" w:rsidP="000B7B4A">
            <w:pPr>
              <w:spacing w:after="0" w:line="240" w:lineRule="auto"/>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10 Jan</w:t>
            </w:r>
          </w:p>
        </w:tc>
        <w:tc>
          <w:tcPr>
            <w:tcW w:w="1500" w:type="dxa"/>
            <w:tcBorders>
              <w:top w:val="nil"/>
              <w:left w:val="nil"/>
              <w:bottom w:val="single" w:sz="4" w:space="0" w:color="auto"/>
              <w:right w:val="single" w:sz="4" w:space="0" w:color="auto"/>
            </w:tcBorders>
            <w:shd w:val="clear" w:color="auto" w:fill="auto"/>
            <w:noWrap/>
            <w:vAlign w:val="bottom"/>
            <w:hideMark/>
          </w:tcPr>
          <w:p w14:paraId="1E38AC33"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5.6E+08</w:t>
            </w:r>
          </w:p>
        </w:tc>
        <w:tc>
          <w:tcPr>
            <w:tcW w:w="1500" w:type="dxa"/>
            <w:tcBorders>
              <w:top w:val="nil"/>
              <w:left w:val="nil"/>
              <w:bottom w:val="single" w:sz="4" w:space="0" w:color="auto"/>
              <w:right w:val="single" w:sz="4" w:space="0" w:color="auto"/>
            </w:tcBorders>
            <w:shd w:val="clear" w:color="auto" w:fill="auto"/>
            <w:noWrap/>
            <w:vAlign w:val="bottom"/>
            <w:hideMark/>
          </w:tcPr>
          <w:p w14:paraId="7F32DB0B"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817</w:t>
            </w:r>
          </w:p>
        </w:tc>
        <w:tc>
          <w:tcPr>
            <w:tcW w:w="1500" w:type="dxa"/>
            <w:tcBorders>
              <w:top w:val="nil"/>
              <w:left w:val="nil"/>
              <w:bottom w:val="single" w:sz="4" w:space="0" w:color="auto"/>
              <w:right w:val="single" w:sz="4" w:space="0" w:color="auto"/>
            </w:tcBorders>
            <w:shd w:val="clear" w:color="auto" w:fill="auto"/>
            <w:noWrap/>
            <w:vAlign w:val="bottom"/>
            <w:hideMark/>
          </w:tcPr>
          <w:p w14:paraId="5D0A2FE1"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218</w:t>
            </w:r>
          </w:p>
        </w:tc>
        <w:tc>
          <w:tcPr>
            <w:tcW w:w="2920" w:type="dxa"/>
            <w:vMerge/>
            <w:tcBorders>
              <w:top w:val="nil"/>
              <w:left w:val="single" w:sz="4" w:space="0" w:color="auto"/>
              <w:bottom w:val="single" w:sz="4" w:space="0" w:color="000000"/>
              <w:right w:val="single" w:sz="4" w:space="0" w:color="auto"/>
            </w:tcBorders>
            <w:vAlign w:val="center"/>
            <w:hideMark/>
          </w:tcPr>
          <w:p w14:paraId="6ADBA061" w14:textId="77777777" w:rsidR="000B7B4A" w:rsidRPr="000B7B4A" w:rsidRDefault="000B7B4A" w:rsidP="000B7B4A">
            <w:pPr>
              <w:spacing w:after="0" w:line="240" w:lineRule="auto"/>
              <w:rPr>
                <w:rFonts w:ascii="Calibri" w:eastAsia="Times New Roman" w:hAnsi="Calibri" w:cs="Times New Roman"/>
                <w:color w:val="000000"/>
                <w:sz w:val="24"/>
                <w:szCs w:val="24"/>
              </w:rPr>
            </w:pPr>
          </w:p>
        </w:tc>
      </w:tr>
      <w:tr w:rsidR="000B7B4A" w:rsidRPr="000B7B4A" w14:paraId="0FB5AC13" w14:textId="77777777" w:rsidTr="00AC2C0E">
        <w:trPr>
          <w:trHeight w:val="315"/>
          <w:jc w:val="center"/>
        </w:trPr>
        <w:tc>
          <w:tcPr>
            <w:tcW w:w="1280" w:type="dxa"/>
            <w:tcBorders>
              <w:top w:val="nil"/>
              <w:left w:val="single" w:sz="4" w:space="0" w:color="auto"/>
              <w:bottom w:val="nil"/>
              <w:right w:val="single" w:sz="4" w:space="0" w:color="auto"/>
            </w:tcBorders>
            <w:shd w:val="clear" w:color="auto" w:fill="auto"/>
            <w:noWrap/>
            <w:vAlign w:val="bottom"/>
            <w:hideMark/>
          </w:tcPr>
          <w:p w14:paraId="73CEDF59" w14:textId="77777777" w:rsidR="000B7B4A" w:rsidRPr="000B7B4A" w:rsidRDefault="000B7B4A" w:rsidP="000B7B4A">
            <w:pPr>
              <w:spacing w:after="0" w:line="240" w:lineRule="auto"/>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10 Jan</w:t>
            </w:r>
          </w:p>
        </w:tc>
        <w:tc>
          <w:tcPr>
            <w:tcW w:w="1500" w:type="dxa"/>
            <w:tcBorders>
              <w:top w:val="nil"/>
              <w:left w:val="nil"/>
              <w:bottom w:val="nil"/>
              <w:right w:val="single" w:sz="4" w:space="0" w:color="auto"/>
            </w:tcBorders>
            <w:shd w:val="clear" w:color="auto" w:fill="auto"/>
            <w:noWrap/>
            <w:vAlign w:val="bottom"/>
            <w:hideMark/>
          </w:tcPr>
          <w:p w14:paraId="625B46E0"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5.6E+08</w:t>
            </w:r>
          </w:p>
        </w:tc>
        <w:tc>
          <w:tcPr>
            <w:tcW w:w="1500" w:type="dxa"/>
            <w:tcBorders>
              <w:top w:val="nil"/>
              <w:left w:val="nil"/>
              <w:bottom w:val="nil"/>
              <w:right w:val="single" w:sz="4" w:space="0" w:color="auto"/>
            </w:tcBorders>
            <w:shd w:val="clear" w:color="auto" w:fill="auto"/>
            <w:noWrap/>
            <w:vAlign w:val="bottom"/>
            <w:hideMark/>
          </w:tcPr>
          <w:p w14:paraId="62BAEECB"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817</w:t>
            </w:r>
          </w:p>
        </w:tc>
        <w:tc>
          <w:tcPr>
            <w:tcW w:w="1500" w:type="dxa"/>
            <w:tcBorders>
              <w:top w:val="nil"/>
              <w:left w:val="nil"/>
              <w:bottom w:val="nil"/>
              <w:right w:val="single" w:sz="4" w:space="0" w:color="auto"/>
            </w:tcBorders>
            <w:shd w:val="clear" w:color="auto" w:fill="auto"/>
            <w:noWrap/>
            <w:vAlign w:val="bottom"/>
            <w:hideMark/>
          </w:tcPr>
          <w:p w14:paraId="3867BF68"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218</w:t>
            </w:r>
          </w:p>
        </w:tc>
        <w:tc>
          <w:tcPr>
            <w:tcW w:w="29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26D491"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2.1E+08</w:t>
            </w:r>
          </w:p>
        </w:tc>
      </w:tr>
      <w:tr w:rsidR="000B7B4A" w:rsidRPr="000B7B4A" w14:paraId="29361587" w14:textId="77777777" w:rsidTr="00AC2C0E">
        <w:trPr>
          <w:trHeight w:val="315"/>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47970FDF" w14:textId="77777777" w:rsidR="000B7B4A" w:rsidRPr="000B7B4A" w:rsidRDefault="000B7B4A" w:rsidP="000B7B4A">
            <w:pPr>
              <w:spacing w:after="0" w:line="240" w:lineRule="auto"/>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11 Jan</w:t>
            </w:r>
          </w:p>
        </w:tc>
        <w:tc>
          <w:tcPr>
            <w:tcW w:w="1500" w:type="dxa"/>
            <w:tcBorders>
              <w:top w:val="nil"/>
              <w:left w:val="nil"/>
              <w:bottom w:val="single" w:sz="4" w:space="0" w:color="auto"/>
              <w:right w:val="single" w:sz="4" w:space="0" w:color="auto"/>
            </w:tcBorders>
            <w:shd w:val="clear" w:color="auto" w:fill="auto"/>
            <w:noWrap/>
            <w:vAlign w:val="bottom"/>
            <w:hideMark/>
          </w:tcPr>
          <w:p w14:paraId="0948B5FB"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7.6E+08</w:t>
            </w:r>
          </w:p>
        </w:tc>
        <w:tc>
          <w:tcPr>
            <w:tcW w:w="1500" w:type="dxa"/>
            <w:tcBorders>
              <w:top w:val="nil"/>
              <w:left w:val="nil"/>
              <w:bottom w:val="single" w:sz="4" w:space="0" w:color="auto"/>
              <w:right w:val="single" w:sz="4" w:space="0" w:color="auto"/>
            </w:tcBorders>
            <w:shd w:val="clear" w:color="auto" w:fill="auto"/>
            <w:noWrap/>
            <w:vAlign w:val="bottom"/>
            <w:hideMark/>
          </w:tcPr>
          <w:p w14:paraId="457A1B1A"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1040</w:t>
            </w:r>
          </w:p>
        </w:tc>
        <w:tc>
          <w:tcPr>
            <w:tcW w:w="1500" w:type="dxa"/>
            <w:tcBorders>
              <w:top w:val="nil"/>
              <w:left w:val="nil"/>
              <w:bottom w:val="single" w:sz="4" w:space="0" w:color="auto"/>
              <w:right w:val="single" w:sz="4" w:space="0" w:color="auto"/>
            </w:tcBorders>
            <w:shd w:val="clear" w:color="auto" w:fill="auto"/>
            <w:noWrap/>
            <w:vAlign w:val="bottom"/>
            <w:hideMark/>
          </w:tcPr>
          <w:p w14:paraId="786E81C5"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234</w:t>
            </w:r>
          </w:p>
        </w:tc>
        <w:tc>
          <w:tcPr>
            <w:tcW w:w="2920" w:type="dxa"/>
            <w:vMerge/>
            <w:tcBorders>
              <w:top w:val="nil"/>
              <w:left w:val="single" w:sz="4" w:space="0" w:color="auto"/>
              <w:bottom w:val="single" w:sz="4" w:space="0" w:color="000000"/>
              <w:right w:val="single" w:sz="4" w:space="0" w:color="auto"/>
            </w:tcBorders>
            <w:vAlign w:val="center"/>
            <w:hideMark/>
          </w:tcPr>
          <w:p w14:paraId="42754DCA" w14:textId="77777777" w:rsidR="000B7B4A" w:rsidRPr="000B7B4A" w:rsidRDefault="000B7B4A" w:rsidP="000B7B4A">
            <w:pPr>
              <w:spacing w:after="0" w:line="240" w:lineRule="auto"/>
              <w:rPr>
                <w:rFonts w:ascii="Calibri" w:eastAsia="Times New Roman" w:hAnsi="Calibri" w:cs="Times New Roman"/>
                <w:color w:val="000000"/>
                <w:sz w:val="24"/>
                <w:szCs w:val="24"/>
              </w:rPr>
            </w:pPr>
          </w:p>
        </w:tc>
      </w:tr>
      <w:tr w:rsidR="000B7B4A" w:rsidRPr="000B7B4A" w14:paraId="587BB040" w14:textId="77777777" w:rsidTr="00AC2C0E">
        <w:trPr>
          <w:trHeight w:val="315"/>
          <w:jc w:val="center"/>
        </w:trPr>
        <w:tc>
          <w:tcPr>
            <w:tcW w:w="1280" w:type="dxa"/>
            <w:tcBorders>
              <w:top w:val="nil"/>
              <w:left w:val="single" w:sz="4" w:space="0" w:color="auto"/>
              <w:bottom w:val="nil"/>
              <w:right w:val="single" w:sz="4" w:space="0" w:color="auto"/>
            </w:tcBorders>
            <w:shd w:val="clear" w:color="auto" w:fill="auto"/>
            <w:noWrap/>
            <w:vAlign w:val="bottom"/>
            <w:hideMark/>
          </w:tcPr>
          <w:p w14:paraId="1AE4990A" w14:textId="77777777" w:rsidR="000B7B4A" w:rsidRPr="000B7B4A" w:rsidRDefault="000B7B4A" w:rsidP="000B7B4A">
            <w:pPr>
              <w:spacing w:after="0" w:line="240" w:lineRule="auto"/>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11 Jan</w:t>
            </w:r>
          </w:p>
        </w:tc>
        <w:tc>
          <w:tcPr>
            <w:tcW w:w="1500" w:type="dxa"/>
            <w:tcBorders>
              <w:top w:val="nil"/>
              <w:left w:val="nil"/>
              <w:bottom w:val="nil"/>
              <w:right w:val="single" w:sz="4" w:space="0" w:color="auto"/>
            </w:tcBorders>
            <w:shd w:val="clear" w:color="auto" w:fill="auto"/>
            <w:noWrap/>
            <w:vAlign w:val="bottom"/>
            <w:hideMark/>
          </w:tcPr>
          <w:p w14:paraId="4ECFC290"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7.6E+08</w:t>
            </w:r>
          </w:p>
        </w:tc>
        <w:tc>
          <w:tcPr>
            <w:tcW w:w="1500" w:type="dxa"/>
            <w:tcBorders>
              <w:top w:val="nil"/>
              <w:left w:val="nil"/>
              <w:bottom w:val="nil"/>
              <w:right w:val="single" w:sz="4" w:space="0" w:color="auto"/>
            </w:tcBorders>
            <w:shd w:val="clear" w:color="auto" w:fill="auto"/>
            <w:noWrap/>
            <w:vAlign w:val="bottom"/>
            <w:hideMark/>
          </w:tcPr>
          <w:p w14:paraId="1367F56B"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1040</w:t>
            </w:r>
          </w:p>
        </w:tc>
        <w:tc>
          <w:tcPr>
            <w:tcW w:w="1500" w:type="dxa"/>
            <w:tcBorders>
              <w:top w:val="nil"/>
              <w:left w:val="nil"/>
              <w:bottom w:val="nil"/>
              <w:right w:val="single" w:sz="4" w:space="0" w:color="auto"/>
            </w:tcBorders>
            <w:shd w:val="clear" w:color="auto" w:fill="auto"/>
            <w:noWrap/>
            <w:vAlign w:val="bottom"/>
            <w:hideMark/>
          </w:tcPr>
          <w:p w14:paraId="163EBAF4"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234</w:t>
            </w:r>
          </w:p>
        </w:tc>
        <w:tc>
          <w:tcPr>
            <w:tcW w:w="29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96D524"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-2.1E+08</w:t>
            </w:r>
          </w:p>
        </w:tc>
      </w:tr>
      <w:tr w:rsidR="000B7B4A" w:rsidRPr="000B7B4A" w14:paraId="32FD7AC6" w14:textId="77777777" w:rsidTr="00AC2C0E">
        <w:trPr>
          <w:trHeight w:val="315"/>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C256FED" w14:textId="77777777" w:rsidR="000B7B4A" w:rsidRPr="000B7B4A" w:rsidRDefault="000B7B4A" w:rsidP="000B7B4A">
            <w:pPr>
              <w:spacing w:after="0" w:line="240" w:lineRule="auto"/>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12 Jan</w:t>
            </w:r>
          </w:p>
        </w:tc>
        <w:tc>
          <w:tcPr>
            <w:tcW w:w="1500" w:type="dxa"/>
            <w:tcBorders>
              <w:top w:val="nil"/>
              <w:left w:val="nil"/>
              <w:bottom w:val="single" w:sz="4" w:space="0" w:color="auto"/>
              <w:right w:val="single" w:sz="4" w:space="0" w:color="auto"/>
            </w:tcBorders>
            <w:shd w:val="clear" w:color="auto" w:fill="auto"/>
            <w:noWrap/>
            <w:vAlign w:val="bottom"/>
            <w:hideMark/>
          </w:tcPr>
          <w:p w14:paraId="6343A76B"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5.5E+08</w:t>
            </w:r>
          </w:p>
        </w:tc>
        <w:tc>
          <w:tcPr>
            <w:tcW w:w="1500" w:type="dxa"/>
            <w:tcBorders>
              <w:top w:val="nil"/>
              <w:left w:val="nil"/>
              <w:bottom w:val="single" w:sz="4" w:space="0" w:color="auto"/>
              <w:right w:val="single" w:sz="4" w:space="0" w:color="auto"/>
            </w:tcBorders>
            <w:shd w:val="clear" w:color="auto" w:fill="auto"/>
            <w:noWrap/>
            <w:vAlign w:val="bottom"/>
            <w:hideMark/>
          </w:tcPr>
          <w:p w14:paraId="357AA949"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918</w:t>
            </w:r>
          </w:p>
        </w:tc>
        <w:tc>
          <w:tcPr>
            <w:tcW w:w="1500" w:type="dxa"/>
            <w:tcBorders>
              <w:top w:val="nil"/>
              <w:left w:val="nil"/>
              <w:bottom w:val="single" w:sz="4" w:space="0" w:color="auto"/>
              <w:right w:val="single" w:sz="4" w:space="0" w:color="auto"/>
            </w:tcBorders>
            <w:shd w:val="clear" w:color="auto" w:fill="auto"/>
            <w:noWrap/>
            <w:vAlign w:val="bottom"/>
            <w:hideMark/>
          </w:tcPr>
          <w:p w14:paraId="3DBD2133"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192</w:t>
            </w:r>
          </w:p>
        </w:tc>
        <w:tc>
          <w:tcPr>
            <w:tcW w:w="2920" w:type="dxa"/>
            <w:vMerge/>
            <w:tcBorders>
              <w:top w:val="nil"/>
              <w:left w:val="single" w:sz="4" w:space="0" w:color="auto"/>
              <w:bottom w:val="single" w:sz="4" w:space="0" w:color="000000"/>
              <w:right w:val="single" w:sz="4" w:space="0" w:color="auto"/>
            </w:tcBorders>
            <w:vAlign w:val="center"/>
            <w:hideMark/>
          </w:tcPr>
          <w:p w14:paraId="1BAF668A" w14:textId="77777777" w:rsidR="000B7B4A" w:rsidRPr="000B7B4A" w:rsidRDefault="000B7B4A" w:rsidP="000B7B4A">
            <w:pPr>
              <w:spacing w:after="0" w:line="240" w:lineRule="auto"/>
              <w:rPr>
                <w:rFonts w:ascii="Calibri" w:eastAsia="Times New Roman" w:hAnsi="Calibri" w:cs="Times New Roman"/>
                <w:color w:val="000000"/>
                <w:sz w:val="24"/>
                <w:szCs w:val="24"/>
              </w:rPr>
            </w:pPr>
          </w:p>
        </w:tc>
      </w:tr>
      <w:tr w:rsidR="000B7B4A" w:rsidRPr="000B7B4A" w14:paraId="6EA7EF62" w14:textId="77777777" w:rsidTr="00AC2C0E">
        <w:trPr>
          <w:trHeight w:val="315"/>
          <w:jc w:val="center"/>
        </w:trPr>
        <w:tc>
          <w:tcPr>
            <w:tcW w:w="1280" w:type="dxa"/>
            <w:tcBorders>
              <w:top w:val="nil"/>
              <w:left w:val="single" w:sz="4" w:space="0" w:color="auto"/>
              <w:bottom w:val="nil"/>
              <w:right w:val="single" w:sz="4" w:space="0" w:color="auto"/>
            </w:tcBorders>
            <w:shd w:val="clear" w:color="auto" w:fill="auto"/>
            <w:noWrap/>
            <w:vAlign w:val="bottom"/>
            <w:hideMark/>
          </w:tcPr>
          <w:p w14:paraId="415BD213" w14:textId="77777777" w:rsidR="000B7B4A" w:rsidRPr="000B7B4A" w:rsidRDefault="000B7B4A" w:rsidP="000B7B4A">
            <w:pPr>
              <w:spacing w:after="0" w:line="240" w:lineRule="auto"/>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12 Jan</w:t>
            </w:r>
          </w:p>
        </w:tc>
        <w:tc>
          <w:tcPr>
            <w:tcW w:w="1500" w:type="dxa"/>
            <w:tcBorders>
              <w:top w:val="nil"/>
              <w:left w:val="nil"/>
              <w:bottom w:val="nil"/>
              <w:right w:val="single" w:sz="4" w:space="0" w:color="auto"/>
            </w:tcBorders>
            <w:shd w:val="clear" w:color="auto" w:fill="auto"/>
            <w:noWrap/>
            <w:vAlign w:val="bottom"/>
            <w:hideMark/>
          </w:tcPr>
          <w:p w14:paraId="7A96FC10"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5.5E+08</w:t>
            </w:r>
          </w:p>
        </w:tc>
        <w:tc>
          <w:tcPr>
            <w:tcW w:w="1500" w:type="dxa"/>
            <w:tcBorders>
              <w:top w:val="nil"/>
              <w:left w:val="nil"/>
              <w:bottom w:val="nil"/>
              <w:right w:val="single" w:sz="4" w:space="0" w:color="auto"/>
            </w:tcBorders>
            <w:shd w:val="clear" w:color="auto" w:fill="auto"/>
            <w:noWrap/>
            <w:vAlign w:val="bottom"/>
            <w:hideMark/>
          </w:tcPr>
          <w:p w14:paraId="0D50F7DD"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918</w:t>
            </w:r>
          </w:p>
        </w:tc>
        <w:tc>
          <w:tcPr>
            <w:tcW w:w="1500" w:type="dxa"/>
            <w:tcBorders>
              <w:top w:val="nil"/>
              <w:left w:val="nil"/>
              <w:bottom w:val="nil"/>
              <w:right w:val="single" w:sz="4" w:space="0" w:color="auto"/>
            </w:tcBorders>
            <w:shd w:val="clear" w:color="auto" w:fill="auto"/>
            <w:noWrap/>
            <w:vAlign w:val="bottom"/>
            <w:hideMark/>
          </w:tcPr>
          <w:p w14:paraId="76418B1C"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192</w:t>
            </w:r>
          </w:p>
        </w:tc>
        <w:tc>
          <w:tcPr>
            <w:tcW w:w="29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B82A95B"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-4.0E+07</w:t>
            </w:r>
          </w:p>
        </w:tc>
      </w:tr>
      <w:tr w:rsidR="000B7B4A" w:rsidRPr="000B7B4A" w14:paraId="1E1CA21F" w14:textId="77777777" w:rsidTr="00AC2C0E">
        <w:trPr>
          <w:trHeight w:val="315"/>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3B976EF3" w14:textId="77777777" w:rsidR="000B7B4A" w:rsidRPr="000B7B4A" w:rsidRDefault="000B7B4A" w:rsidP="000B7B4A">
            <w:pPr>
              <w:spacing w:after="0" w:line="240" w:lineRule="auto"/>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13 Jan</w:t>
            </w:r>
          </w:p>
        </w:tc>
        <w:tc>
          <w:tcPr>
            <w:tcW w:w="1500" w:type="dxa"/>
            <w:tcBorders>
              <w:top w:val="nil"/>
              <w:left w:val="nil"/>
              <w:bottom w:val="single" w:sz="4" w:space="0" w:color="auto"/>
              <w:right w:val="single" w:sz="4" w:space="0" w:color="auto"/>
            </w:tcBorders>
            <w:shd w:val="clear" w:color="auto" w:fill="auto"/>
            <w:noWrap/>
            <w:vAlign w:val="bottom"/>
            <w:hideMark/>
          </w:tcPr>
          <w:p w14:paraId="3B882CEE"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5.1E+08</w:t>
            </w:r>
          </w:p>
        </w:tc>
        <w:tc>
          <w:tcPr>
            <w:tcW w:w="1500" w:type="dxa"/>
            <w:tcBorders>
              <w:top w:val="nil"/>
              <w:left w:val="nil"/>
              <w:bottom w:val="single" w:sz="4" w:space="0" w:color="auto"/>
              <w:right w:val="single" w:sz="4" w:space="0" w:color="auto"/>
            </w:tcBorders>
            <w:shd w:val="clear" w:color="auto" w:fill="auto"/>
            <w:noWrap/>
            <w:vAlign w:val="bottom"/>
            <w:hideMark/>
          </w:tcPr>
          <w:p w14:paraId="72307954"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982</w:t>
            </w:r>
          </w:p>
        </w:tc>
        <w:tc>
          <w:tcPr>
            <w:tcW w:w="1500" w:type="dxa"/>
            <w:tcBorders>
              <w:top w:val="nil"/>
              <w:left w:val="nil"/>
              <w:bottom w:val="single" w:sz="4" w:space="0" w:color="auto"/>
              <w:right w:val="single" w:sz="4" w:space="0" w:color="auto"/>
            </w:tcBorders>
            <w:shd w:val="clear" w:color="auto" w:fill="auto"/>
            <w:noWrap/>
            <w:vAlign w:val="bottom"/>
            <w:hideMark/>
          </w:tcPr>
          <w:p w14:paraId="48AB87AC"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166</w:t>
            </w:r>
          </w:p>
        </w:tc>
        <w:tc>
          <w:tcPr>
            <w:tcW w:w="2920" w:type="dxa"/>
            <w:vMerge/>
            <w:tcBorders>
              <w:top w:val="nil"/>
              <w:left w:val="single" w:sz="4" w:space="0" w:color="auto"/>
              <w:bottom w:val="single" w:sz="4" w:space="0" w:color="000000"/>
              <w:right w:val="single" w:sz="4" w:space="0" w:color="auto"/>
            </w:tcBorders>
            <w:vAlign w:val="center"/>
            <w:hideMark/>
          </w:tcPr>
          <w:p w14:paraId="7780AA92" w14:textId="77777777" w:rsidR="000B7B4A" w:rsidRPr="000B7B4A" w:rsidRDefault="000B7B4A" w:rsidP="000B7B4A">
            <w:pPr>
              <w:spacing w:after="0" w:line="240" w:lineRule="auto"/>
              <w:rPr>
                <w:rFonts w:ascii="Calibri" w:eastAsia="Times New Roman" w:hAnsi="Calibri" w:cs="Times New Roman"/>
                <w:color w:val="000000"/>
                <w:sz w:val="24"/>
                <w:szCs w:val="24"/>
              </w:rPr>
            </w:pPr>
          </w:p>
        </w:tc>
      </w:tr>
      <w:tr w:rsidR="000B7B4A" w:rsidRPr="000B7B4A" w14:paraId="624016FB" w14:textId="77777777" w:rsidTr="00AC2C0E">
        <w:trPr>
          <w:trHeight w:val="315"/>
          <w:jc w:val="center"/>
        </w:trPr>
        <w:tc>
          <w:tcPr>
            <w:tcW w:w="1280" w:type="dxa"/>
            <w:tcBorders>
              <w:top w:val="nil"/>
              <w:left w:val="single" w:sz="4" w:space="0" w:color="auto"/>
              <w:bottom w:val="nil"/>
              <w:right w:val="single" w:sz="4" w:space="0" w:color="auto"/>
            </w:tcBorders>
            <w:shd w:val="clear" w:color="auto" w:fill="auto"/>
            <w:noWrap/>
            <w:vAlign w:val="bottom"/>
            <w:hideMark/>
          </w:tcPr>
          <w:p w14:paraId="4B843523" w14:textId="77777777" w:rsidR="000B7B4A" w:rsidRPr="000B7B4A" w:rsidRDefault="000B7B4A" w:rsidP="000B7B4A">
            <w:pPr>
              <w:spacing w:after="0" w:line="240" w:lineRule="auto"/>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13 Jan</w:t>
            </w:r>
          </w:p>
        </w:tc>
        <w:tc>
          <w:tcPr>
            <w:tcW w:w="1500" w:type="dxa"/>
            <w:tcBorders>
              <w:top w:val="nil"/>
              <w:left w:val="nil"/>
              <w:bottom w:val="nil"/>
              <w:right w:val="single" w:sz="4" w:space="0" w:color="auto"/>
            </w:tcBorders>
            <w:shd w:val="clear" w:color="auto" w:fill="auto"/>
            <w:noWrap/>
            <w:vAlign w:val="bottom"/>
            <w:hideMark/>
          </w:tcPr>
          <w:p w14:paraId="29F74A32"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5.1E+08</w:t>
            </w:r>
          </w:p>
        </w:tc>
        <w:tc>
          <w:tcPr>
            <w:tcW w:w="1500" w:type="dxa"/>
            <w:tcBorders>
              <w:top w:val="nil"/>
              <w:left w:val="nil"/>
              <w:bottom w:val="nil"/>
              <w:right w:val="single" w:sz="4" w:space="0" w:color="auto"/>
            </w:tcBorders>
            <w:shd w:val="clear" w:color="auto" w:fill="auto"/>
            <w:noWrap/>
            <w:vAlign w:val="bottom"/>
            <w:hideMark/>
          </w:tcPr>
          <w:p w14:paraId="0EE628C6"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982</w:t>
            </w:r>
          </w:p>
        </w:tc>
        <w:tc>
          <w:tcPr>
            <w:tcW w:w="1500" w:type="dxa"/>
            <w:tcBorders>
              <w:top w:val="nil"/>
              <w:left w:val="nil"/>
              <w:bottom w:val="nil"/>
              <w:right w:val="single" w:sz="4" w:space="0" w:color="auto"/>
            </w:tcBorders>
            <w:shd w:val="clear" w:color="auto" w:fill="auto"/>
            <w:noWrap/>
            <w:vAlign w:val="bottom"/>
            <w:hideMark/>
          </w:tcPr>
          <w:p w14:paraId="2EB6E7C8"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166</w:t>
            </w:r>
          </w:p>
        </w:tc>
        <w:tc>
          <w:tcPr>
            <w:tcW w:w="29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E6B1CF"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1.1E+09</w:t>
            </w:r>
          </w:p>
        </w:tc>
      </w:tr>
      <w:tr w:rsidR="000B7B4A" w:rsidRPr="000B7B4A" w14:paraId="274A89D2" w14:textId="77777777" w:rsidTr="00AC2C0E">
        <w:trPr>
          <w:trHeight w:val="315"/>
          <w:jc w:val="center"/>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4FBE91A5" w14:textId="77777777" w:rsidR="000B7B4A" w:rsidRPr="000B7B4A" w:rsidRDefault="000B7B4A" w:rsidP="000B7B4A">
            <w:pPr>
              <w:spacing w:after="0" w:line="240" w:lineRule="auto"/>
              <w:rPr>
                <w:rFonts w:ascii="Calibri" w:eastAsia="Times New Roman" w:hAnsi="Calibri" w:cs="Times New Roman"/>
                <w:b/>
                <w:bCs/>
                <w:color w:val="000000"/>
                <w:sz w:val="24"/>
                <w:szCs w:val="24"/>
              </w:rPr>
            </w:pPr>
            <w:r w:rsidRPr="000B7B4A">
              <w:rPr>
                <w:rFonts w:ascii="Calibri" w:eastAsia="Times New Roman" w:hAnsi="Calibri" w:cs="Times New Roman"/>
                <w:b/>
                <w:bCs/>
                <w:color w:val="000000"/>
                <w:sz w:val="24"/>
                <w:szCs w:val="24"/>
              </w:rPr>
              <w:t>14 Jan</w:t>
            </w:r>
          </w:p>
        </w:tc>
        <w:tc>
          <w:tcPr>
            <w:tcW w:w="1500" w:type="dxa"/>
            <w:tcBorders>
              <w:top w:val="nil"/>
              <w:left w:val="nil"/>
              <w:bottom w:val="single" w:sz="4" w:space="0" w:color="auto"/>
              <w:right w:val="single" w:sz="4" w:space="0" w:color="auto"/>
            </w:tcBorders>
            <w:shd w:val="clear" w:color="auto" w:fill="auto"/>
            <w:noWrap/>
            <w:vAlign w:val="bottom"/>
            <w:hideMark/>
          </w:tcPr>
          <w:p w14:paraId="5CE64773"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1.6E+09</w:t>
            </w:r>
          </w:p>
        </w:tc>
        <w:tc>
          <w:tcPr>
            <w:tcW w:w="1500" w:type="dxa"/>
            <w:tcBorders>
              <w:top w:val="nil"/>
              <w:left w:val="nil"/>
              <w:bottom w:val="single" w:sz="4" w:space="0" w:color="auto"/>
              <w:right w:val="single" w:sz="4" w:space="0" w:color="auto"/>
            </w:tcBorders>
            <w:shd w:val="clear" w:color="auto" w:fill="auto"/>
            <w:noWrap/>
            <w:vAlign w:val="bottom"/>
            <w:hideMark/>
          </w:tcPr>
          <w:p w14:paraId="094FDED2"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1215</w:t>
            </w:r>
          </w:p>
        </w:tc>
        <w:tc>
          <w:tcPr>
            <w:tcW w:w="1500" w:type="dxa"/>
            <w:tcBorders>
              <w:top w:val="nil"/>
              <w:left w:val="nil"/>
              <w:bottom w:val="single" w:sz="4" w:space="0" w:color="auto"/>
              <w:right w:val="single" w:sz="4" w:space="0" w:color="auto"/>
            </w:tcBorders>
            <w:shd w:val="clear" w:color="auto" w:fill="auto"/>
            <w:noWrap/>
            <w:vAlign w:val="bottom"/>
            <w:hideMark/>
          </w:tcPr>
          <w:p w14:paraId="5823E22C" w14:textId="77777777" w:rsidR="000B7B4A" w:rsidRPr="000B7B4A" w:rsidRDefault="000B7B4A" w:rsidP="000B7B4A">
            <w:pPr>
              <w:spacing w:after="0" w:line="240" w:lineRule="auto"/>
              <w:jc w:val="center"/>
              <w:rPr>
                <w:rFonts w:ascii="Calibri" w:eastAsia="Times New Roman" w:hAnsi="Calibri" w:cs="Times New Roman"/>
                <w:color w:val="000000"/>
                <w:sz w:val="24"/>
                <w:szCs w:val="24"/>
              </w:rPr>
            </w:pPr>
            <w:r w:rsidRPr="000B7B4A">
              <w:rPr>
                <w:rFonts w:ascii="Calibri" w:eastAsia="Times New Roman" w:hAnsi="Calibri" w:cs="Times New Roman"/>
                <w:color w:val="000000"/>
                <w:sz w:val="24"/>
                <w:szCs w:val="24"/>
              </w:rPr>
              <w:t>429</w:t>
            </w:r>
          </w:p>
        </w:tc>
        <w:tc>
          <w:tcPr>
            <w:tcW w:w="2920" w:type="dxa"/>
            <w:vMerge/>
            <w:tcBorders>
              <w:top w:val="nil"/>
              <w:left w:val="single" w:sz="4" w:space="0" w:color="auto"/>
              <w:bottom w:val="single" w:sz="4" w:space="0" w:color="000000"/>
              <w:right w:val="single" w:sz="4" w:space="0" w:color="auto"/>
            </w:tcBorders>
            <w:vAlign w:val="center"/>
            <w:hideMark/>
          </w:tcPr>
          <w:p w14:paraId="73A8A18D" w14:textId="77777777" w:rsidR="000B7B4A" w:rsidRPr="000B7B4A" w:rsidRDefault="000B7B4A" w:rsidP="000B7B4A">
            <w:pPr>
              <w:spacing w:after="0" w:line="240" w:lineRule="auto"/>
              <w:rPr>
                <w:rFonts w:ascii="Calibri" w:eastAsia="Times New Roman" w:hAnsi="Calibri" w:cs="Times New Roman"/>
                <w:color w:val="000000"/>
                <w:sz w:val="24"/>
                <w:szCs w:val="24"/>
              </w:rPr>
            </w:pPr>
          </w:p>
        </w:tc>
      </w:tr>
    </w:tbl>
    <w:p w14:paraId="5277FCE7" w14:textId="77777777" w:rsidR="00BA0C82" w:rsidRDefault="00BA0C82" w:rsidP="00BA0C82">
      <w:pPr>
        <w:spacing w:line="480" w:lineRule="auto"/>
        <w:jc w:val="center"/>
        <w:rPr>
          <w:sz w:val="24"/>
        </w:rPr>
      </w:pPr>
    </w:p>
    <w:p w14:paraId="602E0734" w14:textId="75BE4192" w:rsidR="00BA0C82" w:rsidRDefault="00FD4126" w:rsidP="00BA0C82">
      <w:pPr>
        <w:spacing w:line="480" w:lineRule="auto"/>
        <w:jc w:val="center"/>
        <w:rPr>
          <w:sz w:val="24"/>
        </w:rPr>
      </w:pPr>
      <w:r>
        <w:rPr>
          <w:noProof/>
          <w:sz w:val="24"/>
        </w:rPr>
        <w:lastRenderedPageBreak/>
        <w:drawing>
          <wp:inline distT="0" distB="0" distL="0" distR="0" wp14:anchorId="7327A496" wp14:editId="199CB51D">
            <wp:extent cx="4048125" cy="61722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SG_SDE_PNG.png"/>
                    <pic:cNvPicPr/>
                  </pic:nvPicPr>
                  <pic:blipFill rotWithShape="1">
                    <a:blip r:embed="rId20">
                      <a:extLst>
                        <a:ext uri="{28A0092B-C50C-407E-A947-70E740481C1C}">
                          <a14:useLocalDpi xmlns:a14="http://schemas.microsoft.com/office/drawing/2010/main" val="0"/>
                        </a:ext>
                      </a:extLst>
                    </a:blip>
                    <a:srcRect l="3086" t="3588" r="9465" b="21412"/>
                    <a:stretch/>
                  </pic:blipFill>
                  <pic:spPr bwMode="auto">
                    <a:xfrm>
                      <a:off x="0" y="0"/>
                      <a:ext cx="4048125" cy="6172200"/>
                    </a:xfrm>
                    <a:prstGeom prst="rect">
                      <a:avLst/>
                    </a:prstGeom>
                    <a:ln>
                      <a:noFill/>
                    </a:ln>
                    <a:extLst>
                      <a:ext uri="{53640926-AAD7-44D8-BBD7-CCE9431645EC}">
                        <a14:shadowObscured xmlns:a14="http://schemas.microsoft.com/office/drawing/2010/main"/>
                      </a:ext>
                    </a:extLst>
                  </pic:spPr>
                </pic:pic>
              </a:graphicData>
            </a:graphic>
          </wp:inline>
        </w:drawing>
      </w:r>
    </w:p>
    <w:p w14:paraId="60D73533" w14:textId="26F2B8D6" w:rsidR="00BA0C82" w:rsidRDefault="005158F1" w:rsidP="00BA0C82">
      <w:pPr>
        <w:spacing w:line="480" w:lineRule="auto"/>
        <w:rPr>
          <w:sz w:val="24"/>
        </w:rPr>
      </w:pPr>
      <w:r>
        <w:rPr>
          <w:b/>
          <w:sz w:val="24"/>
        </w:rPr>
        <w:fldChar w:fldCharType="begin"/>
      </w:r>
      <w:r>
        <w:rPr>
          <w:b/>
          <w:sz w:val="24"/>
        </w:rPr>
        <w:instrText xml:space="preserve"> TC  "</w:instrText>
      </w:r>
      <w:bookmarkStart w:id="43" w:name="_Toc56898500"/>
      <w:r>
        <w:rPr>
          <w:b/>
          <w:sz w:val="24"/>
        </w:rPr>
        <w:instrText>Figure 1</w:instrText>
      </w:r>
      <w:r w:rsidR="004679B5">
        <w:rPr>
          <w:b/>
          <w:sz w:val="24"/>
        </w:rPr>
        <w:instrText>2</w:instrText>
      </w:r>
      <w:r w:rsidR="003C50F1">
        <w:rPr>
          <w:b/>
          <w:sz w:val="24"/>
        </w:rPr>
        <w:instrText>: WSG SDE maps</w:instrText>
      </w:r>
      <w:bookmarkEnd w:id="43"/>
      <w:r>
        <w:rPr>
          <w:b/>
          <w:sz w:val="24"/>
        </w:rPr>
        <w:instrText xml:space="preserve">" \f f \l 1 </w:instrText>
      </w:r>
      <w:r>
        <w:rPr>
          <w:b/>
          <w:sz w:val="24"/>
        </w:rPr>
        <w:fldChar w:fldCharType="end"/>
      </w:r>
      <w:r w:rsidR="004679B5">
        <w:rPr>
          <w:b/>
          <w:sz w:val="24"/>
        </w:rPr>
        <w:t>Figure 12</w:t>
      </w:r>
      <w:r w:rsidR="00BA0C82">
        <w:rPr>
          <w:b/>
          <w:sz w:val="24"/>
        </w:rPr>
        <w:t xml:space="preserve">: </w:t>
      </w:r>
      <w:r w:rsidR="003C50F1">
        <w:rPr>
          <w:sz w:val="24"/>
        </w:rPr>
        <w:t xml:space="preserve">WSG SDE maps. </w:t>
      </w:r>
      <w:r w:rsidR="00BA0C82">
        <w:rPr>
          <w:sz w:val="24"/>
        </w:rPr>
        <w:t>WSG SDE map for 7 January (a), 8 January (b), 9 January (c), 10 January (d), 11 January (e), 12 January (f), 13 January (g), 14 January (h) 2019 where blue points are tweets</w:t>
      </w:r>
      <w:r w:rsidR="007817A8">
        <w:rPr>
          <w:sz w:val="24"/>
        </w:rPr>
        <w:t>, purple polygons are SDEs, and purple points are mean center locations.</w:t>
      </w:r>
    </w:p>
    <w:p w14:paraId="47CA15DB" w14:textId="77777777" w:rsidR="00F92E99" w:rsidRDefault="00F92E99" w:rsidP="00BA0C82">
      <w:pPr>
        <w:spacing w:line="480" w:lineRule="auto"/>
        <w:rPr>
          <w:sz w:val="24"/>
        </w:rPr>
      </w:pPr>
    </w:p>
    <w:p w14:paraId="7AD0C747" w14:textId="77777777" w:rsidR="00F92E99" w:rsidRPr="00321620" w:rsidRDefault="00F92E99" w:rsidP="00F92E99">
      <w:pPr>
        <w:spacing w:line="480" w:lineRule="auto"/>
        <w:rPr>
          <w:sz w:val="24"/>
        </w:rPr>
      </w:pPr>
      <w:r w:rsidRPr="006E3F82">
        <w:rPr>
          <w:b/>
          <w:sz w:val="24"/>
        </w:rPr>
        <w:lastRenderedPageBreak/>
        <w:fldChar w:fldCharType="begin"/>
      </w:r>
      <w:r w:rsidRPr="006E3F82">
        <w:rPr>
          <w:b/>
          <w:sz w:val="24"/>
        </w:rPr>
        <w:instrText xml:space="preserve"> TC  "</w:instrText>
      </w:r>
      <w:bookmarkStart w:id="44" w:name="_Toc56898443"/>
      <w:r w:rsidRPr="006E3F82">
        <w:rPr>
          <w:b/>
          <w:sz w:val="24"/>
        </w:rPr>
        <w:instrText>Table 5: Properties of SDE mean centers for the tornado-outbreak tweets</w:instrText>
      </w:r>
      <w:bookmarkEnd w:id="44"/>
      <w:r w:rsidRPr="006E3F82">
        <w:rPr>
          <w:b/>
          <w:sz w:val="24"/>
        </w:rPr>
        <w:instrText xml:space="preserve">" \f t \l 1 </w:instrText>
      </w:r>
      <w:r w:rsidRPr="006E3F82">
        <w:rPr>
          <w:b/>
          <w:sz w:val="24"/>
        </w:rPr>
        <w:fldChar w:fldCharType="end"/>
      </w:r>
      <w:r w:rsidRPr="006E3F82">
        <w:rPr>
          <w:b/>
          <w:sz w:val="24"/>
        </w:rPr>
        <w:t>Table 5:</w:t>
      </w:r>
      <w:r>
        <w:rPr>
          <w:b/>
          <w:sz w:val="24"/>
        </w:rPr>
        <w:t xml:space="preserve"> </w:t>
      </w:r>
      <w:r>
        <w:rPr>
          <w:sz w:val="24"/>
        </w:rPr>
        <w:t xml:space="preserve">Properties of the SDE mean centers for the tornado-outbreak tweets. “X (km)” and “Y (km)” are the X and Y components to the location of the mean center. “X Standard Distance (km)” and “Y Standard Distance (km)” are the standard deviations along the X and Y axes.  “Delta X (km)” and “Delta Y (km)” are the change in X and Y components. </w:t>
      </w:r>
    </w:p>
    <w:tbl>
      <w:tblPr>
        <w:tblW w:w="9840" w:type="dxa"/>
        <w:jc w:val="center"/>
        <w:tblLook w:val="04A0" w:firstRow="1" w:lastRow="0" w:firstColumn="1" w:lastColumn="0" w:noHBand="0" w:noVBand="1"/>
      </w:tblPr>
      <w:tblGrid>
        <w:gridCol w:w="960"/>
        <w:gridCol w:w="1480"/>
        <w:gridCol w:w="1480"/>
        <w:gridCol w:w="1480"/>
        <w:gridCol w:w="1480"/>
        <w:gridCol w:w="1480"/>
        <w:gridCol w:w="1480"/>
      </w:tblGrid>
      <w:tr w:rsidR="00F92E99" w:rsidRPr="002F6DC8" w14:paraId="7A1495A6" w14:textId="77777777" w:rsidTr="00AC2C0E">
        <w:trPr>
          <w:trHeight w:val="960"/>
          <w:jc w:val="center"/>
        </w:trPr>
        <w:tc>
          <w:tcPr>
            <w:tcW w:w="960"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3679E4F5" w14:textId="77777777" w:rsidR="00F92E99" w:rsidRPr="002F6DC8" w:rsidRDefault="00F92E99" w:rsidP="007B3C67">
            <w:pPr>
              <w:spacing w:after="0" w:line="240" w:lineRule="auto"/>
              <w:rPr>
                <w:rFonts w:ascii="Calibri" w:eastAsia="Times New Roman" w:hAnsi="Calibri" w:cs="Times New Roman"/>
                <w:b/>
                <w:bCs/>
                <w:sz w:val="24"/>
                <w:szCs w:val="24"/>
              </w:rPr>
            </w:pPr>
            <w:r w:rsidRPr="002F6DC8">
              <w:rPr>
                <w:rFonts w:ascii="Calibri" w:eastAsia="Times New Roman" w:hAnsi="Calibri" w:cs="Times New Roman"/>
                <w:b/>
                <w:bCs/>
                <w:sz w:val="24"/>
                <w:szCs w:val="24"/>
              </w:rPr>
              <w:t>Date</w:t>
            </w:r>
          </w:p>
        </w:tc>
        <w:tc>
          <w:tcPr>
            <w:tcW w:w="1480" w:type="dxa"/>
            <w:tcBorders>
              <w:top w:val="single" w:sz="4" w:space="0" w:color="auto"/>
              <w:left w:val="nil"/>
              <w:bottom w:val="double" w:sz="6" w:space="0" w:color="auto"/>
              <w:right w:val="single" w:sz="4" w:space="0" w:color="auto"/>
            </w:tcBorders>
            <w:shd w:val="clear" w:color="auto" w:fill="auto"/>
            <w:vAlign w:val="center"/>
            <w:hideMark/>
          </w:tcPr>
          <w:p w14:paraId="7D514FB6" w14:textId="77777777" w:rsidR="00F92E99" w:rsidRPr="002F6DC8" w:rsidRDefault="00F92E99" w:rsidP="007B3C67">
            <w:pPr>
              <w:spacing w:after="0" w:line="240" w:lineRule="auto"/>
              <w:jc w:val="center"/>
              <w:rPr>
                <w:rFonts w:ascii="Calibri" w:eastAsia="Times New Roman" w:hAnsi="Calibri" w:cs="Times New Roman"/>
                <w:b/>
                <w:bCs/>
                <w:sz w:val="24"/>
                <w:szCs w:val="24"/>
              </w:rPr>
            </w:pPr>
            <w:r w:rsidRPr="002F6DC8">
              <w:rPr>
                <w:rFonts w:ascii="Calibri" w:eastAsia="Times New Roman" w:hAnsi="Calibri" w:cs="Times New Roman"/>
                <w:b/>
                <w:bCs/>
                <w:sz w:val="24"/>
                <w:szCs w:val="24"/>
              </w:rPr>
              <w:t>X (km)</w:t>
            </w:r>
          </w:p>
        </w:tc>
        <w:tc>
          <w:tcPr>
            <w:tcW w:w="1480" w:type="dxa"/>
            <w:tcBorders>
              <w:top w:val="single" w:sz="4" w:space="0" w:color="auto"/>
              <w:left w:val="nil"/>
              <w:bottom w:val="double" w:sz="6" w:space="0" w:color="auto"/>
              <w:right w:val="single" w:sz="4" w:space="0" w:color="auto"/>
            </w:tcBorders>
            <w:shd w:val="clear" w:color="auto" w:fill="auto"/>
            <w:vAlign w:val="center"/>
            <w:hideMark/>
          </w:tcPr>
          <w:p w14:paraId="336BE89D" w14:textId="77777777" w:rsidR="00F92E99" w:rsidRPr="002F6DC8" w:rsidRDefault="00F92E99" w:rsidP="007B3C67">
            <w:pPr>
              <w:spacing w:after="0" w:line="240" w:lineRule="auto"/>
              <w:jc w:val="center"/>
              <w:rPr>
                <w:rFonts w:ascii="Calibri" w:eastAsia="Times New Roman" w:hAnsi="Calibri" w:cs="Times New Roman"/>
                <w:b/>
                <w:bCs/>
                <w:sz w:val="24"/>
                <w:szCs w:val="24"/>
              </w:rPr>
            </w:pPr>
            <w:r w:rsidRPr="002F6DC8">
              <w:rPr>
                <w:rFonts w:ascii="Calibri" w:eastAsia="Times New Roman" w:hAnsi="Calibri" w:cs="Times New Roman"/>
                <w:b/>
                <w:bCs/>
                <w:sz w:val="24"/>
                <w:szCs w:val="24"/>
              </w:rPr>
              <w:t>Y (km)</w:t>
            </w:r>
          </w:p>
        </w:tc>
        <w:tc>
          <w:tcPr>
            <w:tcW w:w="1480" w:type="dxa"/>
            <w:tcBorders>
              <w:top w:val="single" w:sz="4" w:space="0" w:color="auto"/>
              <w:left w:val="nil"/>
              <w:bottom w:val="double" w:sz="6" w:space="0" w:color="auto"/>
              <w:right w:val="single" w:sz="4" w:space="0" w:color="auto"/>
            </w:tcBorders>
            <w:shd w:val="clear" w:color="auto" w:fill="auto"/>
            <w:vAlign w:val="center"/>
            <w:hideMark/>
          </w:tcPr>
          <w:p w14:paraId="4DC78D4D" w14:textId="77777777" w:rsidR="00F92E99" w:rsidRPr="002F6DC8" w:rsidRDefault="00F92E99" w:rsidP="007B3C67">
            <w:pPr>
              <w:spacing w:after="0" w:line="240" w:lineRule="auto"/>
              <w:jc w:val="center"/>
              <w:rPr>
                <w:rFonts w:ascii="Calibri" w:eastAsia="Times New Roman" w:hAnsi="Calibri" w:cs="Times New Roman"/>
                <w:b/>
                <w:bCs/>
                <w:sz w:val="24"/>
                <w:szCs w:val="24"/>
              </w:rPr>
            </w:pPr>
            <w:r w:rsidRPr="002F6DC8">
              <w:rPr>
                <w:rFonts w:ascii="Calibri" w:eastAsia="Times New Roman" w:hAnsi="Calibri" w:cs="Times New Roman"/>
                <w:b/>
                <w:bCs/>
                <w:sz w:val="24"/>
                <w:szCs w:val="24"/>
              </w:rPr>
              <w:t>X Standard Distance (km)</w:t>
            </w:r>
          </w:p>
        </w:tc>
        <w:tc>
          <w:tcPr>
            <w:tcW w:w="1480" w:type="dxa"/>
            <w:tcBorders>
              <w:top w:val="single" w:sz="4" w:space="0" w:color="auto"/>
              <w:left w:val="nil"/>
              <w:bottom w:val="double" w:sz="6" w:space="0" w:color="auto"/>
              <w:right w:val="single" w:sz="4" w:space="0" w:color="auto"/>
            </w:tcBorders>
            <w:shd w:val="clear" w:color="auto" w:fill="auto"/>
            <w:vAlign w:val="center"/>
            <w:hideMark/>
          </w:tcPr>
          <w:p w14:paraId="7B849AA3" w14:textId="77777777" w:rsidR="00F92E99" w:rsidRPr="002F6DC8" w:rsidRDefault="00F92E99" w:rsidP="007B3C67">
            <w:pPr>
              <w:spacing w:after="0" w:line="240" w:lineRule="auto"/>
              <w:jc w:val="center"/>
              <w:rPr>
                <w:rFonts w:ascii="Calibri" w:eastAsia="Times New Roman" w:hAnsi="Calibri" w:cs="Times New Roman"/>
                <w:b/>
                <w:bCs/>
                <w:sz w:val="24"/>
                <w:szCs w:val="24"/>
              </w:rPr>
            </w:pPr>
            <w:r w:rsidRPr="002F6DC8">
              <w:rPr>
                <w:rFonts w:ascii="Calibri" w:eastAsia="Times New Roman" w:hAnsi="Calibri" w:cs="Times New Roman"/>
                <w:b/>
                <w:bCs/>
                <w:sz w:val="24"/>
                <w:szCs w:val="24"/>
              </w:rPr>
              <w:t>Y Standard Distance (km)</w:t>
            </w:r>
          </w:p>
        </w:tc>
        <w:tc>
          <w:tcPr>
            <w:tcW w:w="1480" w:type="dxa"/>
            <w:tcBorders>
              <w:top w:val="single" w:sz="4" w:space="0" w:color="auto"/>
              <w:left w:val="nil"/>
              <w:bottom w:val="double" w:sz="6" w:space="0" w:color="auto"/>
              <w:right w:val="single" w:sz="4" w:space="0" w:color="auto"/>
            </w:tcBorders>
            <w:shd w:val="clear" w:color="auto" w:fill="auto"/>
            <w:vAlign w:val="center"/>
            <w:hideMark/>
          </w:tcPr>
          <w:p w14:paraId="292D4CFD" w14:textId="77777777" w:rsidR="00F92E99" w:rsidRPr="002F6DC8" w:rsidRDefault="00F92E99" w:rsidP="007B3C67">
            <w:pPr>
              <w:spacing w:after="0" w:line="240" w:lineRule="auto"/>
              <w:jc w:val="center"/>
              <w:rPr>
                <w:rFonts w:ascii="Calibri" w:eastAsia="Times New Roman" w:hAnsi="Calibri" w:cs="Times New Roman"/>
                <w:b/>
                <w:bCs/>
                <w:sz w:val="24"/>
                <w:szCs w:val="24"/>
              </w:rPr>
            </w:pPr>
            <w:r w:rsidRPr="002F6DC8">
              <w:rPr>
                <w:rFonts w:ascii="Calibri" w:eastAsia="Times New Roman" w:hAnsi="Calibri" w:cs="Times New Roman"/>
                <w:b/>
                <w:bCs/>
                <w:sz w:val="24"/>
                <w:szCs w:val="24"/>
              </w:rPr>
              <w:t>Delta X (km)</w:t>
            </w:r>
          </w:p>
        </w:tc>
        <w:tc>
          <w:tcPr>
            <w:tcW w:w="1480" w:type="dxa"/>
            <w:tcBorders>
              <w:top w:val="single" w:sz="4" w:space="0" w:color="auto"/>
              <w:left w:val="nil"/>
              <w:bottom w:val="double" w:sz="6" w:space="0" w:color="auto"/>
              <w:right w:val="single" w:sz="4" w:space="0" w:color="auto"/>
            </w:tcBorders>
            <w:shd w:val="clear" w:color="auto" w:fill="auto"/>
            <w:vAlign w:val="center"/>
            <w:hideMark/>
          </w:tcPr>
          <w:p w14:paraId="49EF3D6F" w14:textId="77777777" w:rsidR="00F92E99" w:rsidRPr="002F6DC8" w:rsidRDefault="00F92E99" w:rsidP="007B3C67">
            <w:pPr>
              <w:spacing w:after="0" w:line="240" w:lineRule="auto"/>
              <w:jc w:val="center"/>
              <w:rPr>
                <w:rFonts w:ascii="Calibri" w:eastAsia="Times New Roman" w:hAnsi="Calibri" w:cs="Times New Roman"/>
                <w:b/>
                <w:bCs/>
                <w:sz w:val="24"/>
                <w:szCs w:val="24"/>
              </w:rPr>
            </w:pPr>
            <w:r w:rsidRPr="002F6DC8">
              <w:rPr>
                <w:rFonts w:ascii="Calibri" w:eastAsia="Times New Roman" w:hAnsi="Calibri" w:cs="Times New Roman"/>
                <w:b/>
                <w:bCs/>
                <w:sz w:val="24"/>
                <w:szCs w:val="24"/>
              </w:rPr>
              <w:t>Delta (km)</w:t>
            </w:r>
          </w:p>
        </w:tc>
      </w:tr>
      <w:tr w:rsidR="00F92E99" w:rsidRPr="002F6DC8" w14:paraId="5CDB09DD" w14:textId="77777777" w:rsidTr="00AC2C0E">
        <w:trPr>
          <w:trHeight w:val="330"/>
          <w:jc w:val="center"/>
        </w:trPr>
        <w:tc>
          <w:tcPr>
            <w:tcW w:w="960" w:type="dxa"/>
            <w:tcBorders>
              <w:top w:val="nil"/>
              <w:left w:val="single" w:sz="4" w:space="0" w:color="auto"/>
              <w:bottom w:val="nil"/>
              <w:right w:val="single" w:sz="4" w:space="0" w:color="auto"/>
            </w:tcBorders>
            <w:shd w:val="clear" w:color="auto" w:fill="auto"/>
            <w:noWrap/>
            <w:vAlign w:val="bottom"/>
            <w:hideMark/>
          </w:tcPr>
          <w:p w14:paraId="02BE08B4" w14:textId="77777777" w:rsidR="00F92E99" w:rsidRPr="002F6DC8" w:rsidRDefault="00F92E99" w:rsidP="007B3C67">
            <w:pPr>
              <w:spacing w:after="0" w:line="240" w:lineRule="auto"/>
              <w:rPr>
                <w:rFonts w:ascii="Calibri" w:eastAsia="Times New Roman" w:hAnsi="Calibri" w:cs="Times New Roman"/>
                <w:b/>
                <w:bCs/>
                <w:sz w:val="24"/>
                <w:szCs w:val="24"/>
              </w:rPr>
            </w:pPr>
            <w:r w:rsidRPr="002F6DC8">
              <w:rPr>
                <w:rFonts w:ascii="Calibri" w:eastAsia="Times New Roman" w:hAnsi="Calibri" w:cs="Times New Roman"/>
                <w:b/>
                <w:bCs/>
                <w:sz w:val="24"/>
                <w:szCs w:val="24"/>
              </w:rPr>
              <w:t>28-Feb</w:t>
            </w:r>
          </w:p>
        </w:tc>
        <w:tc>
          <w:tcPr>
            <w:tcW w:w="1480" w:type="dxa"/>
            <w:tcBorders>
              <w:top w:val="nil"/>
              <w:left w:val="nil"/>
              <w:bottom w:val="nil"/>
              <w:right w:val="single" w:sz="4" w:space="0" w:color="auto"/>
            </w:tcBorders>
            <w:shd w:val="clear" w:color="auto" w:fill="auto"/>
            <w:noWrap/>
            <w:vAlign w:val="bottom"/>
            <w:hideMark/>
          </w:tcPr>
          <w:p w14:paraId="4F609D8F"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1,041</w:t>
            </w:r>
          </w:p>
        </w:tc>
        <w:tc>
          <w:tcPr>
            <w:tcW w:w="1480" w:type="dxa"/>
            <w:tcBorders>
              <w:top w:val="nil"/>
              <w:left w:val="nil"/>
              <w:bottom w:val="nil"/>
              <w:right w:val="single" w:sz="4" w:space="0" w:color="auto"/>
            </w:tcBorders>
            <w:shd w:val="clear" w:color="auto" w:fill="auto"/>
            <w:vAlign w:val="bottom"/>
            <w:hideMark/>
          </w:tcPr>
          <w:p w14:paraId="48894B52"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-443</w:t>
            </w:r>
          </w:p>
        </w:tc>
        <w:tc>
          <w:tcPr>
            <w:tcW w:w="1480" w:type="dxa"/>
            <w:tcBorders>
              <w:top w:val="nil"/>
              <w:left w:val="nil"/>
              <w:bottom w:val="nil"/>
              <w:right w:val="single" w:sz="4" w:space="0" w:color="auto"/>
            </w:tcBorders>
            <w:shd w:val="clear" w:color="auto" w:fill="auto"/>
            <w:vAlign w:val="bottom"/>
            <w:hideMark/>
          </w:tcPr>
          <w:p w14:paraId="561B677F"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423</w:t>
            </w:r>
          </w:p>
        </w:tc>
        <w:tc>
          <w:tcPr>
            <w:tcW w:w="1480" w:type="dxa"/>
            <w:tcBorders>
              <w:top w:val="nil"/>
              <w:left w:val="nil"/>
              <w:bottom w:val="nil"/>
              <w:right w:val="single" w:sz="4" w:space="0" w:color="auto"/>
            </w:tcBorders>
            <w:shd w:val="clear" w:color="auto" w:fill="auto"/>
            <w:vAlign w:val="bottom"/>
            <w:hideMark/>
          </w:tcPr>
          <w:p w14:paraId="745E63C0"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167</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6425BD2D"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-105</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16D74E14"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-130</w:t>
            </w:r>
          </w:p>
        </w:tc>
      </w:tr>
      <w:tr w:rsidR="00F92E99" w:rsidRPr="002F6DC8" w14:paraId="1CAB0AE3" w14:textId="77777777" w:rsidTr="00AC2C0E">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1650C1" w14:textId="77777777" w:rsidR="00F92E99" w:rsidRPr="002F6DC8" w:rsidRDefault="00F92E99" w:rsidP="007B3C67">
            <w:pPr>
              <w:spacing w:after="0" w:line="240" w:lineRule="auto"/>
              <w:rPr>
                <w:rFonts w:ascii="Calibri" w:eastAsia="Times New Roman" w:hAnsi="Calibri" w:cs="Times New Roman"/>
                <w:b/>
                <w:bCs/>
                <w:sz w:val="24"/>
                <w:szCs w:val="24"/>
              </w:rPr>
            </w:pPr>
            <w:r w:rsidRPr="002F6DC8">
              <w:rPr>
                <w:rFonts w:ascii="Calibri" w:eastAsia="Times New Roman" w:hAnsi="Calibri" w:cs="Times New Roman"/>
                <w:b/>
                <w:bCs/>
                <w:sz w:val="24"/>
                <w:szCs w:val="24"/>
              </w:rPr>
              <w:t>1-Mar</w:t>
            </w:r>
          </w:p>
        </w:tc>
        <w:tc>
          <w:tcPr>
            <w:tcW w:w="1480" w:type="dxa"/>
            <w:tcBorders>
              <w:top w:val="nil"/>
              <w:left w:val="nil"/>
              <w:bottom w:val="single" w:sz="4" w:space="0" w:color="auto"/>
              <w:right w:val="single" w:sz="4" w:space="0" w:color="auto"/>
            </w:tcBorders>
            <w:shd w:val="clear" w:color="auto" w:fill="auto"/>
            <w:noWrap/>
            <w:vAlign w:val="bottom"/>
            <w:hideMark/>
          </w:tcPr>
          <w:p w14:paraId="2524E46A"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936</w:t>
            </w:r>
          </w:p>
        </w:tc>
        <w:tc>
          <w:tcPr>
            <w:tcW w:w="1480" w:type="dxa"/>
            <w:tcBorders>
              <w:top w:val="nil"/>
              <w:left w:val="nil"/>
              <w:bottom w:val="single" w:sz="4" w:space="0" w:color="auto"/>
              <w:right w:val="single" w:sz="4" w:space="0" w:color="auto"/>
            </w:tcBorders>
            <w:shd w:val="clear" w:color="auto" w:fill="auto"/>
            <w:vAlign w:val="bottom"/>
            <w:hideMark/>
          </w:tcPr>
          <w:p w14:paraId="135B8A5B"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-573</w:t>
            </w:r>
          </w:p>
        </w:tc>
        <w:tc>
          <w:tcPr>
            <w:tcW w:w="1480" w:type="dxa"/>
            <w:tcBorders>
              <w:top w:val="nil"/>
              <w:left w:val="nil"/>
              <w:bottom w:val="single" w:sz="4" w:space="0" w:color="auto"/>
              <w:right w:val="single" w:sz="4" w:space="0" w:color="auto"/>
            </w:tcBorders>
            <w:shd w:val="clear" w:color="auto" w:fill="auto"/>
            <w:vAlign w:val="bottom"/>
            <w:hideMark/>
          </w:tcPr>
          <w:p w14:paraId="39D7825A"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553</w:t>
            </w:r>
          </w:p>
        </w:tc>
        <w:tc>
          <w:tcPr>
            <w:tcW w:w="1480" w:type="dxa"/>
            <w:tcBorders>
              <w:top w:val="nil"/>
              <w:left w:val="nil"/>
              <w:bottom w:val="single" w:sz="4" w:space="0" w:color="auto"/>
              <w:right w:val="single" w:sz="4" w:space="0" w:color="auto"/>
            </w:tcBorders>
            <w:shd w:val="clear" w:color="auto" w:fill="auto"/>
            <w:vAlign w:val="bottom"/>
            <w:hideMark/>
          </w:tcPr>
          <w:p w14:paraId="1BB08081"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283</w:t>
            </w:r>
          </w:p>
        </w:tc>
        <w:tc>
          <w:tcPr>
            <w:tcW w:w="1480" w:type="dxa"/>
            <w:vMerge/>
            <w:tcBorders>
              <w:top w:val="nil"/>
              <w:left w:val="single" w:sz="4" w:space="0" w:color="auto"/>
              <w:bottom w:val="single" w:sz="4" w:space="0" w:color="000000"/>
              <w:right w:val="single" w:sz="4" w:space="0" w:color="auto"/>
            </w:tcBorders>
            <w:vAlign w:val="center"/>
            <w:hideMark/>
          </w:tcPr>
          <w:p w14:paraId="5D3E851E" w14:textId="77777777" w:rsidR="00F92E99" w:rsidRPr="002F6DC8" w:rsidRDefault="00F92E99" w:rsidP="007B3C67">
            <w:pPr>
              <w:spacing w:after="0" w:line="240" w:lineRule="auto"/>
              <w:rPr>
                <w:rFonts w:ascii="Calibri" w:eastAsia="Times New Roman" w:hAnsi="Calibri" w:cs="Times New Roman"/>
                <w:sz w:val="24"/>
                <w:szCs w:val="24"/>
              </w:rPr>
            </w:pPr>
          </w:p>
        </w:tc>
        <w:tc>
          <w:tcPr>
            <w:tcW w:w="1480" w:type="dxa"/>
            <w:vMerge/>
            <w:tcBorders>
              <w:top w:val="nil"/>
              <w:left w:val="single" w:sz="4" w:space="0" w:color="auto"/>
              <w:bottom w:val="single" w:sz="4" w:space="0" w:color="000000"/>
              <w:right w:val="single" w:sz="4" w:space="0" w:color="auto"/>
            </w:tcBorders>
            <w:vAlign w:val="center"/>
            <w:hideMark/>
          </w:tcPr>
          <w:p w14:paraId="4285A8D7" w14:textId="77777777" w:rsidR="00F92E99" w:rsidRPr="002F6DC8" w:rsidRDefault="00F92E99" w:rsidP="007B3C67">
            <w:pPr>
              <w:spacing w:after="0" w:line="240" w:lineRule="auto"/>
              <w:rPr>
                <w:rFonts w:ascii="Calibri" w:eastAsia="Times New Roman" w:hAnsi="Calibri" w:cs="Times New Roman"/>
                <w:sz w:val="24"/>
                <w:szCs w:val="24"/>
              </w:rPr>
            </w:pPr>
          </w:p>
        </w:tc>
      </w:tr>
      <w:tr w:rsidR="00F92E99" w:rsidRPr="002F6DC8" w14:paraId="05BBD843" w14:textId="77777777" w:rsidTr="00AC2C0E">
        <w:trPr>
          <w:trHeight w:val="315"/>
          <w:jc w:val="center"/>
        </w:trPr>
        <w:tc>
          <w:tcPr>
            <w:tcW w:w="960" w:type="dxa"/>
            <w:tcBorders>
              <w:top w:val="nil"/>
              <w:left w:val="single" w:sz="4" w:space="0" w:color="auto"/>
              <w:bottom w:val="nil"/>
              <w:right w:val="single" w:sz="4" w:space="0" w:color="auto"/>
            </w:tcBorders>
            <w:shd w:val="clear" w:color="auto" w:fill="auto"/>
            <w:noWrap/>
            <w:vAlign w:val="bottom"/>
            <w:hideMark/>
          </w:tcPr>
          <w:p w14:paraId="68CD6494" w14:textId="77777777" w:rsidR="00F92E99" w:rsidRPr="002F6DC8" w:rsidRDefault="00F92E99" w:rsidP="007B3C67">
            <w:pPr>
              <w:spacing w:after="0" w:line="240" w:lineRule="auto"/>
              <w:rPr>
                <w:rFonts w:ascii="Calibri" w:eastAsia="Times New Roman" w:hAnsi="Calibri" w:cs="Times New Roman"/>
                <w:b/>
                <w:bCs/>
                <w:sz w:val="24"/>
                <w:szCs w:val="24"/>
              </w:rPr>
            </w:pPr>
            <w:r w:rsidRPr="002F6DC8">
              <w:rPr>
                <w:rFonts w:ascii="Calibri" w:eastAsia="Times New Roman" w:hAnsi="Calibri" w:cs="Times New Roman"/>
                <w:b/>
                <w:bCs/>
                <w:sz w:val="24"/>
                <w:szCs w:val="24"/>
              </w:rPr>
              <w:t>1-Mar</w:t>
            </w:r>
          </w:p>
        </w:tc>
        <w:tc>
          <w:tcPr>
            <w:tcW w:w="1480" w:type="dxa"/>
            <w:tcBorders>
              <w:top w:val="nil"/>
              <w:left w:val="nil"/>
              <w:bottom w:val="nil"/>
              <w:right w:val="single" w:sz="4" w:space="0" w:color="auto"/>
            </w:tcBorders>
            <w:shd w:val="clear" w:color="auto" w:fill="auto"/>
            <w:noWrap/>
            <w:vAlign w:val="bottom"/>
            <w:hideMark/>
          </w:tcPr>
          <w:p w14:paraId="2A9871DC"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936,472</w:t>
            </w:r>
          </w:p>
        </w:tc>
        <w:tc>
          <w:tcPr>
            <w:tcW w:w="1480" w:type="dxa"/>
            <w:tcBorders>
              <w:top w:val="nil"/>
              <w:left w:val="nil"/>
              <w:bottom w:val="nil"/>
              <w:right w:val="single" w:sz="4" w:space="0" w:color="auto"/>
            </w:tcBorders>
            <w:shd w:val="clear" w:color="auto" w:fill="auto"/>
            <w:vAlign w:val="bottom"/>
            <w:hideMark/>
          </w:tcPr>
          <w:p w14:paraId="3554D492"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-573</w:t>
            </w:r>
          </w:p>
        </w:tc>
        <w:tc>
          <w:tcPr>
            <w:tcW w:w="1480" w:type="dxa"/>
            <w:tcBorders>
              <w:top w:val="nil"/>
              <w:left w:val="nil"/>
              <w:bottom w:val="nil"/>
              <w:right w:val="single" w:sz="4" w:space="0" w:color="auto"/>
            </w:tcBorders>
            <w:shd w:val="clear" w:color="auto" w:fill="auto"/>
            <w:vAlign w:val="bottom"/>
            <w:hideMark/>
          </w:tcPr>
          <w:p w14:paraId="126BC21A"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553</w:t>
            </w:r>
          </w:p>
        </w:tc>
        <w:tc>
          <w:tcPr>
            <w:tcW w:w="1480" w:type="dxa"/>
            <w:tcBorders>
              <w:top w:val="nil"/>
              <w:left w:val="nil"/>
              <w:bottom w:val="nil"/>
              <w:right w:val="single" w:sz="4" w:space="0" w:color="auto"/>
            </w:tcBorders>
            <w:shd w:val="clear" w:color="auto" w:fill="auto"/>
            <w:vAlign w:val="bottom"/>
            <w:hideMark/>
          </w:tcPr>
          <w:p w14:paraId="4B0229D9"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283</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2D0C51D5"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191</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4CAC36B7"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162</w:t>
            </w:r>
          </w:p>
        </w:tc>
      </w:tr>
      <w:tr w:rsidR="00F92E99" w:rsidRPr="002F6DC8" w14:paraId="0DF0069F" w14:textId="77777777" w:rsidTr="00AC2C0E">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2642449" w14:textId="77777777" w:rsidR="00F92E99" w:rsidRPr="002F6DC8" w:rsidRDefault="00F92E99" w:rsidP="007B3C67">
            <w:pPr>
              <w:spacing w:after="0" w:line="240" w:lineRule="auto"/>
              <w:rPr>
                <w:rFonts w:ascii="Calibri" w:eastAsia="Times New Roman" w:hAnsi="Calibri" w:cs="Times New Roman"/>
                <w:b/>
                <w:bCs/>
                <w:sz w:val="24"/>
                <w:szCs w:val="24"/>
              </w:rPr>
            </w:pPr>
            <w:r w:rsidRPr="002F6DC8">
              <w:rPr>
                <w:rFonts w:ascii="Calibri" w:eastAsia="Times New Roman" w:hAnsi="Calibri" w:cs="Times New Roman"/>
                <w:b/>
                <w:bCs/>
                <w:sz w:val="24"/>
                <w:szCs w:val="24"/>
              </w:rPr>
              <w:t>2-Mar</w:t>
            </w:r>
          </w:p>
        </w:tc>
        <w:tc>
          <w:tcPr>
            <w:tcW w:w="1480" w:type="dxa"/>
            <w:tcBorders>
              <w:top w:val="nil"/>
              <w:left w:val="nil"/>
              <w:bottom w:val="single" w:sz="4" w:space="0" w:color="auto"/>
              <w:right w:val="single" w:sz="4" w:space="0" w:color="auto"/>
            </w:tcBorders>
            <w:shd w:val="clear" w:color="auto" w:fill="auto"/>
            <w:noWrap/>
            <w:vAlign w:val="bottom"/>
            <w:hideMark/>
          </w:tcPr>
          <w:p w14:paraId="26D0C2DD"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1,128</w:t>
            </w:r>
          </w:p>
        </w:tc>
        <w:tc>
          <w:tcPr>
            <w:tcW w:w="1480" w:type="dxa"/>
            <w:tcBorders>
              <w:top w:val="nil"/>
              <w:left w:val="nil"/>
              <w:bottom w:val="single" w:sz="4" w:space="0" w:color="auto"/>
              <w:right w:val="single" w:sz="4" w:space="0" w:color="auto"/>
            </w:tcBorders>
            <w:shd w:val="clear" w:color="auto" w:fill="auto"/>
            <w:vAlign w:val="bottom"/>
            <w:hideMark/>
          </w:tcPr>
          <w:p w14:paraId="31D0508F"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-410</w:t>
            </w:r>
          </w:p>
        </w:tc>
        <w:tc>
          <w:tcPr>
            <w:tcW w:w="1480" w:type="dxa"/>
            <w:tcBorders>
              <w:top w:val="nil"/>
              <w:left w:val="nil"/>
              <w:bottom w:val="single" w:sz="4" w:space="0" w:color="auto"/>
              <w:right w:val="single" w:sz="4" w:space="0" w:color="auto"/>
            </w:tcBorders>
            <w:shd w:val="clear" w:color="auto" w:fill="auto"/>
            <w:vAlign w:val="bottom"/>
            <w:hideMark/>
          </w:tcPr>
          <w:p w14:paraId="1FAF413D"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584</w:t>
            </w:r>
          </w:p>
        </w:tc>
        <w:tc>
          <w:tcPr>
            <w:tcW w:w="1480" w:type="dxa"/>
            <w:tcBorders>
              <w:top w:val="nil"/>
              <w:left w:val="nil"/>
              <w:bottom w:val="single" w:sz="4" w:space="0" w:color="auto"/>
              <w:right w:val="single" w:sz="4" w:space="0" w:color="auto"/>
            </w:tcBorders>
            <w:shd w:val="clear" w:color="auto" w:fill="auto"/>
            <w:vAlign w:val="bottom"/>
            <w:hideMark/>
          </w:tcPr>
          <w:p w14:paraId="216678FC"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176</w:t>
            </w:r>
          </w:p>
        </w:tc>
        <w:tc>
          <w:tcPr>
            <w:tcW w:w="1480" w:type="dxa"/>
            <w:vMerge/>
            <w:tcBorders>
              <w:top w:val="nil"/>
              <w:left w:val="single" w:sz="4" w:space="0" w:color="auto"/>
              <w:bottom w:val="single" w:sz="4" w:space="0" w:color="000000"/>
              <w:right w:val="single" w:sz="4" w:space="0" w:color="auto"/>
            </w:tcBorders>
            <w:vAlign w:val="center"/>
            <w:hideMark/>
          </w:tcPr>
          <w:p w14:paraId="733C1B62" w14:textId="77777777" w:rsidR="00F92E99" w:rsidRPr="002F6DC8" w:rsidRDefault="00F92E99" w:rsidP="007B3C67">
            <w:pPr>
              <w:spacing w:after="0" w:line="240" w:lineRule="auto"/>
              <w:rPr>
                <w:rFonts w:ascii="Calibri" w:eastAsia="Times New Roman" w:hAnsi="Calibri" w:cs="Times New Roman"/>
                <w:sz w:val="24"/>
                <w:szCs w:val="24"/>
              </w:rPr>
            </w:pPr>
          </w:p>
        </w:tc>
        <w:tc>
          <w:tcPr>
            <w:tcW w:w="1480" w:type="dxa"/>
            <w:vMerge/>
            <w:tcBorders>
              <w:top w:val="nil"/>
              <w:left w:val="single" w:sz="4" w:space="0" w:color="auto"/>
              <w:bottom w:val="single" w:sz="4" w:space="0" w:color="000000"/>
              <w:right w:val="single" w:sz="4" w:space="0" w:color="auto"/>
            </w:tcBorders>
            <w:vAlign w:val="center"/>
            <w:hideMark/>
          </w:tcPr>
          <w:p w14:paraId="63F37583" w14:textId="77777777" w:rsidR="00F92E99" w:rsidRPr="002F6DC8" w:rsidRDefault="00F92E99" w:rsidP="007B3C67">
            <w:pPr>
              <w:spacing w:after="0" w:line="240" w:lineRule="auto"/>
              <w:rPr>
                <w:rFonts w:ascii="Calibri" w:eastAsia="Times New Roman" w:hAnsi="Calibri" w:cs="Times New Roman"/>
                <w:sz w:val="24"/>
                <w:szCs w:val="24"/>
              </w:rPr>
            </w:pPr>
          </w:p>
        </w:tc>
      </w:tr>
      <w:tr w:rsidR="00F92E99" w:rsidRPr="002F6DC8" w14:paraId="349049FB" w14:textId="77777777" w:rsidTr="00AC2C0E">
        <w:trPr>
          <w:trHeight w:val="315"/>
          <w:jc w:val="center"/>
        </w:trPr>
        <w:tc>
          <w:tcPr>
            <w:tcW w:w="960" w:type="dxa"/>
            <w:tcBorders>
              <w:top w:val="nil"/>
              <w:left w:val="single" w:sz="4" w:space="0" w:color="auto"/>
              <w:bottom w:val="nil"/>
              <w:right w:val="single" w:sz="4" w:space="0" w:color="auto"/>
            </w:tcBorders>
            <w:shd w:val="clear" w:color="auto" w:fill="auto"/>
            <w:noWrap/>
            <w:vAlign w:val="bottom"/>
            <w:hideMark/>
          </w:tcPr>
          <w:p w14:paraId="4C3AC80B" w14:textId="77777777" w:rsidR="00F92E99" w:rsidRPr="002F6DC8" w:rsidRDefault="00F92E99" w:rsidP="007B3C67">
            <w:pPr>
              <w:spacing w:after="0" w:line="240" w:lineRule="auto"/>
              <w:rPr>
                <w:rFonts w:ascii="Calibri" w:eastAsia="Times New Roman" w:hAnsi="Calibri" w:cs="Times New Roman"/>
                <w:b/>
                <w:bCs/>
                <w:sz w:val="24"/>
                <w:szCs w:val="24"/>
              </w:rPr>
            </w:pPr>
            <w:r w:rsidRPr="002F6DC8">
              <w:rPr>
                <w:rFonts w:ascii="Calibri" w:eastAsia="Times New Roman" w:hAnsi="Calibri" w:cs="Times New Roman"/>
                <w:b/>
                <w:bCs/>
                <w:sz w:val="24"/>
                <w:szCs w:val="24"/>
              </w:rPr>
              <w:t>2-Mar</w:t>
            </w:r>
          </w:p>
        </w:tc>
        <w:tc>
          <w:tcPr>
            <w:tcW w:w="1480" w:type="dxa"/>
            <w:tcBorders>
              <w:top w:val="nil"/>
              <w:left w:val="nil"/>
              <w:bottom w:val="nil"/>
              <w:right w:val="single" w:sz="4" w:space="0" w:color="auto"/>
            </w:tcBorders>
            <w:shd w:val="clear" w:color="auto" w:fill="auto"/>
            <w:noWrap/>
            <w:vAlign w:val="bottom"/>
            <w:hideMark/>
          </w:tcPr>
          <w:p w14:paraId="06193660"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1,128</w:t>
            </w:r>
          </w:p>
        </w:tc>
        <w:tc>
          <w:tcPr>
            <w:tcW w:w="1480" w:type="dxa"/>
            <w:tcBorders>
              <w:top w:val="nil"/>
              <w:left w:val="nil"/>
              <w:bottom w:val="nil"/>
              <w:right w:val="single" w:sz="4" w:space="0" w:color="auto"/>
            </w:tcBorders>
            <w:shd w:val="clear" w:color="auto" w:fill="auto"/>
            <w:vAlign w:val="bottom"/>
            <w:hideMark/>
          </w:tcPr>
          <w:p w14:paraId="1047B554"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-410</w:t>
            </w:r>
          </w:p>
        </w:tc>
        <w:tc>
          <w:tcPr>
            <w:tcW w:w="1480" w:type="dxa"/>
            <w:tcBorders>
              <w:top w:val="nil"/>
              <w:left w:val="nil"/>
              <w:bottom w:val="nil"/>
              <w:right w:val="single" w:sz="4" w:space="0" w:color="auto"/>
            </w:tcBorders>
            <w:shd w:val="clear" w:color="auto" w:fill="auto"/>
            <w:vAlign w:val="bottom"/>
            <w:hideMark/>
          </w:tcPr>
          <w:p w14:paraId="2A0410B0"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584</w:t>
            </w:r>
          </w:p>
        </w:tc>
        <w:tc>
          <w:tcPr>
            <w:tcW w:w="1480" w:type="dxa"/>
            <w:tcBorders>
              <w:top w:val="nil"/>
              <w:left w:val="nil"/>
              <w:bottom w:val="nil"/>
              <w:right w:val="single" w:sz="4" w:space="0" w:color="auto"/>
            </w:tcBorders>
            <w:shd w:val="clear" w:color="auto" w:fill="auto"/>
            <w:vAlign w:val="bottom"/>
            <w:hideMark/>
          </w:tcPr>
          <w:p w14:paraId="7900FA1D"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176</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358823FF"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-30</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42D9B20C"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-114</w:t>
            </w:r>
          </w:p>
        </w:tc>
      </w:tr>
      <w:tr w:rsidR="00F92E99" w:rsidRPr="002F6DC8" w14:paraId="691A7B18" w14:textId="77777777" w:rsidTr="00AC2C0E">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72F0F0" w14:textId="77777777" w:rsidR="00F92E99" w:rsidRPr="002F6DC8" w:rsidRDefault="00F92E99" w:rsidP="007B3C67">
            <w:pPr>
              <w:spacing w:after="0" w:line="240" w:lineRule="auto"/>
              <w:rPr>
                <w:rFonts w:ascii="Calibri" w:eastAsia="Times New Roman" w:hAnsi="Calibri" w:cs="Times New Roman"/>
                <w:b/>
                <w:bCs/>
                <w:sz w:val="24"/>
                <w:szCs w:val="24"/>
              </w:rPr>
            </w:pPr>
            <w:r w:rsidRPr="002F6DC8">
              <w:rPr>
                <w:rFonts w:ascii="Calibri" w:eastAsia="Times New Roman" w:hAnsi="Calibri" w:cs="Times New Roman"/>
                <w:b/>
                <w:bCs/>
                <w:sz w:val="24"/>
                <w:szCs w:val="24"/>
              </w:rPr>
              <w:t>3-Mar</w:t>
            </w:r>
          </w:p>
        </w:tc>
        <w:tc>
          <w:tcPr>
            <w:tcW w:w="1480" w:type="dxa"/>
            <w:tcBorders>
              <w:top w:val="nil"/>
              <w:left w:val="nil"/>
              <w:bottom w:val="single" w:sz="4" w:space="0" w:color="auto"/>
              <w:right w:val="single" w:sz="4" w:space="0" w:color="auto"/>
            </w:tcBorders>
            <w:shd w:val="clear" w:color="auto" w:fill="auto"/>
            <w:noWrap/>
            <w:vAlign w:val="bottom"/>
            <w:hideMark/>
          </w:tcPr>
          <w:p w14:paraId="3A91D6FE"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1,098</w:t>
            </w:r>
          </w:p>
        </w:tc>
        <w:tc>
          <w:tcPr>
            <w:tcW w:w="1480" w:type="dxa"/>
            <w:tcBorders>
              <w:top w:val="nil"/>
              <w:left w:val="nil"/>
              <w:bottom w:val="single" w:sz="4" w:space="0" w:color="auto"/>
              <w:right w:val="single" w:sz="4" w:space="0" w:color="auto"/>
            </w:tcBorders>
            <w:shd w:val="clear" w:color="auto" w:fill="auto"/>
            <w:vAlign w:val="bottom"/>
            <w:hideMark/>
          </w:tcPr>
          <w:p w14:paraId="07F1A3C5"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-524</w:t>
            </w:r>
          </w:p>
        </w:tc>
        <w:tc>
          <w:tcPr>
            <w:tcW w:w="1480" w:type="dxa"/>
            <w:tcBorders>
              <w:top w:val="nil"/>
              <w:left w:val="nil"/>
              <w:bottom w:val="single" w:sz="4" w:space="0" w:color="auto"/>
              <w:right w:val="single" w:sz="4" w:space="0" w:color="auto"/>
            </w:tcBorders>
            <w:shd w:val="clear" w:color="auto" w:fill="auto"/>
            <w:vAlign w:val="bottom"/>
            <w:hideMark/>
          </w:tcPr>
          <w:p w14:paraId="5C2479B5"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316</w:t>
            </w:r>
          </w:p>
        </w:tc>
        <w:tc>
          <w:tcPr>
            <w:tcW w:w="1480" w:type="dxa"/>
            <w:tcBorders>
              <w:top w:val="nil"/>
              <w:left w:val="nil"/>
              <w:bottom w:val="single" w:sz="4" w:space="0" w:color="auto"/>
              <w:right w:val="single" w:sz="4" w:space="0" w:color="auto"/>
            </w:tcBorders>
            <w:shd w:val="clear" w:color="auto" w:fill="auto"/>
            <w:vAlign w:val="bottom"/>
            <w:hideMark/>
          </w:tcPr>
          <w:p w14:paraId="7E5DF6FB"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159</w:t>
            </w:r>
          </w:p>
        </w:tc>
        <w:tc>
          <w:tcPr>
            <w:tcW w:w="1480" w:type="dxa"/>
            <w:vMerge/>
            <w:tcBorders>
              <w:top w:val="nil"/>
              <w:left w:val="single" w:sz="4" w:space="0" w:color="auto"/>
              <w:bottom w:val="single" w:sz="4" w:space="0" w:color="000000"/>
              <w:right w:val="single" w:sz="4" w:space="0" w:color="auto"/>
            </w:tcBorders>
            <w:vAlign w:val="center"/>
            <w:hideMark/>
          </w:tcPr>
          <w:p w14:paraId="75D90067" w14:textId="77777777" w:rsidR="00F92E99" w:rsidRPr="002F6DC8" w:rsidRDefault="00F92E99" w:rsidP="007B3C67">
            <w:pPr>
              <w:spacing w:after="0" w:line="240" w:lineRule="auto"/>
              <w:rPr>
                <w:rFonts w:ascii="Calibri" w:eastAsia="Times New Roman" w:hAnsi="Calibri" w:cs="Times New Roman"/>
                <w:sz w:val="24"/>
                <w:szCs w:val="24"/>
              </w:rPr>
            </w:pPr>
          </w:p>
        </w:tc>
        <w:tc>
          <w:tcPr>
            <w:tcW w:w="1480" w:type="dxa"/>
            <w:vMerge/>
            <w:tcBorders>
              <w:top w:val="nil"/>
              <w:left w:val="single" w:sz="4" w:space="0" w:color="auto"/>
              <w:bottom w:val="single" w:sz="4" w:space="0" w:color="000000"/>
              <w:right w:val="single" w:sz="4" w:space="0" w:color="auto"/>
            </w:tcBorders>
            <w:vAlign w:val="center"/>
            <w:hideMark/>
          </w:tcPr>
          <w:p w14:paraId="20F16E20" w14:textId="77777777" w:rsidR="00F92E99" w:rsidRPr="002F6DC8" w:rsidRDefault="00F92E99" w:rsidP="007B3C67">
            <w:pPr>
              <w:spacing w:after="0" w:line="240" w:lineRule="auto"/>
              <w:rPr>
                <w:rFonts w:ascii="Calibri" w:eastAsia="Times New Roman" w:hAnsi="Calibri" w:cs="Times New Roman"/>
                <w:sz w:val="24"/>
                <w:szCs w:val="24"/>
              </w:rPr>
            </w:pPr>
          </w:p>
        </w:tc>
      </w:tr>
      <w:tr w:rsidR="00F92E99" w:rsidRPr="002F6DC8" w14:paraId="538E299A" w14:textId="77777777" w:rsidTr="00AC2C0E">
        <w:trPr>
          <w:trHeight w:val="315"/>
          <w:jc w:val="center"/>
        </w:trPr>
        <w:tc>
          <w:tcPr>
            <w:tcW w:w="960" w:type="dxa"/>
            <w:tcBorders>
              <w:top w:val="nil"/>
              <w:left w:val="single" w:sz="4" w:space="0" w:color="auto"/>
              <w:bottom w:val="nil"/>
              <w:right w:val="single" w:sz="4" w:space="0" w:color="auto"/>
            </w:tcBorders>
            <w:shd w:val="clear" w:color="auto" w:fill="auto"/>
            <w:noWrap/>
            <w:vAlign w:val="bottom"/>
            <w:hideMark/>
          </w:tcPr>
          <w:p w14:paraId="37F12DC6" w14:textId="77777777" w:rsidR="00F92E99" w:rsidRPr="002F6DC8" w:rsidRDefault="00F92E99" w:rsidP="007B3C67">
            <w:pPr>
              <w:spacing w:after="0" w:line="240" w:lineRule="auto"/>
              <w:rPr>
                <w:rFonts w:ascii="Calibri" w:eastAsia="Times New Roman" w:hAnsi="Calibri" w:cs="Times New Roman"/>
                <w:b/>
                <w:bCs/>
                <w:sz w:val="24"/>
                <w:szCs w:val="24"/>
              </w:rPr>
            </w:pPr>
            <w:r w:rsidRPr="002F6DC8">
              <w:rPr>
                <w:rFonts w:ascii="Calibri" w:eastAsia="Times New Roman" w:hAnsi="Calibri" w:cs="Times New Roman"/>
                <w:b/>
                <w:bCs/>
                <w:sz w:val="24"/>
                <w:szCs w:val="24"/>
              </w:rPr>
              <w:t>3-Mar</w:t>
            </w:r>
          </w:p>
        </w:tc>
        <w:tc>
          <w:tcPr>
            <w:tcW w:w="1480" w:type="dxa"/>
            <w:tcBorders>
              <w:top w:val="nil"/>
              <w:left w:val="nil"/>
              <w:bottom w:val="nil"/>
              <w:right w:val="single" w:sz="4" w:space="0" w:color="auto"/>
            </w:tcBorders>
            <w:shd w:val="clear" w:color="auto" w:fill="auto"/>
            <w:noWrap/>
            <w:vAlign w:val="bottom"/>
            <w:hideMark/>
          </w:tcPr>
          <w:p w14:paraId="3A75C78B"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1,098</w:t>
            </w:r>
          </w:p>
        </w:tc>
        <w:tc>
          <w:tcPr>
            <w:tcW w:w="1480" w:type="dxa"/>
            <w:tcBorders>
              <w:top w:val="nil"/>
              <w:left w:val="nil"/>
              <w:bottom w:val="nil"/>
              <w:right w:val="single" w:sz="4" w:space="0" w:color="auto"/>
            </w:tcBorders>
            <w:shd w:val="clear" w:color="auto" w:fill="auto"/>
            <w:vAlign w:val="bottom"/>
            <w:hideMark/>
          </w:tcPr>
          <w:p w14:paraId="5374E554"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-524</w:t>
            </w:r>
          </w:p>
        </w:tc>
        <w:tc>
          <w:tcPr>
            <w:tcW w:w="1480" w:type="dxa"/>
            <w:tcBorders>
              <w:top w:val="nil"/>
              <w:left w:val="nil"/>
              <w:bottom w:val="nil"/>
              <w:right w:val="single" w:sz="4" w:space="0" w:color="auto"/>
            </w:tcBorders>
            <w:shd w:val="clear" w:color="auto" w:fill="auto"/>
            <w:vAlign w:val="bottom"/>
            <w:hideMark/>
          </w:tcPr>
          <w:p w14:paraId="468EAC72"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316</w:t>
            </w:r>
          </w:p>
        </w:tc>
        <w:tc>
          <w:tcPr>
            <w:tcW w:w="1480" w:type="dxa"/>
            <w:tcBorders>
              <w:top w:val="nil"/>
              <w:left w:val="nil"/>
              <w:bottom w:val="nil"/>
              <w:right w:val="single" w:sz="4" w:space="0" w:color="auto"/>
            </w:tcBorders>
            <w:shd w:val="clear" w:color="auto" w:fill="auto"/>
            <w:vAlign w:val="bottom"/>
            <w:hideMark/>
          </w:tcPr>
          <w:p w14:paraId="6A7A5E97"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159</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738BA423"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-119</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4F24D863"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22</w:t>
            </w:r>
          </w:p>
        </w:tc>
      </w:tr>
      <w:tr w:rsidR="00F92E99" w:rsidRPr="002F6DC8" w14:paraId="7D5B2820" w14:textId="77777777" w:rsidTr="00AC2C0E">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FDED868" w14:textId="77777777" w:rsidR="00F92E99" w:rsidRPr="002F6DC8" w:rsidRDefault="00F92E99" w:rsidP="007B3C67">
            <w:pPr>
              <w:spacing w:after="0" w:line="240" w:lineRule="auto"/>
              <w:rPr>
                <w:rFonts w:ascii="Calibri" w:eastAsia="Times New Roman" w:hAnsi="Calibri" w:cs="Times New Roman"/>
                <w:b/>
                <w:bCs/>
                <w:sz w:val="24"/>
                <w:szCs w:val="24"/>
              </w:rPr>
            </w:pPr>
            <w:r w:rsidRPr="002F6DC8">
              <w:rPr>
                <w:rFonts w:ascii="Calibri" w:eastAsia="Times New Roman" w:hAnsi="Calibri" w:cs="Times New Roman"/>
                <w:b/>
                <w:bCs/>
                <w:sz w:val="24"/>
                <w:szCs w:val="24"/>
              </w:rPr>
              <w:t>4-Mar</w:t>
            </w:r>
          </w:p>
        </w:tc>
        <w:tc>
          <w:tcPr>
            <w:tcW w:w="1480" w:type="dxa"/>
            <w:tcBorders>
              <w:top w:val="nil"/>
              <w:left w:val="nil"/>
              <w:bottom w:val="single" w:sz="4" w:space="0" w:color="auto"/>
              <w:right w:val="single" w:sz="4" w:space="0" w:color="auto"/>
            </w:tcBorders>
            <w:shd w:val="clear" w:color="auto" w:fill="auto"/>
            <w:noWrap/>
            <w:vAlign w:val="bottom"/>
            <w:hideMark/>
          </w:tcPr>
          <w:p w14:paraId="7320D0FD"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980</w:t>
            </w:r>
          </w:p>
        </w:tc>
        <w:tc>
          <w:tcPr>
            <w:tcW w:w="1480" w:type="dxa"/>
            <w:tcBorders>
              <w:top w:val="nil"/>
              <w:left w:val="nil"/>
              <w:bottom w:val="single" w:sz="4" w:space="0" w:color="auto"/>
              <w:right w:val="single" w:sz="4" w:space="0" w:color="auto"/>
            </w:tcBorders>
            <w:shd w:val="clear" w:color="auto" w:fill="auto"/>
            <w:vAlign w:val="bottom"/>
            <w:hideMark/>
          </w:tcPr>
          <w:p w14:paraId="4CFE777D"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-502</w:t>
            </w:r>
          </w:p>
        </w:tc>
        <w:tc>
          <w:tcPr>
            <w:tcW w:w="1480" w:type="dxa"/>
            <w:tcBorders>
              <w:top w:val="nil"/>
              <w:left w:val="nil"/>
              <w:bottom w:val="single" w:sz="4" w:space="0" w:color="auto"/>
              <w:right w:val="single" w:sz="4" w:space="0" w:color="auto"/>
            </w:tcBorders>
            <w:shd w:val="clear" w:color="auto" w:fill="auto"/>
            <w:vAlign w:val="bottom"/>
            <w:hideMark/>
          </w:tcPr>
          <w:p w14:paraId="593AE0BB"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488</w:t>
            </w:r>
          </w:p>
        </w:tc>
        <w:tc>
          <w:tcPr>
            <w:tcW w:w="1480" w:type="dxa"/>
            <w:tcBorders>
              <w:top w:val="nil"/>
              <w:left w:val="nil"/>
              <w:bottom w:val="single" w:sz="4" w:space="0" w:color="auto"/>
              <w:right w:val="single" w:sz="4" w:space="0" w:color="auto"/>
            </w:tcBorders>
            <w:shd w:val="clear" w:color="auto" w:fill="auto"/>
            <w:vAlign w:val="bottom"/>
            <w:hideMark/>
          </w:tcPr>
          <w:p w14:paraId="42CC5C78"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161</w:t>
            </w:r>
          </w:p>
        </w:tc>
        <w:tc>
          <w:tcPr>
            <w:tcW w:w="1480" w:type="dxa"/>
            <w:vMerge/>
            <w:tcBorders>
              <w:top w:val="nil"/>
              <w:left w:val="single" w:sz="4" w:space="0" w:color="auto"/>
              <w:bottom w:val="single" w:sz="4" w:space="0" w:color="000000"/>
              <w:right w:val="single" w:sz="4" w:space="0" w:color="auto"/>
            </w:tcBorders>
            <w:vAlign w:val="center"/>
            <w:hideMark/>
          </w:tcPr>
          <w:p w14:paraId="35044F12" w14:textId="77777777" w:rsidR="00F92E99" w:rsidRPr="002F6DC8" w:rsidRDefault="00F92E99" w:rsidP="007B3C67">
            <w:pPr>
              <w:spacing w:after="0" w:line="240" w:lineRule="auto"/>
              <w:rPr>
                <w:rFonts w:ascii="Calibri" w:eastAsia="Times New Roman" w:hAnsi="Calibri" w:cs="Times New Roman"/>
                <w:sz w:val="24"/>
                <w:szCs w:val="24"/>
              </w:rPr>
            </w:pPr>
          </w:p>
        </w:tc>
        <w:tc>
          <w:tcPr>
            <w:tcW w:w="1480" w:type="dxa"/>
            <w:vMerge/>
            <w:tcBorders>
              <w:top w:val="nil"/>
              <w:left w:val="single" w:sz="4" w:space="0" w:color="auto"/>
              <w:bottom w:val="single" w:sz="4" w:space="0" w:color="000000"/>
              <w:right w:val="single" w:sz="4" w:space="0" w:color="auto"/>
            </w:tcBorders>
            <w:vAlign w:val="center"/>
            <w:hideMark/>
          </w:tcPr>
          <w:p w14:paraId="015A3977" w14:textId="77777777" w:rsidR="00F92E99" w:rsidRPr="002F6DC8" w:rsidRDefault="00F92E99" w:rsidP="007B3C67">
            <w:pPr>
              <w:spacing w:after="0" w:line="240" w:lineRule="auto"/>
              <w:rPr>
                <w:rFonts w:ascii="Calibri" w:eastAsia="Times New Roman" w:hAnsi="Calibri" w:cs="Times New Roman"/>
                <w:sz w:val="24"/>
                <w:szCs w:val="24"/>
              </w:rPr>
            </w:pPr>
          </w:p>
        </w:tc>
      </w:tr>
      <w:tr w:rsidR="00F92E99" w:rsidRPr="002F6DC8" w14:paraId="41635D45" w14:textId="77777777" w:rsidTr="00AC2C0E">
        <w:trPr>
          <w:trHeight w:val="315"/>
          <w:jc w:val="center"/>
        </w:trPr>
        <w:tc>
          <w:tcPr>
            <w:tcW w:w="960" w:type="dxa"/>
            <w:tcBorders>
              <w:top w:val="nil"/>
              <w:left w:val="single" w:sz="4" w:space="0" w:color="auto"/>
              <w:bottom w:val="nil"/>
              <w:right w:val="single" w:sz="4" w:space="0" w:color="auto"/>
            </w:tcBorders>
            <w:shd w:val="clear" w:color="auto" w:fill="auto"/>
            <w:noWrap/>
            <w:vAlign w:val="bottom"/>
            <w:hideMark/>
          </w:tcPr>
          <w:p w14:paraId="2D1F3FAD" w14:textId="77777777" w:rsidR="00F92E99" w:rsidRPr="002F6DC8" w:rsidRDefault="00F92E99" w:rsidP="007B3C67">
            <w:pPr>
              <w:spacing w:after="0" w:line="240" w:lineRule="auto"/>
              <w:rPr>
                <w:rFonts w:ascii="Calibri" w:eastAsia="Times New Roman" w:hAnsi="Calibri" w:cs="Times New Roman"/>
                <w:b/>
                <w:bCs/>
                <w:sz w:val="24"/>
                <w:szCs w:val="24"/>
              </w:rPr>
            </w:pPr>
            <w:r w:rsidRPr="002F6DC8">
              <w:rPr>
                <w:rFonts w:ascii="Calibri" w:eastAsia="Times New Roman" w:hAnsi="Calibri" w:cs="Times New Roman"/>
                <w:b/>
                <w:bCs/>
                <w:sz w:val="24"/>
                <w:szCs w:val="24"/>
              </w:rPr>
              <w:t>4-Mar</w:t>
            </w:r>
          </w:p>
        </w:tc>
        <w:tc>
          <w:tcPr>
            <w:tcW w:w="1480" w:type="dxa"/>
            <w:tcBorders>
              <w:top w:val="nil"/>
              <w:left w:val="nil"/>
              <w:bottom w:val="nil"/>
              <w:right w:val="single" w:sz="4" w:space="0" w:color="auto"/>
            </w:tcBorders>
            <w:shd w:val="clear" w:color="auto" w:fill="auto"/>
            <w:noWrap/>
            <w:vAlign w:val="bottom"/>
            <w:hideMark/>
          </w:tcPr>
          <w:p w14:paraId="22DA8C04"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980</w:t>
            </w:r>
          </w:p>
        </w:tc>
        <w:tc>
          <w:tcPr>
            <w:tcW w:w="1480" w:type="dxa"/>
            <w:tcBorders>
              <w:top w:val="nil"/>
              <w:left w:val="nil"/>
              <w:bottom w:val="nil"/>
              <w:right w:val="single" w:sz="4" w:space="0" w:color="auto"/>
            </w:tcBorders>
            <w:shd w:val="clear" w:color="auto" w:fill="auto"/>
            <w:vAlign w:val="bottom"/>
            <w:hideMark/>
          </w:tcPr>
          <w:p w14:paraId="353A49D3"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-502</w:t>
            </w:r>
          </w:p>
        </w:tc>
        <w:tc>
          <w:tcPr>
            <w:tcW w:w="1480" w:type="dxa"/>
            <w:tcBorders>
              <w:top w:val="nil"/>
              <w:left w:val="nil"/>
              <w:bottom w:val="nil"/>
              <w:right w:val="single" w:sz="4" w:space="0" w:color="auto"/>
            </w:tcBorders>
            <w:shd w:val="clear" w:color="auto" w:fill="auto"/>
            <w:vAlign w:val="bottom"/>
            <w:hideMark/>
          </w:tcPr>
          <w:p w14:paraId="182EEB5D"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488</w:t>
            </w:r>
          </w:p>
        </w:tc>
        <w:tc>
          <w:tcPr>
            <w:tcW w:w="1480" w:type="dxa"/>
            <w:tcBorders>
              <w:top w:val="nil"/>
              <w:left w:val="nil"/>
              <w:bottom w:val="nil"/>
              <w:right w:val="single" w:sz="4" w:space="0" w:color="auto"/>
            </w:tcBorders>
            <w:shd w:val="clear" w:color="auto" w:fill="auto"/>
            <w:vAlign w:val="bottom"/>
            <w:hideMark/>
          </w:tcPr>
          <w:p w14:paraId="5B07FBBE"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161</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5C518143"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49</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3DD8CDFE"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53</w:t>
            </w:r>
          </w:p>
        </w:tc>
      </w:tr>
      <w:tr w:rsidR="00F92E99" w:rsidRPr="002F6DC8" w14:paraId="02353C2D" w14:textId="77777777" w:rsidTr="00AC2C0E">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FDEB4C" w14:textId="77777777" w:rsidR="00F92E99" w:rsidRPr="002F6DC8" w:rsidRDefault="00F92E99" w:rsidP="007B3C67">
            <w:pPr>
              <w:spacing w:after="0" w:line="240" w:lineRule="auto"/>
              <w:rPr>
                <w:rFonts w:ascii="Calibri" w:eastAsia="Times New Roman" w:hAnsi="Calibri" w:cs="Times New Roman"/>
                <w:b/>
                <w:bCs/>
                <w:sz w:val="24"/>
                <w:szCs w:val="24"/>
              </w:rPr>
            </w:pPr>
            <w:r w:rsidRPr="002F6DC8">
              <w:rPr>
                <w:rFonts w:ascii="Calibri" w:eastAsia="Times New Roman" w:hAnsi="Calibri" w:cs="Times New Roman"/>
                <w:b/>
                <w:bCs/>
                <w:sz w:val="24"/>
                <w:szCs w:val="24"/>
              </w:rPr>
              <w:t>5-Mar</w:t>
            </w:r>
          </w:p>
        </w:tc>
        <w:tc>
          <w:tcPr>
            <w:tcW w:w="1480" w:type="dxa"/>
            <w:tcBorders>
              <w:top w:val="nil"/>
              <w:left w:val="nil"/>
              <w:bottom w:val="single" w:sz="4" w:space="0" w:color="auto"/>
              <w:right w:val="single" w:sz="4" w:space="0" w:color="auto"/>
            </w:tcBorders>
            <w:shd w:val="clear" w:color="auto" w:fill="auto"/>
            <w:noWrap/>
            <w:vAlign w:val="bottom"/>
            <w:hideMark/>
          </w:tcPr>
          <w:p w14:paraId="7738842B"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1,028</w:t>
            </w:r>
          </w:p>
        </w:tc>
        <w:tc>
          <w:tcPr>
            <w:tcW w:w="1480" w:type="dxa"/>
            <w:tcBorders>
              <w:top w:val="nil"/>
              <w:left w:val="nil"/>
              <w:bottom w:val="single" w:sz="4" w:space="0" w:color="auto"/>
              <w:right w:val="single" w:sz="4" w:space="0" w:color="auto"/>
            </w:tcBorders>
            <w:shd w:val="clear" w:color="auto" w:fill="auto"/>
            <w:vAlign w:val="bottom"/>
            <w:hideMark/>
          </w:tcPr>
          <w:p w14:paraId="4E33635A"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-449</w:t>
            </w:r>
          </w:p>
        </w:tc>
        <w:tc>
          <w:tcPr>
            <w:tcW w:w="1480" w:type="dxa"/>
            <w:tcBorders>
              <w:top w:val="nil"/>
              <w:left w:val="nil"/>
              <w:bottom w:val="single" w:sz="4" w:space="0" w:color="auto"/>
              <w:right w:val="single" w:sz="4" w:space="0" w:color="auto"/>
            </w:tcBorders>
            <w:shd w:val="clear" w:color="auto" w:fill="auto"/>
            <w:vAlign w:val="bottom"/>
            <w:hideMark/>
          </w:tcPr>
          <w:p w14:paraId="247745BE"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405</w:t>
            </w:r>
          </w:p>
        </w:tc>
        <w:tc>
          <w:tcPr>
            <w:tcW w:w="1480" w:type="dxa"/>
            <w:tcBorders>
              <w:top w:val="nil"/>
              <w:left w:val="nil"/>
              <w:bottom w:val="single" w:sz="4" w:space="0" w:color="auto"/>
              <w:right w:val="single" w:sz="4" w:space="0" w:color="auto"/>
            </w:tcBorders>
            <w:shd w:val="clear" w:color="auto" w:fill="auto"/>
            <w:vAlign w:val="bottom"/>
            <w:hideMark/>
          </w:tcPr>
          <w:p w14:paraId="0EBB5FE5" w14:textId="77777777" w:rsidR="00F92E99" w:rsidRPr="002F6DC8" w:rsidRDefault="00F92E99" w:rsidP="007B3C67">
            <w:pPr>
              <w:spacing w:after="0" w:line="240" w:lineRule="auto"/>
              <w:jc w:val="center"/>
              <w:rPr>
                <w:rFonts w:ascii="Calibri" w:eastAsia="Times New Roman" w:hAnsi="Calibri" w:cs="Times New Roman"/>
                <w:sz w:val="24"/>
                <w:szCs w:val="24"/>
              </w:rPr>
            </w:pPr>
            <w:r w:rsidRPr="002F6DC8">
              <w:rPr>
                <w:rFonts w:ascii="Calibri" w:eastAsia="Times New Roman" w:hAnsi="Calibri" w:cs="Times New Roman"/>
                <w:sz w:val="24"/>
                <w:szCs w:val="24"/>
              </w:rPr>
              <w:t>161</w:t>
            </w:r>
          </w:p>
        </w:tc>
        <w:tc>
          <w:tcPr>
            <w:tcW w:w="1480" w:type="dxa"/>
            <w:vMerge/>
            <w:tcBorders>
              <w:top w:val="nil"/>
              <w:left w:val="single" w:sz="4" w:space="0" w:color="auto"/>
              <w:bottom w:val="single" w:sz="4" w:space="0" w:color="000000"/>
              <w:right w:val="single" w:sz="4" w:space="0" w:color="auto"/>
            </w:tcBorders>
            <w:vAlign w:val="center"/>
            <w:hideMark/>
          </w:tcPr>
          <w:p w14:paraId="455A8DD0" w14:textId="77777777" w:rsidR="00F92E99" w:rsidRPr="002F6DC8" w:rsidRDefault="00F92E99" w:rsidP="007B3C67">
            <w:pPr>
              <w:spacing w:after="0" w:line="240" w:lineRule="auto"/>
              <w:rPr>
                <w:rFonts w:ascii="Calibri" w:eastAsia="Times New Roman" w:hAnsi="Calibri" w:cs="Times New Roman"/>
                <w:sz w:val="24"/>
                <w:szCs w:val="24"/>
              </w:rPr>
            </w:pPr>
          </w:p>
        </w:tc>
        <w:tc>
          <w:tcPr>
            <w:tcW w:w="1480" w:type="dxa"/>
            <w:vMerge/>
            <w:tcBorders>
              <w:top w:val="nil"/>
              <w:left w:val="single" w:sz="4" w:space="0" w:color="auto"/>
              <w:bottom w:val="single" w:sz="4" w:space="0" w:color="000000"/>
              <w:right w:val="single" w:sz="4" w:space="0" w:color="auto"/>
            </w:tcBorders>
            <w:vAlign w:val="center"/>
            <w:hideMark/>
          </w:tcPr>
          <w:p w14:paraId="3DFF3230" w14:textId="77777777" w:rsidR="00F92E99" w:rsidRPr="002F6DC8" w:rsidRDefault="00F92E99" w:rsidP="007B3C67">
            <w:pPr>
              <w:spacing w:after="0" w:line="240" w:lineRule="auto"/>
              <w:rPr>
                <w:rFonts w:ascii="Calibri" w:eastAsia="Times New Roman" w:hAnsi="Calibri" w:cs="Times New Roman"/>
                <w:sz w:val="24"/>
                <w:szCs w:val="24"/>
              </w:rPr>
            </w:pPr>
          </w:p>
        </w:tc>
      </w:tr>
    </w:tbl>
    <w:p w14:paraId="2EB542CF" w14:textId="77777777" w:rsidR="00F92E99" w:rsidRDefault="00F92E99" w:rsidP="00BA0C82">
      <w:pPr>
        <w:spacing w:line="480" w:lineRule="auto"/>
        <w:rPr>
          <w:sz w:val="24"/>
        </w:rPr>
      </w:pPr>
    </w:p>
    <w:p w14:paraId="5F790CCE" w14:textId="77777777" w:rsidR="00F92E99" w:rsidRDefault="00F92E99" w:rsidP="00F92E99">
      <w:pPr>
        <w:spacing w:line="480" w:lineRule="auto"/>
        <w:jc w:val="center"/>
        <w:rPr>
          <w:sz w:val="24"/>
        </w:rPr>
      </w:pPr>
      <w:r>
        <w:rPr>
          <w:noProof/>
          <w:sz w:val="24"/>
        </w:rPr>
        <w:lastRenderedPageBreak/>
        <w:drawing>
          <wp:inline distT="0" distB="0" distL="0" distR="0" wp14:anchorId="42979BFB" wp14:editId="4D47C51F">
            <wp:extent cx="5943600" cy="37242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ct_MeanCenter.jpg"/>
                    <pic:cNvPicPr/>
                  </pic:nvPicPr>
                  <pic:blipFill rotWithShape="1">
                    <a:blip r:embed="rId21" cstate="print">
                      <a:extLst>
                        <a:ext uri="{28A0092B-C50C-407E-A947-70E740481C1C}">
                          <a14:useLocalDpi xmlns:a14="http://schemas.microsoft.com/office/drawing/2010/main" val="0"/>
                        </a:ext>
                      </a:extLst>
                    </a:blip>
                    <a:srcRect t="7649" b="6905"/>
                    <a:stretch/>
                  </pic:blipFill>
                  <pic:spPr bwMode="auto">
                    <a:xfrm>
                      <a:off x="0" y="0"/>
                      <a:ext cx="5943600" cy="3724275"/>
                    </a:xfrm>
                    <a:prstGeom prst="rect">
                      <a:avLst/>
                    </a:prstGeom>
                    <a:ln>
                      <a:noFill/>
                    </a:ln>
                    <a:extLst>
                      <a:ext uri="{53640926-AAD7-44D8-BBD7-CCE9431645EC}">
                        <a14:shadowObscured xmlns:a14="http://schemas.microsoft.com/office/drawing/2010/main"/>
                      </a:ext>
                    </a:extLst>
                  </pic:spPr>
                </pic:pic>
              </a:graphicData>
            </a:graphic>
          </wp:inline>
        </w:drawing>
      </w:r>
    </w:p>
    <w:p w14:paraId="41ED2B01" w14:textId="77777777" w:rsidR="00F92E99" w:rsidRDefault="00F92E99" w:rsidP="00F92E99">
      <w:pPr>
        <w:spacing w:line="480" w:lineRule="auto"/>
        <w:rPr>
          <w:sz w:val="24"/>
        </w:rPr>
      </w:pPr>
      <w:r>
        <w:rPr>
          <w:b/>
          <w:sz w:val="24"/>
        </w:rPr>
        <w:fldChar w:fldCharType="begin"/>
      </w:r>
      <w:r>
        <w:rPr>
          <w:b/>
          <w:sz w:val="24"/>
        </w:rPr>
        <w:instrText xml:space="preserve"> TC  "</w:instrText>
      </w:r>
      <w:bookmarkStart w:id="45" w:name="_Toc56898501"/>
      <w:r>
        <w:rPr>
          <w:b/>
          <w:sz w:val="24"/>
        </w:rPr>
        <w:instrText>Figure 13: Daily mean center locations for tornado-outbreak tweets</w:instrText>
      </w:r>
      <w:bookmarkEnd w:id="45"/>
      <w:r>
        <w:rPr>
          <w:b/>
          <w:sz w:val="24"/>
        </w:rPr>
        <w:instrText xml:space="preserve">" \f f \l 1 </w:instrText>
      </w:r>
      <w:r>
        <w:rPr>
          <w:b/>
          <w:sz w:val="24"/>
        </w:rPr>
        <w:fldChar w:fldCharType="end"/>
      </w:r>
      <w:r>
        <w:rPr>
          <w:b/>
          <w:sz w:val="24"/>
        </w:rPr>
        <w:t xml:space="preserve">Figure 13: </w:t>
      </w:r>
      <w:r>
        <w:rPr>
          <w:sz w:val="24"/>
        </w:rPr>
        <w:t>Daily mean center locations for tornado-outbreak tweets.</w:t>
      </w:r>
    </w:p>
    <w:p w14:paraId="2B510D54" w14:textId="77777777" w:rsidR="00F92E99" w:rsidRDefault="00F92E99" w:rsidP="00BA0C82">
      <w:pPr>
        <w:spacing w:line="480" w:lineRule="auto"/>
        <w:rPr>
          <w:sz w:val="24"/>
        </w:rPr>
      </w:pPr>
    </w:p>
    <w:p w14:paraId="6D85CA43" w14:textId="77777777" w:rsidR="00443D14" w:rsidRDefault="00443D14" w:rsidP="00443D14">
      <w:pPr>
        <w:spacing w:line="480" w:lineRule="auto"/>
        <w:rPr>
          <w:sz w:val="24"/>
        </w:rPr>
      </w:pPr>
    </w:p>
    <w:p w14:paraId="55622767" w14:textId="77777777" w:rsidR="00F92E99" w:rsidRDefault="00F92E99" w:rsidP="00443D14">
      <w:pPr>
        <w:spacing w:line="480" w:lineRule="auto"/>
        <w:rPr>
          <w:sz w:val="24"/>
        </w:rPr>
      </w:pPr>
    </w:p>
    <w:p w14:paraId="318E7EE6" w14:textId="77777777" w:rsidR="00F92E99" w:rsidRDefault="00F92E99" w:rsidP="00443D14">
      <w:pPr>
        <w:spacing w:line="480" w:lineRule="auto"/>
        <w:rPr>
          <w:sz w:val="24"/>
        </w:rPr>
      </w:pPr>
    </w:p>
    <w:p w14:paraId="42A70749" w14:textId="77777777" w:rsidR="00F92E99" w:rsidRDefault="00F92E99" w:rsidP="00443D14">
      <w:pPr>
        <w:spacing w:line="480" w:lineRule="auto"/>
        <w:rPr>
          <w:sz w:val="24"/>
        </w:rPr>
      </w:pPr>
    </w:p>
    <w:p w14:paraId="1CCF4B2C" w14:textId="77777777" w:rsidR="00F92E99" w:rsidRDefault="00F92E99" w:rsidP="00443D14">
      <w:pPr>
        <w:spacing w:line="480" w:lineRule="auto"/>
        <w:rPr>
          <w:sz w:val="24"/>
        </w:rPr>
      </w:pPr>
    </w:p>
    <w:p w14:paraId="57838DAE" w14:textId="77777777" w:rsidR="00F92E99" w:rsidRDefault="00F92E99" w:rsidP="00443D14">
      <w:pPr>
        <w:spacing w:line="480" w:lineRule="auto"/>
        <w:rPr>
          <w:sz w:val="24"/>
        </w:rPr>
      </w:pPr>
    </w:p>
    <w:p w14:paraId="6CDF3CFA" w14:textId="77777777" w:rsidR="00F92E99" w:rsidRDefault="00F92E99" w:rsidP="00443D14">
      <w:pPr>
        <w:spacing w:line="480" w:lineRule="auto"/>
        <w:rPr>
          <w:sz w:val="24"/>
        </w:rPr>
      </w:pPr>
    </w:p>
    <w:p w14:paraId="4C3F07AD" w14:textId="64E86B7F" w:rsidR="002F6640" w:rsidRDefault="00443D14" w:rsidP="00443D14">
      <w:pPr>
        <w:spacing w:line="480" w:lineRule="auto"/>
        <w:rPr>
          <w:sz w:val="24"/>
        </w:rPr>
      </w:pPr>
      <w:r w:rsidRPr="006243FA">
        <w:rPr>
          <w:sz w:val="24"/>
        </w:rPr>
        <w:lastRenderedPageBreak/>
        <w:t xml:space="preserve">increased over some date ranges </w:t>
      </w:r>
      <w:r w:rsidR="006243FA">
        <w:rPr>
          <w:sz w:val="24"/>
        </w:rPr>
        <w:t>and</w:t>
      </w:r>
      <w:r w:rsidRPr="006243FA">
        <w:rPr>
          <w:sz w:val="24"/>
        </w:rPr>
        <w:t xml:space="preserve"> decreased over others. The increase in SDE area on 3 to 4 March is </w:t>
      </w:r>
      <w:r w:rsidR="004D0296" w:rsidRPr="006243FA">
        <w:rPr>
          <w:sz w:val="24"/>
        </w:rPr>
        <w:t xml:space="preserve">the most notable. </w:t>
      </w:r>
      <w:r w:rsidRPr="006243FA">
        <w:rPr>
          <w:sz w:val="24"/>
        </w:rPr>
        <w:t xml:space="preserve">The SDE is smaller and more concentrated over southeastern Alabama and central Georgia on 3 March. </w:t>
      </w:r>
      <w:r w:rsidR="00067182" w:rsidRPr="006243FA">
        <w:rPr>
          <w:sz w:val="24"/>
        </w:rPr>
        <w:t>By 4 March, t</w:t>
      </w:r>
      <w:r w:rsidRPr="006243FA">
        <w:rPr>
          <w:sz w:val="24"/>
        </w:rPr>
        <w:t>he SDE is more expansive, spreading from Missis</w:t>
      </w:r>
      <w:r w:rsidR="00067182" w:rsidRPr="006243FA">
        <w:rPr>
          <w:sz w:val="24"/>
        </w:rPr>
        <w:t>sippi to central So</w:t>
      </w:r>
      <w:r w:rsidR="00992585">
        <w:rPr>
          <w:sz w:val="24"/>
        </w:rPr>
        <w:t>uth Carolina, as seen in Table 6</w:t>
      </w:r>
      <w:r w:rsidR="00067182" w:rsidRPr="006243FA">
        <w:rPr>
          <w:sz w:val="24"/>
        </w:rPr>
        <w:t>.</w:t>
      </w:r>
      <w:r w:rsidR="00966A20">
        <w:rPr>
          <w:sz w:val="24"/>
        </w:rPr>
        <w:t xml:space="preserve"> Figure 14</w:t>
      </w:r>
      <w:r w:rsidR="002F6640" w:rsidRPr="006243FA">
        <w:rPr>
          <w:sz w:val="24"/>
        </w:rPr>
        <w:t xml:space="preserve"> shows</w:t>
      </w:r>
      <w:r w:rsidR="002F6640">
        <w:rPr>
          <w:sz w:val="24"/>
        </w:rPr>
        <w:t xml:space="preserve"> where tweets were located each day, along with SDEs (purple polygons), and mean centers (purple dots).</w:t>
      </w:r>
    </w:p>
    <w:p w14:paraId="2BD5E612" w14:textId="77777777" w:rsidR="002F6640" w:rsidRDefault="002F6640" w:rsidP="00443D14">
      <w:pPr>
        <w:spacing w:line="480" w:lineRule="auto"/>
        <w:rPr>
          <w:sz w:val="24"/>
        </w:rPr>
      </w:pPr>
    </w:p>
    <w:p w14:paraId="570A6F2D" w14:textId="77777777" w:rsidR="00443D14" w:rsidRDefault="00443D14" w:rsidP="000A0606">
      <w:pPr>
        <w:spacing w:line="480" w:lineRule="auto"/>
        <w:rPr>
          <w:b/>
          <w:sz w:val="24"/>
        </w:rPr>
      </w:pPr>
    </w:p>
    <w:p w14:paraId="4657E7D1" w14:textId="77777777" w:rsidR="00443D14" w:rsidRDefault="00443D14" w:rsidP="000A0606">
      <w:pPr>
        <w:spacing w:line="480" w:lineRule="auto"/>
        <w:rPr>
          <w:b/>
          <w:sz w:val="24"/>
        </w:rPr>
      </w:pPr>
    </w:p>
    <w:p w14:paraId="356507EE" w14:textId="77777777" w:rsidR="00443D14" w:rsidRDefault="00443D14" w:rsidP="000A0606">
      <w:pPr>
        <w:spacing w:line="480" w:lineRule="auto"/>
        <w:rPr>
          <w:b/>
          <w:sz w:val="24"/>
        </w:rPr>
      </w:pPr>
    </w:p>
    <w:p w14:paraId="7FEE087A" w14:textId="77777777" w:rsidR="002B3123" w:rsidRDefault="002B3123" w:rsidP="000A0606">
      <w:pPr>
        <w:spacing w:line="480" w:lineRule="auto"/>
        <w:rPr>
          <w:b/>
          <w:sz w:val="24"/>
        </w:rPr>
      </w:pPr>
    </w:p>
    <w:p w14:paraId="69C83A69" w14:textId="77777777" w:rsidR="002B3123" w:rsidRDefault="002B3123" w:rsidP="000A0606">
      <w:pPr>
        <w:spacing w:line="480" w:lineRule="auto"/>
        <w:rPr>
          <w:b/>
          <w:sz w:val="24"/>
        </w:rPr>
      </w:pPr>
    </w:p>
    <w:p w14:paraId="4175C55B" w14:textId="77777777" w:rsidR="002B3123" w:rsidRDefault="002B3123" w:rsidP="000A0606">
      <w:pPr>
        <w:spacing w:line="480" w:lineRule="auto"/>
        <w:rPr>
          <w:b/>
          <w:sz w:val="24"/>
        </w:rPr>
      </w:pPr>
    </w:p>
    <w:p w14:paraId="17D032E2" w14:textId="77777777" w:rsidR="00CD035E" w:rsidRDefault="00CD035E" w:rsidP="00A4347B">
      <w:pPr>
        <w:spacing w:line="480" w:lineRule="auto"/>
        <w:rPr>
          <w:sz w:val="24"/>
        </w:rPr>
      </w:pPr>
    </w:p>
    <w:p w14:paraId="1023A45E" w14:textId="77777777" w:rsidR="003B114E" w:rsidRDefault="003B114E" w:rsidP="00A4347B">
      <w:pPr>
        <w:spacing w:line="480" w:lineRule="auto"/>
        <w:rPr>
          <w:sz w:val="24"/>
        </w:rPr>
      </w:pPr>
    </w:p>
    <w:p w14:paraId="42655409" w14:textId="77777777" w:rsidR="003B114E" w:rsidRDefault="003B114E" w:rsidP="00A4347B">
      <w:pPr>
        <w:spacing w:line="480" w:lineRule="auto"/>
        <w:rPr>
          <w:sz w:val="24"/>
        </w:rPr>
      </w:pPr>
    </w:p>
    <w:p w14:paraId="4455A55A" w14:textId="77777777" w:rsidR="003B114E" w:rsidRDefault="003B114E" w:rsidP="00A4347B">
      <w:pPr>
        <w:spacing w:line="480" w:lineRule="auto"/>
        <w:rPr>
          <w:sz w:val="24"/>
        </w:rPr>
      </w:pPr>
    </w:p>
    <w:p w14:paraId="22A627A0" w14:textId="77777777" w:rsidR="00837353" w:rsidRDefault="00837353" w:rsidP="00A4347B">
      <w:pPr>
        <w:spacing w:line="480" w:lineRule="auto"/>
        <w:rPr>
          <w:sz w:val="24"/>
        </w:rPr>
      </w:pPr>
    </w:p>
    <w:p w14:paraId="24B53D7F" w14:textId="77777777" w:rsidR="003B114E" w:rsidRPr="006332AC" w:rsidRDefault="003B114E" w:rsidP="00A4347B">
      <w:pPr>
        <w:spacing w:line="480" w:lineRule="auto"/>
        <w:rPr>
          <w:sz w:val="24"/>
        </w:rPr>
      </w:pPr>
    </w:p>
    <w:p w14:paraId="074864E5" w14:textId="7B5785A9" w:rsidR="00321620" w:rsidRPr="00321620" w:rsidRDefault="00706615" w:rsidP="00A4347B">
      <w:pPr>
        <w:spacing w:line="480" w:lineRule="auto"/>
        <w:rPr>
          <w:sz w:val="24"/>
        </w:rPr>
      </w:pPr>
      <w:r w:rsidRPr="006E3F82">
        <w:rPr>
          <w:b/>
          <w:sz w:val="24"/>
        </w:rPr>
        <w:lastRenderedPageBreak/>
        <w:fldChar w:fldCharType="begin"/>
      </w:r>
      <w:r w:rsidRPr="006E3F82">
        <w:rPr>
          <w:b/>
          <w:sz w:val="24"/>
        </w:rPr>
        <w:instrText xml:space="preserve"> TC  "</w:instrText>
      </w:r>
      <w:bookmarkStart w:id="46" w:name="_Toc56898444"/>
      <w:r w:rsidRPr="006E3F82">
        <w:rPr>
          <w:b/>
          <w:sz w:val="24"/>
        </w:rPr>
        <w:instrText xml:space="preserve">Table </w:instrText>
      </w:r>
      <w:r w:rsidR="004679B5" w:rsidRPr="006E3F82">
        <w:rPr>
          <w:b/>
          <w:sz w:val="24"/>
        </w:rPr>
        <w:instrText>6</w:instrText>
      </w:r>
      <w:r w:rsidR="009E6DD6" w:rsidRPr="006E3F82">
        <w:rPr>
          <w:b/>
          <w:sz w:val="24"/>
        </w:rPr>
        <w:instrText>: Properties of SDE area for the tornado-outbreak tweets</w:instrText>
      </w:r>
      <w:bookmarkEnd w:id="46"/>
      <w:r w:rsidRPr="006E3F82">
        <w:rPr>
          <w:b/>
          <w:sz w:val="24"/>
        </w:rPr>
        <w:instrText>" \f</w:instrText>
      </w:r>
      <w:r w:rsidR="009F02C6" w:rsidRPr="006E3F82">
        <w:rPr>
          <w:b/>
          <w:sz w:val="24"/>
        </w:rPr>
        <w:instrText xml:space="preserve"> t</w:instrText>
      </w:r>
      <w:r w:rsidRPr="006E3F82">
        <w:rPr>
          <w:b/>
          <w:sz w:val="24"/>
        </w:rPr>
        <w:instrText xml:space="preserve"> \l 1 </w:instrText>
      </w:r>
      <w:r w:rsidRPr="006E3F82">
        <w:rPr>
          <w:b/>
          <w:sz w:val="24"/>
        </w:rPr>
        <w:fldChar w:fldCharType="end"/>
      </w:r>
      <w:r w:rsidR="00321620" w:rsidRPr="006E3F82">
        <w:rPr>
          <w:b/>
          <w:sz w:val="24"/>
        </w:rPr>
        <w:t>Table</w:t>
      </w:r>
      <w:r w:rsidR="004679B5" w:rsidRPr="006E3F82">
        <w:rPr>
          <w:b/>
          <w:sz w:val="24"/>
        </w:rPr>
        <w:t xml:space="preserve"> 6</w:t>
      </w:r>
      <w:r w:rsidR="00321620" w:rsidRPr="006E3F82">
        <w:rPr>
          <w:b/>
          <w:sz w:val="24"/>
        </w:rPr>
        <w:t xml:space="preserve">: </w:t>
      </w:r>
      <w:r w:rsidR="007E72D4" w:rsidRPr="006E3F82">
        <w:rPr>
          <w:sz w:val="24"/>
        </w:rPr>
        <w:t>Properties</w:t>
      </w:r>
      <w:r w:rsidR="007E72D4">
        <w:rPr>
          <w:sz w:val="24"/>
        </w:rPr>
        <w:t xml:space="preserve"> of SDE</w:t>
      </w:r>
      <w:r w:rsidR="00321620">
        <w:rPr>
          <w:sz w:val="24"/>
        </w:rPr>
        <w:t xml:space="preserve"> area </w:t>
      </w:r>
      <w:r w:rsidR="00BD5908">
        <w:rPr>
          <w:sz w:val="24"/>
        </w:rPr>
        <w:t>for the tornado-</w:t>
      </w:r>
      <w:r w:rsidR="007E72D4">
        <w:rPr>
          <w:sz w:val="24"/>
        </w:rPr>
        <w:t>outbreak</w:t>
      </w:r>
      <w:r w:rsidR="00BD5908">
        <w:rPr>
          <w:sz w:val="24"/>
        </w:rPr>
        <w:t xml:space="preserve"> tweets</w:t>
      </w:r>
      <w:r w:rsidR="009E5505">
        <w:rPr>
          <w:sz w:val="24"/>
        </w:rPr>
        <w:t>.</w:t>
      </w:r>
    </w:p>
    <w:tbl>
      <w:tblPr>
        <w:tblW w:w="9580" w:type="dxa"/>
        <w:jc w:val="center"/>
        <w:tblLook w:val="04A0" w:firstRow="1" w:lastRow="0" w:firstColumn="1" w:lastColumn="0" w:noHBand="0" w:noVBand="1"/>
      </w:tblPr>
      <w:tblGrid>
        <w:gridCol w:w="960"/>
        <w:gridCol w:w="1880"/>
        <w:gridCol w:w="1880"/>
        <w:gridCol w:w="1880"/>
        <w:gridCol w:w="2980"/>
      </w:tblGrid>
      <w:tr w:rsidR="004F4FE8" w:rsidRPr="004F4FE8" w14:paraId="78C8D7AE" w14:textId="77777777" w:rsidTr="00AC2C0E">
        <w:trPr>
          <w:trHeight w:val="645"/>
          <w:jc w:val="center"/>
        </w:trPr>
        <w:tc>
          <w:tcPr>
            <w:tcW w:w="960" w:type="dxa"/>
            <w:tcBorders>
              <w:top w:val="single" w:sz="4" w:space="0" w:color="auto"/>
              <w:left w:val="single" w:sz="4" w:space="0" w:color="auto"/>
              <w:bottom w:val="double" w:sz="6" w:space="0" w:color="auto"/>
              <w:right w:val="single" w:sz="4" w:space="0" w:color="auto"/>
            </w:tcBorders>
            <w:shd w:val="clear" w:color="auto" w:fill="auto"/>
            <w:vAlign w:val="bottom"/>
            <w:hideMark/>
          </w:tcPr>
          <w:p w14:paraId="30F6B6DB" w14:textId="77777777" w:rsidR="004F4FE8" w:rsidRPr="004F4FE8" w:rsidRDefault="004F4FE8" w:rsidP="004F4FE8">
            <w:pPr>
              <w:spacing w:after="0" w:line="240" w:lineRule="auto"/>
              <w:rPr>
                <w:rFonts w:ascii="Calibri" w:eastAsia="Times New Roman" w:hAnsi="Calibri" w:cs="Times New Roman"/>
                <w:b/>
                <w:bCs/>
                <w:color w:val="000000"/>
                <w:sz w:val="24"/>
                <w:szCs w:val="24"/>
              </w:rPr>
            </w:pPr>
            <w:r w:rsidRPr="004F4FE8">
              <w:rPr>
                <w:rFonts w:ascii="Calibri" w:eastAsia="Times New Roman" w:hAnsi="Calibri" w:cs="Times New Roman"/>
                <w:b/>
                <w:bCs/>
                <w:color w:val="000000"/>
                <w:sz w:val="24"/>
                <w:szCs w:val="24"/>
              </w:rPr>
              <w:t>Date</w:t>
            </w:r>
          </w:p>
        </w:tc>
        <w:tc>
          <w:tcPr>
            <w:tcW w:w="1880" w:type="dxa"/>
            <w:tcBorders>
              <w:top w:val="single" w:sz="4" w:space="0" w:color="auto"/>
              <w:left w:val="nil"/>
              <w:bottom w:val="double" w:sz="6" w:space="0" w:color="auto"/>
              <w:right w:val="single" w:sz="4" w:space="0" w:color="auto"/>
            </w:tcBorders>
            <w:shd w:val="clear" w:color="auto" w:fill="auto"/>
            <w:noWrap/>
            <w:vAlign w:val="center"/>
            <w:hideMark/>
          </w:tcPr>
          <w:p w14:paraId="03D1AAAE" w14:textId="77777777" w:rsidR="004F4FE8" w:rsidRPr="004F4FE8" w:rsidRDefault="004F4FE8" w:rsidP="004F4FE8">
            <w:pPr>
              <w:spacing w:after="0" w:line="240" w:lineRule="auto"/>
              <w:jc w:val="center"/>
              <w:rPr>
                <w:rFonts w:ascii="Calibri" w:eastAsia="Times New Roman" w:hAnsi="Calibri" w:cs="Times New Roman"/>
                <w:b/>
                <w:bCs/>
                <w:color w:val="000000"/>
                <w:sz w:val="24"/>
                <w:szCs w:val="24"/>
              </w:rPr>
            </w:pPr>
            <w:r w:rsidRPr="004F4FE8">
              <w:rPr>
                <w:rFonts w:ascii="Calibri" w:eastAsia="Times New Roman" w:hAnsi="Calibri" w:cs="Times New Roman"/>
                <w:b/>
                <w:bCs/>
                <w:color w:val="000000"/>
                <w:sz w:val="24"/>
                <w:szCs w:val="24"/>
              </w:rPr>
              <w:t>Shape Area (km)</w:t>
            </w:r>
          </w:p>
        </w:tc>
        <w:tc>
          <w:tcPr>
            <w:tcW w:w="1880" w:type="dxa"/>
            <w:tcBorders>
              <w:top w:val="single" w:sz="4" w:space="0" w:color="auto"/>
              <w:left w:val="nil"/>
              <w:bottom w:val="double" w:sz="6" w:space="0" w:color="auto"/>
              <w:right w:val="single" w:sz="4" w:space="0" w:color="auto"/>
            </w:tcBorders>
            <w:shd w:val="clear" w:color="auto" w:fill="auto"/>
            <w:vAlign w:val="center"/>
            <w:hideMark/>
          </w:tcPr>
          <w:p w14:paraId="1D8D94C1" w14:textId="77777777" w:rsidR="004F4FE8" w:rsidRPr="004F4FE8" w:rsidRDefault="004F4FE8" w:rsidP="004F4FE8">
            <w:pPr>
              <w:spacing w:after="0" w:line="240" w:lineRule="auto"/>
              <w:jc w:val="center"/>
              <w:rPr>
                <w:rFonts w:ascii="Calibri" w:eastAsia="Times New Roman" w:hAnsi="Calibri" w:cs="Times New Roman"/>
                <w:b/>
                <w:bCs/>
                <w:color w:val="000000"/>
                <w:sz w:val="24"/>
                <w:szCs w:val="24"/>
              </w:rPr>
            </w:pPr>
            <w:r w:rsidRPr="004F4FE8">
              <w:rPr>
                <w:rFonts w:ascii="Calibri" w:eastAsia="Times New Roman" w:hAnsi="Calibri" w:cs="Times New Roman"/>
                <w:b/>
                <w:bCs/>
                <w:color w:val="000000"/>
                <w:sz w:val="24"/>
                <w:szCs w:val="24"/>
              </w:rPr>
              <w:t>X Standard Distance (km)</w:t>
            </w:r>
          </w:p>
        </w:tc>
        <w:tc>
          <w:tcPr>
            <w:tcW w:w="1880" w:type="dxa"/>
            <w:tcBorders>
              <w:top w:val="single" w:sz="4" w:space="0" w:color="auto"/>
              <w:left w:val="nil"/>
              <w:bottom w:val="double" w:sz="6" w:space="0" w:color="auto"/>
              <w:right w:val="single" w:sz="4" w:space="0" w:color="auto"/>
            </w:tcBorders>
            <w:shd w:val="clear" w:color="auto" w:fill="auto"/>
            <w:vAlign w:val="center"/>
            <w:hideMark/>
          </w:tcPr>
          <w:p w14:paraId="5B9064C9" w14:textId="77777777" w:rsidR="004F4FE8" w:rsidRPr="004F4FE8" w:rsidRDefault="004F4FE8" w:rsidP="004F4FE8">
            <w:pPr>
              <w:spacing w:after="0" w:line="240" w:lineRule="auto"/>
              <w:jc w:val="center"/>
              <w:rPr>
                <w:rFonts w:ascii="Calibri" w:eastAsia="Times New Roman" w:hAnsi="Calibri" w:cs="Times New Roman"/>
                <w:b/>
                <w:bCs/>
                <w:color w:val="000000"/>
                <w:sz w:val="24"/>
                <w:szCs w:val="24"/>
              </w:rPr>
            </w:pPr>
            <w:r w:rsidRPr="004F4FE8">
              <w:rPr>
                <w:rFonts w:ascii="Calibri" w:eastAsia="Times New Roman" w:hAnsi="Calibri" w:cs="Times New Roman"/>
                <w:b/>
                <w:bCs/>
                <w:color w:val="000000"/>
                <w:sz w:val="24"/>
                <w:szCs w:val="24"/>
              </w:rPr>
              <w:t>Y Standard Distance (km)</w:t>
            </w:r>
          </w:p>
        </w:tc>
        <w:tc>
          <w:tcPr>
            <w:tcW w:w="2980" w:type="dxa"/>
            <w:tcBorders>
              <w:top w:val="single" w:sz="4" w:space="0" w:color="auto"/>
              <w:left w:val="nil"/>
              <w:bottom w:val="double" w:sz="6" w:space="0" w:color="auto"/>
              <w:right w:val="single" w:sz="4" w:space="0" w:color="auto"/>
            </w:tcBorders>
            <w:shd w:val="clear" w:color="auto" w:fill="auto"/>
            <w:vAlign w:val="center"/>
            <w:hideMark/>
          </w:tcPr>
          <w:p w14:paraId="4D776775" w14:textId="77777777" w:rsidR="004F4FE8" w:rsidRPr="004F4FE8" w:rsidRDefault="004F4FE8" w:rsidP="004F4FE8">
            <w:pPr>
              <w:spacing w:after="0" w:line="240" w:lineRule="auto"/>
              <w:jc w:val="center"/>
              <w:rPr>
                <w:rFonts w:ascii="Calibri" w:eastAsia="Times New Roman" w:hAnsi="Calibri" w:cs="Times New Roman"/>
                <w:b/>
                <w:bCs/>
                <w:color w:val="000000"/>
                <w:sz w:val="24"/>
                <w:szCs w:val="24"/>
              </w:rPr>
            </w:pPr>
            <w:r w:rsidRPr="004F4FE8">
              <w:rPr>
                <w:rFonts w:ascii="Calibri" w:eastAsia="Times New Roman" w:hAnsi="Calibri" w:cs="Times New Roman"/>
                <w:b/>
                <w:bCs/>
                <w:color w:val="000000"/>
                <w:sz w:val="24"/>
                <w:szCs w:val="24"/>
              </w:rPr>
              <w:t>Change in Shape Area (km)</w:t>
            </w:r>
          </w:p>
        </w:tc>
      </w:tr>
      <w:tr w:rsidR="004F4FE8" w:rsidRPr="004F4FE8" w14:paraId="462E2B28" w14:textId="77777777" w:rsidTr="00AC2C0E">
        <w:trPr>
          <w:trHeight w:val="330"/>
          <w:jc w:val="center"/>
        </w:trPr>
        <w:tc>
          <w:tcPr>
            <w:tcW w:w="960" w:type="dxa"/>
            <w:tcBorders>
              <w:top w:val="nil"/>
              <w:left w:val="single" w:sz="4" w:space="0" w:color="auto"/>
              <w:bottom w:val="nil"/>
              <w:right w:val="single" w:sz="4" w:space="0" w:color="auto"/>
            </w:tcBorders>
            <w:shd w:val="clear" w:color="auto" w:fill="auto"/>
            <w:noWrap/>
            <w:vAlign w:val="bottom"/>
            <w:hideMark/>
          </w:tcPr>
          <w:p w14:paraId="4C0728CB" w14:textId="77777777" w:rsidR="004F4FE8" w:rsidRPr="004F4FE8" w:rsidRDefault="004F4FE8" w:rsidP="004F4FE8">
            <w:pPr>
              <w:spacing w:after="0" w:line="240" w:lineRule="auto"/>
              <w:rPr>
                <w:rFonts w:ascii="Calibri" w:eastAsia="Times New Roman" w:hAnsi="Calibri" w:cs="Times New Roman"/>
                <w:b/>
                <w:bCs/>
                <w:color w:val="000000"/>
                <w:sz w:val="24"/>
                <w:szCs w:val="24"/>
              </w:rPr>
            </w:pPr>
            <w:r w:rsidRPr="004F4FE8">
              <w:rPr>
                <w:rFonts w:ascii="Calibri" w:eastAsia="Times New Roman" w:hAnsi="Calibri" w:cs="Times New Roman"/>
                <w:b/>
                <w:bCs/>
                <w:color w:val="000000"/>
                <w:sz w:val="24"/>
                <w:szCs w:val="24"/>
              </w:rPr>
              <w:t>28-Feb</w:t>
            </w:r>
          </w:p>
        </w:tc>
        <w:tc>
          <w:tcPr>
            <w:tcW w:w="1880" w:type="dxa"/>
            <w:tcBorders>
              <w:top w:val="nil"/>
              <w:left w:val="nil"/>
              <w:bottom w:val="nil"/>
              <w:right w:val="single" w:sz="4" w:space="0" w:color="auto"/>
            </w:tcBorders>
            <w:shd w:val="clear" w:color="auto" w:fill="auto"/>
            <w:noWrap/>
            <w:vAlign w:val="bottom"/>
            <w:hideMark/>
          </w:tcPr>
          <w:p w14:paraId="49B4D3E1"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2.2E+08</w:t>
            </w:r>
          </w:p>
        </w:tc>
        <w:tc>
          <w:tcPr>
            <w:tcW w:w="1880" w:type="dxa"/>
            <w:tcBorders>
              <w:top w:val="nil"/>
              <w:left w:val="nil"/>
              <w:bottom w:val="nil"/>
              <w:right w:val="single" w:sz="4" w:space="0" w:color="auto"/>
            </w:tcBorders>
            <w:shd w:val="clear" w:color="auto" w:fill="auto"/>
            <w:noWrap/>
            <w:vAlign w:val="bottom"/>
            <w:hideMark/>
          </w:tcPr>
          <w:p w14:paraId="39313A4D"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423</w:t>
            </w:r>
          </w:p>
        </w:tc>
        <w:tc>
          <w:tcPr>
            <w:tcW w:w="1880" w:type="dxa"/>
            <w:tcBorders>
              <w:top w:val="nil"/>
              <w:left w:val="nil"/>
              <w:bottom w:val="nil"/>
              <w:right w:val="single" w:sz="4" w:space="0" w:color="auto"/>
            </w:tcBorders>
            <w:shd w:val="clear" w:color="auto" w:fill="auto"/>
            <w:noWrap/>
            <w:vAlign w:val="bottom"/>
            <w:hideMark/>
          </w:tcPr>
          <w:p w14:paraId="30967477"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167</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14:paraId="16FEC091" w14:textId="77777777" w:rsidR="004F4FE8" w:rsidRPr="004F4FE8" w:rsidRDefault="004F4FE8" w:rsidP="004F4FE8">
            <w:pPr>
              <w:spacing w:after="0" w:line="240" w:lineRule="auto"/>
              <w:jc w:val="center"/>
              <w:rPr>
                <w:rFonts w:ascii="Calibri" w:eastAsia="Times New Roman" w:hAnsi="Calibri" w:cs="Times New Roman"/>
                <w:sz w:val="24"/>
                <w:szCs w:val="24"/>
              </w:rPr>
            </w:pPr>
            <w:r w:rsidRPr="004F4FE8">
              <w:rPr>
                <w:rFonts w:ascii="Calibri" w:eastAsia="Times New Roman" w:hAnsi="Calibri" w:cs="Times New Roman"/>
                <w:sz w:val="24"/>
                <w:szCs w:val="24"/>
              </w:rPr>
              <w:t>2.71E+08</w:t>
            </w:r>
          </w:p>
        </w:tc>
      </w:tr>
      <w:tr w:rsidR="004F4FE8" w:rsidRPr="004F4FE8" w14:paraId="506CEDF8" w14:textId="77777777" w:rsidTr="00AC2C0E">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3A6503" w14:textId="77777777" w:rsidR="004F4FE8" w:rsidRPr="004F4FE8" w:rsidRDefault="004F4FE8" w:rsidP="004F4FE8">
            <w:pPr>
              <w:spacing w:after="0" w:line="240" w:lineRule="auto"/>
              <w:rPr>
                <w:rFonts w:ascii="Calibri" w:eastAsia="Times New Roman" w:hAnsi="Calibri" w:cs="Times New Roman"/>
                <w:b/>
                <w:bCs/>
                <w:color w:val="000000"/>
                <w:sz w:val="24"/>
                <w:szCs w:val="24"/>
              </w:rPr>
            </w:pPr>
            <w:r w:rsidRPr="004F4FE8">
              <w:rPr>
                <w:rFonts w:ascii="Calibri" w:eastAsia="Times New Roman" w:hAnsi="Calibri" w:cs="Times New Roman"/>
                <w:b/>
                <w:bCs/>
                <w:color w:val="000000"/>
                <w:sz w:val="24"/>
                <w:szCs w:val="24"/>
              </w:rPr>
              <w:t>1-Mar</w:t>
            </w:r>
          </w:p>
        </w:tc>
        <w:tc>
          <w:tcPr>
            <w:tcW w:w="1880" w:type="dxa"/>
            <w:tcBorders>
              <w:top w:val="nil"/>
              <w:left w:val="nil"/>
              <w:bottom w:val="single" w:sz="4" w:space="0" w:color="auto"/>
              <w:right w:val="single" w:sz="4" w:space="0" w:color="auto"/>
            </w:tcBorders>
            <w:shd w:val="clear" w:color="auto" w:fill="auto"/>
            <w:noWrap/>
            <w:vAlign w:val="bottom"/>
            <w:hideMark/>
          </w:tcPr>
          <w:p w14:paraId="7F4208DD"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4.9E+08</w:t>
            </w:r>
          </w:p>
        </w:tc>
        <w:tc>
          <w:tcPr>
            <w:tcW w:w="1880" w:type="dxa"/>
            <w:tcBorders>
              <w:top w:val="nil"/>
              <w:left w:val="nil"/>
              <w:bottom w:val="single" w:sz="4" w:space="0" w:color="auto"/>
              <w:right w:val="single" w:sz="4" w:space="0" w:color="auto"/>
            </w:tcBorders>
            <w:shd w:val="clear" w:color="auto" w:fill="auto"/>
            <w:noWrap/>
            <w:vAlign w:val="bottom"/>
            <w:hideMark/>
          </w:tcPr>
          <w:p w14:paraId="235B1254"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553</w:t>
            </w:r>
          </w:p>
        </w:tc>
        <w:tc>
          <w:tcPr>
            <w:tcW w:w="1880" w:type="dxa"/>
            <w:tcBorders>
              <w:top w:val="nil"/>
              <w:left w:val="nil"/>
              <w:bottom w:val="single" w:sz="4" w:space="0" w:color="auto"/>
              <w:right w:val="single" w:sz="4" w:space="0" w:color="auto"/>
            </w:tcBorders>
            <w:shd w:val="clear" w:color="auto" w:fill="auto"/>
            <w:noWrap/>
            <w:vAlign w:val="bottom"/>
            <w:hideMark/>
          </w:tcPr>
          <w:p w14:paraId="77DAE6B8"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283</w:t>
            </w:r>
          </w:p>
        </w:tc>
        <w:tc>
          <w:tcPr>
            <w:tcW w:w="2980" w:type="dxa"/>
            <w:vMerge/>
            <w:tcBorders>
              <w:top w:val="nil"/>
              <w:left w:val="single" w:sz="4" w:space="0" w:color="auto"/>
              <w:bottom w:val="single" w:sz="4" w:space="0" w:color="000000"/>
              <w:right w:val="single" w:sz="4" w:space="0" w:color="auto"/>
            </w:tcBorders>
            <w:vAlign w:val="center"/>
            <w:hideMark/>
          </w:tcPr>
          <w:p w14:paraId="23D2289E" w14:textId="77777777" w:rsidR="004F4FE8" w:rsidRPr="004F4FE8" w:rsidRDefault="004F4FE8" w:rsidP="004F4FE8">
            <w:pPr>
              <w:spacing w:after="0" w:line="240" w:lineRule="auto"/>
              <w:rPr>
                <w:rFonts w:ascii="Calibri" w:eastAsia="Times New Roman" w:hAnsi="Calibri" w:cs="Times New Roman"/>
                <w:sz w:val="24"/>
                <w:szCs w:val="24"/>
              </w:rPr>
            </w:pPr>
          </w:p>
        </w:tc>
      </w:tr>
      <w:tr w:rsidR="004F4FE8" w:rsidRPr="004F4FE8" w14:paraId="34DB20D4" w14:textId="77777777" w:rsidTr="00AC2C0E">
        <w:trPr>
          <w:trHeight w:val="315"/>
          <w:jc w:val="center"/>
        </w:trPr>
        <w:tc>
          <w:tcPr>
            <w:tcW w:w="960" w:type="dxa"/>
            <w:tcBorders>
              <w:top w:val="nil"/>
              <w:left w:val="single" w:sz="4" w:space="0" w:color="auto"/>
              <w:bottom w:val="nil"/>
              <w:right w:val="single" w:sz="4" w:space="0" w:color="auto"/>
            </w:tcBorders>
            <w:shd w:val="clear" w:color="auto" w:fill="auto"/>
            <w:noWrap/>
            <w:vAlign w:val="bottom"/>
            <w:hideMark/>
          </w:tcPr>
          <w:p w14:paraId="7DF22240" w14:textId="77777777" w:rsidR="004F4FE8" w:rsidRPr="004F4FE8" w:rsidRDefault="004F4FE8" w:rsidP="004F4FE8">
            <w:pPr>
              <w:spacing w:after="0" w:line="240" w:lineRule="auto"/>
              <w:rPr>
                <w:rFonts w:ascii="Calibri" w:eastAsia="Times New Roman" w:hAnsi="Calibri" w:cs="Times New Roman"/>
                <w:b/>
                <w:bCs/>
                <w:color w:val="000000"/>
                <w:sz w:val="24"/>
                <w:szCs w:val="24"/>
              </w:rPr>
            </w:pPr>
            <w:r w:rsidRPr="004F4FE8">
              <w:rPr>
                <w:rFonts w:ascii="Calibri" w:eastAsia="Times New Roman" w:hAnsi="Calibri" w:cs="Times New Roman"/>
                <w:b/>
                <w:bCs/>
                <w:color w:val="000000"/>
                <w:sz w:val="24"/>
                <w:szCs w:val="24"/>
              </w:rPr>
              <w:t>1-Mar</w:t>
            </w:r>
          </w:p>
        </w:tc>
        <w:tc>
          <w:tcPr>
            <w:tcW w:w="1880" w:type="dxa"/>
            <w:tcBorders>
              <w:top w:val="nil"/>
              <w:left w:val="nil"/>
              <w:bottom w:val="nil"/>
              <w:right w:val="single" w:sz="4" w:space="0" w:color="auto"/>
            </w:tcBorders>
            <w:shd w:val="clear" w:color="auto" w:fill="auto"/>
            <w:noWrap/>
            <w:vAlign w:val="bottom"/>
            <w:hideMark/>
          </w:tcPr>
          <w:p w14:paraId="4D18E550"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4.9E+08</w:t>
            </w:r>
          </w:p>
        </w:tc>
        <w:tc>
          <w:tcPr>
            <w:tcW w:w="1880" w:type="dxa"/>
            <w:tcBorders>
              <w:top w:val="nil"/>
              <w:left w:val="nil"/>
              <w:bottom w:val="nil"/>
              <w:right w:val="single" w:sz="4" w:space="0" w:color="auto"/>
            </w:tcBorders>
            <w:shd w:val="clear" w:color="auto" w:fill="auto"/>
            <w:noWrap/>
            <w:vAlign w:val="bottom"/>
            <w:hideMark/>
          </w:tcPr>
          <w:p w14:paraId="4F2215D6"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553</w:t>
            </w:r>
          </w:p>
        </w:tc>
        <w:tc>
          <w:tcPr>
            <w:tcW w:w="1880" w:type="dxa"/>
            <w:tcBorders>
              <w:top w:val="nil"/>
              <w:left w:val="nil"/>
              <w:bottom w:val="nil"/>
              <w:right w:val="single" w:sz="4" w:space="0" w:color="auto"/>
            </w:tcBorders>
            <w:shd w:val="clear" w:color="auto" w:fill="auto"/>
            <w:noWrap/>
            <w:vAlign w:val="bottom"/>
            <w:hideMark/>
          </w:tcPr>
          <w:p w14:paraId="69ACA288"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283</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14:paraId="1EE43BE9" w14:textId="77777777" w:rsidR="004F4FE8" w:rsidRPr="004F4FE8" w:rsidRDefault="004F4FE8" w:rsidP="004F4FE8">
            <w:pPr>
              <w:spacing w:after="0" w:line="240" w:lineRule="auto"/>
              <w:jc w:val="center"/>
              <w:rPr>
                <w:rFonts w:ascii="Calibri" w:eastAsia="Times New Roman" w:hAnsi="Calibri" w:cs="Times New Roman"/>
                <w:sz w:val="24"/>
                <w:szCs w:val="24"/>
              </w:rPr>
            </w:pPr>
            <w:r w:rsidRPr="004F4FE8">
              <w:rPr>
                <w:rFonts w:ascii="Calibri" w:eastAsia="Times New Roman" w:hAnsi="Calibri" w:cs="Times New Roman"/>
                <w:sz w:val="24"/>
                <w:szCs w:val="24"/>
              </w:rPr>
              <w:t>-1.69E+08</w:t>
            </w:r>
          </w:p>
        </w:tc>
      </w:tr>
      <w:tr w:rsidR="004F4FE8" w:rsidRPr="004F4FE8" w14:paraId="474CE8E5" w14:textId="77777777" w:rsidTr="00AC2C0E">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872DEB" w14:textId="77777777" w:rsidR="004F4FE8" w:rsidRPr="004F4FE8" w:rsidRDefault="004F4FE8" w:rsidP="004F4FE8">
            <w:pPr>
              <w:spacing w:after="0" w:line="240" w:lineRule="auto"/>
              <w:rPr>
                <w:rFonts w:ascii="Calibri" w:eastAsia="Times New Roman" w:hAnsi="Calibri" w:cs="Times New Roman"/>
                <w:b/>
                <w:bCs/>
                <w:color w:val="000000"/>
                <w:sz w:val="24"/>
                <w:szCs w:val="24"/>
              </w:rPr>
            </w:pPr>
            <w:r w:rsidRPr="004F4FE8">
              <w:rPr>
                <w:rFonts w:ascii="Calibri" w:eastAsia="Times New Roman" w:hAnsi="Calibri" w:cs="Times New Roman"/>
                <w:b/>
                <w:bCs/>
                <w:color w:val="000000"/>
                <w:sz w:val="24"/>
                <w:szCs w:val="24"/>
              </w:rPr>
              <w:t>2-Mar</w:t>
            </w:r>
          </w:p>
        </w:tc>
        <w:tc>
          <w:tcPr>
            <w:tcW w:w="1880" w:type="dxa"/>
            <w:tcBorders>
              <w:top w:val="nil"/>
              <w:left w:val="nil"/>
              <w:bottom w:val="single" w:sz="4" w:space="0" w:color="auto"/>
              <w:right w:val="single" w:sz="4" w:space="0" w:color="auto"/>
            </w:tcBorders>
            <w:shd w:val="clear" w:color="auto" w:fill="auto"/>
            <w:noWrap/>
            <w:vAlign w:val="bottom"/>
            <w:hideMark/>
          </w:tcPr>
          <w:p w14:paraId="3DF98675"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3.2E+08</w:t>
            </w:r>
          </w:p>
        </w:tc>
        <w:tc>
          <w:tcPr>
            <w:tcW w:w="1880" w:type="dxa"/>
            <w:tcBorders>
              <w:top w:val="nil"/>
              <w:left w:val="nil"/>
              <w:bottom w:val="single" w:sz="4" w:space="0" w:color="auto"/>
              <w:right w:val="single" w:sz="4" w:space="0" w:color="auto"/>
            </w:tcBorders>
            <w:shd w:val="clear" w:color="auto" w:fill="auto"/>
            <w:noWrap/>
            <w:vAlign w:val="bottom"/>
            <w:hideMark/>
          </w:tcPr>
          <w:p w14:paraId="28A81A89"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584</w:t>
            </w:r>
          </w:p>
        </w:tc>
        <w:tc>
          <w:tcPr>
            <w:tcW w:w="1880" w:type="dxa"/>
            <w:tcBorders>
              <w:top w:val="nil"/>
              <w:left w:val="nil"/>
              <w:bottom w:val="single" w:sz="4" w:space="0" w:color="auto"/>
              <w:right w:val="single" w:sz="4" w:space="0" w:color="auto"/>
            </w:tcBorders>
            <w:shd w:val="clear" w:color="auto" w:fill="auto"/>
            <w:noWrap/>
            <w:vAlign w:val="bottom"/>
            <w:hideMark/>
          </w:tcPr>
          <w:p w14:paraId="540EC00D"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176</w:t>
            </w:r>
          </w:p>
        </w:tc>
        <w:tc>
          <w:tcPr>
            <w:tcW w:w="2980" w:type="dxa"/>
            <w:vMerge/>
            <w:tcBorders>
              <w:top w:val="nil"/>
              <w:left w:val="single" w:sz="4" w:space="0" w:color="auto"/>
              <w:bottom w:val="single" w:sz="4" w:space="0" w:color="000000"/>
              <w:right w:val="single" w:sz="4" w:space="0" w:color="auto"/>
            </w:tcBorders>
            <w:vAlign w:val="center"/>
            <w:hideMark/>
          </w:tcPr>
          <w:p w14:paraId="54EA9B19" w14:textId="77777777" w:rsidR="004F4FE8" w:rsidRPr="004F4FE8" w:rsidRDefault="004F4FE8" w:rsidP="004F4FE8">
            <w:pPr>
              <w:spacing w:after="0" w:line="240" w:lineRule="auto"/>
              <w:rPr>
                <w:rFonts w:ascii="Calibri" w:eastAsia="Times New Roman" w:hAnsi="Calibri" w:cs="Times New Roman"/>
                <w:sz w:val="24"/>
                <w:szCs w:val="24"/>
              </w:rPr>
            </w:pPr>
          </w:p>
        </w:tc>
      </w:tr>
      <w:tr w:rsidR="004F4FE8" w:rsidRPr="004F4FE8" w14:paraId="7307D0B4" w14:textId="77777777" w:rsidTr="00AC2C0E">
        <w:trPr>
          <w:trHeight w:val="315"/>
          <w:jc w:val="center"/>
        </w:trPr>
        <w:tc>
          <w:tcPr>
            <w:tcW w:w="960" w:type="dxa"/>
            <w:tcBorders>
              <w:top w:val="nil"/>
              <w:left w:val="single" w:sz="4" w:space="0" w:color="auto"/>
              <w:bottom w:val="nil"/>
              <w:right w:val="single" w:sz="4" w:space="0" w:color="auto"/>
            </w:tcBorders>
            <w:shd w:val="clear" w:color="auto" w:fill="auto"/>
            <w:noWrap/>
            <w:vAlign w:val="bottom"/>
            <w:hideMark/>
          </w:tcPr>
          <w:p w14:paraId="6C8F78B9" w14:textId="77777777" w:rsidR="004F4FE8" w:rsidRPr="004F4FE8" w:rsidRDefault="004F4FE8" w:rsidP="004F4FE8">
            <w:pPr>
              <w:spacing w:after="0" w:line="240" w:lineRule="auto"/>
              <w:rPr>
                <w:rFonts w:ascii="Calibri" w:eastAsia="Times New Roman" w:hAnsi="Calibri" w:cs="Times New Roman"/>
                <w:b/>
                <w:bCs/>
                <w:color w:val="000000"/>
                <w:sz w:val="24"/>
                <w:szCs w:val="24"/>
              </w:rPr>
            </w:pPr>
            <w:r w:rsidRPr="004F4FE8">
              <w:rPr>
                <w:rFonts w:ascii="Calibri" w:eastAsia="Times New Roman" w:hAnsi="Calibri" w:cs="Times New Roman"/>
                <w:b/>
                <w:bCs/>
                <w:color w:val="000000"/>
                <w:sz w:val="24"/>
                <w:szCs w:val="24"/>
              </w:rPr>
              <w:t>2-Mar</w:t>
            </w:r>
          </w:p>
        </w:tc>
        <w:tc>
          <w:tcPr>
            <w:tcW w:w="1880" w:type="dxa"/>
            <w:tcBorders>
              <w:top w:val="nil"/>
              <w:left w:val="nil"/>
              <w:bottom w:val="nil"/>
              <w:right w:val="single" w:sz="4" w:space="0" w:color="auto"/>
            </w:tcBorders>
            <w:shd w:val="clear" w:color="auto" w:fill="auto"/>
            <w:noWrap/>
            <w:vAlign w:val="bottom"/>
            <w:hideMark/>
          </w:tcPr>
          <w:p w14:paraId="571741C0"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3.2E+08</w:t>
            </w:r>
          </w:p>
        </w:tc>
        <w:tc>
          <w:tcPr>
            <w:tcW w:w="1880" w:type="dxa"/>
            <w:tcBorders>
              <w:top w:val="nil"/>
              <w:left w:val="nil"/>
              <w:bottom w:val="nil"/>
              <w:right w:val="single" w:sz="4" w:space="0" w:color="auto"/>
            </w:tcBorders>
            <w:shd w:val="clear" w:color="auto" w:fill="auto"/>
            <w:noWrap/>
            <w:vAlign w:val="bottom"/>
            <w:hideMark/>
          </w:tcPr>
          <w:p w14:paraId="324235FF"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584</w:t>
            </w:r>
          </w:p>
        </w:tc>
        <w:tc>
          <w:tcPr>
            <w:tcW w:w="1880" w:type="dxa"/>
            <w:tcBorders>
              <w:top w:val="nil"/>
              <w:left w:val="nil"/>
              <w:bottom w:val="nil"/>
              <w:right w:val="single" w:sz="4" w:space="0" w:color="auto"/>
            </w:tcBorders>
            <w:shd w:val="clear" w:color="auto" w:fill="auto"/>
            <w:noWrap/>
            <w:vAlign w:val="bottom"/>
            <w:hideMark/>
          </w:tcPr>
          <w:p w14:paraId="311E49E9"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176</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14:paraId="7206340D" w14:textId="77777777" w:rsidR="004F4FE8" w:rsidRPr="004F4FE8" w:rsidRDefault="004F4FE8" w:rsidP="004F4FE8">
            <w:pPr>
              <w:spacing w:after="0" w:line="240" w:lineRule="auto"/>
              <w:jc w:val="center"/>
              <w:rPr>
                <w:rFonts w:ascii="Calibri" w:eastAsia="Times New Roman" w:hAnsi="Calibri" w:cs="Times New Roman"/>
                <w:sz w:val="24"/>
                <w:szCs w:val="24"/>
              </w:rPr>
            </w:pPr>
            <w:r w:rsidRPr="004F4FE8">
              <w:rPr>
                <w:rFonts w:ascii="Calibri" w:eastAsia="Times New Roman" w:hAnsi="Calibri" w:cs="Times New Roman"/>
                <w:sz w:val="24"/>
                <w:szCs w:val="24"/>
              </w:rPr>
              <w:t>-1.65E+08</w:t>
            </w:r>
          </w:p>
        </w:tc>
      </w:tr>
      <w:tr w:rsidR="004F4FE8" w:rsidRPr="004F4FE8" w14:paraId="6A3F1FF0" w14:textId="77777777" w:rsidTr="00AC2C0E">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DE7E82" w14:textId="77777777" w:rsidR="004F4FE8" w:rsidRPr="004F4FE8" w:rsidRDefault="004F4FE8" w:rsidP="004F4FE8">
            <w:pPr>
              <w:spacing w:after="0" w:line="240" w:lineRule="auto"/>
              <w:rPr>
                <w:rFonts w:ascii="Calibri" w:eastAsia="Times New Roman" w:hAnsi="Calibri" w:cs="Times New Roman"/>
                <w:b/>
                <w:bCs/>
                <w:color w:val="000000"/>
                <w:sz w:val="24"/>
                <w:szCs w:val="24"/>
              </w:rPr>
            </w:pPr>
            <w:r w:rsidRPr="004F4FE8">
              <w:rPr>
                <w:rFonts w:ascii="Calibri" w:eastAsia="Times New Roman" w:hAnsi="Calibri" w:cs="Times New Roman"/>
                <w:b/>
                <w:bCs/>
                <w:color w:val="000000"/>
                <w:sz w:val="24"/>
                <w:szCs w:val="24"/>
              </w:rPr>
              <w:t>3-Mar</w:t>
            </w:r>
          </w:p>
        </w:tc>
        <w:tc>
          <w:tcPr>
            <w:tcW w:w="1880" w:type="dxa"/>
            <w:tcBorders>
              <w:top w:val="nil"/>
              <w:left w:val="nil"/>
              <w:bottom w:val="single" w:sz="4" w:space="0" w:color="auto"/>
              <w:right w:val="single" w:sz="4" w:space="0" w:color="auto"/>
            </w:tcBorders>
            <w:shd w:val="clear" w:color="auto" w:fill="auto"/>
            <w:noWrap/>
            <w:vAlign w:val="bottom"/>
            <w:hideMark/>
          </w:tcPr>
          <w:p w14:paraId="2BA7F11B"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1.6E+08</w:t>
            </w:r>
          </w:p>
        </w:tc>
        <w:tc>
          <w:tcPr>
            <w:tcW w:w="1880" w:type="dxa"/>
            <w:tcBorders>
              <w:top w:val="nil"/>
              <w:left w:val="nil"/>
              <w:bottom w:val="single" w:sz="4" w:space="0" w:color="auto"/>
              <w:right w:val="single" w:sz="4" w:space="0" w:color="auto"/>
            </w:tcBorders>
            <w:shd w:val="clear" w:color="auto" w:fill="auto"/>
            <w:noWrap/>
            <w:vAlign w:val="bottom"/>
            <w:hideMark/>
          </w:tcPr>
          <w:p w14:paraId="64D97545"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316</w:t>
            </w:r>
          </w:p>
        </w:tc>
        <w:tc>
          <w:tcPr>
            <w:tcW w:w="1880" w:type="dxa"/>
            <w:tcBorders>
              <w:top w:val="nil"/>
              <w:left w:val="nil"/>
              <w:bottom w:val="single" w:sz="4" w:space="0" w:color="auto"/>
              <w:right w:val="single" w:sz="4" w:space="0" w:color="auto"/>
            </w:tcBorders>
            <w:shd w:val="clear" w:color="auto" w:fill="auto"/>
            <w:noWrap/>
            <w:vAlign w:val="bottom"/>
            <w:hideMark/>
          </w:tcPr>
          <w:p w14:paraId="0574B774"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159</w:t>
            </w:r>
          </w:p>
        </w:tc>
        <w:tc>
          <w:tcPr>
            <w:tcW w:w="2980" w:type="dxa"/>
            <w:vMerge/>
            <w:tcBorders>
              <w:top w:val="nil"/>
              <w:left w:val="single" w:sz="4" w:space="0" w:color="auto"/>
              <w:bottom w:val="single" w:sz="4" w:space="0" w:color="000000"/>
              <w:right w:val="single" w:sz="4" w:space="0" w:color="auto"/>
            </w:tcBorders>
            <w:vAlign w:val="center"/>
            <w:hideMark/>
          </w:tcPr>
          <w:p w14:paraId="69AE9961" w14:textId="77777777" w:rsidR="004F4FE8" w:rsidRPr="004F4FE8" w:rsidRDefault="004F4FE8" w:rsidP="004F4FE8">
            <w:pPr>
              <w:spacing w:after="0" w:line="240" w:lineRule="auto"/>
              <w:rPr>
                <w:rFonts w:ascii="Calibri" w:eastAsia="Times New Roman" w:hAnsi="Calibri" w:cs="Times New Roman"/>
                <w:sz w:val="24"/>
                <w:szCs w:val="24"/>
              </w:rPr>
            </w:pPr>
          </w:p>
        </w:tc>
      </w:tr>
      <w:tr w:rsidR="004F4FE8" w:rsidRPr="004F4FE8" w14:paraId="4F0CD45F" w14:textId="77777777" w:rsidTr="00AC2C0E">
        <w:trPr>
          <w:trHeight w:val="315"/>
          <w:jc w:val="center"/>
        </w:trPr>
        <w:tc>
          <w:tcPr>
            <w:tcW w:w="960" w:type="dxa"/>
            <w:tcBorders>
              <w:top w:val="nil"/>
              <w:left w:val="single" w:sz="4" w:space="0" w:color="auto"/>
              <w:bottom w:val="nil"/>
              <w:right w:val="single" w:sz="4" w:space="0" w:color="auto"/>
            </w:tcBorders>
            <w:shd w:val="clear" w:color="auto" w:fill="auto"/>
            <w:noWrap/>
            <w:vAlign w:val="bottom"/>
            <w:hideMark/>
          </w:tcPr>
          <w:p w14:paraId="12B92424" w14:textId="77777777" w:rsidR="004F4FE8" w:rsidRPr="004F4FE8" w:rsidRDefault="004F4FE8" w:rsidP="004F4FE8">
            <w:pPr>
              <w:spacing w:after="0" w:line="240" w:lineRule="auto"/>
              <w:rPr>
                <w:rFonts w:ascii="Calibri" w:eastAsia="Times New Roman" w:hAnsi="Calibri" w:cs="Times New Roman"/>
                <w:b/>
                <w:bCs/>
                <w:color w:val="000000"/>
                <w:sz w:val="24"/>
                <w:szCs w:val="24"/>
              </w:rPr>
            </w:pPr>
            <w:r w:rsidRPr="004F4FE8">
              <w:rPr>
                <w:rFonts w:ascii="Calibri" w:eastAsia="Times New Roman" w:hAnsi="Calibri" w:cs="Times New Roman"/>
                <w:b/>
                <w:bCs/>
                <w:color w:val="000000"/>
                <w:sz w:val="24"/>
                <w:szCs w:val="24"/>
              </w:rPr>
              <w:t>3-Mar</w:t>
            </w:r>
          </w:p>
        </w:tc>
        <w:tc>
          <w:tcPr>
            <w:tcW w:w="1880" w:type="dxa"/>
            <w:tcBorders>
              <w:top w:val="nil"/>
              <w:left w:val="nil"/>
              <w:bottom w:val="nil"/>
              <w:right w:val="single" w:sz="4" w:space="0" w:color="auto"/>
            </w:tcBorders>
            <w:shd w:val="clear" w:color="auto" w:fill="auto"/>
            <w:noWrap/>
            <w:vAlign w:val="bottom"/>
            <w:hideMark/>
          </w:tcPr>
          <w:p w14:paraId="63AC2668"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1.6E+08</w:t>
            </w:r>
          </w:p>
        </w:tc>
        <w:tc>
          <w:tcPr>
            <w:tcW w:w="1880" w:type="dxa"/>
            <w:tcBorders>
              <w:top w:val="nil"/>
              <w:left w:val="nil"/>
              <w:bottom w:val="nil"/>
              <w:right w:val="single" w:sz="4" w:space="0" w:color="auto"/>
            </w:tcBorders>
            <w:shd w:val="clear" w:color="auto" w:fill="auto"/>
            <w:noWrap/>
            <w:vAlign w:val="bottom"/>
            <w:hideMark/>
          </w:tcPr>
          <w:p w14:paraId="5E4A5FDC"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316</w:t>
            </w:r>
          </w:p>
        </w:tc>
        <w:tc>
          <w:tcPr>
            <w:tcW w:w="1880" w:type="dxa"/>
            <w:tcBorders>
              <w:top w:val="nil"/>
              <w:left w:val="nil"/>
              <w:bottom w:val="nil"/>
              <w:right w:val="single" w:sz="4" w:space="0" w:color="auto"/>
            </w:tcBorders>
            <w:shd w:val="clear" w:color="auto" w:fill="auto"/>
            <w:noWrap/>
            <w:vAlign w:val="bottom"/>
            <w:hideMark/>
          </w:tcPr>
          <w:p w14:paraId="664C7354"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159</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14:paraId="1DF159C0" w14:textId="77777777" w:rsidR="004F4FE8" w:rsidRPr="004F4FE8" w:rsidRDefault="004F4FE8" w:rsidP="004F4FE8">
            <w:pPr>
              <w:spacing w:after="0" w:line="240" w:lineRule="auto"/>
              <w:jc w:val="center"/>
              <w:rPr>
                <w:rFonts w:ascii="Calibri" w:eastAsia="Times New Roman" w:hAnsi="Calibri" w:cs="Times New Roman"/>
                <w:sz w:val="24"/>
                <w:szCs w:val="24"/>
              </w:rPr>
            </w:pPr>
            <w:r w:rsidRPr="004F4FE8">
              <w:rPr>
                <w:rFonts w:ascii="Calibri" w:eastAsia="Times New Roman" w:hAnsi="Calibri" w:cs="Times New Roman"/>
                <w:sz w:val="24"/>
                <w:szCs w:val="24"/>
              </w:rPr>
              <w:t>8.80E+07</w:t>
            </w:r>
          </w:p>
        </w:tc>
      </w:tr>
      <w:tr w:rsidR="004F4FE8" w:rsidRPr="004F4FE8" w14:paraId="1469D894" w14:textId="77777777" w:rsidTr="00AC2C0E">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A3C0E23" w14:textId="77777777" w:rsidR="004F4FE8" w:rsidRPr="004F4FE8" w:rsidRDefault="004F4FE8" w:rsidP="004F4FE8">
            <w:pPr>
              <w:spacing w:after="0" w:line="240" w:lineRule="auto"/>
              <w:rPr>
                <w:rFonts w:ascii="Calibri" w:eastAsia="Times New Roman" w:hAnsi="Calibri" w:cs="Times New Roman"/>
                <w:b/>
                <w:bCs/>
                <w:color w:val="000000"/>
                <w:sz w:val="24"/>
                <w:szCs w:val="24"/>
              </w:rPr>
            </w:pPr>
            <w:r w:rsidRPr="004F4FE8">
              <w:rPr>
                <w:rFonts w:ascii="Calibri" w:eastAsia="Times New Roman" w:hAnsi="Calibri" w:cs="Times New Roman"/>
                <w:b/>
                <w:bCs/>
                <w:color w:val="000000"/>
                <w:sz w:val="24"/>
                <w:szCs w:val="24"/>
              </w:rPr>
              <w:t>4-Mar</w:t>
            </w:r>
          </w:p>
        </w:tc>
        <w:tc>
          <w:tcPr>
            <w:tcW w:w="1880" w:type="dxa"/>
            <w:tcBorders>
              <w:top w:val="nil"/>
              <w:left w:val="nil"/>
              <w:bottom w:val="single" w:sz="4" w:space="0" w:color="auto"/>
              <w:right w:val="single" w:sz="4" w:space="0" w:color="auto"/>
            </w:tcBorders>
            <w:shd w:val="clear" w:color="auto" w:fill="auto"/>
            <w:noWrap/>
            <w:vAlign w:val="bottom"/>
            <w:hideMark/>
          </w:tcPr>
          <w:p w14:paraId="2CF73573"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2.5E+08</w:t>
            </w:r>
          </w:p>
        </w:tc>
        <w:tc>
          <w:tcPr>
            <w:tcW w:w="1880" w:type="dxa"/>
            <w:tcBorders>
              <w:top w:val="nil"/>
              <w:left w:val="nil"/>
              <w:bottom w:val="single" w:sz="4" w:space="0" w:color="auto"/>
              <w:right w:val="single" w:sz="4" w:space="0" w:color="auto"/>
            </w:tcBorders>
            <w:shd w:val="clear" w:color="auto" w:fill="auto"/>
            <w:noWrap/>
            <w:vAlign w:val="bottom"/>
            <w:hideMark/>
          </w:tcPr>
          <w:p w14:paraId="22CA435D"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488</w:t>
            </w:r>
          </w:p>
        </w:tc>
        <w:tc>
          <w:tcPr>
            <w:tcW w:w="1880" w:type="dxa"/>
            <w:tcBorders>
              <w:top w:val="nil"/>
              <w:left w:val="nil"/>
              <w:bottom w:val="single" w:sz="4" w:space="0" w:color="auto"/>
              <w:right w:val="single" w:sz="4" w:space="0" w:color="auto"/>
            </w:tcBorders>
            <w:shd w:val="clear" w:color="auto" w:fill="auto"/>
            <w:noWrap/>
            <w:vAlign w:val="bottom"/>
            <w:hideMark/>
          </w:tcPr>
          <w:p w14:paraId="4486FE4F"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161</w:t>
            </w:r>
          </w:p>
        </w:tc>
        <w:tc>
          <w:tcPr>
            <w:tcW w:w="2980" w:type="dxa"/>
            <w:vMerge/>
            <w:tcBorders>
              <w:top w:val="nil"/>
              <w:left w:val="single" w:sz="4" w:space="0" w:color="auto"/>
              <w:bottom w:val="single" w:sz="4" w:space="0" w:color="000000"/>
              <w:right w:val="single" w:sz="4" w:space="0" w:color="auto"/>
            </w:tcBorders>
            <w:vAlign w:val="center"/>
            <w:hideMark/>
          </w:tcPr>
          <w:p w14:paraId="09D6E708" w14:textId="77777777" w:rsidR="004F4FE8" w:rsidRPr="004F4FE8" w:rsidRDefault="004F4FE8" w:rsidP="004F4FE8">
            <w:pPr>
              <w:spacing w:after="0" w:line="240" w:lineRule="auto"/>
              <w:rPr>
                <w:rFonts w:ascii="Calibri" w:eastAsia="Times New Roman" w:hAnsi="Calibri" w:cs="Times New Roman"/>
                <w:sz w:val="24"/>
                <w:szCs w:val="24"/>
              </w:rPr>
            </w:pPr>
          </w:p>
        </w:tc>
      </w:tr>
      <w:tr w:rsidR="004F4FE8" w:rsidRPr="004F4FE8" w14:paraId="2BFA29A5" w14:textId="77777777" w:rsidTr="00AC2C0E">
        <w:trPr>
          <w:trHeight w:val="315"/>
          <w:jc w:val="center"/>
        </w:trPr>
        <w:tc>
          <w:tcPr>
            <w:tcW w:w="960" w:type="dxa"/>
            <w:tcBorders>
              <w:top w:val="nil"/>
              <w:left w:val="single" w:sz="4" w:space="0" w:color="auto"/>
              <w:bottom w:val="nil"/>
              <w:right w:val="single" w:sz="4" w:space="0" w:color="auto"/>
            </w:tcBorders>
            <w:shd w:val="clear" w:color="auto" w:fill="auto"/>
            <w:noWrap/>
            <w:vAlign w:val="bottom"/>
            <w:hideMark/>
          </w:tcPr>
          <w:p w14:paraId="3BA661DC" w14:textId="77777777" w:rsidR="004F4FE8" w:rsidRPr="004F4FE8" w:rsidRDefault="004F4FE8" w:rsidP="004F4FE8">
            <w:pPr>
              <w:spacing w:after="0" w:line="240" w:lineRule="auto"/>
              <w:rPr>
                <w:rFonts w:ascii="Calibri" w:eastAsia="Times New Roman" w:hAnsi="Calibri" w:cs="Times New Roman"/>
                <w:b/>
                <w:bCs/>
                <w:color w:val="000000"/>
                <w:sz w:val="24"/>
                <w:szCs w:val="24"/>
              </w:rPr>
            </w:pPr>
            <w:r w:rsidRPr="004F4FE8">
              <w:rPr>
                <w:rFonts w:ascii="Calibri" w:eastAsia="Times New Roman" w:hAnsi="Calibri" w:cs="Times New Roman"/>
                <w:b/>
                <w:bCs/>
                <w:color w:val="000000"/>
                <w:sz w:val="24"/>
                <w:szCs w:val="24"/>
              </w:rPr>
              <w:t>4-Mar</w:t>
            </w:r>
          </w:p>
        </w:tc>
        <w:tc>
          <w:tcPr>
            <w:tcW w:w="1880" w:type="dxa"/>
            <w:tcBorders>
              <w:top w:val="nil"/>
              <w:left w:val="nil"/>
              <w:bottom w:val="nil"/>
              <w:right w:val="single" w:sz="4" w:space="0" w:color="auto"/>
            </w:tcBorders>
            <w:shd w:val="clear" w:color="auto" w:fill="auto"/>
            <w:noWrap/>
            <w:vAlign w:val="bottom"/>
            <w:hideMark/>
          </w:tcPr>
          <w:p w14:paraId="79050252"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2.5E+08</w:t>
            </w:r>
          </w:p>
        </w:tc>
        <w:tc>
          <w:tcPr>
            <w:tcW w:w="1880" w:type="dxa"/>
            <w:tcBorders>
              <w:top w:val="nil"/>
              <w:left w:val="nil"/>
              <w:bottom w:val="nil"/>
              <w:right w:val="single" w:sz="4" w:space="0" w:color="auto"/>
            </w:tcBorders>
            <w:shd w:val="clear" w:color="auto" w:fill="auto"/>
            <w:noWrap/>
            <w:vAlign w:val="bottom"/>
            <w:hideMark/>
          </w:tcPr>
          <w:p w14:paraId="5036F5FB"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488</w:t>
            </w:r>
          </w:p>
        </w:tc>
        <w:tc>
          <w:tcPr>
            <w:tcW w:w="1880" w:type="dxa"/>
            <w:tcBorders>
              <w:top w:val="nil"/>
              <w:left w:val="nil"/>
              <w:bottom w:val="nil"/>
              <w:right w:val="single" w:sz="4" w:space="0" w:color="auto"/>
            </w:tcBorders>
            <w:shd w:val="clear" w:color="auto" w:fill="auto"/>
            <w:noWrap/>
            <w:vAlign w:val="bottom"/>
            <w:hideMark/>
          </w:tcPr>
          <w:p w14:paraId="67877121"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161</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14:paraId="520BDBC0" w14:textId="77777777" w:rsidR="004F4FE8" w:rsidRPr="004F4FE8" w:rsidRDefault="004F4FE8" w:rsidP="004F4FE8">
            <w:pPr>
              <w:spacing w:after="0" w:line="240" w:lineRule="auto"/>
              <w:jc w:val="center"/>
              <w:rPr>
                <w:rFonts w:ascii="Calibri" w:eastAsia="Times New Roman" w:hAnsi="Calibri" w:cs="Times New Roman"/>
                <w:sz w:val="24"/>
                <w:szCs w:val="24"/>
              </w:rPr>
            </w:pPr>
            <w:r w:rsidRPr="004F4FE8">
              <w:rPr>
                <w:rFonts w:ascii="Calibri" w:eastAsia="Times New Roman" w:hAnsi="Calibri" w:cs="Times New Roman"/>
                <w:sz w:val="24"/>
                <w:szCs w:val="24"/>
              </w:rPr>
              <w:t>-4.10E+07</w:t>
            </w:r>
          </w:p>
        </w:tc>
      </w:tr>
      <w:tr w:rsidR="004F4FE8" w:rsidRPr="004F4FE8" w14:paraId="0A35BACD" w14:textId="77777777" w:rsidTr="00AC2C0E">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71C7110" w14:textId="77777777" w:rsidR="004F4FE8" w:rsidRPr="004F4FE8" w:rsidRDefault="004F4FE8" w:rsidP="004F4FE8">
            <w:pPr>
              <w:spacing w:after="0" w:line="240" w:lineRule="auto"/>
              <w:rPr>
                <w:rFonts w:ascii="Calibri" w:eastAsia="Times New Roman" w:hAnsi="Calibri" w:cs="Times New Roman"/>
                <w:b/>
                <w:bCs/>
                <w:color w:val="000000"/>
                <w:sz w:val="24"/>
                <w:szCs w:val="24"/>
              </w:rPr>
            </w:pPr>
            <w:r w:rsidRPr="004F4FE8">
              <w:rPr>
                <w:rFonts w:ascii="Calibri" w:eastAsia="Times New Roman" w:hAnsi="Calibri" w:cs="Times New Roman"/>
                <w:b/>
                <w:bCs/>
                <w:color w:val="000000"/>
                <w:sz w:val="24"/>
                <w:szCs w:val="24"/>
              </w:rPr>
              <w:t>5-Mar</w:t>
            </w:r>
          </w:p>
        </w:tc>
        <w:tc>
          <w:tcPr>
            <w:tcW w:w="1880" w:type="dxa"/>
            <w:tcBorders>
              <w:top w:val="nil"/>
              <w:left w:val="nil"/>
              <w:bottom w:val="single" w:sz="4" w:space="0" w:color="auto"/>
              <w:right w:val="single" w:sz="4" w:space="0" w:color="auto"/>
            </w:tcBorders>
            <w:shd w:val="clear" w:color="auto" w:fill="auto"/>
            <w:noWrap/>
            <w:vAlign w:val="bottom"/>
            <w:hideMark/>
          </w:tcPr>
          <w:p w14:paraId="592A4FA6"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2.1E+08</w:t>
            </w:r>
          </w:p>
        </w:tc>
        <w:tc>
          <w:tcPr>
            <w:tcW w:w="1880" w:type="dxa"/>
            <w:tcBorders>
              <w:top w:val="nil"/>
              <w:left w:val="nil"/>
              <w:bottom w:val="single" w:sz="4" w:space="0" w:color="auto"/>
              <w:right w:val="single" w:sz="4" w:space="0" w:color="auto"/>
            </w:tcBorders>
            <w:shd w:val="clear" w:color="auto" w:fill="auto"/>
            <w:noWrap/>
            <w:vAlign w:val="bottom"/>
            <w:hideMark/>
          </w:tcPr>
          <w:p w14:paraId="473E6F2B"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405</w:t>
            </w:r>
          </w:p>
        </w:tc>
        <w:tc>
          <w:tcPr>
            <w:tcW w:w="1880" w:type="dxa"/>
            <w:tcBorders>
              <w:top w:val="nil"/>
              <w:left w:val="nil"/>
              <w:bottom w:val="single" w:sz="4" w:space="0" w:color="auto"/>
              <w:right w:val="single" w:sz="4" w:space="0" w:color="auto"/>
            </w:tcBorders>
            <w:shd w:val="clear" w:color="auto" w:fill="auto"/>
            <w:noWrap/>
            <w:vAlign w:val="bottom"/>
            <w:hideMark/>
          </w:tcPr>
          <w:p w14:paraId="413B929F" w14:textId="77777777" w:rsidR="004F4FE8" w:rsidRPr="004F4FE8" w:rsidRDefault="004F4FE8" w:rsidP="004F4FE8">
            <w:pPr>
              <w:spacing w:after="0" w:line="240" w:lineRule="auto"/>
              <w:jc w:val="center"/>
              <w:rPr>
                <w:rFonts w:ascii="Calibri" w:eastAsia="Times New Roman" w:hAnsi="Calibri" w:cs="Times New Roman"/>
                <w:color w:val="000000"/>
                <w:sz w:val="24"/>
                <w:szCs w:val="24"/>
              </w:rPr>
            </w:pPr>
            <w:r w:rsidRPr="004F4FE8">
              <w:rPr>
                <w:rFonts w:ascii="Calibri" w:eastAsia="Times New Roman" w:hAnsi="Calibri" w:cs="Times New Roman"/>
                <w:color w:val="000000"/>
                <w:sz w:val="24"/>
                <w:szCs w:val="24"/>
              </w:rPr>
              <w:t>161</w:t>
            </w:r>
          </w:p>
        </w:tc>
        <w:tc>
          <w:tcPr>
            <w:tcW w:w="2980" w:type="dxa"/>
            <w:vMerge/>
            <w:tcBorders>
              <w:top w:val="nil"/>
              <w:left w:val="single" w:sz="4" w:space="0" w:color="auto"/>
              <w:bottom w:val="single" w:sz="4" w:space="0" w:color="000000"/>
              <w:right w:val="single" w:sz="4" w:space="0" w:color="auto"/>
            </w:tcBorders>
            <w:vAlign w:val="center"/>
            <w:hideMark/>
          </w:tcPr>
          <w:p w14:paraId="2574BAF9" w14:textId="77777777" w:rsidR="004F4FE8" w:rsidRPr="004F4FE8" w:rsidRDefault="004F4FE8" w:rsidP="004F4FE8">
            <w:pPr>
              <w:spacing w:after="0" w:line="240" w:lineRule="auto"/>
              <w:rPr>
                <w:rFonts w:ascii="Calibri" w:eastAsia="Times New Roman" w:hAnsi="Calibri" w:cs="Times New Roman"/>
                <w:sz w:val="24"/>
                <w:szCs w:val="24"/>
              </w:rPr>
            </w:pPr>
          </w:p>
        </w:tc>
      </w:tr>
    </w:tbl>
    <w:p w14:paraId="749DA69A" w14:textId="77777777" w:rsidR="00FE509A" w:rsidRDefault="00FE509A" w:rsidP="00A4347B">
      <w:pPr>
        <w:spacing w:line="480" w:lineRule="auto"/>
        <w:rPr>
          <w:sz w:val="24"/>
        </w:rPr>
      </w:pPr>
    </w:p>
    <w:p w14:paraId="1B704C1C" w14:textId="391B29C8" w:rsidR="00B045BF" w:rsidRDefault="00787D19" w:rsidP="00787D19">
      <w:pPr>
        <w:spacing w:line="480" w:lineRule="auto"/>
        <w:jc w:val="center"/>
        <w:rPr>
          <w:sz w:val="24"/>
        </w:rPr>
      </w:pPr>
      <w:r>
        <w:rPr>
          <w:noProof/>
          <w:sz w:val="24"/>
        </w:rPr>
        <w:lastRenderedPageBreak/>
        <w:drawing>
          <wp:inline distT="0" distB="0" distL="0" distR="0" wp14:anchorId="7FDB3D18" wp14:editId="6D2496B0">
            <wp:extent cx="4629150" cy="5105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ornado_SDE_PNG.png"/>
                    <pic:cNvPicPr/>
                  </pic:nvPicPr>
                  <pic:blipFill rotWithShape="1">
                    <a:blip r:embed="rId22">
                      <a:extLst>
                        <a:ext uri="{28A0092B-C50C-407E-A947-70E740481C1C}">
                          <a14:useLocalDpi xmlns:a14="http://schemas.microsoft.com/office/drawing/2010/main" val="0"/>
                        </a:ext>
                      </a:extLst>
                    </a:blip>
                    <a:srcRect t="4514" b="33449"/>
                    <a:stretch/>
                  </pic:blipFill>
                  <pic:spPr bwMode="auto">
                    <a:xfrm>
                      <a:off x="0" y="0"/>
                      <a:ext cx="4629150" cy="5105400"/>
                    </a:xfrm>
                    <a:prstGeom prst="rect">
                      <a:avLst/>
                    </a:prstGeom>
                    <a:ln>
                      <a:noFill/>
                    </a:ln>
                    <a:extLst>
                      <a:ext uri="{53640926-AAD7-44D8-BBD7-CCE9431645EC}">
                        <a14:shadowObscured xmlns:a14="http://schemas.microsoft.com/office/drawing/2010/main"/>
                      </a:ext>
                    </a:extLst>
                  </pic:spPr>
                </pic:pic>
              </a:graphicData>
            </a:graphic>
          </wp:inline>
        </w:drawing>
      </w:r>
    </w:p>
    <w:p w14:paraId="3E24A1F1" w14:textId="275040DE" w:rsidR="00AF2734" w:rsidRPr="00AF2734" w:rsidRDefault="005158F1" w:rsidP="00AF2734">
      <w:pPr>
        <w:spacing w:line="480" w:lineRule="auto"/>
        <w:rPr>
          <w:sz w:val="24"/>
        </w:rPr>
      </w:pPr>
      <w:r>
        <w:rPr>
          <w:b/>
          <w:sz w:val="24"/>
        </w:rPr>
        <w:fldChar w:fldCharType="begin"/>
      </w:r>
      <w:r>
        <w:rPr>
          <w:b/>
          <w:sz w:val="24"/>
        </w:rPr>
        <w:instrText xml:space="preserve"> TC  "</w:instrText>
      </w:r>
      <w:bookmarkStart w:id="47" w:name="_Toc56898502"/>
      <w:r>
        <w:rPr>
          <w:b/>
          <w:sz w:val="24"/>
        </w:rPr>
        <w:instrText>Figure 1</w:instrText>
      </w:r>
      <w:r w:rsidR="004679B5">
        <w:rPr>
          <w:b/>
          <w:sz w:val="24"/>
        </w:rPr>
        <w:instrText>4</w:instrText>
      </w:r>
      <w:r w:rsidR="00120542">
        <w:rPr>
          <w:b/>
          <w:sz w:val="24"/>
        </w:rPr>
        <w:instrText>: Tornado-outbreak SDE maps</w:instrText>
      </w:r>
      <w:bookmarkEnd w:id="47"/>
      <w:r>
        <w:rPr>
          <w:b/>
          <w:sz w:val="24"/>
        </w:rPr>
        <w:instrText xml:space="preserve">" \f f \l 1 </w:instrText>
      </w:r>
      <w:r>
        <w:rPr>
          <w:b/>
          <w:sz w:val="24"/>
        </w:rPr>
        <w:fldChar w:fldCharType="end"/>
      </w:r>
      <w:r w:rsidR="004679B5">
        <w:rPr>
          <w:b/>
          <w:sz w:val="24"/>
        </w:rPr>
        <w:t>Figure 14</w:t>
      </w:r>
      <w:r w:rsidR="00AF2734">
        <w:rPr>
          <w:b/>
          <w:sz w:val="24"/>
        </w:rPr>
        <w:t xml:space="preserve">: </w:t>
      </w:r>
      <w:r w:rsidR="00120542">
        <w:rPr>
          <w:sz w:val="24"/>
        </w:rPr>
        <w:t xml:space="preserve">Tornado-outbreak SDE maps. </w:t>
      </w:r>
      <w:r w:rsidR="003267FE">
        <w:rPr>
          <w:sz w:val="24"/>
        </w:rPr>
        <w:t>Tornado-</w:t>
      </w:r>
      <w:r w:rsidR="00AF2734">
        <w:rPr>
          <w:sz w:val="24"/>
        </w:rPr>
        <w:t>outbreak SDE maps for 28 February (a), 1 March (b), 2 March (c), 3 March (d), 4 March (e), and 5 March</w:t>
      </w:r>
      <w:r w:rsidR="007817A8">
        <w:rPr>
          <w:sz w:val="24"/>
        </w:rPr>
        <w:t xml:space="preserve"> 2019 (f) where blue dots are tweets, purple polygons are SDEs, and purple points are mean center locations.</w:t>
      </w:r>
    </w:p>
    <w:p w14:paraId="1E65773D" w14:textId="77777777" w:rsidR="006254DD" w:rsidRPr="006254DD" w:rsidRDefault="006254DD" w:rsidP="006254DD">
      <w:pPr>
        <w:spacing w:line="480" w:lineRule="auto"/>
        <w:rPr>
          <w:sz w:val="24"/>
        </w:rPr>
      </w:pPr>
    </w:p>
    <w:p w14:paraId="5CF669B3" w14:textId="77777777" w:rsidR="00DE043D" w:rsidRDefault="00DE043D" w:rsidP="00A4347B">
      <w:pPr>
        <w:spacing w:line="480" w:lineRule="auto"/>
        <w:rPr>
          <w:sz w:val="24"/>
        </w:rPr>
      </w:pPr>
    </w:p>
    <w:p w14:paraId="055E6499" w14:textId="77777777" w:rsidR="00CF1082" w:rsidRDefault="00CF1082" w:rsidP="00201AAD">
      <w:pPr>
        <w:spacing w:line="240" w:lineRule="auto"/>
        <w:jc w:val="center"/>
        <w:rPr>
          <w:sz w:val="24"/>
        </w:rPr>
      </w:pPr>
    </w:p>
    <w:p w14:paraId="429475E1" w14:textId="77777777" w:rsidR="00F01250" w:rsidRDefault="00F01250" w:rsidP="00201AAD">
      <w:pPr>
        <w:spacing w:line="240" w:lineRule="auto"/>
        <w:jc w:val="center"/>
        <w:rPr>
          <w:sz w:val="24"/>
        </w:rPr>
      </w:pPr>
    </w:p>
    <w:p w14:paraId="67470954" w14:textId="13E1A3EB" w:rsidR="00F358B7" w:rsidRPr="00AC3CF9" w:rsidRDefault="00CE5687" w:rsidP="00AC3CF9">
      <w:pPr>
        <w:jc w:val="center"/>
        <w:rPr>
          <w:b/>
          <w:caps/>
          <w:sz w:val="28"/>
          <w:szCs w:val="28"/>
        </w:rPr>
      </w:pPr>
      <w:r w:rsidRPr="00AC3CF9">
        <w:rPr>
          <w:b/>
          <w:caps/>
          <w:sz w:val="28"/>
          <w:szCs w:val="28"/>
        </w:rPr>
        <w:lastRenderedPageBreak/>
        <w:t>Chapter five</w:t>
      </w:r>
    </w:p>
    <w:p w14:paraId="2B3DD07B" w14:textId="51A32107" w:rsidR="00CD690C" w:rsidRPr="00AC3CF9" w:rsidRDefault="009B7F73" w:rsidP="005B71EC">
      <w:pPr>
        <w:pStyle w:val="Heading1"/>
        <w:spacing w:line="480" w:lineRule="auto"/>
        <w:jc w:val="center"/>
        <w:rPr>
          <w:rFonts w:asciiTheme="minorHAnsi" w:hAnsiTheme="minorHAnsi"/>
          <w:b/>
          <w:caps/>
          <w:color w:val="auto"/>
          <w:sz w:val="28"/>
          <w:szCs w:val="28"/>
        </w:rPr>
      </w:pPr>
      <w:bookmarkStart w:id="48" w:name="_Toc56194401"/>
      <w:bookmarkStart w:id="49" w:name="_Toc56898391"/>
      <w:r w:rsidRPr="00AC3CF9">
        <w:rPr>
          <w:rFonts w:asciiTheme="minorHAnsi" w:hAnsiTheme="minorHAnsi"/>
          <w:b/>
          <w:caps/>
          <w:color w:val="auto"/>
          <w:sz w:val="28"/>
          <w:szCs w:val="28"/>
        </w:rPr>
        <w:t>Discussion</w:t>
      </w:r>
      <w:bookmarkEnd w:id="48"/>
      <w:bookmarkEnd w:id="49"/>
    </w:p>
    <w:p w14:paraId="7D73C6E9" w14:textId="3D7ECFFA" w:rsidR="001F33E7" w:rsidRPr="006A76A7" w:rsidRDefault="00954B19" w:rsidP="005B71EC">
      <w:pPr>
        <w:pStyle w:val="Heading2"/>
        <w:spacing w:line="480" w:lineRule="auto"/>
        <w:rPr>
          <w:rFonts w:asciiTheme="minorHAnsi" w:hAnsiTheme="minorHAnsi"/>
          <w:b/>
          <w:color w:val="auto"/>
          <w:sz w:val="24"/>
        </w:rPr>
      </w:pPr>
      <w:bookmarkStart w:id="50" w:name="_Toc56898392"/>
      <w:r>
        <w:rPr>
          <w:rFonts w:asciiTheme="minorHAnsi" w:hAnsiTheme="minorHAnsi"/>
          <w:b/>
          <w:color w:val="auto"/>
          <w:sz w:val="24"/>
        </w:rPr>
        <w:t xml:space="preserve">5.1 </w:t>
      </w:r>
      <w:r w:rsidR="007126EC" w:rsidRPr="006A76A7">
        <w:rPr>
          <w:rFonts w:asciiTheme="minorHAnsi" w:hAnsiTheme="minorHAnsi"/>
          <w:b/>
          <w:color w:val="auto"/>
          <w:sz w:val="24"/>
        </w:rPr>
        <w:t>WSG diffusion over space and time</w:t>
      </w:r>
      <w:bookmarkEnd w:id="50"/>
    </w:p>
    <w:p w14:paraId="5DA2DCBE" w14:textId="386DDDA6" w:rsidR="00843B17" w:rsidRDefault="007126EC" w:rsidP="006A76A7">
      <w:pPr>
        <w:spacing w:line="480" w:lineRule="auto"/>
        <w:rPr>
          <w:sz w:val="24"/>
        </w:rPr>
      </w:pPr>
      <w:r>
        <w:rPr>
          <w:sz w:val="24"/>
        </w:rPr>
        <w:tab/>
        <w:t xml:space="preserve">WSG daily tweet counts mirrored what </w:t>
      </w:r>
      <w:r w:rsidR="001F33E7">
        <w:rPr>
          <w:sz w:val="24"/>
        </w:rPr>
        <w:fldChar w:fldCharType="begin" w:fldLock="1"/>
      </w:r>
      <w:r w:rsidR="00534D6C">
        <w:rPr>
          <w:sz w:val="24"/>
        </w:rPr>
        <w:instrText>ADDIN CSL_CITATION {"citationItems":[{"id":"ITEM-1","itemData":{"DOI":"10.1126/sciadv.1500779","ISSN":"2375-2548","PMID":"27034978","author":[{"dropping-particle":"","family":"Kryvasheyeu","given":"Yury","non-dropping-particle":"","parse-names":false,"suffix":""},{"dropping-particle":"","family":"Chen","given":"Haohui","non-dropping-particle":"","parse-names":false,"suffix":""},{"dropping-particle":"","family":"Obradovich","given":"Nick","non-dropping-particle":"","parse-names":false,"suffix":""},{"dropping-particle":"","family":"Moro","given":"Esteban","non-dropping-particle":"","parse-names":false,"suffix":""},{"dropping-particle":"Van","family":"Hentenryck","given":"Pascal","non-dropping-particle":"","parse-names":false,"suffix":""},{"dropping-particle":"","family":"Fowler","given":"James","non-dropping-particle":"","parse-names":false,"suffix":""},{"dropping-particle":"","family":"Cebrian","given":"Manuel","non-dropping-particle":"","parse-names":false,"suffix":""}],"container-title":"Science Advance","id":"ITEM-1","issue":"March","issued":{"date-parts":[["2016"]]},"page":"1-12","title":"Rapid assessment of disaster damage using social media activity","type":"article-journal"},"uris":["http://www.mendeley.com/documents/?uuid=41b5bd4a-53ee-4226-97c7-780ce8ad5dfa"]}],"mendeley":{"formattedCitation":"(Kryvasheyeu et al., 2016)","manualFormatting":"Kryvasheyeu et al. (2016)","plainTextFormattedCitation":"(Kryvasheyeu et al., 2016)","previouslyFormattedCitation":"(Kryvasheyeu et al., 2016)"},"properties":{"noteIndex":0},"schema":"https://github.com/citation-style-language/schema/raw/master/csl-citation.json"}</w:instrText>
      </w:r>
      <w:r w:rsidR="001F33E7">
        <w:rPr>
          <w:sz w:val="24"/>
        </w:rPr>
        <w:fldChar w:fldCharType="separate"/>
      </w:r>
      <w:r w:rsidR="00534D6C">
        <w:rPr>
          <w:noProof/>
          <w:sz w:val="24"/>
        </w:rPr>
        <w:t>Kryvasheyeu et al.</w:t>
      </w:r>
      <w:r w:rsidR="001F33E7" w:rsidRPr="001F33E7">
        <w:rPr>
          <w:noProof/>
          <w:sz w:val="24"/>
        </w:rPr>
        <w:t xml:space="preserve"> </w:t>
      </w:r>
      <w:r w:rsidR="001F33E7">
        <w:rPr>
          <w:noProof/>
          <w:sz w:val="24"/>
        </w:rPr>
        <w:t>(</w:t>
      </w:r>
      <w:r w:rsidR="001F33E7" w:rsidRPr="001F33E7">
        <w:rPr>
          <w:noProof/>
          <w:sz w:val="24"/>
        </w:rPr>
        <w:t>2016)</w:t>
      </w:r>
      <w:r w:rsidR="001F33E7">
        <w:rPr>
          <w:sz w:val="24"/>
        </w:rPr>
        <w:fldChar w:fldCharType="end"/>
      </w:r>
      <w:r w:rsidR="001F33E7">
        <w:rPr>
          <w:sz w:val="24"/>
        </w:rPr>
        <w:t xml:space="preserve"> </w:t>
      </w:r>
      <w:r>
        <w:rPr>
          <w:sz w:val="24"/>
        </w:rPr>
        <w:t xml:space="preserve">observed in their analysis of </w:t>
      </w:r>
      <w:r w:rsidR="00761A42">
        <w:rPr>
          <w:sz w:val="24"/>
        </w:rPr>
        <w:t>Superstorm</w:t>
      </w:r>
      <w:r>
        <w:rPr>
          <w:sz w:val="24"/>
        </w:rPr>
        <w:t xml:space="preserve"> Sandy. </w:t>
      </w:r>
      <w:r w:rsidR="00761A42">
        <w:rPr>
          <w:sz w:val="24"/>
        </w:rPr>
        <w:t>Superstorm</w:t>
      </w:r>
      <w:r w:rsidR="0052281D">
        <w:rPr>
          <w:sz w:val="24"/>
        </w:rPr>
        <w:t xml:space="preserve"> Sandy tweet counts incre</w:t>
      </w:r>
      <w:r w:rsidR="00534D6C">
        <w:rPr>
          <w:sz w:val="24"/>
        </w:rPr>
        <w:t>ased as the system strengthened</w:t>
      </w:r>
      <w:r w:rsidR="0052281D">
        <w:rPr>
          <w:sz w:val="24"/>
        </w:rPr>
        <w:t xml:space="preserve"> and news media began reporting</w:t>
      </w:r>
      <w:r w:rsidR="00534D6C">
        <w:rPr>
          <w:sz w:val="24"/>
        </w:rPr>
        <w:t xml:space="preserve"> its potential impacts</w:t>
      </w:r>
      <w:r w:rsidR="0052281D">
        <w:rPr>
          <w:sz w:val="24"/>
        </w:rPr>
        <w:t xml:space="preserve"> </w:t>
      </w:r>
      <w:r w:rsidR="0052281D">
        <w:rPr>
          <w:sz w:val="24"/>
        </w:rPr>
        <w:fldChar w:fldCharType="begin" w:fldLock="1"/>
      </w:r>
      <w:r w:rsidR="0052281D">
        <w:rPr>
          <w:sz w:val="24"/>
        </w:rPr>
        <w:instrText>ADDIN CSL_CITATION {"citationItems":[{"id":"ITEM-1","itemData":{"DOI":"10.1126/sciadv.1500779","ISSN":"2375-2548","PMID":"27034978","author":[{"dropping-particle":"","family":"Kryvasheyeu","given":"Yury","non-dropping-particle":"","parse-names":false,"suffix":""},{"dropping-particle":"","family":"Chen","given":"Haohui","non-dropping-particle":"","parse-names":false,"suffix":""},{"dropping-particle":"","family":"Obradovich","given":"Nick","non-dropping-particle":"","parse-names":false,"suffix":""},{"dropping-particle":"","family":"Moro","given":"Esteban","non-dropping-particle":"","parse-names":false,"suffix":""},{"dropping-particle":"Van","family":"Hentenryck","given":"Pascal","non-dropping-particle":"","parse-names":false,"suffix":""},{"dropping-particle":"","family":"Fowler","given":"James","non-dropping-particle":"","parse-names":false,"suffix":""},{"dropping-particle":"","family":"Cebrian","given":"Manuel","non-dropping-particle":"","parse-names":false,"suffix":""}],"container-title":"Science Advance","id":"ITEM-1","issue":"March","issued":{"date-parts":[["2016"]]},"page":"1-12","title":"Rapid assessment of disaster damage using social media activity","type":"article-journal"},"uris":["http://www.mendeley.com/documents/?uuid=41b5bd4a-53ee-4226-97c7-780ce8ad5dfa"]}],"mendeley":{"formattedCitation":"(Kryvasheyeu et al., 2016)","plainTextFormattedCitation":"(Kryvasheyeu et al., 2016)","previouslyFormattedCitation":"(Kryvasheyeu et al., 2016)"},"properties":{"noteIndex":0},"schema":"https://github.com/citation-style-language/schema/raw/master/csl-citation.json"}</w:instrText>
      </w:r>
      <w:r w:rsidR="0052281D">
        <w:rPr>
          <w:sz w:val="24"/>
        </w:rPr>
        <w:fldChar w:fldCharType="separate"/>
      </w:r>
      <w:r w:rsidR="0052281D" w:rsidRPr="0052281D">
        <w:rPr>
          <w:noProof/>
          <w:sz w:val="24"/>
        </w:rPr>
        <w:t>(Kryvasheyeu et al., 2016)</w:t>
      </w:r>
      <w:r w:rsidR="0052281D">
        <w:rPr>
          <w:sz w:val="24"/>
        </w:rPr>
        <w:fldChar w:fldCharType="end"/>
      </w:r>
      <w:r w:rsidR="0052281D">
        <w:rPr>
          <w:sz w:val="24"/>
        </w:rPr>
        <w:t xml:space="preserve">. </w:t>
      </w:r>
      <w:r w:rsidR="00E555CF">
        <w:rPr>
          <w:sz w:val="24"/>
        </w:rPr>
        <w:t xml:space="preserve">These Twitter users are the Early Adopters and Early Majority, described by </w:t>
      </w:r>
      <w:r w:rsidR="000C67F2">
        <w:rPr>
          <w:sz w:val="24"/>
        </w:rPr>
        <w:fldChar w:fldCharType="begin" w:fldLock="1"/>
      </w:r>
      <w:r w:rsidR="004110D9">
        <w:rPr>
          <w:sz w:val="24"/>
        </w:rPr>
        <w:instrText>ADDIN CSL_CITATION {"citationItems":[{"id":"ITEM-1","itemData":{"author":[{"dropping-particle":"","family":"Gladwell","given":"Malcolm","non-dropping-particle":"","parse-names":false,"suffix":""}],"id":"ITEM-1","issued":{"date-parts":[["2002"]]},"number-of-pages":"301","publisher":"Back Bay Books","publisher-place":"New York","title":"The Tipping Point How Little Things Can Make a Big Difference","type":"book"},"uris":["http://www.mendeley.com/documents/?uuid=6bd2349c-e74f-43e1-9470-adeb33828477"]}],"mendeley":{"formattedCitation":"(Gladwell, 2002)","plainTextFormattedCitation":"(Gladwell, 2002)","previouslyFormattedCitation":"(Gladwell, 2002)"},"properties":{"noteIndex":0},"schema":"https://github.com/citation-style-language/schema/raw/master/csl-citation.json"}</w:instrText>
      </w:r>
      <w:r w:rsidR="000C67F2">
        <w:rPr>
          <w:sz w:val="24"/>
        </w:rPr>
        <w:fldChar w:fldCharType="separate"/>
      </w:r>
      <w:r w:rsidR="000C67F2" w:rsidRPr="000C67F2">
        <w:rPr>
          <w:noProof/>
          <w:sz w:val="24"/>
        </w:rPr>
        <w:t>(Gladwell, 2002)</w:t>
      </w:r>
      <w:r w:rsidR="000C67F2">
        <w:rPr>
          <w:sz w:val="24"/>
        </w:rPr>
        <w:fldChar w:fldCharType="end"/>
      </w:r>
      <w:r w:rsidR="000C67F2">
        <w:rPr>
          <w:sz w:val="24"/>
        </w:rPr>
        <w:t xml:space="preserve">. </w:t>
      </w:r>
      <w:r w:rsidR="0052281D">
        <w:rPr>
          <w:sz w:val="24"/>
        </w:rPr>
        <w:t xml:space="preserve">Tweet counts peaked as Sandy made landfall, and decreased shortly after </w:t>
      </w:r>
      <w:r w:rsidR="0052281D">
        <w:rPr>
          <w:sz w:val="24"/>
        </w:rPr>
        <w:fldChar w:fldCharType="begin" w:fldLock="1"/>
      </w:r>
      <w:r w:rsidR="00A65709">
        <w:rPr>
          <w:sz w:val="24"/>
        </w:rPr>
        <w:instrText>ADDIN CSL_CITATION {"citationItems":[{"id":"ITEM-1","itemData":{"DOI":"10.1126/sciadv.1500779","ISSN":"2375-2548","PMID":"27034978","author":[{"dropping-particle":"","family":"Kryvasheyeu","given":"Yury","non-dropping-particle":"","parse-names":false,"suffix":""},{"dropping-particle":"","family":"Chen","given":"Haohui","non-dropping-particle":"","parse-names":false,"suffix":""},{"dropping-particle":"","family":"Obradovich","given":"Nick","non-dropping-particle":"","parse-names":false,"suffix":""},{"dropping-particle":"","family":"Moro","given":"Esteban","non-dropping-particle":"","parse-names":false,"suffix":""},{"dropping-particle":"Van","family":"Hentenryck","given":"Pascal","non-dropping-particle":"","parse-names":false,"suffix":""},{"dropping-particle":"","family":"Fowler","given":"James","non-dropping-particle":"","parse-names":false,"suffix":""},{"dropping-particle":"","family":"Cebrian","given":"Manuel","non-dropping-particle":"","parse-names":false,"suffix":""}],"container-title":"Science Advance","id":"ITEM-1","issue":"March","issued":{"date-parts":[["2016"]]},"page":"1-12","title":"Rapid assessment of disaster damage using social media activity","type":"article-journal"},"uris":["http://www.mendeley.com/documents/?uuid=41b5bd4a-53ee-4226-97c7-780ce8ad5dfa"]}],"mendeley":{"formattedCitation":"(Kryvasheyeu et al., 2016)","plainTextFormattedCitation":"(Kryvasheyeu et al., 2016)","previouslyFormattedCitation":"(Kryvasheyeu et al., 2016)"},"properties":{"noteIndex":0},"schema":"https://github.com/citation-style-language/schema/raw/master/csl-citation.json"}</w:instrText>
      </w:r>
      <w:r w:rsidR="0052281D">
        <w:rPr>
          <w:sz w:val="24"/>
        </w:rPr>
        <w:fldChar w:fldCharType="separate"/>
      </w:r>
      <w:r w:rsidR="0052281D" w:rsidRPr="0052281D">
        <w:rPr>
          <w:noProof/>
          <w:sz w:val="24"/>
        </w:rPr>
        <w:t>(Kryvasheyeu et al., 2016)</w:t>
      </w:r>
      <w:r w:rsidR="0052281D">
        <w:rPr>
          <w:sz w:val="24"/>
        </w:rPr>
        <w:fldChar w:fldCharType="end"/>
      </w:r>
      <w:r w:rsidR="0052281D">
        <w:rPr>
          <w:sz w:val="24"/>
        </w:rPr>
        <w:t>. Similarly, WSG tweet counts generally increased in days leading up to t</w:t>
      </w:r>
      <w:r w:rsidR="00A65DB0">
        <w:rPr>
          <w:sz w:val="24"/>
        </w:rPr>
        <w:t>he</w:t>
      </w:r>
      <w:r w:rsidR="00E63A38">
        <w:rPr>
          <w:sz w:val="24"/>
        </w:rPr>
        <w:t xml:space="preserve"> event (7 to 10 January 2019); however, </w:t>
      </w:r>
      <w:r w:rsidR="00A65DB0">
        <w:rPr>
          <w:sz w:val="24"/>
        </w:rPr>
        <w:t xml:space="preserve">there was one anomaly from 8 to 9 January when tweet counts dropped. </w:t>
      </w:r>
      <w:r w:rsidR="00440A55">
        <w:rPr>
          <w:sz w:val="24"/>
        </w:rPr>
        <w:t xml:space="preserve">I speculate two reasons for </w:t>
      </w:r>
      <w:r w:rsidR="003023F8">
        <w:rPr>
          <w:sz w:val="24"/>
        </w:rPr>
        <w:t>the</w:t>
      </w:r>
      <w:r w:rsidR="00440A55">
        <w:rPr>
          <w:sz w:val="24"/>
        </w:rPr>
        <w:t xml:space="preserve"> </w:t>
      </w:r>
      <w:r w:rsidR="003023F8">
        <w:rPr>
          <w:sz w:val="24"/>
        </w:rPr>
        <w:t>anomaly</w:t>
      </w:r>
      <w:r w:rsidR="00440A55">
        <w:rPr>
          <w:sz w:val="24"/>
        </w:rPr>
        <w:t>: one, people</w:t>
      </w:r>
      <w:r w:rsidR="00864F80">
        <w:rPr>
          <w:sz w:val="24"/>
        </w:rPr>
        <w:t xml:space="preserve"> possibly dismissed warnings about a developing winter storm; or on the complete opposite spectrum, people were preparing for WSG and did not have time to tweet.</w:t>
      </w:r>
      <w:r w:rsidR="008D02A6">
        <w:rPr>
          <w:sz w:val="24"/>
        </w:rPr>
        <w:t xml:space="preserve"> A </w:t>
      </w:r>
      <w:r w:rsidR="00056175">
        <w:rPr>
          <w:sz w:val="24"/>
        </w:rPr>
        <w:t>thorough</w:t>
      </w:r>
      <w:r w:rsidR="008D02A6">
        <w:rPr>
          <w:sz w:val="24"/>
        </w:rPr>
        <w:t xml:space="preserve"> tweet content analysis would be needed to determine </w:t>
      </w:r>
      <w:r w:rsidR="00D86482">
        <w:rPr>
          <w:sz w:val="24"/>
        </w:rPr>
        <w:t xml:space="preserve">factors leading to the dip, while a statistical analysis would be needed to verify significance. </w:t>
      </w:r>
      <w:r w:rsidR="000663DE">
        <w:rPr>
          <w:sz w:val="24"/>
        </w:rPr>
        <w:t>WSG tweets peaked on 13 January, during the storm’s most intense period from 11 to 13 January 2019.</w:t>
      </w:r>
      <w:r w:rsidR="00CC3CD8">
        <w:rPr>
          <w:sz w:val="24"/>
        </w:rPr>
        <w:t xml:space="preserve"> Perhaps tweet counts were high due to the system’s vast spatial extent from t</w:t>
      </w:r>
      <w:r w:rsidR="008B71DB">
        <w:rPr>
          <w:sz w:val="24"/>
        </w:rPr>
        <w:t>he Rockies to the Mid-Atlantic</w:t>
      </w:r>
      <w:r w:rsidR="00244279">
        <w:rPr>
          <w:sz w:val="24"/>
        </w:rPr>
        <w:t>,</w:t>
      </w:r>
      <w:r w:rsidR="008B71DB">
        <w:rPr>
          <w:sz w:val="24"/>
        </w:rPr>
        <w:t xml:space="preserve"> which would cause </w:t>
      </w:r>
      <w:r w:rsidR="00CC3CD8">
        <w:rPr>
          <w:sz w:val="24"/>
        </w:rPr>
        <w:t xml:space="preserve">many people </w:t>
      </w:r>
      <w:r w:rsidR="008B71DB">
        <w:rPr>
          <w:sz w:val="24"/>
        </w:rPr>
        <w:t>to</w:t>
      </w:r>
      <w:r w:rsidR="00CC3CD8">
        <w:rPr>
          <w:sz w:val="24"/>
        </w:rPr>
        <w:t xml:space="preserve"> simultaneously </w:t>
      </w:r>
      <w:r w:rsidR="008B71DB">
        <w:rPr>
          <w:sz w:val="24"/>
        </w:rPr>
        <w:t>live</w:t>
      </w:r>
      <w:r w:rsidR="00D36EC1">
        <w:rPr>
          <w:sz w:val="24"/>
        </w:rPr>
        <w:t xml:space="preserve"> through WSG, and this </w:t>
      </w:r>
      <w:r w:rsidR="00CC3CD8">
        <w:rPr>
          <w:sz w:val="24"/>
        </w:rPr>
        <w:t xml:space="preserve">shared experience </w:t>
      </w:r>
      <w:r w:rsidR="00E9086B">
        <w:rPr>
          <w:sz w:val="24"/>
        </w:rPr>
        <w:t xml:space="preserve">perhaps </w:t>
      </w:r>
      <w:r w:rsidR="00CC3CD8">
        <w:rPr>
          <w:sz w:val="24"/>
        </w:rPr>
        <w:t>encouraged p</w:t>
      </w:r>
      <w:r w:rsidR="00491ABB">
        <w:rPr>
          <w:sz w:val="24"/>
        </w:rPr>
        <w:t>eople to tweet.</w:t>
      </w:r>
      <w:r w:rsidR="00CC3CD8">
        <w:rPr>
          <w:sz w:val="24"/>
        </w:rPr>
        <w:t xml:space="preserve"> </w:t>
      </w:r>
      <w:r w:rsidR="00EA0CED">
        <w:rPr>
          <w:sz w:val="24"/>
        </w:rPr>
        <w:t>People seemed to quickly move onto other pursuits</w:t>
      </w:r>
      <w:r w:rsidR="00190468">
        <w:rPr>
          <w:sz w:val="24"/>
        </w:rPr>
        <w:t xml:space="preserve"> after WSG, as tweet counts dropped steeply from 13 to 14 January</w:t>
      </w:r>
      <w:r w:rsidR="000074A0">
        <w:rPr>
          <w:sz w:val="24"/>
        </w:rPr>
        <w:t>. The Weather Channel</w:t>
      </w:r>
      <w:r w:rsidR="00C83924">
        <w:rPr>
          <w:sz w:val="24"/>
        </w:rPr>
        <w:t xml:space="preserve"> immediately began tweeting abou</w:t>
      </w:r>
      <w:r w:rsidR="00404BCA">
        <w:rPr>
          <w:sz w:val="24"/>
        </w:rPr>
        <w:t xml:space="preserve">t the next winter storm, </w:t>
      </w:r>
      <w:r w:rsidR="00404BCA">
        <w:rPr>
          <w:i/>
          <w:sz w:val="24"/>
        </w:rPr>
        <w:t xml:space="preserve">“After the weekend’s #WinterStormGia another snowstorm is looking increasingly likely </w:t>
      </w:r>
      <w:r w:rsidR="00404BCA">
        <w:rPr>
          <w:i/>
          <w:sz w:val="24"/>
        </w:rPr>
        <w:lastRenderedPageBreak/>
        <w:t xml:space="preserve">Friday [18 January 2019] -&gt; next weekend in the Plains, Midwest and Northeast…” </w:t>
      </w:r>
      <w:r w:rsidR="00404BCA">
        <w:rPr>
          <w:sz w:val="24"/>
        </w:rPr>
        <w:t>(@weatherchannel, 2019b).</w:t>
      </w:r>
    </w:p>
    <w:p w14:paraId="4BFB47DA" w14:textId="39DB418E" w:rsidR="0050084C" w:rsidRDefault="00843B17" w:rsidP="00CD690C">
      <w:pPr>
        <w:spacing w:line="480" w:lineRule="auto"/>
        <w:rPr>
          <w:sz w:val="24"/>
        </w:rPr>
      </w:pPr>
      <w:r>
        <w:rPr>
          <w:sz w:val="24"/>
        </w:rPr>
        <w:tab/>
        <w:t xml:space="preserve">Locations of WSG tweets did not follow the storm’s progression. </w:t>
      </w:r>
      <w:r w:rsidR="005F1D39">
        <w:rPr>
          <w:sz w:val="24"/>
        </w:rPr>
        <w:t>WS</w:t>
      </w:r>
      <w:r w:rsidR="00D36BA0">
        <w:rPr>
          <w:sz w:val="24"/>
        </w:rPr>
        <w:t xml:space="preserve">G formed over the </w:t>
      </w:r>
      <w:r w:rsidR="005F1D39">
        <w:rPr>
          <w:sz w:val="24"/>
        </w:rPr>
        <w:t xml:space="preserve">Mid-West on 11 </w:t>
      </w:r>
      <w:r w:rsidR="00D36BA0">
        <w:rPr>
          <w:sz w:val="24"/>
        </w:rPr>
        <w:t xml:space="preserve">and 12 </w:t>
      </w:r>
      <w:r w:rsidR="005F1D39">
        <w:rPr>
          <w:sz w:val="24"/>
        </w:rPr>
        <w:t>January.</w:t>
      </w:r>
      <w:r w:rsidR="00D36BA0">
        <w:rPr>
          <w:sz w:val="24"/>
        </w:rPr>
        <w:t xml:space="preserve"> The system reached the Ohio River Valley on 13 January, and Mid-Atlantic hours later.</w:t>
      </w:r>
      <w:r w:rsidR="007775AD">
        <w:rPr>
          <w:sz w:val="24"/>
        </w:rPr>
        <w:t xml:space="preserve"> WSG moved offshore starting 14 January, and completely dissipated by 15 January</w:t>
      </w:r>
      <w:r w:rsidR="00CF4865">
        <w:rPr>
          <w:sz w:val="24"/>
        </w:rPr>
        <w:t xml:space="preserve"> (Jackson, 2019)</w:t>
      </w:r>
      <w:r w:rsidR="007775AD">
        <w:rPr>
          <w:sz w:val="24"/>
        </w:rPr>
        <w:t>.</w:t>
      </w:r>
      <w:r w:rsidR="00860CEB">
        <w:rPr>
          <w:sz w:val="24"/>
        </w:rPr>
        <w:t xml:space="preserve"> </w:t>
      </w:r>
      <w:r w:rsidR="00E546DA">
        <w:rPr>
          <w:sz w:val="24"/>
        </w:rPr>
        <w:t xml:space="preserve">I expected tweet concentrations to follow the storm’s path, from the Rockies to the Mid-Atlantic, </w:t>
      </w:r>
      <w:r w:rsidR="00C353FB">
        <w:rPr>
          <w:sz w:val="24"/>
        </w:rPr>
        <w:t xml:space="preserve">and thereby demonstrate relocation diffusion. </w:t>
      </w:r>
      <w:r w:rsidR="00932C94">
        <w:rPr>
          <w:sz w:val="24"/>
        </w:rPr>
        <w:t xml:space="preserve">However, regardless of </w:t>
      </w:r>
      <w:r w:rsidR="002E4701">
        <w:rPr>
          <w:sz w:val="24"/>
        </w:rPr>
        <w:t xml:space="preserve">the </w:t>
      </w:r>
      <w:r w:rsidR="00932C94">
        <w:rPr>
          <w:sz w:val="24"/>
        </w:rPr>
        <w:t xml:space="preserve">day, </w:t>
      </w:r>
      <w:r w:rsidR="00860CEB">
        <w:rPr>
          <w:sz w:val="24"/>
        </w:rPr>
        <w:t>I observed high concentrations of tweets over the Ohio River Valley and Mid-Atlantic. These regions have a mix of urban and rural settings, but high population densities in cities such as St. Louis, Indianapolis, Pittsburgh, and Washington D.C.</w:t>
      </w:r>
      <w:r w:rsidR="003E42E2">
        <w:rPr>
          <w:sz w:val="24"/>
        </w:rPr>
        <w:t xml:space="preserve"> </w:t>
      </w:r>
      <w:r w:rsidR="0034568A">
        <w:rPr>
          <w:sz w:val="24"/>
        </w:rPr>
        <w:t xml:space="preserve">It is likely these cities influenced </w:t>
      </w:r>
      <w:r w:rsidR="003E42E2">
        <w:rPr>
          <w:sz w:val="24"/>
        </w:rPr>
        <w:t xml:space="preserve">mean center locations, presented in Figure </w:t>
      </w:r>
      <w:r w:rsidR="00966A20">
        <w:rPr>
          <w:sz w:val="24"/>
        </w:rPr>
        <w:t>12</w:t>
      </w:r>
      <w:r w:rsidR="003E42E2">
        <w:rPr>
          <w:sz w:val="24"/>
        </w:rPr>
        <w:t>.</w:t>
      </w:r>
      <w:r w:rsidR="00DF1861">
        <w:rPr>
          <w:sz w:val="24"/>
        </w:rPr>
        <w:t xml:space="preserve"> Individuals who make up Twitter’s young (18 to 24) and educated (coll</w:t>
      </w:r>
      <w:r w:rsidR="00CF4865">
        <w:rPr>
          <w:sz w:val="24"/>
        </w:rPr>
        <w:t xml:space="preserve">ege-level) demographic </w:t>
      </w:r>
      <w:r w:rsidR="00A65709">
        <w:rPr>
          <w:sz w:val="24"/>
        </w:rPr>
        <w:fldChar w:fldCharType="begin" w:fldLock="1"/>
      </w:r>
      <w:r w:rsidR="0021653A">
        <w:rPr>
          <w:sz w:val="24"/>
        </w:rPr>
        <w:instrText>ADDIN CSL_CITATION {"citationItems":[{"id":"ITEM-1","itemData":{"URL":"https://www.pewresearch.org/fact-tank/2019/04/10/share-of-u-s-adults-using-social-media-including-facebook-is-mostly-unchanged-since-2018/","accessed":{"date-parts":[["2020","6","24"]]},"author":[{"dropping-particle":"","family":"Perrin","given":"Andrew","non-dropping-particle":"","parse-names":false,"suffix":""},{"dropping-particle":"","family":"Anderson","given":"Monica","non-dropping-particle":"","parse-names":false,"suffix":""}],"container-title":"Fact Tank","id":"ITEM-1","issued":{"date-parts":[["2019"]]},"title":"Social media usage in the U.S. in 2019 | Pew Research Center","type":"webpage"},"uris":["http://www.mendeley.com/documents/?uuid=a8e3e22c-ad2a-3210-860c-f16e4c73b53b"]}],"mendeley":{"formattedCitation":"(Perrin &amp; Anderson, 2019)","plainTextFormattedCitation":"(Perrin &amp; Anderson, 2019)","previouslyFormattedCitation":"(Perrin &amp; Anderson, 2019)"},"properties":{"noteIndex":0},"schema":"https://github.com/citation-style-language/schema/raw/master/csl-citation.json"}</w:instrText>
      </w:r>
      <w:r w:rsidR="00A65709">
        <w:rPr>
          <w:sz w:val="24"/>
        </w:rPr>
        <w:fldChar w:fldCharType="separate"/>
      </w:r>
      <w:r w:rsidR="00000734" w:rsidRPr="00000734">
        <w:rPr>
          <w:noProof/>
          <w:sz w:val="24"/>
        </w:rPr>
        <w:t>(Perrin &amp; Anderson, 2019)</w:t>
      </w:r>
      <w:r w:rsidR="00A65709">
        <w:rPr>
          <w:sz w:val="24"/>
        </w:rPr>
        <w:fldChar w:fldCharType="end"/>
      </w:r>
      <w:r w:rsidR="00CF4865">
        <w:rPr>
          <w:sz w:val="24"/>
        </w:rPr>
        <w:t xml:space="preserve"> often live and congregate within cities</w:t>
      </w:r>
      <w:r w:rsidR="00A65709">
        <w:rPr>
          <w:sz w:val="24"/>
        </w:rPr>
        <w:t>.</w:t>
      </w:r>
      <w:r w:rsidR="00B61576">
        <w:rPr>
          <w:sz w:val="24"/>
        </w:rPr>
        <w:t xml:space="preserve"> Population dynamics likely pulled SDE mean center locations towards t</w:t>
      </w:r>
      <w:r w:rsidR="007A084C">
        <w:rPr>
          <w:sz w:val="24"/>
        </w:rPr>
        <w:t>he heavily populated east coast, and also affected the diffusion of tweets because they were always centered in populated areas.</w:t>
      </w:r>
    </w:p>
    <w:p w14:paraId="02006671" w14:textId="44FD8575" w:rsidR="0050084C" w:rsidRPr="004A28A8" w:rsidRDefault="00954B19" w:rsidP="004A28A8">
      <w:pPr>
        <w:pStyle w:val="Heading2"/>
        <w:spacing w:line="480" w:lineRule="auto"/>
        <w:rPr>
          <w:rFonts w:asciiTheme="minorHAnsi" w:hAnsiTheme="minorHAnsi"/>
          <w:b/>
          <w:color w:val="auto"/>
          <w:sz w:val="24"/>
        </w:rPr>
      </w:pPr>
      <w:bookmarkStart w:id="51" w:name="_Toc56898393"/>
      <w:r>
        <w:rPr>
          <w:rFonts w:asciiTheme="minorHAnsi" w:hAnsiTheme="minorHAnsi"/>
          <w:b/>
          <w:color w:val="auto"/>
          <w:sz w:val="24"/>
        </w:rPr>
        <w:t xml:space="preserve">5.2 </w:t>
      </w:r>
      <w:r w:rsidR="008A0410" w:rsidRPr="004A28A8">
        <w:rPr>
          <w:rFonts w:asciiTheme="minorHAnsi" w:hAnsiTheme="minorHAnsi"/>
          <w:b/>
          <w:color w:val="auto"/>
          <w:sz w:val="24"/>
        </w:rPr>
        <w:t>Tornado-</w:t>
      </w:r>
      <w:r w:rsidR="003A2ABD" w:rsidRPr="004A28A8">
        <w:rPr>
          <w:rFonts w:asciiTheme="minorHAnsi" w:hAnsiTheme="minorHAnsi"/>
          <w:b/>
          <w:color w:val="auto"/>
          <w:sz w:val="24"/>
        </w:rPr>
        <w:t>outbreak tweets over space and time</w:t>
      </w:r>
      <w:bookmarkEnd w:id="51"/>
    </w:p>
    <w:p w14:paraId="6ABB5700" w14:textId="5A97102D" w:rsidR="001303A1" w:rsidRPr="00161E90" w:rsidRDefault="003A2ABD" w:rsidP="004A28A8">
      <w:pPr>
        <w:spacing w:line="480" w:lineRule="auto"/>
        <w:rPr>
          <w:sz w:val="24"/>
        </w:rPr>
      </w:pPr>
      <w:r>
        <w:rPr>
          <w:sz w:val="24"/>
        </w:rPr>
        <w:tab/>
      </w:r>
      <w:r w:rsidR="00E8479F">
        <w:rPr>
          <w:sz w:val="24"/>
        </w:rPr>
        <w:t>Tweet counts from the tornado-</w:t>
      </w:r>
      <w:r w:rsidR="00761A42">
        <w:rPr>
          <w:sz w:val="24"/>
        </w:rPr>
        <w:t xml:space="preserve">outbreak case study </w:t>
      </w:r>
      <w:r w:rsidR="002C25A5">
        <w:rPr>
          <w:sz w:val="24"/>
        </w:rPr>
        <w:t xml:space="preserve">also </w:t>
      </w:r>
      <w:r w:rsidR="00761A42">
        <w:rPr>
          <w:sz w:val="24"/>
        </w:rPr>
        <w:t xml:space="preserve">followed observations </w:t>
      </w:r>
      <w:r w:rsidR="002C25A5">
        <w:rPr>
          <w:sz w:val="24"/>
        </w:rPr>
        <w:t>of Sandy described</w:t>
      </w:r>
      <w:r w:rsidR="00761A42">
        <w:rPr>
          <w:sz w:val="24"/>
        </w:rPr>
        <w:t xml:space="preserve"> by </w:t>
      </w:r>
      <w:r w:rsidR="00761A42">
        <w:rPr>
          <w:sz w:val="24"/>
        </w:rPr>
        <w:fldChar w:fldCharType="begin" w:fldLock="1"/>
      </w:r>
      <w:r w:rsidR="0081044F">
        <w:rPr>
          <w:sz w:val="24"/>
        </w:rPr>
        <w:instrText>ADDIN CSL_CITATION {"citationItems":[{"id":"ITEM-1","itemData":{"DOI":"10.1126/sciadv.1500779","ISSN":"2375-2548","PMID":"27034978","author":[{"dropping-particle":"","family":"Kryvasheyeu","given":"Yury","non-dropping-particle":"","parse-names":false,"suffix":""},{"dropping-particle":"","family":"Chen","given":"Haohui","non-dropping-particle":"","parse-names":false,"suffix":""},{"dropping-particle":"","family":"Obradovich","given":"Nick","non-dropping-particle":"","parse-names":false,"suffix":""},{"dropping-particle":"","family":"Moro","given":"Esteban","non-dropping-particle":"","parse-names":false,"suffix":""},{"dropping-particle":"Van","family":"Hentenryck","given":"Pascal","non-dropping-particle":"","parse-names":false,"suffix":""},{"dropping-particle":"","family":"Fowler","given":"James","non-dropping-particle":"","parse-names":false,"suffix":""},{"dropping-particle":"","family":"Cebrian","given":"Manuel","non-dropping-particle":"","parse-names":false,"suffix":""}],"container-title":"Science Advance","id":"ITEM-1","issue":"March","issued":{"date-parts":[["2016"]]},"page":"1-12","title":"Rapid assessment of disaster damage using social media activity","type":"article-journal"},"uris":["http://www.mendeley.com/documents/?uuid=41b5bd4a-53ee-4226-97c7-780ce8ad5dfa"]}],"mendeley":{"formattedCitation":"(Kryvasheyeu et al., 2016)","manualFormatting":"Kryvasheyeu et al. (2016)","plainTextFormattedCitation":"(Kryvasheyeu et al., 2016)","previouslyFormattedCitation":"(Kryvasheyeu et al., 2016)"},"properties":{"noteIndex":0},"schema":"https://github.com/citation-style-language/schema/raw/master/csl-citation.json"}</w:instrText>
      </w:r>
      <w:r w:rsidR="00761A42">
        <w:rPr>
          <w:sz w:val="24"/>
        </w:rPr>
        <w:fldChar w:fldCharType="separate"/>
      </w:r>
      <w:r w:rsidR="00761A42">
        <w:rPr>
          <w:noProof/>
          <w:sz w:val="24"/>
        </w:rPr>
        <w:t>Kryvasheyeu et al</w:t>
      </w:r>
      <w:r w:rsidR="0081044F">
        <w:rPr>
          <w:noProof/>
          <w:sz w:val="24"/>
        </w:rPr>
        <w:t>.</w:t>
      </w:r>
      <w:r w:rsidR="00761A42">
        <w:rPr>
          <w:noProof/>
          <w:sz w:val="24"/>
        </w:rPr>
        <w:t xml:space="preserve"> (</w:t>
      </w:r>
      <w:r w:rsidR="00761A42" w:rsidRPr="00761A42">
        <w:rPr>
          <w:noProof/>
          <w:sz w:val="24"/>
        </w:rPr>
        <w:t>2016)</w:t>
      </w:r>
      <w:r w:rsidR="00761A42">
        <w:rPr>
          <w:sz w:val="24"/>
        </w:rPr>
        <w:fldChar w:fldCharType="end"/>
      </w:r>
      <w:r w:rsidR="002C25A5">
        <w:rPr>
          <w:sz w:val="24"/>
        </w:rPr>
        <w:t>, a</w:t>
      </w:r>
      <w:r w:rsidR="00761A42">
        <w:rPr>
          <w:sz w:val="24"/>
        </w:rPr>
        <w:t xml:space="preserve">s tweet counts increased </w:t>
      </w:r>
      <w:r w:rsidR="0081044F">
        <w:rPr>
          <w:sz w:val="24"/>
        </w:rPr>
        <w:t xml:space="preserve">in </w:t>
      </w:r>
      <w:r w:rsidR="00761A42">
        <w:rPr>
          <w:sz w:val="24"/>
        </w:rPr>
        <w:t xml:space="preserve">days leading up to the event (28 February to 2 March 2019) and decreased immediately following peak tweets on 3 March 2019. </w:t>
      </w:r>
      <w:r w:rsidR="00B40E6E">
        <w:rPr>
          <w:sz w:val="24"/>
        </w:rPr>
        <w:t xml:space="preserve">However, </w:t>
      </w:r>
      <w:r w:rsidR="00035471">
        <w:rPr>
          <w:sz w:val="24"/>
        </w:rPr>
        <w:t xml:space="preserve">different from WSG, </w:t>
      </w:r>
      <w:r w:rsidR="00B40E6E">
        <w:rPr>
          <w:sz w:val="24"/>
        </w:rPr>
        <w:t>tweet count</w:t>
      </w:r>
      <w:r w:rsidR="0081044F">
        <w:rPr>
          <w:sz w:val="24"/>
        </w:rPr>
        <w:t>s</w:t>
      </w:r>
      <w:r w:rsidR="00CC37EC">
        <w:rPr>
          <w:sz w:val="24"/>
        </w:rPr>
        <w:t xml:space="preserve"> slightly rebounded</w:t>
      </w:r>
      <w:r w:rsidR="00BD0655">
        <w:rPr>
          <w:sz w:val="24"/>
        </w:rPr>
        <w:t xml:space="preserve"> afterwards on 5 March.</w:t>
      </w:r>
      <w:r w:rsidR="00D04445">
        <w:rPr>
          <w:sz w:val="24"/>
        </w:rPr>
        <w:t xml:space="preserve"> </w:t>
      </w:r>
      <w:r w:rsidR="009C5D8D">
        <w:rPr>
          <w:sz w:val="24"/>
        </w:rPr>
        <w:t xml:space="preserve">I observed the general pattern in tweet counts rather than examining the rebound’s statistical significance. </w:t>
      </w:r>
      <w:r w:rsidR="00D04445">
        <w:rPr>
          <w:sz w:val="24"/>
        </w:rPr>
        <w:fldChar w:fldCharType="begin" w:fldLock="1"/>
      </w:r>
      <w:r w:rsidR="00000734">
        <w:rPr>
          <w:sz w:val="24"/>
        </w:rPr>
        <w:instrText>ADDIN CSL_CITATION {"citationItems":[{"id":"ITEM-1","itemData":{"author":[{"dropping-particle":"","family":"Gladwell","given":"Malcolm","non-dropping-particle":"","parse-names":false,"suffix":""}],"id":"ITEM-1","issued":{"date-parts":[["2002"]]},"number-of-pages":"301","publisher":"Back Bay Books","publisher-place":"New York","title":"The Tipping Point How Little Things Can Make a Big Difference","type":"book"},"uris":["http://www.mendeley.com/documents/?uuid=6bd2349c-e74f-43e1-9470-adeb33828477"]}],"mendeley":{"formattedCitation":"(Gladwell, 2002)","manualFormatting":"Gladwell (2002)","plainTextFormattedCitation":"(Gladwell, 2002)","previouslyFormattedCitation":"(Gladwell, 2002)"},"properties":{"noteIndex":0},"schema":"https://github.com/citation-style-language/schema/raw/master/csl-citation.json"}</w:instrText>
      </w:r>
      <w:r w:rsidR="00D04445">
        <w:rPr>
          <w:sz w:val="24"/>
        </w:rPr>
        <w:fldChar w:fldCharType="separate"/>
      </w:r>
      <w:r w:rsidR="00D04445">
        <w:rPr>
          <w:noProof/>
          <w:sz w:val="24"/>
        </w:rPr>
        <w:t>Gladwell (</w:t>
      </w:r>
      <w:r w:rsidR="00D04445" w:rsidRPr="00D04445">
        <w:rPr>
          <w:noProof/>
          <w:sz w:val="24"/>
        </w:rPr>
        <w:t>2002)</w:t>
      </w:r>
      <w:r w:rsidR="00D04445">
        <w:rPr>
          <w:sz w:val="24"/>
        </w:rPr>
        <w:fldChar w:fldCharType="end"/>
      </w:r>
      <w:r w:rsidR="00D04445">
        <w:rPr>
          <w:sz w:val="24"/>
        </w:rPr>
        <w:t xml:space="preserve"> described people, such as those who tweeted on the </w:t>
      </w:r>
      <w:r w:rsidR="00D04445">
        <w:rPr>
          <w:sz w:val="24"/>
        </w:rPr>
        <w:lastRenderedPageBreak/>
        <w:t xml:space="preserve">final day of the tornado-outbreak case study, as Laggards. </w:t>
      </w:r>
      <w:r w:rsidR="00BD0655">
        <w:rPr>
          <w:sz w:val="24"/>
        </w:rPr>
        <w:t>It is possible that attention spans are greater after a tornado outbreak when compared to a hazardous winter weather event</w:t>
      </w:r>
      <w:r w:rsidR="006E4B2A">
        <w:rPr>
          <w:sz w:val="24"/>
        </w:rPr>
        <w:t>, thus reaching the attention of Laggards</w:t>
      </w:r>
      <w:r w:rsidR="00BD0655">
        <w:rPr>
          <w:sz w:val="24"/>
        </w:rPr>
        <w:t>.</w:t>
      </w:r>
      <w:r w:rsidR="00BD0655" w:rsidRPr="00BD0655">
        <w:rPr>
          <w:sz w:val="24"/>
        </w:rPr>
        <w:t xml:space="preserve"> </w:t>
      </w:r>
      <w:r w:rsidR="00BD0655">
        <w:rPr>
          <w:sz w:val="24"/>
        </w:rPr>
        <w:fldChar w:fldCharType="begin" w:fldLock="1"/>
      </w:r>
      <w:r w:rsidR="00BD0655">
        <w:rPr>
          <w:sz w:val="24"/>
        </w:rPr>
        <w:instrText>ADDIN CSL_CITATION {"citationItems":[{"id":"ITEM-1","itemData":{"DOI":"10.1111/disa.12092","ISBN":"0361-3666","ISSN":"14677717","PMID":"25243593","abstract":"A comprehensive review of online, official, and scientific literature was carried out in 2012-13 to develop a framework of disaster social media. This framework can be used to facilitate the creation of disaster social media tools, the formulation of disaster social media implementation processes, and the scientific study of disaster social media effects. Disaster social media users in the framework include communities, government, individuals, organisations, and media outlets. Fifteen distinct disaster social media uses were identified, ranging from preparing and receiving disaster preparedness information and warnings and signalling and detecting disasters prior to an event to (re)connecting community members following a disaster. The framework illustrates that a variety of entities may utilise and produce disaster social media content. Consequently, disaster social media use can be conceptualised as occurring at a number of levels, even within the same disaster. Suggestions are provided on how the proposed framework can inform future disaster social media development and research.","author":[{"dropping-particle":"","family":"Houston","given":"J. Brian","non-dropping-particle":"","parse-names":false,"suffix":""},{"dropping-particle":"","family":"Hawthorne","given":"Joshua","non-dropping-particle":"","parse-names":false,"suffix":""},{"dropping-particle":"","family":"Perreault","given":"Mildred F.","non-dropping-particle":"","parse-names":false,"suffix":""},{"dropping-particle":"","family":"Park","given":"Eun Hae","non-dropping-particle":"","parse-names":false,"suffix":""},{"dropping-particle":"","family":"Goldstein Hode","given":"Marlo","non-dropping-particle":"","parse-names":false,"suffix":""},{"dropping-particle":"","family":"Halliwell","given":"Michael R.","non-dropping-particle":"","parse-names":false,"suffix":""},{"dropping-particle":"","family":"Turner Mcgowen","given":"Sarah E.","non-dropping-particle":"","parse-names":false,"suffix":""},{"dropping-particle":"","family":"Davis","given":"Rachel","non-dropping-particle":"","parse-names":false,"suffix":""},{"dropping-particle":"","family":"Vaid","given":"Shivani","non-dropping-particle":"","parse-names":false,"suffix":""},{"dropping-particle":"","family":"Mcelderry","given":"Jonathan A.","non-dropping-particle":"","parse-names":false,"suffix":""},{"dropping-particle":"","family":"Griffith","given":"Stanford A.","non-dropping-particle":"","parse-names":false,"suffix":""}],"container-title":"Disasters","id":"ITEM-1","issue":"1","issued":{"date-parts":[["2015"]]},"page":"1-22","title":"Social media and disasters: A functional framework for social media use in disaster planning, response, and research","type":"article-journal","volume":"39"},"uris":["http://www.mendeley.com/documents/?uuid=e2a5dc0f-90f4-4ded-bc83-dd6cacdcff4b"]}],"mendeley":{"formattedCitation":"(Houston et al., 2015)","manualFormatting":"Houston et al. (2015)","plainTextFormattedCitation":"(Houston et al., 2015)","previouslyFormattedCitation":"(Houston et al., 2015)"},"properties":{"noteIndex":0},"schema":"https://github.com/citation-style-language/schema/raw/master/csl-citation.json"}</w:instrText>
      </w:r>
      <w:r w:rsidR="00BD0655">
        <w:rPr>
          <w:sz w:val="24"/>
        </w:rPr>
        <w:fldChar w:fldCharType="separate"/>
      </w:r>
      <w:r w:rsidR="00BD0655">
        <w:rPr>
          <w:noProof/>
          <w:sz w:val="24"/>
        </w:rPr>
        <w:t>Houston et al. (</w:t>
      </w:r>
      <w:r w:rsidR="00BD0655" w:rsidRPr="00D41080">
        <w:rPr>
          <w:noProof/>
          <w:sz w:val="24"/>
        </w:rPr>
        <w:t>2015)</w:t>
      </w:r>
      <w:r w:rsidR="00BD0655">
        <w:rPr>
          <w:sz w:val="24"/>
        </w:rPr>
        <w:fldChar w:fldCharType="end"/>
      </w:r>
      <w:r w:rsidR="002E4701">
        <w:rPr>
          <w:sz w:val="24"/>
        </w:rPr>
        <w:t xml:space="preserve"> noted</w:t>
      </w:r>
      <w:r w:rsidR="00BD0655">
        <w:rPr>
          <w:sz w:val="24"/>
        </w:rPr>
        <w:t xml:space="preserve"> that social media posts often highlight damages after natural hazard events. </w:t>
      </w:r>
      <w:r w:rsidR="00025152">
        <w:rPr>
          <w:sz w:val="24"/>
        </w:rPr>
        <w:t xml:space="preserve">Tweets from 5 March possibly discuss the outbreak’s impact, especially in terms of damages and fatalities. Twenty-three residents of Lee County, Alabama, died in one particular tornado </w:t>
      </w:r>
      <w:r w:rsidR="00025152">
        <w:rPr>
          <w:sz w:val="24"/>
        </w:rPr>
        <w:fldChar w:fldCharType="begin" w:fldLock="1"/>
      </w:r>
      <w:r w:rsidR="00025152">
        <w:rPr>
          <w:sz w:val="24"/>
        </w:rPr>
        <w:instrText>ADDIN CSL_CITATION {"citationItems":[{"id":"ITEM-1","itemData":{"URL":"https://www.al.com/news/2019/03/alabama-tornado-2019-23-killed-including-3-children-more-missing-what-we-know-today.html","accessed":{"date-parts":[["2020","9","28"]]},"author":[{"dropping-particle":"","family":"Gore","given":"Leada","non-dropping-particle":"","parse-names":false,"suffix":""}],"id":"ITEM-1","issued":{"date-parts":[["2019"]]},"title":"Alabama tornado 2019: 23 killed, including 3 children, more missing; What we know today - al.com","type":"webpage"},"uris":["http://www.mendeley.com/documents/?uuid=3b2e797f-1169-3d69-b7fd-72c64bea636e"]}],"mendeley":{"formattedCitation":"(Gore, 2019)","plainTextFormattedCitation":"(Gore, 2019)","previouslyFormattedCitation":"(Gore, 2019)"},"properties":{"noteIndex":0},"schema":"https://github.com/citation-style-language/schema/raw/master/csl-citation.json"}</w:instrText>
      </w:r>
      <w:r w:rsidR="00025152">
        <w:rPr>
          <w:sz w:val="24"/>
        </w:rPr>
        <w:fldChar w:fldCharType="separate"/>
      </w:r>
      <w:r w:rsidR="00025152" w:rsidRPr="00B056DA">
        <w:rPr>
          <w:noProof/>
          <w:sz w:val="24"/>
        </w:rPr>
        <w:t>(Gore, 2019)</w:t>
      </w:r>
      <w:r w:rsidR="00025152">
        <w:rPr>
          <w:sz w:val="24"/>
        </w:rPr>
        <w:fldChar w:fldCharType="end"/>
      </w:r>
      <w:r w:rsidR="00025152">
        <w:rPr>
          <w:sz w:val="24"/>
        </w:rPr>
        <w:t xml:space="preserve">. Post-event tweets likely expressed condolences for persons directly </w:t>
      </w:r>
      <w:r w:rsidR="00025152" w:rsidRPr="00794A9D">
        <w:rPr>
          <w:sz w:val="24"/>
        </w:rPr>
        <w:t xml:space="preserve">affected. </w:t>
      </w:r>
      <w:r w:rsidR="001303A1" w:rsidRPr="00794A9D">
        <w:rPr>
          <w:sz w:val="24"/>
        </w:rPr>
        <w:t xml:space="preserve">Regression did not well model the change </w:t>
      </w:r>
      <w:r w:rsidR="0066431F" w:rsidRPr="00794A9D">
        <w:rPr>
          <w:sz w:val="24"/>
        </w:rPr>
        <w:t xml:space="preserve">in NNI over time during the tornado outbreak. This is perhaps related of the complex nature of the case study. </w:t>
      </w:r>
      <w:r w:rsidR="00376576" w:rsidRPr="00794A9D">
        <w:rPr>
          <w:sz w:val="24"/>
        </w:rPr>
        <w:t xml:space="preserve">The tornado-outbreak’s spatial extent is of the synoptic scale, but an individual tornado is of the microscale. </w:t>
      </w:r>
      <w:r w:rsidR="00A907F8" w:rsidRPr="00794A9D">
        <w:rPr>
          <w:sz w:val="24"/>
        </w:rPr>
        <w:t xml:space="preserve">Cubic and inverse regression </w:t>
      </w:r>
      <w:r w:rsidR="00C36E03" w:rsidRPr="00794A9D">
        <w:rPr>
          <w:sz w:val="24"/>
        </w:rPr>
        <w:t xml:space="preserve">models </w:t>
      </w:r>
      <w:r w:rsidR="00A907F8" w:rsidRPr="00794A9D">
        <w:rPr>
          <w:sz w:val="24"/>
        </w:rPr>
        <w:t xml:space="preserve">had difficulty </w:t>
      </w:r>
      <w:r w:rsidR="00C36E03" w:rsidRPr="00794A9D">
        <w:rPr>
          <w:sz w:val="24"/>
        </w:rPr>
        <w:t>capturing such</w:t>
      </w:r>
      <w:r w:rsidR="00161E90" w:rsidRPr="00794A9D">
        <w:rPr>
          <w:sz w:val="24"/>
        </w:rPr>
        <w:t xml:space="preserve"> complex event, as indicated by low R</w:t>
      </w:r>
      <w:r w:rsidR="00161E90" w:rsidRPr="00794A9D">
        <w:rPr>
          <w:sz w:val="24"/>
          <w:vertAlign w:val="superscript"/>
        </w:rPr>
        <w:t>2</w:t>
      </w:r>
      <w:r w:rsidR="00161E90" w:rsidRPr="00794A9D">
        <w:rPr>
          <w:sz w:val="24"/>
        </w:rPr>
        <w:t xml:space="preserve"> values for the tornado outbreak.</w:t>
      </w:r>
    </w:p>
    <w:p w14:paraId="04209745" w14:textId="4A22D225" w:rsidR="00025152" w:rsidRDefault="00025152" w:rsidP="00CD690C">
      <w:pPr>
        <w:spacing w:line="480" w:lineRule="auto"/>
        <w:rPr>
          <w:rFonts w:eastAsiaTheme="minorEastAsia"/>
          <w:sz w:val="24"/>
        </w:rPr>
      </w:pPr>
      <w:r>
        <w:rPr>
          <w:sz w:val="24"/>
        </w:rPr>
        <w:tab/>
        <w:t>Populatio</w:t>
      </w:r>
      <w:r w:rsidR="00291980">
        <w:rPr>
          <w:sz w:val="24"/>
        </w:rPr>
        <w:t>n dynamics did not skew tornado-</w:t>
      </w:r>
      <w:r>
        <w:rPr>
          <w:sz w:val="24"/>
        </w:rPr>
        <w:t xml:space="preserve">outbreak SDE mean center locations during the forecast and event period (28 February to 3 March) as was the case in the WSG study. </w:t>
      </w:r>
      <w:r>
        <w:rPr>
          <w:rFonts w:eastAsiaTheme="minorEastAsia"/>
          <w:sz w:val="24"/>
        </w:rPr>
        <w:t>Rather, proximity to reported tornado events seems to influence SDE mean cen</w:t>
      </w:r>
      <w:r w:rsidR="00B15656">
        <w:rPr>
          <w:rFonts w:eastAsiaTheme="minorEastAsia"/>
          <w:sz w:val="24"/>
        </w:rPr>
        <w:t>ter locations the most. Tornado-</w:t>
      </w:r>
      <w:r>
        <w:rPr>
          <w:rFonts w:eastAsiaTheme="minorEastAsia"/>
          <w:sz w:val="24"/>
        </w:rPr>
        <w:t xml:space="preserve">outbreak tweets also followed the event’s </w:t>
      </w:r>
      <w:r w:rsidR="000F336B">
        <w:rPr>
          <w:rFonts w:eastAsiaTheme="minorEastAsia"/>
          <w:sz w:val="24"/>
        </w:rPr>
        <w:t xml:space="preserve">forecast area </w:t>
      </w:r>
      <w:r>
        <w:rPr>
          <w:rFonts w:eastAsiaTheme="minorEastAsia"/>
          <w:sz w:val="24"/>
        </w:rPr>
        <w:t>fairly well from 28 February to 3 March. The 28 February and 1 March SDEs closely mat</w:t>
      </w:r>
      <w:r w:rsidR="00324767">
        <w:rPr>
          <w:rFonts w:eastAsiaTheme="minorEastAsia"/>
          <w:sz w:val="24"/>
        </w:rPr>
        <w:t xml:space="preserve">ched locations highlighted for </w:t>
      </w:r>
      <w:r>
        <w:rPr>
          <w:rFonts w:eastAsiaTheme="minorEastAsia"/>
          <w:sz w:val="24"/>
        </w:rPr>
        <w:t>Thunderstorm</w:t>
      </w:r>
      <w:r w:rsidR="00324A51">
        <w:rPr>
          <w:rFonts w:eastAsiaTheme="minorEastAsia"/>
          <w:sz w:val="24"/>
        </w:rPr>
        <w:t xml:space="preserve"> risk by Storm Prediction Center </w:t>
      </w:r>
      <w:r>
        <w:rPr>
          <w:rFonts w:eastAsiaTheme="minorEastAsia"/>
          <w:sz w:val="24"/>
        </w:rPr>
        <w:t xml:space="preserve">Convective Outlook maps </w:t>
      </w:r>
      <w:r>
        <w:rPr>
          <w:rFonts w:eastAsiaTheme="minorEastAsia"/>
          <w:sz w:val="24"/>
        </w:rPr>
        <w:fldChar w:fldCharType="begin" w:fldLock="1"/>
      </w:r>
      <w:r w:rsidR="00FE6188">
        <w:rPr>
          <w:rFonts w:eastAsiaTheme="minorEastAsia"/>
          <w:sz w:val="24"/>
        </w:rPr>
        <w:instrText>ADDIN CSL_CITATION {"citationItems":[{"id":"ITEM-1","itemData":{"URL":"https://www.spc.noaa.gov/products/outlook/archive/2019/day1otlk_20190305_1200.html","accessed":{"date-parts":[["2020","10","5"]]},"author":[{"dropping-particle":"","family":"Mosier","given":"","non-dropping-particle":"","parse-names":false,"suffix":""},{"dropping-particle":"","family":"Bentley","given":"","non-dropping-particle":"","parse-names":false,"suffix":""}],"container-title":"SPC Day 1 Categorical Outlook","id":"ITEM-1","issued":{"date-parts":[["2019"]]},"title":"Storm Prediction Center Mar 5, 2019 0600 UTC Day 1 Convective Outlook","type":"webpage"},"uris":["http://www.mendeley.com/documents/?uuid=2d9fe11f-a621-35b9-8e09-ac36100cd849"]},{"id":"ITEM-2","itemData":{"URL":"https://www.spc.noaa.gov/products/outlook/archive/2019/day1otlk_20190301_1200.html","accessed":{"date-parts":[["2020","10","5"]]},"author":[{"dropping-particle":"","family":"Dial","given":"","non-dropping-particle":"","parse-names":false,"suffix":""}],"container-title":"SPC Day 1 Categorical Outlook","id":"ITEM-2","issued":{"date-parts":[["2019"]]},"title":"Storm Prediction Center Mar 1, 2019 0600 UTC Day 1 Convective Outlook","type":"webpage"},"uris":["http://www.mendeley.com/documents/?uuid=33a12e9b-65d9-3c5d-bcf5-a6d911d60b93"]}],"mendeley":{"formattedCitation":"(Dial, 2019; Mosier &amp; Bentley, 2019)","plainTextFormattedCitation":"(Dial, 2019; Mosier &amp; Bentley, 2019)","previouslyFormattedCitation":"(Dial, 2019; Mosier &amp; Bentley, 2019)"},"properties":{"noteIndex":0},"schema":"https://github.com/citation-style-language/schema/raw/master/csl-citation.json"}</w:instrText>
      </w:r>
      <w:r>
        <w:rPr>
          <w:rFonts w:eastAsiaTheme="minorEastAsia"/>
          <w:sz w:val="24"/>
        </w:rPr>
        <w:fldChar w:fldCharType="separate"/>
      </w:r>
      <w:r w:rsidR="001D31B7" w:rsidRPr="001D31B7">
        <w:rPr>
          <w:rFonts w:eastAsiaTheme="minorEastAsia"/>
          <w:noProof/>
          <w:sz w:val="24"/>
        </w:rPr>
        <w:t>(Dial, 2019; Mosier &amp; Bentley, 2019)</w:t>
      </w:r>
      <w:r>
        <w:rPr>
          <w:rFonts w:eastAsiaTheme="minorEastAsia"/>
          <w:sz w:val="24"/>
        </w:rPr>
        <w:fldChar w:fldCharType="end"/>
      </w:r>
      <w:r>
        <w:rPr>
          <w:rFonts w:eastAsiaTheme="minorEastAsia"/>
          <w:sz w:val="24"/>
        </w:rPr>
        <w:t>. There were also clusters of tweets in southern Georgia and eastern Alabama on 3 March. This area al</w:t>
      </w:r>
      <w:r w:rsidR="00324767">
        <w:rPr>
          <w:rFonts w:eastAsiaTheme="minorEastAsia"/>
          <w:sz w:val="24"/>
        </w:rPr>
        <w:t>most perfectly aligns with the Enhanced</w:t>
      </w:r>
      <w:r>
        <w:rPr>
          <w:rFonts w:eastAsiaTheme="minorEastAsia"/>
          <w:sz w:val="24"/>
        </w:rPr>
        <w:t xml:space="preserve"> risk </w:t>
      </w:r>
      <w:r w:rsidR="00324A51">
        <w:rPr>
          <w:rFonts w:eastAsiaTheme="minorEastAsia"/>
          <w:sz w:val="24"/>
        </w:rPr>
        <w:t>seen on the Storm Prediction Center</w:t>
      </w:r>
      <w:r>
        <w:rPr>
          <w:rFonts w:eastAsiaTheme="minorEastAsia"/>
          <w:sz w:val="24"/>
        </w:rPr>
        <w:t xml:space="preserve"> 3 March Convective Outlook map </w:t>
      </w:r>
      <w:r>
        <w:rPr>
          <w:rFonts w:eastAsiaTheme="minorEastAsia"/>
          <w:sz w:val="24"/>
        </w:rPr>
        <w:fldChar w:fldCharType="begin" w:fldLock="1"/>
      </w:r>
      <w:r>
        <w:rPr>
          <w:rFonts w:eastAsiaTheme="minorEastAsia"/>
          <w:sz w:val="24"/>
        </w:rPr>
        <w:instrText>ADDIN CSL_CITATION {"citationItems":[{"id":"ITEM-1","itemData":{"URL":"https://www.spc.noaa.gov/products/outlook/archive/2019/day1otlk_20190303_1200.html","accessed":{"date-parts":[["2020","10","5"]]},"author":[{"dropping-particle":"","family":"Gleason","given":"","non-dropping-particle":"","parse-names":false,"suffix":""},{"dropping-particle":"","family":"Karstens","given":"","non-dropping-particle":"","parse-names":false,"suffix":""}],"container-title":"SPC Day 1 Categorical Outlook","id":"ITEM-1","issued":{"date-parts":[["2019"]]},"title":"Storm Prediction Center Mar 3, 2019 0600 UTC Day 1 Convective Outlook","type":"webpage"},"uris":["http://www.mendeley.com/documents/?uuid=62d0fd74-20b9-33e9-ae72-40ba69657c6e"]}],"mendeley":{"formattedCitation":"(Gleason &amp; Karstens, 2019)","plainTextFormattedCitation":"(Gleason &amp; Karstens, 2019)","previouslyFormattedCitation":"(Gleason &amp; Karstens, 2019)"},"properties":{"noteIndex":0},"schema":"https://github.com/citation-style-language/schema/raw/master/csl-citation.json"}</w:instrText>
      </w:r>
      <w:r>
        <w:rPr>
          <w:rFonts w:eastAsiaTheme="minorEastAsia"/>
          <w:sz w:val="24"/>
        </w:rPr>
        <w:fldChar w:fldCharType="separate"/>
      </w:r>
      <w:r w:rsidRPr="00A038A8">
        <w:rPr>
          <w:rFonts w:eastAsiaTheme="minorEastAsia"/>
          <w:noProof/>
          <w:sz w:val="24"/>
        </w:rPr>
        <w:t xml:space="preserve">(Gleason &amp; </w:t>
      </w:r>
      <w:r w:rsidR="00A93304" w:rsidRPr="00A038A8">
        <w:rPr>
          <w:rFonts w:eastAsiaTheme="minorEastAsia"/>
          <w:noProof/>
          <w:sz w:val="24"/>
        </w:rPr>
        <w:t>Karstens</w:t>
      </w:r>
      <w:r w:rsidRPr="00A038A8">
        <w:rPr>
          <w:rFonts w:eastAsiaTheme="minorEastAsia"/>
          <w:noProof/>
          <w:sz w:val="24"/>
        </w:rPr>
        <w:t>, 2019)</w:t>
      </w:r>
      <w:r>
        <w:rPr>
          <w:rFonts w:eastAsiaTheme="minorEastAsia"/>
          <w:sz w:val="24"/>
        </w:rPr>
        <w:fldChar w:fldCharType="end"/>
      </w:r>
      <w:r>
        <w:rPr>
          <w:rFonts w:eastAsiaTheme="minorEastAsia"/>
          <w:sz w:val="24"/>
        </w:rPr>
        <w:t>.</w:t>
      </w:r>
    </w:p>
    <w:p w14:paraId="5532C288" w14:textId="75801024" w:rsidR="00CB2594" w:rsidRDefault="00CB2594" w:rsidP="00CB2594">
      <w:pPr>
        <w:spacing w:line="480" w:lineRule="auto"/>
        <w:rPr>
          <w:rFonts w:eastAsiaTheme="minorEastAsia"/>
          <w:sz w:val="24"/>
        </w:rPr>
      </w:pPr>
      <w:r>
        <w:rPr>
          <w:rFonts w:eastAsiaTheme="minorEastAsia"/>
          <w:sz w:val="24"/>
        </w:rPr>
        <w:tab/>
        <w:t>Tweets were not cons</w:t>
      </w:r>
      <w:r w:rsidR="00324A51">
        <w:rPr>
          <w:rFonts w:eastAsiaTheme="minorEastAsia"/>
          <w:sz w:val="24"/>
        </w:rPr>
        <w:t>istent with locations of Storm Prediction Center</w:t>
      </w:r>
      <w:r>
        <w:rPr>
          <w:rFonts w:eastAsiaTheme="minorEastAsia"/>
          <w:sz w:val="24"/>
        </w:rPr>
        <w:t xml:space="preserve"> risk levels on 4 and 5 March </w:t>
      </w:r>
      <w:r>
        <w:rPr>
          <w:rFonts w:eastAsiaTheme="minorEastAsia"/>
          <w:sz w:val="24"/>
        </w:rPr>
        <w:fldChar w:fldCharType="begin" w:fldLock="1"/>
      </w:r>
      <w:r>
        <w:rPr>
          <w:rFonts w:eastAsiaTheme="minorEastAsia"/>
          <w:sz w:val="24"/>
        </w:rPr>
        <w:instrText>ADDIN CSL_CITATION {"citationItems":[{"id":"ITEM-1","itemData":{"URL":"https://www.spc.noaa.gov/products/outlook/archive/2019/day1otlk_20190304_1200.html","accessed":{"date-parts":[["2020","10","5"]]},"author":[{"dropping-particle":"","family":"Gleason","given":"","non-dropping-particle":"","parse-names":false,"suffix":""},{"dropping-particle":"","family":"Bentley","given":"","non-dropping-particle":"","parse-names":false,"suffix":""}],"container-title":"SPC Day 1 Categorical Outlook","id":"ITEM-1","issued":{"date-parts":[["2019"]]},"title":"Storm Prediction Center Mar 4, 2019 0600 UTC Day 1 Convective Outlook","type":"webpage"},"uris":["http://www.mendeley.com/documents/?uuid=bdd2f6ff-05e5-3961-b876-8ffae6adb3e0"]},{"id":"ITEM-2","itemData":{"URL":"https://www.spc.noaa.gov/products/outlook/archive/2019/day1otlk_20190305_1200.html","accessed":{"date-parts":[["2020","10","5"]]},"author":[{"dropping-particle":"","family":"Mosier","given":"","non-dropping-particle":"","parse-names":false,"suffix":""},{"dropping-particle":"","family":"Bentley","given":"","non-dropping-particle":"","parse-names":false,"suffix":""}],"container-title":"SPC Day 1 Categorical Outlook","id":"ITEM-2","issued":{"date-parts":[["2019"]]},"title":"Storm Prediction Center Mar 5, 2019 0600 UTC Day 1 Convective Outlook","type":"webpage"},"uris":["http://www.mendeley.com/documents/?uuid=2efcecc9-e51e-3239-90c8-b1cc80ecc2c8"]}],"mendeley":{"formattedCitation":"(Gleason &amp; Bentley, 2019; Mosier &amp; Bentley, 2019)","plainTextFormattedCitation":"(Gleason &amp; Bentley, 2019; Mosier &amp; Bentley, 2019)","previouslyFormattedCitation":"(Gleason &amp; Bentley, 2019; Mosier &amp; Bentley, 2019)"},"properties":{"noteIndex":0},"schema":"https://github.com/citation-style-language/schema/raw/master/csl-citation.json"}</w:instrText>
      </w:r>
      <w:r>
        <w:rPr>
          <w:rFonts w:eastAsiaTheme="minorEastAsia"/>
          <w:sz w:val="24"/>
        </w:rPr>
        <w:fldChar w:fldCharType="separate"/>
      </w:r>
      <w:r w:rsidRPr="009132B0">
        <w:rPr>
          <w:rFonts w:eastAsiaTheme="minorEastAsia"/>
          <w:noProof/>
          <w:sz w:val="24"/>
        </w:rPr>
        <w:t xml:space="preserve">(Gleason &amp; </w:t>
      </w:r>
      <w:r w:rsidR="00A93304" w:rsidRPr="009132B0">
        <w:rPr>
          <w:rFonts w:eastAsiaTheme="minorEastAsia"/>
          <w:noProof/>
          <w:sz w:val="24"/>
        </w:rPr>
        <w:t>Bentley</w:t>
      </w:r>
      <w:r w:rsidRPr="009132B0">
        <w:rPr>
          <w:rFonts w:eastAsiaTheme="minorEastAsia"/>
          <w:noProof/>
          <w:sz w:val="24"/>
        </w:rPr>
        <w:t>, 2019; Mosier &amp; Bentley, 2019)</w:t>
      </w:r>
      <w:r>
        <w:rPr>
          <w:rFonts w:eastAsiaTheme="minorEastAsia"/>
          <w:sz w:val="24"/>
        </w:rPr>
        <w:fldChar w:fldCharType="end"/>
      </w:r>
      <w:r>
        <w:rPr>
          <w:rFonts w:eastAsiaTheme="minorEastAsia"/>
          <w:sz w:val="24"/>
        </w:rPr>
        <w:t xml:space="preserve">. </w:t>
      </w:r>
      <w:r w:rsidR="00324A51">
        <w:rPr>
          <w:rFonts w:eastAsiaTheme="minorEastAsia"/>
          <w:sz w:val="24"/>
        </w:rPr>
        <w:t xml:space="preserve">I hypothesize this is because </w:t>
      </w:r>
      <w:r w:rsidR="00324A51">
        <w:rPr>
          <w:rFonts w:eastAsiaTheme="minorEastAsia"/>
          <w:sz w:val="24"/>
        </w:rPr>
        <w:lastRenderedPageBreak/>
        <w:t>the event itself had alr</w:t>
      </w:r>
      <w:r w:rsidR="007E1CFB">
        <w:rPr>
          <w:rFonts w:eastAsiaTheme="minorEastAsia"/>
          <w:sz w:val="24"/>
        </w:rPr>
        <w:t>eady passed, so Convective Outlooks from 4 and 5 March are not related to my study. Tweets from 5 March displayed clustering around Atlanta, Georgia, suggesting an urban p</w:t>
      </w:r>
      <w:r w:rsidR="00190E28">
        <w:rPr>
          <w:rFonts w:eastAsiaTheme="minorEastAsia"/>
          <w:sz w:val="24"/>
        </w:rPr>
        <w:t xml:space="preserve">ost-event bias in tweet. This shift towards urban tweet locations may be more prominent after high-impact events, because </w:t>
      </w:r>
      <w:r w:rsidR="00324767">
        <w:rPr>
          <w:rFonts w:eastAsiaTheme="minorEastAsia"/>
          <w:sz w:val="24"/>
        </w:rPr>
        <w:t xml:space="preserve">the </w:t>
      </w:r>
      <w:r w:rsidR="00190E28">
        <w:rPr>
          <w:rFonts w:eastAsiaTheme="minorEastAsia"/>
          <w:sz w:val="24"/>
        </w:rPr>
        <w:t>news media report</w:t>
      </w:r>
      <w:r w:rsidR="00C33DCA">
        <w:rPr>
          <w:rFonts w:eastAsiaTheme="minorEastAsia"/>
          <w:sz w:val="24"/>
        </w:rPr>
        <w:t>s</w:t>
      </w:r>
      <w:r w:rsidR="00324767">
        <w:rPr>
          <w:rFonts w:eastAsiaTheme="minorEastAsia"/>
          <w:sz w:val="24"/>
        </w:rPr>
        <w:t xml:space="preserve"> the</w:t>
      </w:r>
      <w:r w:rsidR="00C33DCA">
        <w:rPr>
          <w:rFonts w:eastAsiaTheme="minorEastAsia"/>
          <w:sz w:val="24"/>
        </w:rPr>
        <w:t xml:space="preserve"> aftermath and </w:t>
      </w:r>
      <w:r w:rsidR="00190E28">
        <w:rPr>
          <w:rFonts w:eastAsiaTheme="minorEastAsia"/>
          <w:sz w:val="24"/>
        </w:rPr>
        <w:t>draw</w:t>
      </w:r>
      <w:r w:rsidR="00C33DCA">
        <w:rPr>
          <w:rFonts w:eastAsiaTheme="minorEastAsia"/>
          <w:sz w:val="24"/>
        </w:rPr>
        <w:t>s</w:t>
      </w:r>
      <w:r w:rsidR="00190E28">
        <w:rPr>
          <w:rFonts w:eastAsiaTheme="minorEastAsia"/>
          <w:sz w:val="24"/>
        </w:rPr>
        <w:t xml:space="preserve"> </w:t>
      </w:r>
      <w:r w:rsidR="00C33DCA">
        <w:rPr>
          <w:rFonts w:eastAsiaTheme="minorEastAsia"/>
          <w:sz w:val="24"/>
        </w:rPr>
        <w:t xml:space="preserve">the public’s </w:t>
      </w:r>
      <w:r w:rsidR="00190E28">
        <w:rPr>
          <w:rFonts w:eastAsiaTheme="minorEastAsia"/>
          <w:sz w:val="24"/>
        </w:rPr>
        <w:t>attention</w:t>
      </w:r>
      <w:r w:rsidR="00C33DCA">
        <w:rPr>
          <w:rFonts w:eastAsiaTheme="minorEastAsia"/>
          <w:sz w:val="24"/>
        </w:rPr>
        <w:t xml:space="preserve">. People directly impacted by the tornado outbreak spend </w:t>
      </w:r>
      <w:r w:rsidR="00324767">
        <w:rPr>
          <w:rFonts w:eastAsiaTheme="minorEastAsia"/>
          <w:sz w:val="24"/>
        </w:rPr>
        <w:t xml:space="preserve">time cleaning and recuperating, </w:t>
      </w:r>
      <w:r w:rsidR="00C33DCA">
        <w:rPr>
          <w:rFonts w:eastAsiaTheme="minorEastAsia"/>
          <w:sz w:val="24"/>
        </w:rPr>
        <w:t>but</w:t>
      </w:r>
      <w:r w:rsidR="00324767">
        <w:rPr>
          <w:rFonts w:eastAsiaTheme="minorEastAsia"/>
          <w:sz w:val="24"/>
        </w:rPr>
        <w:t xml:space="preserve"> </w:t>
      </w:r>
      <w:r w:rsidR="00E52405">
        <w:rPr>
          <w:rFonts w:eastAsiaTheme="minorEastAsia"/>
          <w:sz w:val="24"/>
        </w:rPr>
        <w:t xml:space="preserve">people farther away in cities may have the time to tweet. </w:t>
      </w:r>
      <w:r w:rsidR="00FB2AE7">
        <w:rPr>
          <w:rFonts w:eastAsiaTheme="minorEastAsia"/>
          <w:sz w:val="24"/>
        </w:rPr>
        <w:t>Also, tornado risk is less obvious during the forecast period than winter weather which ca</w:t>
      </w:r>
      <w:r w:rsidR="00A86B77">
        <w:rPr>
          <w:rFonts w:eastAsiaTheme="minorEastAsia"/>
          <w:sz w:val="24"/>
        </w:rPr>
        <w:t xml:space="preserve">n be predicted more accurately. The rise in post-event tweets might indicate that the tornado outbreak might have caught some people off-guard. </w:t>
      </w:r>
      <w:r>
        <w:rPr>
          <w:rFonts w:eastAsiaTheme="minorEastAsia"/>
          <w:sz w:val="24"/>
        </w:rPr>
        <w:t xml:space="preserve">The growth of SDE supports the hypothesis that interest was broader after the </w:t>
      </w:r>
      <w:r w:rsidR="007D5C32">
        <w:rPr>
          <w:rFonts w:eastAsiaTheme="minorEastAsia"/>
          <w:sz w:val="24"/>
        </w:rPr>
        <w:t>event</w:t>
      </w:r>
      <w:r>
        <w:rPr>
          <w:rFonts w:eastAsiaTheme="minorEastAsia"/>
          <w:sz w:val="24"/>
        </w:rPr>
        <w:t>. I would need additional research to confirm whether this happened after different tornado outbreaks, or was unique to my case study.</w:t>
      </w:r>
    </w:p>
    <w:p w14:paraId="04328B99" w14:textId="0A63F712" w:rsidR="00CB2594" w:rsidRDefault="00CB2594" w:rsidP="00CD690C">
      <w:pPr>
        <w:spacing w:line="480" w:lineRule="auto"/>
        <w:rPr>
          <w:rFonts w:eastAsiaTheme="minorEastAsia"/>
          <w:sz w:val="24"/>
        </w:rPr>
      </w:pPr>
      <w:r>
        <w:rPr>
          <w:rFonts w:eastAsiaTheme="minorEastAsia"/>
          <w:sz w:val="24"/>
        </w:rPr>
        <w:tab/>
        <w:t xml:space="preserve">Though individuals across a whole region may prepare for a potential tornado outbreak, relatively few people are directly affected by any one tornado’s path. Individual tornado events are spatially-constrained to a particular location. Tornadoes cause immense damage, but only to a specific location rather than the region at large. Communities more directly affected may more actively tweet about a weather event than ones farther away. </w:t>
      </w:r>
      <w:r>
        <w:rPr>
          <w:rFonts w:eastAsiaTheme="minorEastAsia"/>
          <w:sz w:val="24"/>
        </w:rPr>
        <w:fldChar w:fldCharType="begin" w:fldLock="1"/>
      </w:r>
      <w:r>
        <w:rPr>
          <w:rFonts w:eastAsiaTheme="minorEastAsia"/>
          <w:sz w:val="24"/>
        </w:rPr>
        <w:instrText>ADDIN CSL_CITATION {"citationItems":[{"id":"ITEM-1","itemData":{"DOI":"10.1126/sciadv.1500779","ISSN":"2375-2548","PMID":"27034978","author":[{"dropping-particle":"","family":"Kryvasheyeu","given":"Yury","non-dropping-particle":"","parse-names":false,"suffix":""},{"dropping-particle":"","family":"Chen","given":"Haohui","non-dropping-particle":"","parse-names":false,"suffix":""},{"dropping-particle":"","family":"Obradovich","given":"Nick","non-dropping-particle":"","parse-names":false,"suffix":""},{"dropping-particle":"","family":"Moro","given":"Esteban","non-dropping-particle":"","parse-names":false,"suffix":""},{"dropping-particle":"Van","family":"Hentenryck","given":"Pascal","non-dropping-particle":"","parse-names":false,"suffix":""},{"dropping-particle":"","family":"Fowler","given":"James","non-dropping-particle":"","parse-names":false,"suffix":""},{"dropping-particle":"","family":"Cebrian","given":"Manuel","non-dropping-particle":"","parse-names":false,"suffix":""}],"container-title":"Science Advance","id":"ITEM-1","issue":"March","issued":{"date-parts":[["2016"]]},"page":"1-12","title":"Rapid assessment of disaster damage using social media activity","type":"article-journal"},"uris":["http://www.mendeley.com/documents/?uuid=41b5bd4a-53ee-4226-97c7-780ce8ad5dfa"]}],"mendeley":{"formattedCitation":"(Kryvasheyeu et al., 2016)","manualFormatting":"Kryvasheyeu et al. (2016)","plainTextFormattedCitation":"(Kryvasheyeu et al., 2016)","previouslyFormattedCitation":"(Kryvasheyeu et al., 2016)"},"properties":{"noteIndex":0},"schema":"https://github.com/citation-style-language/schema/raw/master/csl-citation.json"}</w:instrText>
      </w:r>
      <w:r>
        <w:rPr>
          <w:rFonts w:eastAsiaTheme="minorEastAsia"/>
          <w:sz w:val="24"/>
        </w:rPr>
        <w:fldChar w:fldCharType="separate"/>
      </w:r>
      <w:r>
        <w:rPr>
          <w:rFonts w:eastAsiaTheme="minorEastAsia"/>
          <w:noProof/>
          <w:sz w:val="24"/>
        </w:rPr>
        <w:t>Kryvasheyeu et al. (</w:t>
      </w:r>
      <w:r w:rsidRPr="00496138">
        <w:rPr>
          <w:rFonts w:eastAsiaTheme="minorEastAsia"/>
          <w:noProof/>
          <w:sz w:val="24"/>
        </w:rPr>
        <w:t>2016)</w:t>
      </w:r>
      <w:r>
        <w:rPr>
          <w:rFonts w:eastAsiaTheme="minorEastAsia"/>
          <w:sz w:val="24"/>
        </w:rPr>
        <w:fldChar w:fldCharType="end"/>
      </w:r>
      <w:r>
        <w:rPr>
          <w:rFonts w:eastAsiaTheme="minorEastAsia"/>
          <w:sz w:val="24"/>
        </w:rPr>
        <w:t xml:space="preserve"> observed this relationship in their analysis of tweets during Superstorm Sandy. Distance to hazardous weather events may explain why I observed fewer tw</w:t>
      </w:r>
      <w:r w:rsidR="00DC1F65">
        <w:rPr>
          <w:rFonts w:eastAsiaTheme="minorEastAsia"/>
          <w:sz w:val="24"/>
        </w:rPr>
        <w:t>eets near cities in the tornado-</w:t>
      </w:r>
      <w:r>
        <w:rPr>
          <w:rFonts w:eastAsiaTheme="minorEastAsia"/>
          <w:sz w:val="24"/>
        </w:rPr>
        <w:t>outbreak case study. On the other hand, WSG impacted cities such as Chicago and Washington D.C. The fact that WSG impacted cities could explain why I saw increased Twitter activity in these locations.</w:t>
      </w:r>
    </w:p>
    <w:p w14:paraId="7E8AB9D0" w14:textId="4CF5B8F6" w:rsidR="00C451CB" w:rsidRPr="00507CFE" w:rsidRDefault="00954B19" w:rsidP="00507CFE">
      <w:pPr>
        <w:pStyle w:val="Heading2"/>
        <w:spacing w:line="480" w:lineRule="auto"/>
        <w:rPr>
          <w:rFonts w:asciiTheme="minorHAnsi" w:eastAsiaTheme="minorEastAsia" w:hAnsiTheme="minorHAnsi"/>
          <w:b/>
          <w:color w:val="auto"/>
          <w:sz w:val="24"/>
        </w:rPr>
      </w:pPr>
      <w:bookmarkStart w:id="52" w:name="_Toc56898394"/>
      <w:r>
        <w:rPr>
          <w:rFonts w:asciiTheme="minorHAnsi" w:eastAsiaTheme="minorEastAsia" w:hAnsiTheme="minorHAnsi"/>
          <w:b/>
          <w:color w:val="auto"/>
          <w:sz w:val="24"/>
        </w:rPr>
        <w:lastRenderedPageBreak/>
        <w:t xml:space="preserve">5.3 </w:t>
      </w:r>
      <w:r w:rsidR="00C451CB" w:rsidRPr="00507CFE">
        <w:rPr>
          <w:rFonts w:asciiTheme="minorHAnsi" w:eastAsiaTheme="minorEastAsia" w:hAnsiTheme="minorHAnsi"/>
          <w:b/>
          <w:color w:val="auto"/>
          <w:sz w:val="24"/>
        </w:rPr>
        <w:t>Tweet diffusion barriers</w:t>
      </w:r>
      <w:r w:rsidR="00896094" w:rsidRPr="00507CFE">
        <w:rPr>
          <w:rFonts w:asciiTheme="minorHAnsi" w:eastAsiaTheme="minorEastAsia" w:hAnsiTheme="minorHAnsi"/>
          <w:b/>
          <w:color w:val="auto"/>
          <w:sz w:val="24"/>
        </w:rPr>
        <w:t xml:space="preserve"> during hazardous weather events</w:t>
      </w:r>
      <w:bookmarkEnd w:id="52"/>
    </w:p>
    <w:p w14:paraId="571DF1AB" w14:textId="0631DEA3" w:rsidR="004502BA" w:rsidRDefault="00A9499E" w:rsidP="00507CFE">
      <w:pPr>
        <w:spacing w:line="480" w:lineRule="auto"/>
        <w:rPr>
          <w:rFonts w:eastAsiaTheme="minorEastAsia"/>
          <w:sz w:val="24"/>
        </w:rPr>
      </w:pPr>
      <w:r>
        <w:rPr>
          <w:rFonts w:eastAsiaTheme="minorEastAsia"/>
          <w:sz w:val="24"/>
        </w:rPr>
        <w:tab/>
      </w:r>
      <w:r w:rsidR="00915CB9">
        <w:rPr>
          <w:rFonts w:eastAsiaTheme="minorEastAsia"/>
          <w:sz w:val="24"/>
        </w:rPr>
        <w:t>Some</w:t>
      </w:r>
      <w:r>
        <w:rPr>
          <w:rFonts w:eastAsiaTheme="minorEastAsia"/>
          <w:sz w:val="24"/>
        </w:rPr>
        <w:t xml:space="preserve"> barriers </w:t>
      </w:r>
      <w:r w:rsidRPr="00694A90">
        <w:rPr>
          <w:rFonts w:eastAsiaTheme="minorEastAsia"/>
          <w:sz w:val="24"/>
        </w:rPr>
        <w:t xml:space="preserve">described by Gould et al. (1969) </w:t>
      </w:r>
      <w:r w:rsidR="00DB302F" w:rsidRPr="00694A90">
        <w:rPr>
          <w:rFonts w:eastAsiaTheme="minorEastAsia"/>
          <w:sz w:val="24"/>
        </w:rPr>
        <w:t>possibly</w:t>
      </w:r>
      <w:r w:rsidRPr="00694A90">
        <w:rPr>
          <w:rFonts w:eastAsiaTheme="minorEastAsia"/>
          <w:sz w:val="24"/>
        </w:rPr>
        <w:t xml:space="preserve"> affected the diffusion patterns I observed.</w:t>
      </w:r>
      <w:r w:rsidR="0039165B" w:rsidRPr="00694A90">
        <w:rPr>
          <w:rFonts w:eastAsiaTheme="minorEastAsia"/>
          <w:sz w:val="24"/>
        </w:rPr>
        <w:t xml:space="preserve"> It may be more difficult to study Twitter diffusion patterns across </w:t>
      </w:r>
      <w:r w:rsidR="00C826D6" w:rsidRPr="00694A90">
        <w:rPr>
          <w:rFonts w:eastAsiaTheme="minorEastAsia"/>
          <w:sz w:val="24"/>
        </w:rPr>
        <w:t>r</w:t>
      </w:r>
      <w:r w:rsidR="006240D5" w:rsidRPr="00694A90">
        <w:rPr>
          <w:rFonts w:eastAsiaTheme="minorEastAsia"/>
          <w:sz w:val="24"/>
        </w:rPr>
        <w:t xml:space="preserve">emote </w:t>
      </w:r>
      <w:r w:rsidR="0039165B" w:rsidRPr="00694A90">
        <w:rPr>
          <w:rFonts w:eastAsiaTheme="minorEastAsia"/>
          <w:sz w:val="24"/>
        </w:rPr>
        <w:t xml:space="preserve">and rural locations. Such places </w:t>
      </w:r>
      <w:r w:rsidR="006240D5" w:rsidRPr="00694A90">
        <w:rPr>
          <w:rFonts w:eastAsiaTheme="minorEastAsia"/>
          <w:sz w:val="24"/>
        </w:rPr>
        <w:t>may experience technological, cultural, and physical barriers.</w:t>
      </w:r>
      <w:r w:rsidR="00CF7685" w:rsidRPr="00694A90">
        <w:rPr>
          <w:rFonts w:eastAsiaTheme="minorEastAsia"/>
          <w:sz w:val="24"/>
        </w:rPr>
        <w:t xml:space="preserve"> Cellular</w:t>
      </w:r>
      <w:r w:rsidR="00CF7685">
        <w:rPr>
          <w:rFonts w:eastAsiaTheme="minorEastAsia"/>
          <w:sz w:val="24"/>
        </w:rPr>
        <w:t xml:space="preserve"> data or a WIFI connect</w:t>
      </w:r>
      <w:r w:rsidR="00EA6AAB">
        <w:rPr>
          <w:rFonts w:eastAsiaTheme="minorEastAsia"/>
          <w:sz w:val="24"/>
        </w:rPr>
        <w:t>ion is needed to access Twitter, both of which may be lacking in a remote or rural location</w:t>
      </w:r>
      <w:r w:rsidR="00723036">
        <w:rPr>
          <w:rFonts w:eastAsiaTheme="minorEastAsia"/>
          <w:sz w:val="24"/>
        </w:rPr>
        <w:t xml:space="preserve"> (technological and physical barrier)</w:t>
      </w:r>
      <w:r w:rsidR="00EA6AAB">
        <w:rPr>
          <w:rFonts w:eastAsiaTheme="minorEastAsia"/>
          <w:sz w:val="24"/>
        </w:rPr>
        <w:t>.</w:t>
      </w:r>
      <w:r w:rsidR="00B317AE">
        <w:rPr>
          <w:rFonts w:eastAsiaTheme="minorEastAsia"/>
          <w:sz w:val="24"/>
        </w:rPr>
        <w:t xml:space="preserve"> Residents of such locations may also not fit the typical </w:t>
      </w:r>
      <w:r w:rsidR="00B43375">
        <w:rPr>
          <w:rFonts w:eastAsiaTheme="minorEastAsia"/>
          <w:sz w:val="24"/>
        </w:rPr>
        <w:t>Twitter user demographic</w:t>
      </w:r>
      <w:r w:rsidR="00723036">
        <w:rPr>
          <w:rFonts w:eastAsiaTheme="minorEastAsia"/>
          <w:sz w:val="24"/>
        </w:rPr>
        <w:t xml:space="preserve"> (cultural barrier)</w:t>
      </w:r>
      <w:r w:rsidR="00B43375">
        <w:rPr>
          <w:rFonts w:eastAsiaTheme="minorEastAsia"/>
          <w:sz w:val="24"/>
        </w:rPr>
        <w:t xml:space="preserve">, and </w:t>
      </w:r>
      <w:r w:rsidR="004F0DA3">
        <w:rPr>
          <w:rFonts w:eastAsiaTheme="minorEastAsia"/>
          <w:sz w:val="24"/>
        </w:rPr>
        <w:t xml:space="preserve">therefore </w:t>
      </w:r>
      <w:r w:rsidR="00B43375">
        <w:rPr>
          <w:rFonts w:eastAsiaTheme="minorEastAsia"/>
          <w:sz w:val="24"/>
        </w:rPr>
        <w:t>may be at a disadvantage to receiving weather information via Twitter.</w:t>
      </w:r>
      <w:r w:rsidR="0051037B">
        <w:rPr>
          <w:rFonts w:eastAsiaTheme="minorEastAsia"/>
          <w:sz w:val="24"/>
        </w:rPr>
        <w:t xml:space="preserve"> Tornado outbreaks generate greater emotional response than winter weather.</w:t>
      </w:r>
      <w:r w:rsidR="00441429">
        <w:rPr>
          <w:rFonts w:eastAsiaTheme="minorEastAsia"/>
          <w:sz w:val="24"/>
        </w:rPr>
        <w:t xml:space="preserve"> Tornadoes can effect entire communities and families, whereas winter weather generally passes with minimal impact.</w:t>
      </w:r>
      <w:r w:rsidR="00DC60E3">
        <w:rPr>
          <w:rFonts w:eastAsiaTheme="minorEastAsia"/>
          <w:sz w:val="24"/>
        </w:rPr>
        <w:t xml:space="preserve"> People may fe</w:t>
      </w:r>
      <w:r w:rsidR="002121B1">
        <w:rPr>
          <w:rFonts w:eastAsiaTheme="minorEastAsia"/>
          <w:sz w:val="24"/>
        </w:rPr>
        <w:t xml:space="preserve">el </w:t>
      </w:r>
      <w:r w:rsidR="00DC60E3">
        <w:rPr>
          <w:rFonts w:eastAsiaTheme="minorEastAsia"/>
          <w:sz w:val="24"/>
        </w:rPr>
        <w:t xml:space="preserve">at-risk during a tornado-outbreak, and feel a greater sense of </w:t>
      </w:r>
      <w:r w:rsidR="002121B1">
        <w:rPr>
          <w:rFonts w:eastAsiaTheme="minorEastAsia"/>
          <w:sz w:val="24"/>
        </w:rPr>
        <w:t>fear that may inhibit one from t</w:t>
      </w:r>
      <w:r w:rsidR="00DC60E3">
        <w:rPr>
          <w:rFonts w:eastAsiaTheme="minorEastAsia"/>
          <w:sz w:val="24"/>
        </w:rPr>
        <w:t>weeting</w:t>
      </w:r>
      <w:r w:rsidR="002121B1">
        <w:rPr>
          <w:rFonts w:eastAsiaTheme="minorEastAsia"/>
          <w:sz w:val="24"/>
        </w:rPr>
        <w:t xml:space="preserve"> (psychological barrier)</w:t>
      </w:r>
      <w:r w:rsidR="00DC60E3">
        <w:rPr>
          <w:rFonts w:eastAsiaTheme="minorEastAsia"/>
          <w:sz w:val="24"/>
        </w:rPr>
        <w:t>.</w:t>
      </w:r>
      <w:r w:rsidR="00723036">
        <w:rPr>
          <w:rFonts w:eastAsiaTheme="minorEastAsia"/>
          <w:sz w:val="24"/>
        </w:rPr>
        <w:t xml:space="preserve"> </w:t>
      </w:r>
      <w:r w:rsidR="002121B1">
        <w:rPr>
          <w:rFonts w:eastAsiaTheme="minorEastAsia"/>
          <w:sz w:val="24"/>
        </w:rPr>
        <w:t xml:space="preserve">Tweets were clustered in urban locations throughout all WSG, but only during the finals days in the tornado-outbreak case study. From 28 February to 3 March, I observed tornado-outbreak tweets in locations directly impacted by the event. These people likely felt vulnerable to the severe weather, and expressed concerns on Twitter. People farther away from tornado locations possibly felt invincible, and therefore were less interested in tweeting until the news reported damages. </w:t>
      </w:r>
    </w:p>
    <w:p w14:paraId="305E2C02" w14:textId="2ECCFD29" w:rsidR="000979AD" w:rsidRPr="00A23480" w:rsidRDefault="00CB1D67" w:rsidP="00A23480">
      <w:pPr>
        <w:pStyle w:val="Heading2"/>
        <w:spacing w:line="480" w:lineRule="auto"/>
        <w:rPr>
          <w:rFonts w:asciiTheme="minorHAnsi" w:eastAsiaTheme="minorEastAsia" w:hAnsiTheme="minorHAnsi"/>
          <w:b/>
        </w:rPr>
      </w:pPr>
      <w:bookmarkStart w:id="53" w:name="_Toc56898395"/>
      <w:r>
        <w:rPr>
          <w:rFonts w:asciiTheme="minorHAnsi" w:eastAsiaTheme="minorEastAsia" w:hAnsiTheme="minorHAnsi"/>
          <w:b/>
          <w:color w:val="auto"/>
          <w:sz w:val="24"/>
        </w:rPr>
        <w:t xml:space="preserve">5.4 </w:t>
      </w:r>
      <w:r w:rsidR="000979AD" w:rsidRPr="00A23480">
        <w:rPr>
          <w:rFonts w:asciiTheme="minorHAnsi" w:eastAsiaTheme="minorEastAsia" w:hAnsiTheme="minorHAnsi"/>
          <w:b/>
          <w:color w:val="auto"/>
          <w:sz w:val="24"/>
        </w:rPr>
        <w:t>Uncertainties using regression to analyze spatiotemporal diffusion events</w:t>
      </w:r>
      <w:bookmarkEnd w:id="53"/>
    </w:p>
    <w:p w14:paraId="27CB13BB" w14:textId="467E62F8" w:rsidR="00A66FCB" w:rsidRDefault="000979AD" w:rsidP="00A23480">
      <w:pPr>
        <w:spacing w:line="480" w:lineRule="auto"/>
        <w:rPr>
          <w:rFonts w:eastAsiaTheme="minorEastAsia"/>
          <w:sz w:val="24"/>
        </w:rPr>
      </w:pPr>
      <w:r>
        <w:rPr>
          <w:rFonts w:eastAsiaTheme="minorEastAsia"/>
          <w:sz w:val="24"/>
        </w:rPr>
        <w:tab/>
      </w:r>
      <w:r w:rsidR="004A7945">
        <w:rPr>
          <w:rFonts w:eastAsiaTheme="minorEastAsia"/>
          <w:sz w:val="24"/>
        </w:rPr>
        <w:t xml:space="preserve">I used methods outlined by </w:t>
      </w:r>
      <w:r w:rsidR="00313EDB">
        <w:rPr>
          <w:rFonts w:eastAsiaTheme="minorEastAsia"/>
          <w:sz w:val="24"/>
        </w:rPr>
        <w:fldChar w:fldCharType="begin" w:fldLock="1"/>
      </w:r>
      <w:r w:rsidR="00460C6D">
        <w:rPr>
          <w:rFonts w:eastAsiaTheme="minorEastAsia"/>
          <w:sz w:val="24"/>
        </w:rPr>
        <w:instrText>ADDIN CSL_CITATION {"citationItems":[{"id":"ITEM-1","itemData":{"DOI":"10.4018/ijagr.2014010101","ISSN":"19479662","abstract":"Spatial diffusion processes can be seen in many geographic phenomena that spread or migrate across space and over time. Studies of these processes were mostly done with verbal description until Hägerstrand (1966) started to approach it with quantitative models. A variety of attempts were made to continue this effort, but only with various degrees of success. Recognizing the critical role that distances between geographic objects or events play in a spatial diffusion process, we experimented with a new approach that uses these distances to detect and distinguish different types of spatial diffusion processes. Our approach is a two-step process that first calculates nearest neighbor ratios in a point process at each time step and then applies regression curve estimation to observe how these ratios change over time. We first report the results from applying this method to three spatio-temporal data sets which show the feasibility of our approach. We then report results of randomly simulated spatial diffusion processes to see if our approach is effective for the purpose of distinguishing different types of spatial diffusion processes. With only extreme cases as exceptions, our experiment found that using estimated regression curves of nearest neighbor ratios over time is usable in classifying spatial diffusion processes to either contagious/expansion or hierarchical/relocation diffusion processes. © 2014, IGI Global. All rights reserved.","author":[{"dropping-particle":"","family":"Lee","given":"Jay","non-dropping-particle":"","parse-names":false,"suffix":""},{"dropping-particle":"","family":"Lay","given":"Jinn-Guey","non-dropping-particle":"","parse-names":false,"suffix":""},{"dropping-particle":"","family":"Chin","given":"Wei Chien Benny","non-dropping-particle":"","parse-names":false,"suffix":""},{"dropping-particle":"","family":"Chi","given":"Yu-Lin","non-dropping-particle":"","parse-names":false,"suffix":""},{"dropping-particle":"","family":"Hsueh","given":"Ya-Hui","non-dropping-particle":"","parse-names":false,"suffix":""}],"container-title":"International Journal of Applied Geospatial Research","id":"ITEM-1","issue":"1","issued":{"date-parts":[["2014"]]},"note":"Pg 2: Given a geogrpahic phenomenon that is spreading over space and time, lets say points represented by lat/ long. First, we argue that the nearest neighbor distance at each stage of a spatial process over time are inmporant in characterizing the spatial diffusion. Second, we suggest that they way nearest neighbors change at each diffusion stage is critical to spatial diffusion process.\n\nUses nearest neighbor ratios and regression curve estimation\n\nNearest neighbor distances do plat a critical role in the spatal structure of diffusion process\n\nHagerstrang 1966, and 1967\n\nPp 3 to 4: As a geographic phenomenon spreads or migrates spatially and temporally, a spatial pattern can be observed at each time or temporal stage. A spatial process is formed by linking up these spatial patterns temporally. As point patterns receive additional points, the dynamics of how nearest neighbor distances change defines the spatial structure of the diffusion process. Distance between sources (first points) and adopters (added points) in a spatial pattern influence the number and rate of spatial diffusion processes.\n\npp3. We suggest that nearest neighbor ratios be used to measure how nearest neighbor distances change in spatial diffusion processes over time. We suggest we can then use regression curve estimation to mathematically differential spatial diffusion processes.\n\nDifferent types of spatial diffusion mthods: Contagious, expansion, hierarchial, relocation\n\nExpansion: Spreading phenomenon has a source and diffuses outwards to new areas (wildfires/ new technology)\n\nContagious: Direct contact needed to spread ideas (infections)\n\nHierarchial: Diffusion happens through ordered sequence of classes/ places (AIDS from large city centers to small towns)\n\nRelocation: Phenomenon moves into new areas, leaving its orgin/ source (migration)\n\nNearest neighbor is well-established method for analyzing spatial pattern of geographic phenomena. Nearest neighbor accounts only for locations of points, not any attribute within the points\n\nFor purposes of modeling spatial diffusion, nearest neighbor ratio is calculated after each additional point is added to point set over time\n\nWhen dist of data does not form a linear pattern, regression curve estomation is widely used method for modeling sequential changes in numeric values. Distribution of paired XY values in chart is fitted with set of mathematically constructed curves to find one that best approximates the distribution. The best one, goodness of fit, is determined by highest R^2. EXP: linear, logarithmic, inverse, quadratic, cubic, power, compond, s-curve, logistic, grwoth, expodential\n\nCase studies in paper: 1) dengue fever cases (contagiou/ expension diffusion process, inverse regression curve); 2) location of mushroom farms (contagious/ expansive); 3) new walmart/ target (hierarchial/ relocation)\n\nConventional apporaches to analyzing spatial clustering in a point pattern are useful for helping to focus on areas with high density or low densities of events. However, they do have limits when considering how a point pattern changes over space and time","page":"1-15","title":"An Experiment to Model Spatial Diffusion Process with Nearest Neighbor Analysis and Regression Estimation","type":"article-journal","volume":"5"},"uris":["http://www.mendeley.com/documents/?uuid=06de294b-e207-4545-bc65-01128992909a"]}],"mendeley":{"formattedCitation":"(Lee et al., 2014)","manualFormatting":"Lee et al. (2014)","plainTextFormattedCitation":"(Lee et al., 2014)","previouslyFormattedCitation":"(Lee et al., 2014)"},"properties":{"noteIndex":0},"schema":"https://github.com/citation-style-language/schema/raw/master/csl-citation.json"}</w:instrText>
      </w:r>
      <w:r w:rsidR="00313EDB">
        <w:rPr>
          <w:rFonts w:eastAsiaTheme="minorEastAsia"/>
          <w:sz w:val="24"/>
        </w:rPr>
        <w:fldChar w:fldCharType="separate"/>
      </w:r>
      <w:r w:rsidR="00313EDB">
        <w:rPr>
          <w:rFonts w:eastAsiaTheme="minorEastAsia"/>
          <w:noProof/>
          <w:sz w:val="24"/>
        </w:rPr>
        <w:t>Lee et al. (</w:t>
      </w:r>
      <w:r w:rsidR="00313EDB" w:rsidRPr="00313EDB">
        <w:rPr>
          <w:rFonts w:eastAsiaTheme="minorEastAsia"/>
          <w:noProof/>
          <w:sz w:val="24"/>
        </w:rPr>
        <w:t>2014)</w:t>
      </w:r>
      <w:r w:rsidR="00313EDB">
        <w:rPr>
          <w:rFonts w:eastAsiaTheme="minorEastAsia"/>
          <w:sz w:val="24"/>
        </w:rPr>
        <w:fldChar w:fldCharType="end"/>
      </w:r>
      <w:r w:rsidR="00313EDB">
        <w:rPr>
          <w:rFonts w:eastAsiaTheme="minorEastAsia"/>
          <w:sz w:val="24"/>
        </w:rPr>
        <w:t xml:space="preserve"> to compare the diffusion of tweets within t</w:t>
      </w:r>
      <w:r w:rsidR="00BB062A">
        <w:rPr>
          <w:rFonts w:eastAsiaTheme="minorEastAsia"/>
          <w:sz w:val="24"/>
        </w:rPr>
        <w:t xml:space="preserve">wo natural hazard case studies. Lee et al. (2014) examined how point data diffused through applications of </w:t>
      </w:r>
      <w:r w:rsidR="009C1BF1">
        <w:rPr>
          <w:rFonts w:eastAsiaTheme="minorEastAsia"/>
          <w:sz w:val="24"/>
        </w:rPr>
        <w:t xml:space="preserve">nearest neighbor and regression, specifically identifying </w:t>
      </w:r>
      <w:r w:rsidR="006763D1">
        <w:rPr>
          <w:rFonts w:eastAsiaTheme="minorEastAsia"/>
          <w:sz w:val="24"/>
        </w:rPr>
        <w:t>hierarchical, relocation, expansion, and contagious diffusion within point data.</w:t>
      </w:r>
      <w:r w:rsidR="00EB3606">
        <w:rPr>
          <w:rFonts w:eastAsiaTheme="minorEastAsia"/>
          <w:sz w:val="24"/>
        </w:rPr>
        <w:t xml:space="preserve"> </w:t>
      </w:r>
      <w:r w:rsidR="009C1BF1">
        <w:rPr>
          <w:rFonts w:eastAsiaTheme="minorEastAsia"/>
          <w:sz w:val="24"/>
        </w:rPr>
        <w:t xml:space="preserve">While these methods were successful for </w:t>
      </w:r>
      <w:r w:rsidR="009C1BF1">
        <w:rPr>
          <w:rFonts w:eastAsiaTheme="minorEastAsia"/>
          <w:sz w:val="24"/>
        </w:rPr>
        <w:lastRenderedPageBreak/>
        <w:t xml:space="preserve">Lee et al. (2014), </w:t>
      </w:r>
      <w:r w:rsidR="00EB3606">
        <w:rPr>
          <w:rFonts w:eastAsiaTheme="minorEastAsia"/>
          <w:sz w:val="24"/>
        </w:rPr>
        <w:t>I found fairly low R</w:t>
      </w:r>
      <w:r w:rsidR="00EB3606">
        <w:rPr>
          <w:rFonts w:eastAsiaTheme="minorEastAsia"/>
          <w:sz w:val="24"/>
          <w:vertAlign w:val="superscript"/>
        </w:rPr>
        <w:t>2</w:t>
      </w:r>
      <w:r w:rsidR="00EB3606">
        <w:rPr>
          <w:rFonts w:eastAsiaTheme="minorEastAsia"/>
          <w:sz w:val="24"/>
        </w:rPr>
        <w:t xml:space="preserve"> values in all regressions except WSG’s cubic model (R</w:t>
      </w:r>
      <w:r w:rsidR="00EB3606">
        <w:rPr>
          <w:rFonts w:eastAsiaTheme="minorEastAsia"/>
          <w:sz w:val="24"/>
          <w:vertAlign w:val="superscript"/>
        </w:rPr>
        <w:t>2</w:t>
      </w:r>
      <w:r w:rsidR="00EB3606">
        <w:rPr>
          <w:rFonts w:eastAsiaTheme="minorEastAsia"/>
          <w:sz w:val="24"/>
        </w:rPr>
        <w:t xml:space="preserve"> of 0.836).</w:t>
      </w:r>
      <w:r w:rsidR="00FF3333">
        <w:rPr>
          <w:rFonts w:eastAsiaTheme="minorEastAsia"/>
          <w:sz w:val="24"/>
        </w:rPr>
        <w:t xml:space="preserve"> Low R</w:t>
      </w:r>
      <w:r w:rsidR="00FF3333">
        <w:rPr>
          <w:rFonts w:eastAsiaTheme="minorEastAsia"/>
          <w:sz w:val="24"/>
          <w:vertAlign w:val="superscript"/>
        </w:rPr>
        <w:t>2</w:t>
      </w:r>
      <w:r w:rsidR="00FF3333">
        <w:rPr>
          <w:rFonts w:eastAsiaTheme="minorEastAsia"/>
          <w:sz w:val="24"/>
        </w:rPr>
        <w:t xml:space="preserve"> values indicate regression models failed</w:t>
      </w:r>
      <w:r w:rsidR="00756C89">
        <w:rPr>
          <w:rFonts w:eastAsiaTheme="minorEastAsia"/>
          <w:sz w:val="24"/>
        </w:rPr>
        <w:t xml:space="preserve"> to depict data </w:t>
      </w:r>
      <w:r w:rsidR="00046D51">
        <w:rPr>
          <w:rFonts w:eastAsiaTheme="minorEastAsia"/>
          <w:sz w:val="24"/>
        </w:rPr>
        <w:t>variance. WSG’s inverse model had an R</w:t>
      </w:r>
      <w:r w:rsidR="00046D51">
        <w:rPr>
          <w:rFonts w:eastAsiaTheme="minorEastAsia"/>
          <w:sz w:val="24"/>
          <w:vertAlign w:val="superscript"/>
        </w:rPr>
        <w:t>2</w:t>
      </w:r>
      <w:r w:rsidR="00046D51">
        <w:rPr>
          <w:rFonts w:eastAsiaTheme="minorEastAsia"/>
          <w:sz w:val="24"/>
        </w:rPr>
        <w:t xml:space="preserve"> value of 0.459 while R</w:t>
      </w:r>
      <w:r w:rsidR="00046D51">
        <w:rPr>
          <w:rFonts w:eastAsiaTheme="minorEastAsia"/>
          <w:sz w:val="24"/>
          <w:vertAlign w:val="superscript"/>
        </w:rPr>
        <w:t>2</w:t>
      </w:r>
      <w:r w:rsidR="00046D51">
        <w:rPr>
          <w:rFonts w:eastAsiaTheme="minorEastAsia"/>
          <w:sz w:val="24"/>
        </w:rPr>
        <w:t xml:space="preserve"> values for the tornado outbreak’s cubic and inverse models were 0.159 and 0.123, respectively. </w:t>
      </w:r>
      <w:r w:rsidR="006A1173">
        <w:rPr>
          <w:rFonts w:eastAsiaTheme="minorEastAsia"/>
          <w:sz w:val="24"/>
        </w:rPr>
        <w:t>Although R</w:t>
      </w:r>
      <w:r w:rsidR="006A1173">
        <w:rPr>
          <w:rFonts w:eastAsiaTheme="minorEastAsia"/>
          <w:sz w:val="24"/>
          <w:vertAlign w:val="superscript"/>
        </w:rPr>
        <w:t>2</w:t>
      </w:r>
      <w:r w:rsidR="006A1173">
        <w:rPr>
          <w:rFonts w:eastAsiaTheme="minorEastAsia"/>
          <w:sz w:val="24"/>
        </w:rPr>
        <w:t xml:space="preserve"> is unimpressive in the tornado outbreak, both case studies reported highest R</w:t>
      </w:r>
      <w:r w:rsidR="006A1173">
        <w:rPr>
          <w:rFonts w:eastAsiaTheme="minorEastAsia"/>
          <w:sz w:val="24"/>
          <w:vertAlign w:val="superscript"/>
        </w:rPr>
        <w:t>2</w:t>
      </w:r>
      <w:r w:rsidR="006A1173">
        <w:rPr>
          <w:rFonts w:eastAsiaTheme="minorEastAsia"/>
          <w:sz w:val="24"/>
        </w:rPr>
        <w:t xml:space="preserve"> values with the cubic regression model. </w:t>
      </w:r>
    </w:p>
    <w:p w14:paraId="074EB490" w14:textId="6F76ADB9" w:rsidR="00C86F7A" w:rsidRDefault="00A66FCB" w:rsidP="00CD690C">
      <w:pPr>
        <w:spacing w:line="480" w:lineRule="auto"/>
        <w:rPr>
          <w:rFonts w:eastAsiaTheme="minorEastAsia"/>
          <w:sz w:val="24"/>
        </w:rPr>
      </w:pPr>
      <w:r>
        <w:rPr>
          <w:rFonts w:eastAsiaTheme="minorEastAsia"/>
          <w:sz w:val="24"/>
        </w:rPr>
        <w:tab/>
      </w:r>
      <w:r w:rsidR="006A1173">
        <w:rPr>
          <w:rFonts w:eastAsiaTheme="minorEastAsia"/>
          <w:sz w:val="24"/>
        </w:rPr>
        <w:t xml:space="preserve">Per </w:t>
      </w:r>
      <w:r w:rsidR="0037518C">
        <w:rPr>
          <w:rFonts w:eastAsiaTheme="minorEastAsia"/>
          <w:sz w:val="24"/>
        </w:rPr>
        <w:t>Lee et al. (2014)’s findings,</w:t>
      </w:r>
      <w:r w:rsidR="006A1173">
        <w:rPr>
          <w:rFonts w:eastAsiaTheme="minorEastAsia"/>
          <w:sz w:val="24"/>
        </w:rPr>
        <w:t xml:space="preserve"> </w:t>
      </w:r>
      <w:r w:rsidR="00557444">
        <w:rPr>
          <w:rFonts w:eastAsiaTheme="minorEastAsia"/>
          <w:sz w:val="24"/>
        </w:rPr>
        <w:t>higher cubic regression R</w:t>
      </w:r>
      <w:r w:rsidR="00557444">
        <w:rPr>
          <w:rFonts w:eastAsiaTheme="minorEastAsia"/>
          <w:sz w:val="24"/>
          <w:vertAlign w:val="superscript"/>
        </w:rPr>
        <w:t>2</w:t>
      </w:r>
      <w:r w:rsidR="00557444">
        <w:rPr>
          <w:rFonts w:eastAsiaTheme="minorEastAsia"/>
          <w:sz w:val="24"/>
        </w:rPr>
        <w:t xml:space="preserve"> values</w:t>
      </w:r>
      <w:r w:rsidR="006214C0">
        <w:rPr>
          <w:rFonts w:eastAsiaTheme="minorEastAsia"/>
          <w:sz w:val="24"/>
        </w:rPr>
        <w:t xml:space="preserve"> indicate</w:t>
      </w:r>
      <w:r w:rsidR="00A0335C">
        <w:rPr>
          <w:rFonts w:eastAsiaTheme="minorEastAsia"/>
          <w:sz w:val="24"/>
        </w:rPr>
        <w:t xml:space="preserve"> that data exhibit hierarchical </w:t>
      </w:r>
      <w:r w:rsidR="005A0E1B">
        <w:rPr>
          <w:rFonts w:eastAsiaTheme="minorEastAsia"/>
          <w:sz w:val="24"/>
        </w:rPr>
        <w:t>or</w:t>
      </w:r>
      <w:r w:rsidR="00A0335C">
        <w:rPr>
          <w:rFonts w:eastAsiaTheme="minorEastAsia"/>
          <w:sz w:val="24"/>
        </w:rPr>
        <w:t xml:space="preserve"> relocation diffusion.</w:t>
      </w:r>
      <w:r w:rsidR="006214C0">
        <w:rPr>
          <w:rFonts w:eastAsiaTheme="minorEastAsia"/>
          <w:sz w:val="24"/>
        </w:rPr>
        <w:t xml:space="preserve"> </w:t>
      </w:r>
      <w:r w:rsidR="006034FD">
        <w:rPr>
          <w:rFonts w:eastAsiaTheme="minorEastAsia"/>
          <w:sz w:val="24"/>
        </w:rPr>
        <w:t>However, I see aspects of all four diffusion clas</w:t>
      </w:r>
      <w:r>
        <w:rPr>
          <w:rFonts w:eastAsiaTheme="minorEastAsia"/>
          <w:sz w:val="24"/>
        </w:rPr>
        <w:t>sifications in each case study</w:t>
      </w:r>
      <w:r w:rsidR="00C35582">
        <w:rPr>
          <w:rFonts w:eastAsiaTheme="minorEastAsia"/>
          <w:sz w:val="24"/>
        </w:rPr>
        <w:t>, which may be why a single model did not perform well</w:t>
      </w:r>
      <w:r>
        <w:rPr>
          <w:rFonts w:eastAsiaTheme="minorEastAsia"/>
          <w:sz w:val="24"/>
        </w:rPr>
        <w:t xml:space="preserve">. </w:t>
      </w:r>
      <w:r w:rsidR="00E876D3">
        <w:rPr>
          <w:rFonts w:eastAsiaTheme="minorEastAsia"/>
          <w:sz w:val="24"/>
        </w:rPr>
        <w:t>Hazardous weather information trickles through various “gate keepers” before it reaches the general public</w:t>
      </w:r>
      <w:r w:rsidR="006034FD">
        <w:rPr>
          <w:rFonts w:eastAsiaTheme="minorEastAsia"/>
          <w:sz w:val="24"/>
        </w:rPr>
        <w:t xml:space="preserve"> (hierarchical diffusion).</w:t>
      </w:r>
      <w:r w:rsidR="006E26EA">
        <w:rPr>
          <w:rFonts w:eastAsiaTheme="minorEastAsia"/>
          <w:sz w:val="24"/>
        </w:rPr>
        <w:t xml:space="preserve"> </w:t>
      </w:r>
      <w:r w:rsidR="00A1207A">
        <w:rPr>
          <w:rFonts w:eastAsiaTheme="minorEastAsia"/>
          <w:sz w:val="24"/>
        </w:rPr>
        <w:t xml:space="preserve">Winter and tornadic weather information first passes through NOAA’s </w:t>
      </w:r>
      <w:r w:rsidR="004553D3">
        <w:rPr>
          <w:rFonts w:eastAsiaTheme="minorEastAsia"/>
          <w:sz w:val="24"/>
        </w:rPr>
        <w:t>Weather Prediction Center</w:t>
      </w:r>
      <w:r w:rsidR="00A1207A">
        <w:rPr>
          <w:rFonts w:eastAsiaTheme="minorEastAsia"/>
          <w:sz w:val="24"/>
        </w:rPr>
        <w:t xml:space="preserve"> </w:t>
      </w:r>
      <w:r w:rsidR="0015256B">
        <w:rPr>
          <w:rFonts w:eastAsiaTheme="minorEastAsia"/>
          <w:sz w:val="24"/>
        </w:rPr>
        <w:t xml:space="preserve">(located in College Park, Maryland) </w:t>
      </w:r>
      <w:r w:rsidR="00A1207A">
        <w:rPr>
          <w:rFonts w:eastAsiaTheme="minorEastAsia"/>
          <w:sz w:val="24"/>
        </w:rPr>
        <w:t xml:space="preserve">and </w:t>
      </w:r>
      <w:r w:rsidR="004553D3">
        <w:rPr>
          <w:rFonts w:eastAsiaTheme="minorEastAsia"/>
          <w:sz w:val="24"/>
        </w:rPr>
        <w:t>Storm Prediction Center</w:t>
      </w:r>
      <w:r w:rsidR="0015256B">
        <w:rPr>
          <w:rFonts w:eastAsiaTheme="minorEastAsia"/>
          <w:sz w:val="24"/>
        </w:rPr>
        <w:t xml:space="preserve"> (located in Norman, Oklahoma)</w:t>
      </w:r>
      <w:r w:rsidR="00A1207A">
        <w:rPr>
          <w:rFonts w:eastAsiaTheme="minorEastAsia"/>
          <w:sz w:val="24"/>
        </w:rPr>
        <w:t xml:space="preserve">, respectively. </w:t>
      </w:r>
      <w:r w:rsidR="004553D3">
        <w:rPr>
          <w:rFonts w:eastAsiaTheme="minorEastAsia"/>
          <w:sz w:val="24"/>
        </w:rPr>
        <w:t>Weather Prediction Center</w:t>
      </w:r>
      <w:r w:rsidR="0015256B">
        <w:rPr>
          <w:rFonts w:eastAsiaTheme="minorEastAsia"/>
          <w:sz w:val="24"/>
        </w:rPr>
        <w:t xml:space="preserve"> and </w:t>
      </w:r>
      <w:r w:rsidR="004553D3">
        <w:rPr>
          <w:rFonts w:eastAsiaTheme="minorEastAsia"/>
          <w:sz w:val="24"/>
        </w:rPr>
        <w:t>Storm Prediction Center</w:t>
      </w:r>
      <w:r w:rsidR="0015256B">
        <w:rPr>
          <w:rFonts w:eastAsiaTheme="minorEastAsia"/>
          <w:sz w:val="24"/>
        </w:rPr>
        <w:t xml:space="preserve"> staff members</w:t>
      </w:r>
      <w:r w:rsidR="00A73273">
        <w:rPr>
          <w:rFonts w:eastAsiaTheme="minorEastAsia"/>
          <w:sz w:val="24"/>
        </w:rPr>
        <w:t xml:space="preserve"> then share information to NOAA regional centers and Weather Forecast Offices (WFOs).</w:t>
      </w:r>
      <w:r w:rsidR="005A1EB9">
        <w:rPr>
          <w:rFonts w:eastAsiaTheme="minorEastAsia"/>
          <w:sz w:val="24"/>
        </w:rPr>
        <w:t xml:space="preserve"> The 126 WFOs nationwide distribute information within their local communities. Media outlets, government officials, and emergency managers then broadcast weather information to the general public.</w:t>
      </w:r>
      <w:r w:rsidR="00D1569C">
        <w:rPr>
          <w:rFonts w:eastAsiaTheme="minorEastAsia"/>
          <w:sz w:val="24"/>
        </w:rPr>
        <w:t xml:space="preserve"> National NOAA offices, local WFOs, and community leaders act as “gate keepers.”</w:t>
      </w:r>
      <w:r w:rsidR="00DF5EF3">
        <w:rPr>
          <w:rFonts w:eastAsiaTheme="minorEastAsia"/>
          <w:sz w:val="24"/>
        </w:rPr>
        <w:t xml:space="preserve"> </w:t>
      </w:r>
      <w:r w:rsidR="00B8095D">
        <w:rPr>
          <w:rFonts w:eastAsiaTheme="minorEastAsia"/>
          <w:sz w:val="24"/>
        </w:rPr>
        <w:t xml:space="preserve">The public is only made aware of weather information after first passing through different sources. </w:t>
      </w:r>
      <w:r w:rsidR="00124F0A">
        <w:rPr>
          <w:rFonts w:eastAsiaTheme="minorEastAsia"/>
          <w:sz w:val="24"/>
        </w:rPr>
        <w:t>I also can identify evidence of expansion diffusion.</w:t>
      </w:r>
      <w:r w:rsidR="0014618F">
        <w:rPr>
          <w:rFonts w:eastAsiaTheme="minorEastAsia"/>
          <w:sz w:val="24"/>
        </w:rPr>
        <w:t xml:space="preserve"> Tweet counts generally grew in days preceding each case study event.</w:t>
      </w:r>
      <w:r w:rsidR="003E07DD">
        <w:rPr>
          <w:rFonts w:eastAsiaTheme="minorEastAsia"/>
          <w:sz w:val="24"/>
        </w:rPr>
        <w:t xml:space="preserve"> Cognizance of WSG and the tornado outbreak “expanded” over time. </w:t>
      </w:r>
      <w:r w:rsidR="00314975">
        <w:rPr>
          <w:rFonts w:eastAsiaTheme="minorEastAsia"/>
          <w:sz w:val="24"/>
        </w:rPr>
        <w:t>Expansion can also be “contagious” (contagious diffusion)</w:t>
      </w:r>
      <w:r w:rsidR="006F41D6">
        <w:rPr>
          <w:rFonts w:eastAsiaTheme="minorEastAsia"/>
          <w:sz w:val="24"/>
        </w:rPr>
        <w:t xml:space="preserve"> when users engage with weather information through their Twitter network (direct contact). </w:t>
      </w:r>
      <w:r w:rsidR="001F637B">
        <w:rPr>
          <w:rFonts w:eastAsiaTheme="minorEastAsia"/>
          <w:sz w:val="24"/>
        </w:rPr>
        <w:t xml:space="preserve">Examples of engagement include actively writing and </w:t>
      </w:r>
      <w:r w:rsidR="001F637B">
        <w:rPr>
          <w:rFonts w:eastAsiaTheme="minorEastAsia"/>
          <w:sz w:val="24"/>
        </w:rPr>
        <w:lastRenderedPageBreak/>
        <w:t>d</w:t>
      </w:r>
      <w:r w:rsidR="00CB171E">
        <w:rPr>
          <w:rFonts w:eastAsiaTheme="minorEastAsia"/>
          <w:sz w:val="24"/>
        </w:rPr>
        <w:t>isseminating weather information</w:t>
      </w:r>
      <w:r w:rsidR="001F637B">
        <w:rPr>
          <w:rFonts w:eastAsiaTheme="minorEastAsia"/>
          <w:sz w:val="24"/>
        </w:rPr>
        <w:t xml:space="preserve">, or reading and absorbing weather content </w:t>
      </w:r>
      <w:r w:rsidR="00CB171E">
        <w:rPr>
          <w:rFonts w:eastAsiaTheme="minorEastAsia"/>
          <w:sz w:val="24"/>
        </w:rPr>
        <w:t>posted previously</w:t>
      </w:r>
      <w:r w:rsidR="001F637B">
        <w:rPr>
          <w:rFonts w:eastAsiaTheme="minorEastAsia"/>
          <w:sz w:val="24"/>
        </w:rPr>
        <w:t xml:space="preserve"> by another user.</w:t>
      </w:r>
      <w:r w:rsidR="00CB171E">
        <w:rPr>
          <w:rFonts w:eastAsiaTheme="minorEastAsia"/>
          <w:sz w:val="24"/>
        </w:rPr>
        <w:t xml:space="preserve"> Direct contact, through the virtual space, exists in either case because Twitter users interact through a shared </w:t>
      </w:r>
      <w:r w:rsidR="00242708">
        <w:rPr>
          <w:rFonts w:eastAsiaTheme="minorEastAsia"/>
          <w:sz w:val="24"/>
        </w:rPr>
        <w:t xml:space="preserve">social media </w:t>
      </w:r>
      <w:r w:rsidR="00CB171E">
        <w:rPr>
          <w:rFonts w:eastAsiaTheme="minorEastAsia"/>
          <w:sz w:val="24"/>
        </w:rPr>
        <w:t xml:space="preserve">network. </w:t>
      </w:r>
      <w:r w:rsidR="00B2024A">
        <w:rPr>
          <w:rFonts w:eastAsiaTheme="minorEastAsia"/>
          <w:sz w:val="24"/>
        </w:rPr>
        <w:t>Tweets are, therefore,</w:t>
      </w:r>
      <w:r w:rsidR="005412E7">
        <w:rPr>
          <w:rFonts w:eastAsiaTheme="minorEastAsia"/>
          <w:sz w:val="24"/>
        </w:rPr>
        <w:t xml:space="preserve"> often</w:t>
      </w:r>
      <w:r w:rsidR="00B2024A">
        <w:rPr>
          <w:rFonts w:eastAsiaTheme="minorEastAsia"/>
          <w:sz w:val="24"/>
        </w:rPr>
        <w:t xml:space="preserve"> contagious.</w:t>
      </w:r>
      <w:r w:rsidR="0043585D">
        <w:rPr>
          <w:rFonts w:eastAsiaTheme="minorEastAsia"/>
          <w:sz w:val="24"/>
        </w:rPr>
        <w:t xml:space="preserve"> I observed relocation diffusion broadly when I analyzed the change in SDE mean center lo</w:t>
      </w:r>
      <w:r w:rsidR="00C86F7A">
        <w:rPr>
          <w:rFonts w:eastAsiaTheme="minorEastAsia"/>
          <w:sz w:val="24"/>
        </w:rPr>
        <w:t>cations. SDE mean centers “relocated,” from one place to another, throughout the course of each event.</w:t>
      </w:r>
      <w:r w:rsidR="00A32C51">
        <w:rPr>
          <w:rFonts w:eastAsiaTheme="minorEastAsia"/>
          <w:sz w:val="24"/>
        </w:rPr>
        <w:t xml:space="preserve"> I expected some relocation to be evident with WSG because of the system’s progression west to east, which may be why NNI was best modeled with the cubic regression.</w:t>
      </w:r>
    </w:p>
    <w:p w14:paraId="6190D75E" w14:textId="0918D7C7" w:rsidR="00176FDD" w:rsidRPr="00F92071" w:rsidRDefault="00CB1D67" w:rsidP="00F92071">
      <w:pPr>
        <w:pStyle w:val="Heading2"/>
        <w:spacing w:line="480" w:lineRule="auto"/>
        <w:rPr>
          <w:rFonts w:asciiTheme="minorHAnsi" w:eastAsiaTheme="minorEastAsia" w:hAnsiTheme="minorHAnsi"/>
          <w:b/>
          <w:color w:val="auto"/>
          <w:sz w:val="24"/>
        </w:rPr>
      </w:pPr>
      <w:bookmarkStart w:id="54" w:name="_Toc56898396"/>
      <w:r>
        <w:rPr>
          <w:rFonts w:asciiTheme="minorHAnsi" w:eastAsiaTheme="minorEastAsia" w:hAnsiTheme="minorHAnsi"/>
          <w:b/>
          <w:color w:val="auto"/>
          <w:sz w:val="24"/>
        </w:rPr>
        <w:t xml:space="preserve">5.5 </w:t>
      </w:r>
      <w:r w:rsidR="0029152F" w:rsidRPr="00F92071">
        <w:rPr>
          <w:rFonts w:asciiTheme="minorHAnsi" w:eastAsiaTheme="minorEastAsia" w:hAnsiTheme="minorHAnsi"/>
          <w:b/>
          <w:color w:val="auto"/>
          <w:sz w:val="24"/>
        </w:rPr>
        <w:t>Limitations</w:t>
      </w:r>
      <w:bookmarkEnd w:id="54"/>
    </w:p>
    <w:p w14:paraId="0CA3284A" w14:textId="056B56DD" w:rsidR="009D1A7C" w:rsidRDefault="00A66FCB" w:rsidP="00F92071">
      <w:pPr>
        <w:spacing w:line="480" w:lineRule="auto"/>
        <w:rPr>
          <w:rFonts w:eastAsiaTheme="minorEastAsia"/>
          <w:sz w:val="24"/>
        </w:rPr>
      </w:pPr>
      <w:r>
        <w:rPr>
          <w:rFonts w:eastAsiaTheme="minorEastAsia"/>
          <w:sz w:val="24"/>
        </w:rPr>
        <w:tab/>
      </w:r>
      <w:r w:rsidR="005B41B6">
        <w:rPr>
          <w:rFonts w:eastAsiaTheme="minorEastAsia"/>
          <w:sz w:val="24"/>
        </w:rPr>
        <w:t>The t</w:t>
      </w:r>
      <w:r>
        <w:rPr>
          <w:rFonts w:eastAsiaTheme="minorEastAsia"/>
          <w:sz w:val="24"/>
        </w:rPr>
        <w:t xml:space="preserve">ime required to filter tweets </w:t>
      </w:r>
      <w:r w:rsidR="00163CDF">
        <w:rPr>
          <w:rFonts w:eastAsiaTheme="minorEastAsia"/>
          <w:sz w:val="24"/>
        </w:rPr>
        <w:t>was</w:t>
      </w:r>
      <w:r>
        <w:rPr>
          <w:rFonts w:eastAsiaTheme="minorEastAsia"/>
          <w:sz w:val="24"/>
        </w:rPr>
        <w:t xml:space="preserve"> one limitation to my thesis work. </w:t>
      </w:r>
      <w:r w:rsidR="005B41B6">
        <w:rPr>
          <w:rFonts w:eastAsiaTheme="minorEastAsia"/>
          <w:sz w:val="24"/>
        </w:rPr>
        <w:t>As a result of my manual filtering process and its limits, s</w:t>
      </w:r>
      <w:r w:rsidR="006F4989">
        <w:rPr>
          <w:rFonts w:eastAsiaTheme="minorEastAsia"/>
          <w:sz w:val="24"/>
        </w:rPr>
        <w:t xml:space="preserve">ome tweets that passed </w:t>
      </w:r>
      <w:r w:rsidR="005B41B6">
        <w:rPr>
          <w:rFonts w:eastAsiaTheme="minorEastAsia"/>
          <w:sz w:val="24"/>
        </w:rPr>
        <w:t>through were</w:t>
      </w:r>
      <w:r w:rsidR="006F4989">
        <w:rPr>
          <w:rFonts w:eastAsiaTheme="minorEastAsia"/>
          <w:sz w:val="24"/>
        </w:rPr>
        <w:t xml:space="preserve"> irrelevant to my study.</w:t>
      </w:r>
      <w:r w:rsidR="00371C18">
        <w:rPr>
          <w:rFonts w:eastAsiaTheme="minorEastAsia"/>
          <w:sz w:val="24"/>
        </w:rPr>
        <w:t xml:space="preserve"> Tweets related to Mardi Gras is one example. </w:t>
      </w:r>
      <w:r w:rsidR="001961CB">
        <w:rPr>
          <w:rFonts w:eastAsiaTheme="minorEastAsia"/>
          <w:sz w:val="24"/>
        </w:rPr>
        <w:t>Many of these tweets co</w:t>
      </w:r>
      <w:r w:rsidR="00DC1F65">
        <w:rPr>
          <w:rFonts w:eastAsiaTheme="minorEastAsia"/>
          <w:sz w:val="24"/>
        </w:rPr>
        <w:t>ntained the tornado-</w:t>
      </w:r>
      <w:r w:rsidR="001961CB">
        <w:rPr>
          <w:rFonts w:eastAsiaTheme="minorEastAsia"/>
          <w:sz w:val="24"/>
        </w:rPr>
        <w:t xml:space="preserve">outbreak keyword “hail,” but were in reference </w:t>
      </w:r>
      <w:r w:rsidR="003D4EB2">
        <w:rPr>
          <w:rFonts w:eastAsiaTheme="minorEastAsia"/>
          <w:sz w:val="24"/>
        </w:rPr>
        <w:t>to holiday festivities.</w:t>
      </w:r>
      <w:r w:rsidR="00E76FCC">
        <w:rPr>
          <w:rFonts w:eastAsiaTheme="minorEastAsia"/>
          <w:sz w:val="24"/>
        </w:rPr>
        <w:t xml:space="preserve"> </w:t>
      </w:r>
      <w:r w:rsidR="000F2B5A">
        <w:rPr>
          <w:rFonts w:eastAsiaTheme="minorEastAsia"/>
          <w:sz w:val="24"/>
        </w:rPr>
        <w:t xml:space="preserve">The words “Mardi Gras” did not appear in Figures </w:t>
      </w:r>
      <w:r w:rsidR="00966A20">
        <w:rPr>
          <w:rFonts w:eastAsiaTheme="minorEastAsia"/>
          <w:sz w:val="24"/>
        </w:rPr>
        <w:t>3 or 4</w:t>
      </w:r>
      <w:r w:rsidR="00F219F6">
        <w:rPr>
          <w:rFonts w:eastAsiaTheme="minorEastAsia"/>
          <w:sz w:val="24"/>
        </w:rPr>
        <w:t xml:space="preserve">, which is why I did not eliminate these tweets from my study. </w:t>
      </w:r>
      <w:r w:rsidR="005B41B6">
        <w:rPr>
          <w:rFonts w:eastAsiaTheme="minorEastAsia"/>
          <w:sz w:val="24"/>
        </w:rPr>
        <w:t xml:space="preserve">Machine learning can be used in future studies to more efficiently filter tweets. </w:t>
      </w:r>
    </w:p>
    <w:p w14:paraId="7BDF1675" w14:textId="13F58EA5" w:rsidR="002819BF" w:rsidRDefault="00163CDF" w:rsidP="0068103F">
      <w:pPr>
        <w:spacing w:line="480" w:lineRule="auto"/>
        <w:rPr>
          <w:rFonts w:eastAsiaTheme="minorEastAsia"/>
          <w:sz w:val="24"/>
        </w:rPr>
      </w:pPr>
      <w:r>
        <w:rPr>
          <w:rFonts w:eastAsiaTheme="minorEastAsia"/>
          <w:sz w:val="24"/>
        </w:rPr>
        <w:tab/>
      </w:r>
      <w:r w:rsidR="00AA005D">
        <w:rPr>
          <w:rFonts w:eastAsiaTheme="minorEastAsia"/>
          <w:sz w:val="24"/>
        </w:rPr>
        <w:t>S</w:t>
      </w:r>
      <w:r w:rsidR="00C1601D">
        <w:rPr>
          <w:rFonts w:eastAsiaTheme="minorEastAsia"/>
          <w:sz w:val="24"/>
        </w:rPr>
        <w:t xml:space="preserve">ample sizes, and keywords used to acquire tweets were also limitations. </w:t>
      </w:r>
      <w:r w:rsidR="00976CE0">
        <w:rPr>
          <w:sz w:val="24"/>
        </w:rPr>
        <w:t>Tornado-</w:t>
      </w:r>
      <w:r w:rsidR="0029152F">
        <w:rPr>
          <w:sz w:val="24"/>
        </w:rPr>
        <w:t xml:space="preserve">outbreak (WSG) tweets were acquired by inputting 11 (3) keywords into the API. The API initially returned 14,983 tornado outbreak and 25,836 WSG tweets. Upon filtering, 213 tornado outbreak and 2,881 WSG tweets remained. I therefore used only 1.42% </w:t>
      </w:r>
      <m:oMath>
        <m:d>
          <m:dPr>
            <m:ctrlPr>
              <w:rPr>
                <w:rFonts w:ascii="Cambria Math" w:hAnsi="Cambria Math"/>
                <w:i/>
                <w:sz w:val="24"/>
              </w:rPr>
            </m:ctrlPr>
          </m:dPr>
          <m:e>
            <m:f>
              <m:fPr>
                <m:ctrlPr>
                  <w:rPr>
                    <w:rFonts w:ascii="Cambria Math" w:hAnsi="Cambria Math"/>
                    <w:i/>
                    <w:sz w:val="24"/>
                  </w:rPr>
                </m:ctrlPr>
              </m:fPr>
              <m:num>
                <m:r>
                  <w:rPr>
                    <w:rFonts w:ascii="Cambria Math" w:hAnsi="Cambria Math"/>
                    <w:sz w:val="24"/>
                  </w:rPr>
                  <m:t>213</m:t>
                </m:r>
              </m:num>
              <m:den>
                <m:r>
                  <w:rPr>
                    <w:rFonts w:ascii="Cambria Math" w:hAnsi="Cambria Math"/>
                    <w:sz w:val="24"/>
                  </w:rPr>
                  <m:t>14,983</m:t>
                </m:r>
              </m:den>
            </m:f>
          </m:e>
        </m:d>
      </m:oMath>
      <w:r w:rsidR="0029152F">
        <w:rPr>
          <w:sz w:val="24"/>
        </w:rPr>
        <w:t xml:space="preserve"> tornado outbreak and 11.15% </w:t>
      </w:r>
      <m:oMath>
        <m:d>
          <m:dPr>
            <m:ctrlPr>
              <w:rPr>
                <w:rFonts w:ascii="Cambria Math" w:hAnsi="Cambria Math"/>
                <w:i/>
                <w:sz w:val="24"/>
              </w:rPr>
            </m:ctrlPr>
          </m:dPr>
          <m:e>
            <m:f>
              <m:fPr>
                <m:ctrlPr>
                  <w:rPr>
                    <w:rFonts w:ascii="Cambria Math" w:hAnsi="Cambria Math"/>
                    <w:i/>
                    <w:sz w:val="24"/>
                  </w:rPr>
                </m:ctrlPr>
              </m:fPr>
              <m:num>
                <m:r>
                  <w:rPr>
                    <w:rFonts w:ascii="Cambria Math" w:hAnsi="Cambria Math"/>
                    <w:sz w:val="24"/>
                  </w:rPr>
                  <m:t>14,983</m:t>
                </m:r>
              </m:num>
              <m:den>
                <m:r>
                  <w:rPr>
                    <w:rFonts w:ascii="Cambria Math" w:hAnsi="Cambria Math"/>
                    <w:sz w:val="24"/>
                  </w:rPr>
                  <m:t>25,836</m:t>
                </m:r>
              </m:den>
            </m:f>
          </m:e>
        </m:d>
      </m:oMath>
      <w:r w:rsidR="0029152F">
        <w:rPr>
          <w:rFonts w:eastAsiaTheme="minorEastAsia"/>
          <w:sz w:val="24"/>
        </w:rPr>
        <w:t xml:space="preserve"> twee</w:t>
      </w:r>
      <w:r w:rsidR="00203F17">
        <w:rPr>
          <w:rFonts w:eastAsiaTheme="minorEastAsia"/>
          <w:sz w:val="24"/>
        </w:rPr>
        <w:t>ts in my data analysis. Tornado-</w:t>
      </w:r>
      <w:r w:rsidR="0029152F">
        <w:rPr>
          <w:rFonts w:eastAsiaTheme="minorEastAsia"/>
          <w:sz w:val="24"/>
        </w:rPr>
        <w:t xml:space="preserve">outbreak tweets, acquired through the API, were noisy and largely off-topic. The keyword “basement” presented issues </w:t>
      </w:r>
      <w:r w:rsidR="0029152F">
        <w:rPr>
          <w:rFonts w:eastAsiaTheme="minorEastAsia"/>
          <w:sz w:val="24"/>
        </w:rPr>
        <w:lastRenderedPageBreak/>
        <w:t>which I determined through my attempt at filtering tweets through random samples. Instead of tweets mentioning “basement” in a protective-action sense such as, “I’m going to the basement because there are reports of a tornado near,” some tweets referred to The Basement (a bar in Atlanta, Georgia). I noticed similar issues with the keywords “hail” and “shelter,” when I tried to filter tweets. “Hail” tweets largely referenced Mardi Gras festivities while “shelter” tweets promoted animal shelters. I thought more API keywords would result in higher quality tweets that were more related to th</w:t>
      </w:r>
      <w:r w:rsidR="00976CE0">
        <w:rPr>
          <w:rFonts w:eastAsiaTheme="minorEastAsia"/>
          <w:sz w:val="24"/>
        </w:rPr>
        <w:t xml:space="preserve">e tornado outbreak itself, but </w:t>
      </w:r>
      <w:r w:rsidR="0029152F">
        <w:rPr>
          <w:rFonts w:eastAsiaTheme="minorEastAsia"/>
          <w:sz w:val="24"/>
        </w:rPr>
        <w:t xml:space="preserve">this was not the case. I </w:t>
      </w:r>
      <w:r w:rsidR="00976CE0">
        <w:rPr>
          <w:rFonts w:eastAsiaTheme="minorEastAsia"/>
          <w:sz w:val="24"/>
        </w:rPr>
        <w:t>suggest that researchers user fewer, more specific keywords</w:t>
      </w:r>
      <w:r w:rsidR="0029152F">
        <w:rPr>
          <w:rFonts w:eastAsiaTheme="minorEastAsia"/>
          <w:sz w:val="24"/>
        </w:rPr>
        <w:t xml:space="preserve"> </w:t>
      </w:r>
      <w:r w:rsidR="00976CE0">
        <w:rPr>
          <w:rFonts w:eastAsiaTheme="minorEastAsia"/>
          <w:sz w:val="24"/>
        </w:rPr>
        <w:t xml:space="preserve">to </w:t>
      </w:r>
      <w:r w:rsidR="0029152F">
        <w:rPr>
          <w:rFonts w:eastAsiaTheme="minorEastAsia"/>
          <w:sz w:val="24"/>
        </w:rPr>
        <w:t xml:space="preserve">yields more relevant tweets from Twitter’s </w:t>
      </w:r>
      <w:r w:rsidR="0029152F" w:rsidRPr="00694A90">
        <w:rPr>
          <w:rFonts w:eastAsiaTheme="minorEastAsia"/>
          <w:sz w:val="24"/>
        </w:rPr>
        <w:t>APIs.</w:t>
      </w:r>
      <w:r w:rsidR="00CF5DA9" w:rsidRPr="00694A90">
        <w:rPr>
          <w:rFonts w:eastAsiaTheme="minorEastAsia"/>
          <w:sz w:val="24"/>
        </w:rPr>
        <w:t xml:space="preserve"> Low sample size may also be attributed to </w:t>
      </w:r>
      <w:r w:rsidR="002819BF" w:rsidRPr="00694A90">
        <w:rPr>
          <w:rFonts w:eastAsiaTheme="minorEastAsia"/>
          <w:sz w:val="24"/>
        </w:rPr>
        <w:t xml:space="preserve">removing duplicate tweets, </w:t>
      </w:r>
      <w:r w:rsidR="00CF5DA9" w:rsidRPr="00694A90">
        <w:rPr>
          <w:rFonts w:eastAsiaTheme="minorEastAsia"/>
          <w:sz w:val="24"/>
        </w:rPr>
        <w:t>as part of my tweet cleaning scheme.</w:t>
      </w:r>
      <w:r w:rsidR="002819BF" w:rsidRPr="00694A90">
        <w:rPr>
          <w:rFonts w:eastAsiaTheme="minorEastAsia"/>
          <w:sz w:val="24"/>
        </w:rPr>
        <w:t xml:space="preserve"> </w:t>
      </w:r>
      <w:r w:rsidR="000D1CA4" w:rsidRPr="00694A90">
        <w:rPr>
          <w:rFonts w:eastAsiaTheme="minorEastAsia"/>
          <w:sz w:val="24"/>
        </w:rPr>
        <w:t>It is possible that retweeted tweets were removed when eliminating duplicates.</w:t>
      </w:r>
      <w:r w:rsidR="00FF55E1" w:rsidRPr="00694A90">
        <w:rPr>
          <w:rFonts w:eastAsiaTheme="minorEastAsia"/>
          <w:sz w:val="24"/>
        </w:rPr>
        <w:t xml:space="preserve"> </w:t>
      </w:r>
      <w:r w:rsidR="00A50B46" w:rsidRPr="00694A90">
        <w:rPr>
          <w:rFonts w:eastAsiaTheme="minorEastAsia"/>
          <w:sz w:val="24"/>
        </w:rPr>
        <w:t>Expansion diffusion may be observed</w:t>
      </w:r>
      <w:r w:rsidR="00FC684F" w:rsidRPr="00694A90">
        <w:rPr>
          <w:rFonts w:eastAsiaTheme="minorEastAsia"/>
          <w:sz w:val="24"/>
        </w:rPr>
        <w:t xml:space="preserve"> by analyzing retweets.</w:t>
      </w:r>
      <w:r w:rsidR="004F7263" w:rsidRPr="00694A90">
        <w:rPr>
          <w:rFonts w:eastAsiaTheme="minorEastAsia"/>
          <w:sz w:val="24"/>
        </w:rPr>
        <w:t xml:space="preserve"> For example, expansion diffusion would be observed if many people retweet</w:t>
      </w:r>
      <w:r w:rsidR="00595513">
        <w:rPr>
          <w:rFonts w:eastAsiaTheme="minorEastAsia"/>
          <w:sz w:val="24"/>
        </w:rPr>
        <w:t>ed</w:t>
      </w:r>
      <w:r w:rsidR="004F7263" w:rsidRPr="00694A90">
        <w:rPr>
          <w:rFonts w:eastAsiaTheme="minorEastAsia"/>
          <w:sz w:val="24"/>
        </w:rPr>
        <w:t xml:space="preserve"> a celebrity’s tweet.</w:t>
      </w:r>
      <w:r w:rsidR="00335C52" w:rsidRPr="00694A90">
        <w:rPr>
          <w:rFonts w:eastAsiaTheme="minorEastAsia"/>
          <w:sz w:val="24"/>
        </w:rPr>
        <w:t xml:space="preserve"> The tornado-outbreak sample size would likely be larger if duplicate tweets (and consequently, retweets) were not eliminated. </w:t>
      </w:r>
      <w:r w:rsidR="0085668E" w:rsidRPr="00694A90">
        <w:rPr>
          <w:rFonts w:eastAsiaTheme="minorEastAsia"/>
          <w:sz w:val="24"/>
        </w:rPr>
        <w:t>This would</w:t>
      </w:r>
      <w:r w:rsidR="0085668E">
        <w:rPr>
          <w:rFonts w:eastAsiaTheme="minorEastAsia"/>
          <w:sz w:val="24"/>
        </w:rPr>
        <w:t xml:space="preserve"> possibly alter tweet count, NNI, regression, and SDE results.</w:t>
      </w:r>
    </w:p>
    <w:p w14:paraId="2E055486" w14:textId="77777777" w:rsidR="00CB3FF7" w:rsidRDefault="00CB3FF7" w:rsidP="0068103F">
      <w:pPr>
        <w:spacing w:line="480" w:lineRule="auto"/>
        <w:rPr>
          <w:rFonts w:eastAsiaTheme="minorEastAsia"/>
          <w:sz w:val="24"/>
        </w:rPr>
      </w:pPr>
    </w:p>
    <w:p w14:paraId="1D885C1E" w14:textId="77777777" w:rsidR="00CB3FF7" w:rsidRDefault="00CB3FF7" w:rsidP="0068103F">
      <w:pPr>
        <w:spacing w:line="480" w:lineRule="auto"/>
        <w:rPr>
          <w:rFonts w:eastAsiaTheme="minorEastAsia"/>
          <w:sz w:val="24"/>
        </w:rPr>
      </w:pPr>
    </w:p>
    <w:p w14:paraId="1342B0A9" w14:textId="77777777" w:rsidR="00CB3FF7" w:rsidRDefault="00CB3FF7" w:rsidP="0068103F">
      <w:pPr>
        <w:spacing w:line="480" w:lineRule="auto"/>
        <w:rPr>
          <w:rFonts w:eastAsiaTheme="minorEastAsia"/>
          <w:sz w:val="24"/>
        </w:rPr>
      </w:pPr>
    </w:p>
    <w:p w14:paraId="007FFAFF" w14:textId="77777777" w:rsidR="00CB3FF7" w:rsidRDefault="00CB3FF7" w:rsidP="0068103F">
      <w:pPr>
        <w:spacing w:line="480" w:lineRule="auto"/>
        <w:rPr>
          <w:rFonts w:eastAsiaTheme="minorEastAsia"/>
          <w:sz w:val="24"/>
        </w:rPr>
      </w:pPr>
    </w:p>
    <w:p w14:paraId="48CCB392" w14:textId="77777777" w:rsidR="00CB3FF7" w:rsidRDefault="00CB3FF7" w:rsidP="0068103F">
      <w:pPr>
        <w:spacing w:line="480" w:lineRule="auto"/>
        <w:rPr>
          <w:rFonts w:eastAsiaTheme="minorEastAsia"/>
          <w:sz w:val="24"/>
        </w:rPr>
      </w:pPr>
    </w:p>
    <w:p w14:paraId="6F5AC783" w14:textId="77777777" w:rsidR="00E0722D" w:rsidRDefault="00E0722D" w:rsidP="00E0722D">
      <w:pPr>
        <w:rPr>
          <w:b/>
          <w:caps/>
          <w:sz w:val="28"/>
          <w:szCs w:val="28"/>
        </w:rPr>
      </w:pPr>
    </w:p>
    <w:p w14:paraId="5E717FF8" w14:textId="77777777" w:rsidR="00C17393" w:rsidRPr="00E0722D" w:rsidRDefault="00C17393" w:rsidP="00E0722D">
      <w:pPr>
        <w:jc w:val="center"/>
        <w:rPr>
          <w:b/>
          <w:caps/>
          <w:sz w:val="28"/>
          <w:szCs w:val="28"/>
        </w:rPr>
      </w:pPr>
      <w:r w:rsidRPr="00E0722D">
        <w:rPr>
          <w:b/>
          <w:caps/>
          <w:sz w:val="28"/>
          <w:szCs w:val="28"/>
        </w:rPr>
        <w:lastRenderedPageBreak/>
        <w:t>CHAPTER SIX</w:t>
      </w:r>
    </w:p>
    <w:p w14:paraId="43472FB3" w14:textId="77777777" w:rsidR="00C17393" w:rsidRPr="00E0722D" w:rsidRDefault="00C17393" w:rsidP="00E0722D">
      <w:pPr>
        <w:pStyle w:val="Heading1"/>
        <w:spacing w:line="480" w:lineRule="auto"/>
        <w:jc w:val="center"/>
        <w:rPr>
          <w:rFonts w:asciiTheme="minorHAnsi" w:hAnsiTheme="minorHAnsi"/>
          <w:b/>
          <w:caps/>
          <w:color w:val="auto"/>
          <w:sz w:val="28"/>
          <w:szCs w:val="28"/>
        </w:rPr>
      </w:pPr>
      <w:bookmarkStart w:id="55" w:name="_Toc56194408"/>
      <w:bookmarkStart w:id="56" w:name="_Toc56898397"/>
      <w:r w:rsidRPr="00E0722D">
        <w:rPr>
          <w:rFonts w:asciiTheme="minorHAnsi" w:hAnsiTheme="minorHAnsi"/>
          <w:b/>
          <w:caps/>
          <w:color w:val="auto"/>
          <w:sz w:val="28"/>
          <w:szCs w:val="28"/>
        </w:rPr>
        <w:t>CONCLUSION</w:t>
      </w:r>
      <w:bookmarkEnd w:id="55"/>
      <w:bookmarkEnd w:id="56"/>
    </w:p>
    <w:p w14:paraId="1CFDC15E" w14:textId="1E3A36D9" w:rsidR="00367F1F" w:rsidRDefault="008F2D78" w:rsidP="00E0722D">
      <w:pPr>
        <w:spacing w:line="480" w:lineRule="auto"/>
        <w:rPr>
          <w:sz w:val="24"/>
        </w:rPr>
      </w:pPr>
      <w:r>
        <w:rPr>
          <w:sz w:val="24"/>
        </w:rPr>
        <w:tab/>
        <w:t>I researched how tweet diffusion varies spatiotemporally during two case studies.</w:t>
      </w:r>
      <w:r w:rsidR="00842558">
        <w:rPr>
          <w:sz w:val="24"/>
        </w:rPr>
        <w:t xml:space="preserve"> I refer to WSG as a “multi-day, </w:t>
      </w:r>
      <w:r>
        <w:rPr>
          <w:sz w:val="24"/>
        </w:rPr>
        <w:t>synoptic” system because</w:t>
      </w:r>
      <w:r w:rsidR="00F609E4">
        <w:rPr>
          <w:sz w:val="24"/>
        </w:rPr>
        <w:t xml:space="preserve"> it occurred over multiple days and regions. </w:t>
      </w:r>
      <w:r w:rsidR="00D243A7">
        <w:rPr>
          <w:sz w:val="24"/>
        </w:rPr>
        <w:t>I consider m</w:t>
      </w:r>
      <w:r w:rsidR="00BF29AD">
        <w:rPr>
          <w:sz w:val="24"/>
        </w:rPr>
        <w:t xml:space="preserve">y second case study, a tornado outbreak, </w:t>
      </w:r>
      <w:r w:rsidR="00D243A7">
        <w:rPr>
          <w:sz w:val="24"/>
        </w:rPr>
        <w:t xml:space="preserve">a regional event because </w:t>
      </w:r>
      <w:r w:rsidR="00BF29AD">
        <w:rPr>
          <w:sz w:val="24"/>
        </w:rPr>
        <w:t xml:space="preserve">it </w:t>
      </w:r>
      <w:r w:rsidR="00D243A7">
        <w:rPr>
          <w:sz w:val="24"/>
        </w:rPr>
        <w:t>occurred in the Southeast.</w:t>
      </w:r>
      <w:r w:rsidR="003569BC">
        <w:rPr>
          <w:sz w:val="24"/>
        </w:rPr>
        <w:t xml:space="preserve"> </w:t>
      </w:r>
      <w:r w:rsidR="002D380C">
        <w:rPr>
          <w:sz w:val="24"/>
        </w:rPr>
        <w:t xml:space="preserve">Technically, this event is also caused by synoptic-scale forcing, but the storms actually causing the tornadoes are mesoscale in nature. </w:t>
      </w:r>
      <w:r w:rsidR="003569BC">
        <w:rPr>
          <w:sz w:val="24"/>
        </w:rPr>
        <w:t xml:space="preserve">Though atmospheric conditions favored severe weather </w:t>
      </w:r>
      <w:r w:rsidR="00FE475C">
        <w:rPr>
          <w:sz w:val="24"/>
        </w:rPr>
        <w:t>for</w:t>
      </w:r>
      <w:r w:rsidR="003569BC">
        <w:rPr>
          <w:sz w:val="24"/>
        </w:rPr>
        <w:t xml:space="preserve"> days prior, I selected 3 March</w:t>
      </w:r>
      <w:r w:rsidR="002306C1">
        <w:rPr>
          <w:sz w:val="24"/>
        </w:rPr>
        <w:t xml:space="preserve"> for my second case study because 80 tornadoes formed on this day.</w:t>
      </w:r>
      <w:r w:rsidR="001B73A1">
        <w:rPr>
          <w:sz w:val="24"/>
        </w:rPr>
        <w:t xml:space="preserve"> WSG covered more space (</w:t>
      </w:r>
      <w:r w:rsidR="009C1A08">
        <w:rPr>
          <w:sz w:val="24"/>
        </w:rPr>
        <w:t>2.5k ki</w:t>
      </w:r>
      <w:r w:rsidR="001B73A1">
        <w:rPr>
          <w:sz w:val="24"/>
        </w:rPr>
        <w:t>lometers versus 1.7k kilometer) than</w:t>
      </w:r>
      <w:r w:rsidR="007C4A7D">
        <w:rPr>
          <w:sz w:val="24"/>
        </w:rPr>
        <w:t xml:space="preserve"> the tornado-</w:t>
      </w:r>
      <w:r w:rsidR="009C1A08">
        <w:rPr>
          <w:sz w:val="24"/>
        </w:rPr>
        <w:t>outbreak area.</w:t>
      </w:r>
      <w:r w:rsidR="00E8491B">
        <w:rPr>
          <w:sz w:val="24"/>
        </w:rPr>
        <w:t xml:space="preserve"> </w:t>
      </w:r>
      <w:r w:rsidR="0014136A">
        <w:rPr>
          <w:sz w:val="24"/>
        </w:rPr>
        <w:t xml:space="preserve">Thousands of people lost electricity during WSG </w:t>
      </w:r>
      <w:r w:rsidR="00842558">
        <w:rPr>
          <w:sz w:val="24"/>
        </w:rPr>
        <w:t>and</w:t>
      </w:r>
      <w:r w:rsidR="0014136A">
        <w:rPr>
          <w:sz w:val="24"/>
        </w:rPr>
        <w:t xml:space="preserve"> 23 people lost their </w:t>
      </w:r>
      <w:r w:rsidR="006B0493">
        <w:rPr>
          <w:sz w:val="24"/>
        </w:rPr>
        <w:t>lives</w:t>
      </w:r>
      <w:r w:rsidR="0014136A">
        <w:rPr>
          <w:sz w:val="24"/>
        </w:rPr>
        <w:t xml:space="preserve"> during a particular tornado in central Alabama. Both hazardous weather events created a human impact; however, da</w:t>
      </w:r>
      <w:r w:rsidR="00A206BA">
        <w:rPr>
          <w:sz w:val="24"/>
        </w:rPr>
        <w:t>ily tweet counts indicate people remained interested in the tornado outbreak longer than WSG.</w:t>
      </w:r>
    </w:p>
    <w:p w14:paraId="60BC62AE" w14:textId="1505921F" w:rsidR="0034396A" w:rsidRDefault="003F75EC" w:rsidP="0068103F">
      <w:pPr>
        <w:spacing w:line="480" w:lineRule="auto"/>
        <w:rPr>
          <w:sz w:val="24"/>
        </w:rPr>
      </w:pPr>
      <w:r>
        <w:rPr>
          <w:sz w:val="24"/>
        </w:rPr>
        <w:tab/>
      </w:r>
      <w:r w:rsidR="00842558">
        <w:rPr>
          <w:sz w:val="24"/>
        </w:rPr>
        <w:t xml:space="preserve">The tweets for this work were acquired by </w:t>
      </w:r>
      <w:r w:rsidR="00367F1F">
        <w:rPr>
          <w:sz w:val="24"/>
        </w:rPr>
        <w:t>inputting keywords into Twitter’s Streaming and Searching APIs.</w:t>
      </w:r>
      <w:r w:rsidR="00C92EF5">
        <w:rPr>
          <w:sz w:val="24"/>
        </w:rPr>
        <w:t xml:space="preserve"> The APIs produced 25,836 WSG and 14,98</w:t>
      </w:r>
      <w:r w:rsidR="00842558">
        <w:rPr>
          <w:sz w:val="24"/>
        </w:rPr>
        <w:t>3 tornado-</w:t>
      </w:r>
      <w:r w:rsidR="00C92EF5">
        <w:rPr>
          <w:sz w:val="24"/>
        </w:rPr>
        <w:t>outbreak tweets. Filtering te</w:t>
      </w:r>
      <w:r w:rsidR="00224059">
        <w:rPr>
          <w:sz w:val="24"/>
        </w:rPr>
        <w:t>chniques reduced counts to 2,844</w:t>
      </w:r>
      <w:r w:rsidR="00C92EF5">
        <w:rPr>
          <w:sz w:val="24"/>
        </w:rPr>
        <w:t xml:space="preserve"> (WSG) and 213 (tornado outbreak) tweets.</w:t>
      </w:r>
      <w:r w:rsidR="00AD6AD6">
        <w:rPr>
          <w:sz w:val="24"/>
        </w:rPr>
        <w:t xml:space="preserve"> I first observed</w:t>
      </w:r>
      <w:r w:rsidR="00AA5219">
        <w:rPr>
          <w:sz w:val="24"/>
        </w:rPr>
        <w:t xml:space="preserve"> d</w:t>
      </w:r>
      <w:r w:rsidR="003C65D6">
        <w:rPr>
          <w:sz w:val="24"/>
        </w:rPr>
        <w:t xml:space="preserve">aily tweet counts. </w:t>
      </w:r>
      <w:r w:rsidR="009D31D3">
        <w:rPr>
          <w:sz w:val="24"/>
        </w:rPr>
        <w:t>P</w:t>
      </w:r>
      <w:r w:rsidR="00894A92">
        <w:rPr>
          <w:sz w:val="24"/>
        </w:rPr>
        <w:t>re</w:t>
      </w:r>
      <w:r w:rsidR="003C65D6">
        <w:rPr>
          <w:sz w:val="24"/>
        </w:rPr>
        <w:t>-event twee</w:t>
      </w:r>
      <w:r w:rsidR="001B73A1">
        <w:rPr>
          <w:sz w:val="24"/>
        </w:rPr>
        <w:t>ts steadily rose in the tornado-</w:t>
      </w:r>
      <w:r w:rsidR="003C65D6">
        <w:rPr>
          <w:sz w:val="24"/>
        </w:rPr>
        <w:t>outbreak case stud</w:t>
      </w:r>
      <w:r w:rsidR="00BB72C2">
        <w:rPr>
          <w:sz w:val="24"/>
        </w:rPr>
        <w:t xml:space="preserve">y, but dipped one day </w:t>
      </w:r>
      <w:r w:rsidR="003C65D6">
        <w:rPr>
          <w:sz w:val="24"/>
        </w:rPr>
        <w:t>in WSG. The greatest number of tweets occurred during the peak of each hazardous weather event</w:t>
      </w:r>
      <w:r w:rsidR="00BB72C2">
        <w:rPr>
          <w:sz w:val="24"/>
        </w:rPr>
        <w:t xml:space="preserve">. </w:t>
      </w:r>
      <w:r w:rsidR="005D5198">
        <w:rPr>
          <w:sz w:val="24"/>
        </w:rPr>
        <w:t>Post-event, t</w:t>
      </w:r>
      <w:r w:rsidR="00BA149C">
        <w:rPr>
          <w:sz w:val="24"/>
        </w:rPr>
        <w:t xml:space="preserve">weet counts </w:t>
      </w:r>
      <w:r w:rsidR="00776282">
        <w:rPr>
          <w:sz w:val="24"/>
        </w:rPr>
        <w:t>dropped imm</w:t>
      </w:r>
      <w:r w:rsidR="005D5198">
        <w:rPr>
          <w:sz w:val="24"/>
        </w:rPr>
        <w:t>edia</w:t>
      </w:r>
      <w:r w:rsidR="00A069D1">
        <w:rPr>
          <w:sz w:val="24"/>
        </w:rPr>
        <w:t>tely following event peaks, but, tweets</w:t>
      </w:r>
      <w:r w:rsidR="005D5198">
        <w:rPr>
          <w:sz w:val="24"/>
        </w:rPr>
        <w:t xml:space="preserve"> rebounded</w:t>
      </w:r>
      <w:r w:rsidR="00776282">
        <w:rPr>
          <w:sz w:val="24"/>
        </w:rPr>
        <w:t xml:space="preserve"> </w:t>
      </w:r>
      <w:r w:rsidR="00A069D1">
        <w:rPr>
          <w:sz w:val="24"/>
        </w:rPr>
        <w:t xml:space="preserve">slightly </w:t>
      </w:r>
      <w:r w:rsidR="00776282">
        <w:rPr>
          <w:sz w:val="24"/>
        </w:rPr>
        <w:t>on t</w:t>
      </w:r>
      <w:r w:rsidR="00BB72C2">
        <w:rPr>
          <w:sz w:val="24"/>
        </w:rPr>
        <w:t>he final day of the tornado-</w:t>
      </w:r>
      <w:r w:rsidR="00776282">
        <w:rPr>
          <w:sz w:val="24"/>
        </w:rPr>
        <w:t>outbreak case study.</w:t>
      </w:r>
      <w:r w:rsidR="00395A9D">
        <w:rPr>
          <w:sz w:val="24"/>
        </w:rPr>
        <w:t xml:space="preserve"> </w:t>
      </w:r>
    </w:p>
    <w:p w14:paraId="25ECE232" w14:textId="40E844FA" w:rsidR="007661C2" w:rsidRPr="00350E2E" w:rsidRDefault="0034396A" w:rsidP="0068103F">
      <w:pPr>
        <w:spacing w:line="480" w:lineRule="auto"/>
        <w:rPr>
          <w:sz w:val="24"/>
        </w:rPr>
      </w:pPr>
      <w:r>
        <w:rPr>
          <w:sz w:val="24"/>
        </w:rPr>
        <w:lastRenderedPageBreak/>
        <w:tab/>
        <w:t xml:space="preserve">I analyzed tweet diffusion in two different ways. First, I used </w:t>
      </w:r>
      <w:r w:rsidR="00395A9D">
        <w:rPr>
          <w:sz w:val="24"/>
        </w:rPr>
        <w:t>methods outlined by Lee et al. (2014)</w:t>
      </w:r>
      <w:r>
        <w:rPr>
          <w:sz w:val="24"/>
        </w:rPr>
        <w:t xml:space="preserve">; </w:t>
      </w:r>
      <w:r w:rsidR="004A073C">
        <w:rPr>
          <w:sz w:val="24"/>
        </w:rPr>
        <w:t>specifically</w:t>
      </w:r>
      <w:r>
        <w:rPr>
          <w:sz w:val="24"/>
        </w:rPr>
        <w:t>,</w:t>
      </w:r>
      <w:r w:rsidR="004A073C">
        <w:rPr>
          <w:sz w:val="24"/>
        </w:rPr>
        <w:t xml:space="preserve"> </w:t>
      </w:r>
      <w:r>
        <w:rPr>
          <w:sz w:val="24"/>
        </w:rPr>
        <w:t>I regressed</w:t>
      </w:r>
      <w:r w:rsidR="004A073C">
        <w:rPr>
          <w:sz w:val="24"/>
        </w:rPr>
        <w:t xml:space="preserve"> NNI values over time using </w:t>
      </w:r>
      <w:r w:rsidR="00395A9D">
        <w:rPr>
          <w:sz w:val="24"/>
        </w:rPr>
        <w:t>cubic and inverse regression</w:t>
      </w:r>
      <w:r w:rsidR="005B3C68">
        <w:rPr>
          <w:sz w:val="24"/>
        </w:rPr>
        <w:t xml:space="preserve"> models</w:t>
      </w:r>
      <w:r w:rsidR="00395A9D">
        <w:rPr>
          <w:sz w:val="24"/>
        </w:rPr>
        <w:t>.</w:t>
      </w:r>
      <w:r w:rsidR="00894A92">
        <w:rPr>
          <w:sz w:val="24"/>
        </w:rPr>
        <w:t xml:space="preserve"> </w:t>
      </w:r>
      <w:r w:rsidR="00AD671D">
        <w:rPr>
          <w:sz w:val="24"/>
        </w:rPr>
        <w:t xml:space="preserve">My regression models generally performed </w:t>
      </w:r>
      <w:r w:rsidR="00AD671D" w:rsidRPr="005B3C68">
        <w:rPr>
          <w:sz w:val="24"/>
        </w:rPr>
        <w:t xml:space="preserve">poorly, </w:t>
      </w:r>
      <w:r w:rsidR="00997035" w:rsidRPr="005B3C68">
        <w:rPr>
          <w:sz w:val="24"/>
        </w:rPr>
        <w:t xml:space="preserve">especially in the tornado-outbreak case study, </w:t>
      </w:r>
      <w:r w:rsidR="00AD671D" w:rsidRPr="005B3C68">
        <w:rPr>
          <w:sz w:val="24"/>
        </w:rPr>
        <w:t>as indicated by low R</w:t>
      </w:r>
      <w:r w:rsidR="00AD671D" w:rsidRPr="005B3C68">
        <w:rPr>
          <w:sz w:val="24"/>
          <w:vertAlign w:val="superscript"/>
        </w:rPr>
        <w:t>2</w:t>
      </w:r>
      <w:r w:rsidR="00AD671D" w:rsidRPr="005B3C68">
        <w:rPr>
          <w:sz w:val="24"/>
        </w:rPr>
        <w:t xml:space="preserve"> values.</w:t>
      </w:r>
      <w:r w:rsidR="00894A92" w:rsidRPr="005B3C68">
        <w:rPr>
          <w:sz w:val="24"/>
        </w:rPr>
        <w:t xml:space="preserve"> </w:t>
      </w:r>
      <w:r w:rsidR="00A907CD" w:rsidRPr="005B3C68">
        <w:rPr>
          <w:sz w:val="24"/>
        </w:rPr>
        <w:t xml:space="preserve">This finding suggests regression is not a suitable method for classifying hazardous weather tweet diffusion. </w:t>
      </w:r>
      <w:r w:rsidR="00EE5C6E" w:rsidRPr="005B3C68">
        <w:rPr>
          <w:sz w:val="24"/>
        </w:rPr>
        <w:t>High variance was observed over early hours in the regression analysis (as seen in Figures 8 and 9).</w:t>
      </w:r>
      <w:r w:rsidR="006F28D3" w:rsidRPr="005B3C68">
        <w:rPr>
          <w:sz w:val="24"/>
        </w:rPr>
        <w:t xml:space="preserve"> </w:t>
      </w:r>
      <w:r w:rsidR="002135C4" w:rsidRPr="005B3C68">
        <w:rPr>
          <w:sz w:val="24"/>
        </w:rPr>
        <w:t xml:space="preserve">This is </w:t>
      </w:r>
      <w:r w:rsidR="00F93ECB">
        <w:rPr>
          <w:sz w:val="24"/>
        </w:rPr>
        <w:t>possibly</w:t>
      </w:r>
      <w:r w:rsidR="002135C4" w:rsidRPr="005B3C68">
        <w:rPr>
          <w:sz w:val="24"/>
        </w:rPr>
        <w:t xml:space="preserve"> attributed to </w:t>
      </w:r>
      <w:r w:rsidR="00751AA3" w:rsidRPr="005B3C68">
        <w:rPr>
          <w:sz w:val="24"/>
        </w:rPr>
        <w:t>NNI calculations based on too few points. In other words, t</w:t>
      </w:r>
      <w:r w:rsidR="006F28D3" w:rsidRPr="005B3C68">
        <w:rPr>
          <w:sz w:val="24"/>
        </w:rPr>
        <w:t xml:space="preserve">here is </w:t>
      </w:r>
      <w:r w:rsidR="008F08F1">
        <w:rPr>
          <w:sz w:val="24"/>
        </w:rPr>
        <w:t>possibly</w:t>
      </w:r>
      <w:r w:rsidR="006F28D3" w:rsidRPr="005B3C68">
        <w:rPr>
          <w:sz w:val="24"/>
        </w:rPr>
        <w:t xml:space="preserve"> a minimum number of NNI values that must be present </w:t>
      </w:r>
      <w:r w:rsidR="00520161" w:rsidRPr="005B3C68">
        <w:rPr>
          <w:sz w:val="24"/>
        </w:rPr>
        <w:t xml:space="preserve">in a system </w:t>
      </w:r>
      <w:r w:rsidR="006F28D3" w:rsidRPr="005B3C68">
        <w:rPr>
          <w:sz w:val="24"/>
        </w:rPr>
        <w:t>prior</w:t>
      </w:r>
      <w:r w:rsidR="002135C4" w:rsidRPr="005B3C68">
        <w:rPr>
          <w:sz w:val="24"/>
        </w:rPr>
        <w:t xml:space="preserve"> to using as the dependent variable in a regression model. </w:t>
      </w:r>
      <w:r w:rsidR="00A907CD" w:rsidRPr="005B3C68">
        <w:rPr>
          <w:sz w:val="24"/>
        </w:rPr>
        <w:t>A complicated pattern emerges, as tweets are shared in virtual space while weather systems move across physical space</w:t>
      </w:r>
      <w:r w:rsidR="00127CD6" w:rsidRPr="005B3C68">
        <w:rPr>
          <w:sz w:val="24"/>
        </w:rPr>
        <w:t xml:space="preserve">. </w:t>
      </w:r>
      <w:r w:rsidR="005D4D11" w:rsidRPr="005B3C68">
        <w:rPr>
          <w:sz w:val="24"/>
        </w:rPr>
        <w:t>The tornado-outbreak case study also exists over multiple scales. The entire event is of the synoptic scale, while an individua</w:t>
      </w:r>
      <w:r w:rsidR="005F40D5" w:rsidRPr="005B3C68">
        <w:rPr>
          <w:sz w:val="24"/>
        </w:rPr>
        <w:t>l tornado is of the microscale. Simple regression models cannot account for complex phenomena that occur over multiple spaces an</w:t>
      </w:r>
      <w:r w:rsidR="00953E4A" w:rsidRPr="005B3C68">
        <w:rPr>
          <w:sz w:val="24"/>
        </w:rPr>
        <w:t>d, as is the case in the tornado outbreak, multiple scales.</w:t>
      </w:r>
      <w:r w:rsidR="006417F3" w:rsidRPr="005B3C68">
        <w:rPr>
          <w:sz w:val="24"/>
        </w:rPr>
        <w:t xml:space="preserve"> </w:t>
      </w:r>
      <w:r w:rsidR="00986766" w:rsidRPr="005B3C68">
        <w:rPr>
          <w:sz w:val="24"/>
        </w:rPr>
        <w:t xml:space="preserve">Next, </w:t>
      </w:r>
      <w:r w:rsidR="00BB6011" w:rsidRPr="005B3C68">
        <w:rPr>
          <w:sz w:val="24"/>
        </w:rPr>
        <w:t xml:space="preserve">I </w:t>
      </w:r>
      <w:r w:rsidR="00C50D94" w:rsidRPr="005B3C68">
        <w:rPr>
          <w:sz w:val="24"/>
        </w:rPr>
        <w:t>analyzed the data using SDEs</w:t>
      </w:r>
      <w:r w:rsidR="00EE3E11" w:rsidRPr="005B3C68">
        <w:rPr>
          <w:sz w:val="24"/>
        </w:rPr>
        <w:t>,</w:t>
      </w:r>
      <w:r w:rsidR="00C50D94" w:rsidRPr="005B3C68">
        <w:rPr>
          <w:sz w:val="24"/>
        </w:rPr>
        <w:t xml:space="preserve"> </w:t>
      </w:r>
      <w:r w:rsidR="00EE3E11" w:rsidRPr="005B3C68">
        <w:rPr>
          <w:sz w:val="24"/>
        </w:rPr>
        <w:t>and assessed</w:t>
      </w:r>
      <w:r w:rsidR="00BB6011" w:rsidRPr="005B3C68">
        <w:rPr>
          <w:sz w:val="24"/>
        </w:rPr>
        <w:t xml:space="preserve"> </w:t>
      </w:r>
      <w:r w:rsidR="00C803B7" w:rsidRPr="005B3C68">
        <w:rPr>
          <w:sz w:val="24"/>
        </w:rPr>
        <w:t xml:space="preserve">how tweet mean center locations changed throughout the duration of </w:t>
      </w:r>
      <w:r w:rsidR="00EE3E11" w:rsidRPr="005B3C68">
        <w:rPr>
          <w:sz w:val="24"/>
        </w:rPr>
        <w:t>the</w:t>
      </w:r>
      <w:r w:rsidR="00C803B7" w:rsidRPr="005B3C68">
        <w:rPr>
          <w:sz w:val="24"/>
        </w:rPr>
        <w:t xml:space="preserve"> events.</w:t>
      </w:r>
      <w:r w:rsidR="004D0AF0" w:rsidRPr="005B3C68">
        <w:rPr>
          <w:sz w:val="24"/>
        </w:rPr>
        <w:t xml:space="preserve"> </w:t>
      </w:r>
      <w:r w:rsidR="00C95DF1" w:rsidRPr="005B3C68">
        <w:rPr>
          <w:sz w:val="24"/>
        </w:rPr>
        <w:t>WSG tweets did not seem to follow the system’s path. Concentrations were consistently highest in the Ohio River Valley and Mid-Atlantic, even though WSG formed over the Great Pla</w:t>
      </w:r>
      <w:r w:rsidR="00EB637C" w:rsidRPr="005B3C68">
        <w:rPr>
          <w:sz w:val="24"/>
        </w:rPr>
        <w:t>ins and Mid-West first. Tornado-</w:t>
      </w:r>
      <w:r w:rsidR="00C95DF1" w:rsidRPr="005B3C68">
        <w:rPr>
          <w:sz w:val="24"/>
        </w:rPr>
        <w:t>outbreak SDE and tweets aligned with locations warned for sever</w:t>
      </w:r>
      <w:r w:rsidR="005F3840" w:rsidRPr="005B3C68">
        <w:rPr>
          <w:sz w:val="24"/>
        </w:rPr>
        <w:t xml:space="preserve">e convective weather by the </w:t>
      </w:r>
      <w:r w:rsidR="004553D3" w:rsidRPr="005B3C68">
        <w:rPr>
          <w:sz w:val="24"/>
        </w:rPr>
        <w:t>Storm Predicti</w:t>
      </w:r>
      <w:r w:rsidR="004553D3">
        <w:rPr>
          <w:sz w:val="24"/>
        </w:rPr>
        <w:t>on Center</w:t>
      </w:r>
      <w:r w:rsidR="005F3840">
        <w:rPr>
          <w:sz w:val="24"/>
        </w:rPr>
        <w:t xml:space="preserve">, rather than locations with high population densities. </w:t>
      </w:r>
      <w:r w:rsidR="007661C2">
        <w:rPr>
          <w:sz w:val="24"/>
        </w:rPr>
        <w:t xml:space="preserve">The final two days are an exception, as tweet counts rose due to broader interest in the overall </w:t>
      </w:r>
      <w:r w:rsidR="007661C2" w:rsidRPr="00456804">
        <w:rPr>
          <w:sz w:val="24"/>
        </w:rPr>
        <w:t>event.</w:t>
      </w:r>
      <w:r w:rsidR="00033DB7" w:rsidRPr="00456804">
        <w:rPr>
          <w:sz w:val="24"/>
        </w:rPr>
        <w:t xml:space="preserve"> My findings support the hypothesis that WSG demonstrated relocation diffusion because R</w:t>
      </w:r>
      <w:r w:rsidR="00033DB7" w:rsidRPr="00456804">
        <w:rPr>
          <w:sz w:val="24"/>
          <w:vertAlign w:val="superscript"/>
        </w:rPr>
        <w:t>2</w:t>
      </w:r>
      <w:r w:rsidR="00033DB7" w:rsidRPr="00456804">
        <w:rPr>
          <w:sz w:val="24"/>
        </w:rPr>
        <w:t xml:space="preserve"> values were highest in the cubic regression model.</w:t>
      </w:r>
      <w:r w:rsidR="00350E2E" w:rsidRPr="00456804">
        <w:rPr>
          <w:sz w:val="24"/>
        </w:rPr>
        <w:t xml:space="preserve"> Expansion diffusion was not observed in the tornado-outbreak case study, as originally </w:t>
      </w:r>
      <w:r w:rsidR="00350E2E" w:rsidRPr="00456804">
        <w:rPr>
          <w:sz w:val="24"/>
        </w:rPr>
        <w:lastRenderedPageBreak/>
        <w:t>predicted. R</w:t>
      </w:r>
      <w:r w:rsidR="00350E2E" w:rsidRPr="00456804">
        <w:rPr>
          <w:sz w:val="24"/>
          <w:vertAlign w:val="superscript"/>
        </w:rPr>
        <w:t>2</w:t>
      </w:r>
      <w:r w:rsidR="00350E2E" w:rsidRPr="00456804">
        <w:rPr>
          <w:sz w:val="24"/>
        </w:rPr>
        <w:t xml:space="preserve"> values were rather low, and the event’s complicated nature was not well-modeled via regression.</w:t>
      </w:r>
    </w:p>
    <w:p w14:paraId="09D95DFF" w14:textId="76365AF1" w:rsidR="002B650C" w:rsidRDefault="00E356DB" w:rsidP="00967906">
      <w:pPr>
        <w:spacing w:line="480" w:lineRule="auto"/>
        <w:rPr>
          <w:sz w:val="24"/>
        </w:rPr>
      </w:pPr>
      <w:r>
        <w:rPr>
          <w:sz w:val="24"/>
        </w:rPr>
        <w:tab/>
      </w:r>
      <w:r w:rsidR="00EE3E11">
        <w:rPr>
          <w:sz w:val="24"/>
        </w:rPr>
        <w:t xml:space="preserve">My thesis, </w:t>
      </w:r>
      <w:r w:rsidR="00C50D94">
        <w:rPr>
          <w:sz w:val="24"/>
        </w:rPr>
        <w:t>in combination with ongoin</w:t>
      </w:r>
      <w:r w:rsidR="00EE3E11">
        <w:rPr>
          <w:sz w:val="24"/>
        </w:rPr>
        <w:t xml:space="preserve">g and future works in this area, </w:t>
      </w:r>
      <w:r w:rsidR="00C50D94">
        <w:rPr>
          <w:sz w:val="24"/>
        </w:rPr>
        <w:t xml:space="preserve">will help </w:t>
      </w:r>
      <w:r w:rsidR="00495090">
        <w:rPr>
          <w:sz w:val="24"/>
        </w:rPr>
        <w:t>the research community better understand when people become aware of natural hazard events</w:t>
      </w:r>
      <w:r w:rsidR="007208A8">
        <w:rPr>
          <w:sz w:val="24"/>
        </w:rPr>
        <w:t xml:space="preserve"> and information</w:t>
      </w:r>
      <w:r w:rsidR="00495090">
        <w:rPr>
          <w:sz w:val="24"/>
        </w:rPr>
        <w:t>.</w:t>
      </w:r>
      <w:r w:rsidR="007533CF">
        <w:rPr>
          <w:sz w:val="24"/>
        </w:rPr>
        <w:t xml:space="preserve"> </w:t>
      </w:r>
      <w:r w:rsidR="00F77188">
        <w:rPr>
          <w:sz w:val="24"/>
        </w:rPr>
        <w:t xml:space="preserve">Multidisciplinary </w:t>
      </w:r>
      <w:r w:rsidR="00005013">
        <w:rPr>
          <w:sz w:val="24"/>
        </w:rPr>
        <w:t xml:space="preserve">research rooted in psychology, sociology, and human dynamics </w:t>
      </w:r>
      <w:r w:rsidR="00420EDF">
        <w:rPr>
          <w:sz w:val="24"/>
        </w:rPr>
        <w:t xml:space="preserve">can be used to approach </w:t>
      </w:r>
      <w:r w:rsidR="007208A8">
        <w:rPr>
          <w:sz w:val="24"/>
        </w:rPr>
        <w:t>the topics of weather awareness and spatiotemporal information diffusion from multiple angles.</w:t>
      </w:r>
      <w:r w:rsidR="00CE0E95">
        <w:rPr>
          <w:sz w:val="24"/>
        </w:rPr>
        <w:t xml:space="preserve"> </w:t>
      </w:r>
      <w:r w:rsidR="00067932">
        <w:rPr>
          <w:sz w:val="24"/>
        </w:rPr>
        <w:t xml:space="preserve">A </w:t>
      </w:r>
      <w:r w:rsidR="00005013">
        <w:rPr>
          <w:sz w:val="24"/>
        </w:rPr>
        <w:t>thorough content analysis</w:t>
      </w:r>
      <w:r w:rsidR="00BA3E7E">
        <w:rPr>
          <w:sz w:val="24"/>
        </w:rPr>
        <w:t xml:space="preserve"> can be used for a more comprehensive analysis of tweet diffusion</w:t>
      </w:r>
      <w:r w:rsidR="00D4672A">
        <w:rPr>
          <w:sz w:val="24"/>
        </w:rPr>
        <w:t>. Tweets often convey emotion, opinion, and tone</w:t>
      </w:r>
      <w:r w:rsidR="00F2362A">
        <w:rPr>
          <w:sz w:val="24"/>
        </w:rPr>
        <w:t xml:space="preserve">—none of which </w:t>
      </w:r>
      <w:r w:rsidR="00FE6741">
        <w:rPr>
          <w:sz w:val="24"/>
        </w:rPr>
        <w:t xml:space="preserve">were </w:t>
      </w:r>
      <w:r w:rsidR="00F2362A">
        <w:rPr>
          <w:sz w:val="24"/>
        </w:rPr>
        <w:t>captured by my thesis</w:t>
      </w:r>
      <w:r w:rsidR="00056C4E">
        <w:rPr>
          <w:sz w:val="24"/>
        </w:rPr>
        <w:t xml:space="preserve"> because I only examined tweet counts and tweet locations.</w:t>
      </w:r>
      <w:r w:rsidR="00550D1C">
        <w:rPr>
          <w:sz w:val="24"/>
        </w:rPr>
        <w:t xml:space="preserve"> </w:t>
      </w:r>
      <w:r w:rsidR="00BF4B86">
        <w:rPr>
          <w:sz w:val="24"/>
        </w:rPr>
        <w:t xml:space="preserve">Had the APIs provided more relevant </w:t>
      </w:r>
      <w:r w:rsidR="003978FA">
        <w:rPr>
          <w:sz w:val="24"/>
        </w:rPr>
        <w:t>tweets</w:t>
      </w:r>
      <w:r w:rsidR="00BF4B86">
        <w:rPr>
          <w:sz w:val="24"/>
        </w:rPr>
        <w:t>,</w:t>
      </w:r>
      <w:r w:rsidR="003978FA">
        <w:rPr>
          <w:sz w:val="24"/>
        </w:rPr>
        <w:t xml:space="preserve"> I would have looked into this further.</w:t>
      </w:r>
      <w:r w:rsidR="00DD5FCC">
        <w:rPr>
          <w:sz w:val="24"/>
        </w:rPr>
        <w:t xml:space="preserve"> </w:t>
      </w:r>
      <w:r w:rsidR="00C61497">
        <w:rPr>
          <w:sz w:val="24"/>
        </w:rPr>
        <w:t>Additional research examining</w:t>
      </w:r>
      <w:r w:rsidR="00550D1C">
        <w:rPr>
          <w:sz w:val="24"/>
        </w:rPr>
        <w:t xml:space="preserve"> </w:t>
      </w:r>
      <w:r w:rsidR="00C61497">
        <w:rPr>
          <w:sz w:val="24"/>
        </w:rPr>
        <w:t xml:space="preserve">tweet </w:t>
      </w:r>
      <w:r w:rsidR="00550D1C">
        <w:rPr>
          <w:sz w:val="24"/>
        </w:rPr>
        <w:t>content may help researchers better understand</w:t>
      </w:r>
      <w:r w:rsidR="00F02675">
        <w:rPr>
          <w:sz w:val="24"/>
        </w:rPr>
        <w:t xml:space="preserve"> when and how people</w:t>
      </w:r>
      <w:r w:rsidR="000B1A39">
        <w:rPr>
          <w:sz w:val="24"/>
        </w:rPr>
        <w:t xml:space="preserve"> become mindful of weather information shared on social media.</w:t>
      </w:r>
      <w:r w:rsidR="00C61497">
        <w:rPr>
          <w:sz w:val="24"/>
        </w:rPr>
        <w:t xml:space="preserve"> </w:t>
      </w:r>
    </w:p>
    <w:p w14:paraId="63A42BC2" w14:textId="686EBE4E" w:rsidR="00370B6F" w:rsidRDefault="00320E19" w:rsidP="004215E7">
      <w:pPr>
        <w:spacing w:line="480" w:lineRule="auto"/>
        <w:rPr>
          <w:sz w:val="24"/>
        </w:rPr>
      </w:pPr>
      <w:r>
        <w:rPr>
          <w:sz w:val="24"/>
        </w:rPr>
        <w:tab/>
      </w:r>
      <w:r w:rsidR="00E96534">
        <w:rPr>
          <w:sz w:val="24"/>
        </w:rPr>
        <w:t xml:space="preserve">Future studies may also determine whether </w:t>
      </w:r>
      <w:r w:rsidR="00C50D94">
        <w:rPr>
          <w:sz w:val="24"/>
        </w:rPr>
        <w:t>res</w:t>
      </w:r>
      <w:r w:rsidR="00544B39">
        <w:rPr>
          <w:sz w:val="24"/>
        </w:rPr>
        <w:t>ults are unique to my case studies</w:t>
      </w:r>
      <w:r w:rsidR="00E96534">
        <w:rPr>
          <w:sz w:val="24"/>
        </w:rPr>
        <w:t xml:space="preserve">, or if </w:t>
      </w:r>
      <w:r w:rsidR="00805AE8">
        <w:rPr>
          <w:sz w:val="24"/>
        </w:rPr>
        <w:t>other</w:t>
      </w:r>
      <w:r w:rsidR="00E96534">
        <w:rPr>
          <w:sz w:val="24"/>
        </w:rPr>
        <w:t xml:space="preserve"> weather events l</w:t>
      </w:r>
      <w:r w:rsidR="0052014C">
        <w:rPr>
          <w:sz w:val="24"/>
        </w:rPr>
        <w:t>ead</w:t>
      </w:r>
      <w:r w:rsidR="00E96534">
        <w:rPr>
          <w:sz w:val="24"/>
        </w:rPr>
        <w:t xml:space="preserve"> to similar findings.</w:t>
      </w:r>
      <w:r w:rsidR="00C70FB8">
        <w:rPr>
          <w:sz w:val="24"/>
        </w:rPr>
        <w:t xml:space="preserve"> Spec</w:t>
      </w:r>
      <w:r w:rsidR="008201F7">
        <w:rPr>
          <w:sz w:val="24"/>
        </w:rPr>
        <w:t xml:space="preserve">ifically, it is unclear whether </w:t>
      </w:r>
      <w:r w:rsidR="00E7593D">
        <w:rPr>
          <w:sz w:val="24"/>
        </w:rPr>
        <w:t xml:space="preserve">other </w:t>
      </w:r>
      <w:r w:rsidR="008201F7">
        <w:rPr>
          <w:sz w:val="24"/>
        </w:rPr>
        <w:t xml:space="preserve">tornadoes generate </w:t>
      </w:r>
      <w:r w:rsidR="008201F7" w:rsidRPr="00456804">
        <w:rPr>
          <w:sz w:val="24"/>
        </w:rPr>
        <w:t xml:space="preserve">interest on Twitter after initial events pass, </w:t>
      </w:r>
      <w:r w:rsidR="00DD5FCC" w:rsidRPr="00456804">
        <w:rPr>
          <w:sz w:val="24"/>
        </w:rPr>
        <w:t xml:space="preserve">suggested by </w:t>
      </w:r>
      <w:r w:rsidR="007C4A7D" w:rsidRPr="00456804">
        <w:rPr>
          <w:sz w:val="24"/>
        </w:rPr>
        <w:t>my tornado-</w:t>
      </w:r>
      <w:r w:rsidR="008201F7" w:rsidRPr="00456804">
        <w:rPr>
          <w:sz w:val="24"/>
        </w:rPr>
        <w:t xml:space="preserve">outbreak case study. </w:t>
      </w:r>
      <w:r w:rsidR="00370B6F" w:rsidRPr="00456804">
        <w:rPr>
          <w:sz w:val="24"/>
        </w:rPr>
        <w:t xml:space="preserve">Future studies can use my methods to study tweet diffusion throughout different contemporary or historical case studies. </w:t>
      </w:r>
      <w:r w:rsidR="00370B6F" w:rsidRPr="00456804">
        <w:rPr>
          <w:sz w:val="24"/>
        </w:rPr>
        <w:fldChar w:fldCharType="begin" w:fldLock="1"/>
      </w:r>
      <w:r w:rsidR="00FE6188" w:rsidRPr="00456804">
        <w:rPr>
          <w:sz w:val="24"/>
        </w:rPr>
        <w:instrText>ADDIN CSL_CITATION {"citationItems":[{"id":"ITEM-1","itemData":{"DOI":"10.1111/gec3.12404","ISSN":"17498198","abstract":"Many datasets nowadays contain links between geographic locations and natural language texts. These links can be geotags, such as geotagged tweets or geotagged Wikipedia pages, in which location coordinates are explicitly attached to texts. These links can also be place mentions, such as those in news articles, travel blogs, or historical archives, in which texts are implicitly connected to the mentioned places. This kind of data is referred to as geo-text data. The availability of large amounts of geo-text data brings both challenges and opportunities. On the one hand, it is challenging to automatically process this kind of data due to the unstructured texts and the complex spatial footprints of some places. On the other hand, geo-text data offers unique research opportunities through the rich information contained in texts and the special links between texts and geography. As a result, geo-text data facilitates various studies especially those in data-driven geospatial semantics. This paper discusses geo-text data and related concepts. With a focus on data-driven research, this paper systematically reviews a large number of studies that have discovered multiple types of knowledge from geo-text data. Based on the literature review, a generalized workflow is extracted and key challenges for future work are discussed.","author":[{"dropping-particle":"","family":"Hu","given":"Yingjie","non-dropping-particle":"","parse-names":false,"suffix":""}],"container-title":"Geography Compass","id":"ITEM-1","issue":"11","issued":{"date-parts":[["2018"]]},"title":"Geo-text data and data-driven geospatial semantics","type":"article-journal","volume":"12"},"uris":["http://www.mendeley.com/documents/?uuid=a857c527-fac8-4e01-97d8-749afd528b29"]}],"mendeley":{"formattedCitation":"(Hu, 2018)","manualFormatting":"Hu (2018)","plainTextFormattedCitation":"(Hu, 2018)","previouslyFormattedCitation":"(Hu, 2018)"},"properties":{"noteIndex":0},"schema":"https://github.com/citation-style-language/schema/raw/master/csl-citation.json"}</w:instrText>
      </w:r>
      <w:r w:rsidR="00370B6F" w:rsidRPr="00456804">
        <w:rPr>
          <w:sz w:val="24"/>
        </w:rPr>
        <w:fldChar w:fldCharType="separate"/>
      </w:r>
      <w:r w:rsidR="00370B6F" w:rsidRPr="00456804">
        <w:rPr>
          <w:noProof/>
          <w:sz w:val="24"/>
        </w:rPr>
        <w:t>Hu (2018)</w:t>
      </w:r>
      <w:r w:rsidR="00370B6F" w:rsidRPr="00456804">
        <w:rPr>
          <w:sz w:val="24"/>
        </w:rPr>
        <w:fldChar w:fldCharType="end"/>
      </w:r>
      <w:r w:rsidR="00370B6F" w:rsidRPr="00456804">
        <w:rPr>
          <w:sz w:val="24"/>
        </w:rPr>
        <w:t xml:space="preserve"> examined tweets counts before, during, and after Hurricane Irma (2017); however, methods used did not include NNI, regression, or SDE. Coastal NWS offices may take particular interest in studies analyzing hurricane-related tweet diffusion to gain insight of what community members are thinking and feeling during a hazardous weather event. Such valuable information can help community leaders better educate and inform the public during a potentially chaotic situation.</w:t>
      </w:r>
    </w:p>
    <w:p w14:paraId="7E83A278" w14:textId="77777777" w:rsidR="00897DC0" w:rsidRDefault="00897DC0" w:rsidP="004215E7">
      <w:pPr>
        <w:spacing w:line="480" w:lineRule="auto"/>
        <w:rPr>
          <w:sz w:val="24"/>
        </w:rPr>
      </w:pPr>
      <w:r>
        <w:rPr>
          <w:sz w:val="24"/>
        </w:rPr>
        <w:lastRenderedPageBreak/>
        <w:tab/>
      </w:r>
      <w:r w:rsidR="000F68F9">
        <w:rPr>
          <w:sz w:val="24"/>
        </w:rPr>
        <w:t xml:space="preserve">While WSG impacted multiple regions including the Rockies, Mid-West, Ohio River Valley, and Mid-Atlantic, I did not perform a comprehensive regional tweet analysis. </w:t>
      </w:r>
      <w:r w:rsidR="00FD30F3">
        <w:rPr>
          <w:sz w:val="24"/>
        </w:rPr>
        <w:t>There</w:t>
      </w:r>
      <w:r w:rsidR="009F4A7E">
        <w:rPr>
          <w:sz w:val="24"/>
        </w:rPr>
        <w:t xml:space="preserve"> are likely different </w:t>
      </w:r>
      <w:r w:rsidR="00810EF5">
        <w:rPr>
          <w:sz w:val="24"/>
        </w:rPr>
        <w:t xml:space="preserve">barriers as well as </w:t>
      </w:r>
      <w:r w:rsidR="009F4A7E">
        <w:rPr>
          <w:sz w:val="24"/>
        </w:rPr>
        <w:t xml:space="preserve">social, cultural, or climatological </w:t>
      </w:r>
      <w:r w:rsidR="00FD30F3">
        <w:rPr>
          <w:sz w:val="24"/>
        </w:rPr>
        <w:t xml:space="preserve">factors that may help explain tweet behavior across different regions. </w:t>
      </w:r>
      <w:r w:rsidR="009F4A7E">
        <w:rPr>
          <w:sz w:val="24"/>
        </w:rPr>
        <w:t xml:space="preserve">Mid-Westerners, for instance, may be more conditioned to winter weather than people in the Mid-Atlantic. </w:t>
      </w:r>
      <w:r w:rsidR="001E5772">
        <w:rPr>
          <w:sz w:val="24"/>
        </w:rPr>
        <w:t>The Southeast, though st</w:t>
      </w:r>
      <w:r w:rsidR="00304B70">
        <w:rPr>
          <w:sz w:val="24"/>
        </w:rPr>
        <w:t>udied as one area in my tornado-</w:t>
      </w:r>
      <w:r w:rsidR="001E5772">
        <w:rPr>
          <w:sz w:val="24"/>
        </w:rPr>
        <w:t xml:space="preserve">outbreak case study, can likely </w:t>
      </w:r>
      <w:r w:rsidR="00DD5FCC">
        <w:rPr>
          <w:sz w:val="24"/>
        </w:rPr>
        <w:t>break</w:t>
      </w:r>
      <w:r w:rsidR="001E5772">
        <w:rPr>
          <w:sz w:val="24"/>
        </w:rPr>
        <w:t xml:space="preserve"> down into smaller sub-regions. </w:t>
      </w:r>
      <w:r w:rsidR="00F0134A">
        <w:rPr>
          <w:sz w:val="24"/>
        </w:rPr>
        <w:t xml:space="preserve">Each sub-region may also have different factors that could </w:t>
      </w:r>
      <w:r w:rsidR="00911493">
        <w:rPr>
          <w:sz w:val="24"/>
        </w:rPr>
        <w:t>influence</w:t>
      </w:r>
      <w:r w:rsidR="00F0134A">
        <w:rPr>
          <w:sz w:val="24"/>
        </w:rPr>
        <w:t xml:space="preserve"> one to tweet. </w:t>
      </w:r>
      <w:r w:rsidR="005A134B">
        <w:rPr>
          <w:sz w:val="24"/>
        </w:rPr>
        <w:t>For example, p</w:t>
      </w:r>
      <w:r w:rsidR="00F0134A">
        <w:rPr>
          <w:sz w:val="24"/>
        </w:rPr>
        <w:t xml:space="preserve">eople who live in rural locations may have more personal experience with tornadoes than individuals who live in cities. </w:t>
      </w:r>
      <w:r w:rsidR="005A134B">
        <w:rPr>
          <w:sz w:val="24"/>
        </w:rPr>
        <w:t xml:space="preserve">Future research can determine the effect of regions on tweet patterns. </w:t>
      </w:r>
    </w:p>
    <w:p w14:paraId="2ED5D012" w14:textId="35287A46" w:rsidR="009F4A7E" w:rsidRDefault="00897DC0" w:rsidP="004215E7">
      <w:pPr>
        <w:spacing w:line="480" w:lineRule="auto"/>
        <w:rPr>
          <w:sz w:val="24"/>
        </w:rPr>
      </w:pPr>
      <w:r>
        <w:rPr>
          <w:sz w:val="24"/>
        </w:rPr>
        <w:tab/>
      </w:r>
      <w:r w:rsidR="00C50D94">
        <w:rPr>
          <w:sz w:val="24"/>
        </w:rPr>
        <w:t>I noticed SDEs and Convective Outlook</w:t>
      </w:r>
      <w:r w:rsidR="00F2409C">
        <w:rPr>
          <w:sz w:val="24"/>
        </w:rPr>
        <w:t xml:space="preserve"> risk levels ali</w:t>
      </w:r>
      <w:r w:rsidR="004610E8">
        <w:rPr>
          <w:sz w:val="24"/>
        </w:rPr>
        <w:t>gned fairly well in the tornado-</w:t>
      </w:r>
      <w:r w:rsidR="00F2409C">
        <w:rPr>
          <w:sz w:val="24"/>
        </w:rPr>
        <w:t xml:space="preserve">outbreak case study. </w:t>
      </w:r>
      <w:r>
        <w:rPr>
          <w:sz w:val="24"/>
        </w:rPr>
        <w:t>One</w:t>
      </w:r>
      <w:r w:rsidR="00F2409C">
        <w:rPr>
          <w:sz w:val="24"/>
        </w:rPr>
        <w:t xml:space="preserve"> </w:t>
      </w:r>
      <w:r w:rsidR="0052014C">
        <w:rPr>
          <w:sz w:val="24"/>
        </w:rPr>
        <w:t xml:space="preserve">additional </w:t>
      </w:r>
      <w:r>
        <w:rPr>
          <w:sz w:val="24"/>
        </w:rPr>
        <w:t xml:space="preserve">future </w:t>
      </w:r>
      <w:r w:rsidR="00F2409C">
        <w:rPr>
          <w:sz w:val="24"/>
        </w:rPr>
        <w:t>study may include quantitatively comp</w:t>
      </w:r>
      <w:r w:rsidR="0009516D">
        <w:rPr>
          <w:sz w:val="24"/>
        </w:rPr>
        <w:t>aring the overlap of SDEs and Convective Outlook</w:t>
      </w:r>
      <w:r w:rsidR="00F2409C">
        <w:rPr>
          <w:sz w:val="24"/>
        </w:rPr>
        <w:t xml:space="preserve"> risk levels in future tornado outbreaks.</w:t>
      </w:r>
      <w:r w:rsidR="00544B39">
        <w:rPr>
          <w:sz w:val="24"/>
        </w:rPr>
        <w:t xml:space="preserve"> While this was the original goal for my work, the sample size in my study limits my ability to draw these conclusions.</w:t>
      </w:r>
      <w:r w:rsidR="000F68F9">
        <w:rPr>
          <w:sz w:val="24"/>
        </w:rPr>
        <w:t xml:space="preserve"> </w:t>
      </w:r>
    </w:p>
    <w:p w14:paraId="30516CAD" w14:textId="64B4773D" w:rsidR="005740F4" w:rsidRPr="00192EA7" w:rsidRDefault="00A36F40" w:rsidP="00192EA7">
      <w:pPr>
        <w:spacing w:line="480" w:lineRule="auto"/>
        <w:rPr>
          <w:sz w:val="24"/>
        </w:rPr>
      </w:pPr>
      <w:r>
        <w:rPr>
          <w:sz w:val="24"/>
        </w:rPr>
        <w:tab/>
        <w:t>I believe my research is important for communities.</w:t>
      </w:r>
      <w:r w:rsidR="00294D9E">
        <w:rPr>
          <w:sz w:val="24"/>
        </w:rPr>
        <w:t xml:space="preserve"> </w:t>
      </w:r>
      <w:r w:rsidR="00165F6F">
        <w:rPr>
          <w:sz w:val="24"/>
        </w:rPr>
        <w:t>Local NWS forecasters, e</w:t>
      </w:r>
      <w:r w:rsidR="003E4646">
        <w:rPr>
          <w:sz w:val="24"/>
        </w:rPr>
        <w:t xml:space="preserve">mergency managers, media </w:t>
      </w:r>
      <w:r w:rsidR="00930F49">
        <w:rPr>
          <w:sz w:val="24"/>
        </w:rPr>
        <w:t>personnel</w:t>
      </w:r>
      <w:r w:rsidR="00165F6F">
        <w:rPr>
          <w:sz w:val="24"/>
        </w:rPr>
        <w:t xml:space="preserve">, and </w:t>
      </w:r>
      <w:r w:rsidR="00F32EA8">
        <w:rPr>
          <w:sz w:val="24"/>
        </w:rPr>
        <w:t>government officials</w:t>
      </w:r>
      <w:r w:rsidR="00165F6F">
        <w:rPr>
          <w:sz w:val="24"/>
        </w:rPr>
        <w:t xml:space="preserve"> routinely share weather information with the public. </w:t>
      </w:r>
      <w:r w:rsidR="00EB2D82">
        <w:rPr>
          <w:sz w:val="24"/>
        </w:rPr>
        <w:t xml:space="preserve">These individuals can use my research </w:t>
      </w:r>
      <w:r w:rsidR="00541340">
        <w:rPr>
          <w:sz w:val="24"/>
        </w:rPr>
        <w:t xml:space="preserve">and similar works </w:t>
      </w:r>
      <w:r w:rsidR="00EB2D82">
        <w:rPr>
          <w:sz w:val="24"/>
        </w:rPr>
        <w:t>to understand how weathe</w:t>
      </w:r>
      <w:r w:rsidR="006C6958">
        <w:rPr>
          <w:sz w:val="24"/>
        </w:rPr>
        <w:t xml:space="preserve">r information spreads on Twitter, and improve </w:t>
      </w:r>
      <w:r w:rsidR="00CC7E66">
        <w:rPr>
          <w:sz w:val="24"/>
        </w:rPr>
        <w:t xml:space="preserve">hazardous weather </w:t>
      </w:r>
      <w:r w:rsidR="006C6958">
        <w:rPr>
          <w:sz w:val="24"/>
        </w:rPr>
        <w:t xml:space="preserve">communication </w:t>
      </w:r>
      <w:r w:rsidR="00CC7E66">
        <w:rPr>
          <w:sz w:val="24"/>
        </w:rPr>
        <w:t xml:space="preserve">or education </w:t>
      </w:r>
      <w:r w:rsidR="006C6958">
        <w:rPr>
          <w:sz w:val="24"/>
        </w:rPr>
        <w:t>efforts.</w:t>
      </w:r>
      <w:r w:rsidR="00541340">
        <w:rPr>
          <w:sz w:val="24"/>
        </w:rPr>
        <w:t xml:space="preserve"> </w:t>
      </w:r>
      <w:r w:rsidR="00F32EA8">
        <w:rPr>
          <w:sz w:val="24"/>
        </w:rPr>
        <w:t xml:space="preserve">Community leaders can use </w:t>
      </w:r>
      <w:r w:rsidR="00541340">
        <w:rPr>
          <w:sz w:val="24"/>
        </w:rPr>
        <w:t>the</w:t>
      </w:r>
      <w:r w:rsidR="00F32EA8">
        <w:rPr>
          <w:sz w:val="24"/>
        </w:rPr>
        <w:t xml:space="preserve"> findings </w:t>
      </w:r>
      <w:r w:rsidR="00541340">
        <w:rPr>
          <w:sz w:val="24"/>
        </w:rPr>
        <w:t xml:space="preserve">I presented </w:t>
      </w:r>
      <w:r w:rsidR="00F32EA8">
        <w:rPr>
          <w:sz w:val="24"/>
        </w:rPr>
        <w:t>to better understand human experience during hazardous weather</w:t>
      </w:r>
      <w:r w:rsidR="00CC7E66">
        <w:rPr>
          <w:sz w:val="24"/>
        </w:rPr>
        <w:t xml:space="preserve"> events</w:t>
      </w:r>
      <w:r w:rsidR="00F32EA8">
        <w:rPr>
          <w:sz w:val="24"/>
        </w:rPr>
        <w:t>.</w:t>
      </w:r>
      <w:r w:rsidR="00B9732A">
        <w:rPr>
          <w:sz w:val="24"/>
        </w:rPr>
        <w:t xml:space="preserve"> </w:t>
      </w:r>
    </w:p>
    <w:p w14:paraId="1AEE503A" w14:textId="77777777" w:rsidR="00A36C9D" w:rsidRPr="009F6A3E" w:rsidRDefault="00A36C9D" w:rsidP="00F1558C">
      <w:pPr>
        <w:pStyle w:val="Heading1"/>
        <w:spacing w:line="480" w:lineRule="auto"/>
        <w:jc w:val="center"/>
        <w:rPr>
          <w:rFonts w:asciiTheme="minorHAnsi" w:hAnsiTheme="minorHAnsi"/>
          <w:b/>
          <w:caps/>
          <w:color w:val="auto"/>
          <w:sz w:val="28"/>
        </w:rPr>
      </w:pPr>
      <w:bookmarkStart w:id="57" w:name="_Toc56898398"/>
      <w:r w:rsidRPr="009F6A3E">
        <w:rPr>
          <w:rFonts w:asciiTheme="minorHAnsi" w:hAnsiTheme="minorHAnsi"/>
          <w:b/>
          <w:caps/>
          <w:color w:val="auto"/>
          <w:sz w:val="28"/>
        </w:rPr>
        <w:lastRenderedPageBreak/>
        <w:t>References</w:t>
      </w:r>
      <w:bookmarkEnd w:id="57"/>
    </w:p>
    <w:p w14:paraId="2F795E19" w14:textId="4AA3FDB1" w:rsidR="00B56F08" w:rsidRPr="00B56F08" w:rsidRDefault="00A36C9D" w:rsidP="006F1AE6">
      <w:pPr>
        <w:widowControl w:val="0"/>
        <w:autoSpaceDE w:val="0"/>
        <w:autoSpaceDN w:val="0"/>
        <w:adjustRightInd w:val="0"/>
        <w:spacing w:line="240" w:lineRule="auto"/>
        <w:ind w:left="480" w:hanging="480"/>
        <w:rPr>
          <w:rFonts w:ascii="Calibri" w:hAnsi="Calibri" w:cs="Times New Roman"/>
          <w:noProof/>
          <w:sz w:val="24"/>
          <w:szCs w:val="24"/>
        </w:rPr>
      </w:pPr>
      <w:r>
        <w:rPr>
          <w:sz w:val="24"/>
        </w:rPr>
        <w:fldChar w:fldCharType="begin" w:fldLock="1"/>
      </w:r>
      <w:r>
        <w:rPr>
          <w:sz w:val="24"/>
        </w:rPr>
        <w:instrText xml:space="preserve">ADDIN Mendeley Bibliography CSL_BIBLIOGRAPHY </w:instrText>
      </w:r>
      <w:r>
        <w:rPr>
          <w:sz w:val="24"/>
        </w:rPr>
        <w:fldChar w:fldCharType="separate"/>
      </w:r>
      <w:r w:rsidR="00B56F08" w:rsidRPr="00B56F08">
        <w:rPr>
          <w:rFonts w:ascii="Calibri" w:hAnsi="Calibri" w:cs="Times New Roman"/>
          <w:noProof/>
          <w:sz w:val="24"/>
          <w:szCs w:val="24"/>
        </w:rPr>
        <w:t>@NWSSPC. (2019). “2:02pm CST #SPC Day1 Outlook Enhanced Risk: across parts of southern alabama, the far western florida panhandle, southwest and south-central georgia http://go.usa.gov/YWq5.” Retrieved from https://twitter.com/NWSSPC/status/1102299452285640706</w:t>
      </w:r>
    </w:p>
    <w:p w14:paraId="5E1BAE6F"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@NWSWPC. (2019a). “#Snow is slowly tapering off over the Midwest and Ohio Valley but will continue into the evening over the interior Mid-Atlantic. https://wpc.ncep.noaa.gov/#page=frt.” Retrieved from https://twitter.com/NWSWPC/status/1084541815792025600</w:t>
      </w:r>
    </w:p>
    <w:p w14:paraId="66FFD1DB"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@NWSWPC. (2019b). “Moisture begins to increase by Friday ahead of a developing low pressure system in the Southern Plains http://go.usa.gov/cu3Wx.” Retrieved from https://twitter.com/NWSWPC/status/1082971559420194816</w:t>
      </w:r>
    </w:p>
    <w:p w14:paraId="7F22B039"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@weatherchannel. (2019a). “A late-week snowmaker could impacts parts of the South, Midwest and East: https://wxch.nl/2FdJ2vd.” Retrieved from https://twitter.com/weatherchannel/status/1082428419349139458</w:t>
      </w:r>
    </w:p>
    <w:p w14:paraId="4DD8DEE6" w14:textId="734EF88A" w:rsidR="006F1AE6"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@weatherchannel. (2019b). “After the weekend’s #WinterStormGia, another snowstorm is looking increasingly likely Friday -&gt; next weekend in the Plains, Midwest and Northeast. https://wxch.nl/2HaZrlZ.” Retrieved from https://twitter.com/weatherchannel/status/1084782682532401152</w:t>
      </w:r>
    </w:p>
    <w:p w14:paraId="60130C30"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@weatherchannel. (2019c). “BREAKING: #WinterStormScott has been named and will bring heavy #snow from the Rockies into the Northeast with a #severe storm threat across parts of the South. We are LIVE now with all the details so you can plan your weekend.” Retrieved from https://twitter.com/weatherchannel/status/1101604582625632256</w:t>
      </w:r>
    </w:p>
    <w:p w14:paraId="55C78625"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@weatherchannel. (2019d). “Our latest thinking on Saturday’s #severe weather potential in the South, and whether Sunday’s threat is anything to worry about for areas recovering from last Sunday’s outbreak. https://wxch.nl/2UoBytl.” Retrieved from https://twitter.com/weatherchannel/status/1103989239254052865</w:t>
      </w:r>
    </w:p>
    <w:p w14:paraId="62722B2E"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@weatherchannel. (2019e). “See the before-and-after images of the damage caused by Sunday’s EF4 #tornado in Alabama: https://wxch.nl/2HjlxRx.” Retrieved from https://twitter.com/weatherchannel/status/1102969827864571904</w:t>
      </w:r>
    </w:p>
    <w:p w14:paraId="50EF7993"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@weatherunderground. (2019). “Sunday brings another chance for #severe storms across the South as our Coast-to-Coast storm brings #snow to the Plains &amp; into the Northeast. Have a question on these stories? Tweet us using #WUTV &amp; we’ll answer yours on the show!”. Retrieved from https://twitter.com/wunderground/status/1101266143627628544</w:t>
      </w:r>
    </w:p>
    <w:p w14:paraId="0E17CB88" w14:textId="77777777" w:rsid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About different types of Tweets. (2020). Retrieved June 24, 2020, from https://help.twitter.com/en/using-twitter/types-of-tweets</w:t>
      </w:r>
    </w:p>
    <w:p w14:paraId="6D8B7C08" w14:textId="77777777" w:rsidR="007E0C24" w:rsidRDefault="007E0C24" w:rsidP="006F1AE6">
      <w:pPr>
        <w:widowControl w:val="0"/>
        <w:autoSpaceDE w:val="0"/>
        <w:autoSpaceDN w:val="0"/>
        <w:adjustRightInd w:val="0"/>
        <w:spacing w:line="240" w:lineRule="auto"/>
        <w:ind w:left="480" w:hanging="480"/>
        <w:rPr>
          <w:rFonts w:ascii="Calibri" w:hAnsi="Calibri" w:cs="Times New Roman"/>
          <w:noProof/>
          <w:sz w:val="24"/>
          <w:szCs w:val="24"/>
        </w:rPr>
      </w:pPr>
    </w:p>
    <w:p w14:paraId="13EC0183" w14:textId="540C055F" w:rsidR="006F1AE6"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lastRenderedPageBreak/>
        <w:t>Access tokens. (2019). Retrieved September 8, 2019, from https://developer.twitter.com/en/docs/basics/authentication/guides/access-tokens.html</w:t>
      </w:r>
    </w:p>
    <w:p w14:paraId="74A46330"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Acharya, B. K., Cao, C., Xu, M., Chen, W., &amp; Pandit, S. (2018). Spatiotemporal Distribution and Geospatial Diffusion Patterns of 2013 Dengue Outbreak in Jhapa District, Nepal. </w:t>
      </w:r>
      <w:r w:rsidRPr="00B56F08">
        <w:rPr>
          <w:rFonts w:ascii="Calibri" w:hAnsi="Calibri" w:cs="Times New Roman"/>
          <w:i/>
          <w:iCs/>
          <w:noProof/>
          <w:sz w:val="24"/>
          <w:szCs w:val="24"/>
        </w:rPr>
        <w:t>Asia-Pacific Journal of Public Health</w:t>
      </w:r>
      <w:r w:rsidRPr="00B56F08">
        <w:rPr>
          <w:rFonts w:ascii="Calibri" w:hAnsi="Calibri" w:cs="Times New Roman"/>
          <w:noProof/>
          <w:sz w:val="24"/>
          <w:szCs w:val="24"/>
        </w:rPr>
        <w:t xml:space="preserve">, </w:t>
      </w:r>
      <w:r w:rsidRPr="00B56F08">
        <w:rPr>
          <w:rFonts w:ascii="Calibri" w:hAnsi="Calibri" w:cs="Times New Roman"/>
          <w:i/>
          <w:iCs/>
          <w:noProof/>
          <w:sz w:val="24"/>
          <w:szCs w:val="24"/>
        </w:rPr>
        <w:t>30</w:t>
      </w:r>
      <w:r w:rsidRPr="00B56F08">
        <w:rPr>
          <w:rFonts w:ascii="Calibri" w:hAnsi="Calibri" w:cs="Times New Roman"/>
          <w:noProof/>
          <w:sz w:val="24"/>
          <w:szCs w:val="24"/>
        </w:rPr>
        <w:t>(4), 396–405. https://doi.org/10.1177/1010539518769809</w:t>
      </w:r>
    </w:p>
    <w:p w14:paraId="617E0DD0"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Advanced Search. (2020). Retrieved July 29, 2020, from https://twitter.com/search-advanced?lang=en</w:t>
      </w:r>
    </w:p>
    <w:p w14:paraId="3BE4DBA0"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Alexander, D. E. (2014). Social Media in Disaster Risk Reduction and Crisis Management. </w:t>
      </w:r>
      <w:r w:rsidRPr="00B56F08">
        <w:rPr>
          <w:rFonts w:ascii="Calibri" w:hAnsi="Calibri" w:cs="Times New Roman"/>
          <w:i/>
          <w:iCs/>
          <w:noProof/>
          <w:sz w:val="24"/>
          <w:szCs w:val="24"/>
        </w:rPr>
        <w:t>Science and Engineering Ethics</w:t>
      </w:r>
      <w:r w:rsidRPr="00B56F08">
        <w:rPr>
          <w:rFonts w:ascii="Calibri" w:hAnsi="Calibri" w:cs="Times New Roman"/>
          <w:noProof/>
          <w:sz w:val="24"/>
          <w:szCs w:val="24"/>
        </w:rPr>
        <w:t xml:space="preserve">, </w:t>
      </w:r>
      <w:r w:rsidRPr="00B56F08">
        <w:rPr>
          <w:rFonts w:ascii="Calibri" w:hAnsi="Calibri" w:cs="Times New Roman"/>
          <w:i/>
          <w:iCs/>
          <w:noProof/>
          <w:sz w:val="24"/>
          <w:szCs w:val="24"/>
        </w:rPr>
        <w:t>20</w:t>
      </w:r>
      <w:r w:rsidRPr="00B56F08">
        <w:rPr>
          <w:rFonts w:ascii="Calibri" w:hAnsi="Calibri" w:cs="Times New Roman"/>
          <w:noProof/>
          <w:sz w:val="24"/>
          <w:szCs w:val="24"/>
        </w:rPr>
        <w:t>(3), 717–733. https://doi.org/10.1007/s11948-013-9502-z</w:t>
      </w:r>
    </w:p>
    <w:p w14:paraId="55CA54A7"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Altay, N., &amp; Pal, R. (2014). Information diffusion among agents: Implications for humanitarian operations. </w:t>
      </w:r>
      <w:r w:rsidRPr="00B56F08">
        <w:rPr>
          <w:rFonts w:ascii="Calibri" w:hAnsi="Calibri" w:cs="Times New Roman"/>
          <w:i/>
          <w:iCs/>
          <w:noProof/>
          <w:sz w:val="24"/>
          <w:szCs w:val="24"/>
        </w:rPr>
        <w:t>Production and Operations Management</w:t>
      </w:r>
      <w:r w:rsidRPr="00B56F08">
        <w:rPr>
          <w:rFonts w:ascii="Calibri" w:hAnsi="Calibri" w:cs="Times New Roman"/>
          <w:noProof/>
          <w:sz w:val="24"/>
          <w:szCs w:val="24"/>
        </w:rPr>
        <w:t xml:space="preserve">, </w:t>
      </w:r>
      <w:r w:rsidRPr="00B56F08">
        <w:rPr>
          <w:rFonts w:ascii="Calibri" w:hAnsi="Calibri" w:cs="Times New Roman"/>
          <w:i/>
          <w:iCs/>
          <w:noProof/>
          <w:sz w:val="24"/>
          <w:szCs w:val="24"/>
        </w:rPr>
        <w:t>23</w:t>
      </w:r>
      <w:r w:rsidRPr="00B56F08">
        <w:rPr>
          <w:rFonts w:ascii="Calibri" w:hAnsi="Calibri" w:cs="Times New Roman"/>
          <w:noProof/>
          <w:sz w:val="24"/>
          <w:szCs w:val="24"/>
        </w:rPr>
        <w:t>(6), 1015–1027. https://doi.org/10.1111/poms.12102</w:t>
      </w:r>
    </w:p>
    <w:p w14:paraId="4E1E681A"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Bahk, C. Y., Cumming, M., Paushter, L., Madoff, L. C., Thomson, A., &amp; Brownstein, J. S. (2016). Publicly Available Online Tool Facilitates Real-Time Monitoring Of Vaccine Conversations And Sentiments. </w:t>
      </w:r>
      <w:r w:rsidRPr="00B56F08">
        <w:rPr>
          <w:rFonts w:ascii="Calibri" w:hAnsi="Calibri" w:cs="Times New Roman"/>
          <w:i/>
          <w:iCs/>
          <w:noProof/>
          <w:sz w:val="24"/>
          <w:szCs w:val="24"/>
        </w:rPr>
        <w:t>Health Affairs (Project Hope)</w:t>
      </w:r>
      <w:r w:rsidRPr="00B56F08">
        <w:rPr>
          <w:rFonts w:ascii="Calibri" w:hAnsi="Calibri" w:cs="Times New Roman"/>
          <w:noProof/>
          <w:sz w:val="24"/>
          <w:szCs w:val="24"/>
        </w:rPr>
        <w:t xml:space="preserve">, </w:t>
      </w:r>
      <w:r w:rsidRPr="00B56F08">
        <w:rPr>
          <w:rFonts w:ascii="Calibri" w:hAnsi="Calibri" w:cs="Times New Roman"/>
          <w:i/>
          <w:iCs/>
          <w:noProof/>
          <w:sz w:val="24"/>
          <w:szCs w:val="24"/>
        </w:rPr>
        <w:t>35</w:t>
      </w:r>
      <w:r w:rsidRPr="00B56F08">
        <w:rPr>
          <w:rFonts w:ascii="Calibri" w:hAnsi="Calibri" w:cs="Times New Roman"/>
          <w:noProof/>
          <w:sz w:val="24"/>
          <w:szCs w:val="24"/>
        </w:rPr>
        <w:t>(2), 341–347. https://doi.org/10.1377/hlthaff.2015.1092</w:t>
      </w:r>
    </w:p>
    <w:p w14:paraId="7F8C9AB0"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Beauregard-Smiths Station Tornado - March 3, 2019. (n.d.). Retrieved from https://www.weather.gov/bmx/event_03032019beauregard</w:t>
      </w:r>
    </w:p>
    <w:p w14:paraId="6002BDE7" w14:textId="6C36E879" w:rsidR="006F1AE6"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Bohannon, J. (2016). Twitter can predict hurricane damage as well as emergency agencies. </w:t>
      </w:r>
      <w:r w:rsidRPr="00B56F08">
        <w:rPr>
          <w:rFonts w:ascii="Calibri" w:hAnsi="Calibri" w:cs="Times New Roman"/>
          <w:i/>
          <w:iCs/>
          <w:noProof/>
          <w:sz w:val="24"/>
          <w:szCs w:val="24"/>
        </w:rPr>
        <w:t>Science</w:t>
      </w:r>
      <w:r w:rsidRPr="00B56F08">
        <w:rPr>
          <w:rFonts w:ascii="Calibri" w:hAnsi="Calibri" w:cs="Times New Roman"/>
          <w:noProof/>
          <w:sz w:val="24"/>
          <w:szCs w:val="24"/>
        </w:rPr>
        <w:t>. https://doi.org/10.1126/science.aaf4182</w:t>
      </w:r>
    </w:p>
    <w:p w14:paraId="28BFCBF3"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Chew, C., &amp; Eysenbach, G. (2010). Pandemics in the age of Twitter: Content analysis of tweets during the 2009 H1N1 outbreak. </w:t>
      </w:r>
      <w:r w:rsidRPr="00B56F08">
        <w:rPr>
          <w:rFonts w:ascii="Calibri" w:hAnsi="Calibri" w:cs="Times New Roman"/>
          <w:i/>
          <w:iCs/>
          <w:noProof/>
          <w:sz w:val="24"/>
          <w:szCs w:val="24"/>
        </w:rPr>
        <w:t>PLoS ONE</w:t>
      </w:r>
      <w:r w:rsidRPr="00B56F08">
        <w:rPr>
          <w:rFonts w:ascii="Calibri" w:hAnsi="Calibri" w:cs="Times New Roman"/>
          <w:noProof/>
          <w:sz w:val="24"/>
          <w:szCs w:val="24"/>
        </w:rPr>
        <w:t xml:space="preserve">, </w:t>
      </w:r>
      <w:r w:rsidRPr="00B56F08">
        <w:rPr>
          <w:rFonts w:ascii="Calibri" w:hAnsi="Calibri" w:cs="Times New Roman"/>
          <w:i/>
          <w:iCs/>
          <w:noProof/>
          <w:sz w:val="24"/>
          <w:szCs w:val="24"/>
        </w:rPr>
        <w:t>5</w:t>
      </w:r>
      <w:r w:rsidRPr="00B56F08">
        <w:rPr>
          <w:rFonts w:ascii="Calibri" w:hAnsi="Calibri" w:cs="Times New Roman"/>
          <w:noProof/>
          <w:sz w:val="24"/>
          <w:szCs w:val="24"/>
        </w:rPr>
        <w:t>(11), 1–13. https://doi.org/10.1371/journal.pone.0014118</w:t>
      </w:r>
    </w:p>
    <w:p w14:paraId="60FFEC69"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Clark, P. J., &amp; Evans, F. C. (1954). Distance to Nearest Neighbor as a Measure of Spatial Relationships in Populations. </w:t>
      </w:r>
      <w:r w:rsidRPr="00B56F08">
        <w:rPr>
          <w:rFonts w:ascii="Calibri" w:hAnsi="Calibri" w:cs="Times New Roman"/>
          <w:i/>
          <w:iCs/>
          <w:noProof/>
          <w:sz w:val="24"/>
          <w:szCs w:val="24"/>
        </w:rPr>
        <w:t>Ecology</w:t>
      </w:r>
      <w:r w:rsidRPr="00B56F08">
        <w:rPr>
          <w:rFonts w:ascii="Calibri" w:hAnsi="Calibri" w:cs="Times New Roman"/>
          <w:noProof/>
          <w:sz w:val="24"/>
          <w:szCs w:val="24"/>
        </w:rPr>
        <w:t xml:space="preserve">, </w:t>
      </w:r>
      <w:r w:rsidRPr="00B56F08">
        <w:rPr>
          <w:rFonts w:ascii="Calibri" w:hAnsi="Calibri" w:cs="Times New Roman"/>
          <w:i/>
          <w:iCs/>
          <w:noProof/>
          <w:sz w:val="24"/>
          <w:szCs w:val="24"/>
        </w:rPr>
        <w:t>35</w:t>
      </w:r>
      <w:r w:rsidRPr="00B56F08">
        <w:rPr>
          <w:rFonts w:ascii="Calibri" w:hAnsi="Calibri" w:cs="Times New Roman"/>
          <w:noProof/>
          <w:sz w:val="24"/>
          <w:szCs w:val="24"/>
        </w:rPr>
        <w:t>(4), 445–453.</w:t>
      </w:r>
    </w:p>
    <w:p w14:paraId="551D6EC1"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Cliff, A., Pred, A., &amp; Hagerstrand, T. (1992). Classics in Human Geography Revisited. </w:t>
      </w:r>
      <w:r w:rsidRPr="00B56F08">
        <w:rPr>
          <w:rFonts w:ascii="Calibri" w:hAnsi="Calibri" w:cs="Times New Roman"/>
          <w:i/>
          <w:iCs/>
          <w:noProof/>
          <w:sz w:val="24"/>
          <w:szCs w:val="24"/>
        </w:rPr>
        <w:t>Progress in Human Geography</w:t>
      </w:r>
      <w:r w:rsidRPr="00B56F08">
        <w:rPr>
          <w:rFonts w:ascii="Calibri" w:hAnsi="Calibri" w:cs="Times New Roman"/>
          <w:noProof/>
          <w:sz w:val="24"/>
          <w:szCs w:val="24"/>
        </w:rPr>
        <w:t xml:space="preserve">, </w:t>
      </w:r>
      <w:r w:rsidRPr="00B56F08">
        <w:rPr>
          <w:rFonts w:ascii="Calibri" w:hAnsi="Calibri" w:cs="Times New Roman"/>
          <w:i/>
          <w:iCs/>
          <w:noProof/>
          <w:sz w:val="24"/>
          <w:szCs w:val="24"/>
        </w:rPr>
        <w:t>16</w:t>
      </w:r>
      <w:r w:rsidRPr="00B56F08">
        <w:rPr>
          <w:rFonts w:ascii="Calibri" w:hAnsi="Calibri" w:cs="Times New Roman"/>
          <w:noProof/>
          <w:sz w:val="24"/>
          <w:szCs w:val="24"/>
        </w:rPr>
        <w:t>(4), 541–544.</w:t>
      </w:r>
    </w:p>
    <w:p w14:paraId="652ED08E"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Cooper, G. P., Yeager, V., Burkle, F. M., Subbarao, I., Jr., &amp; Subbarao, I. (2015a). Twitter as a Potential Disaster Risk Reduction Tool. Part II: Descriptive Analysis of Identified Twitter Activity during the 2013 Hattiesburg F4 Tornado. </w:t>
      </w:r>
      <w:r w:rsidRPr="00B56F08">
        <w:rPr>
          <w:rFonts w:ascii="Calibri" w:hAnsi="Calibri" w:cs="Times New Roman"/>
          <w:i/>
          <w:iCs/>
          <w:noProof/>
          <w:sz w:val="24"/>
          <w:szCs w:val="24"/>
        </w:rPr>
        <w:t>PLoS Currents</w:t>
      </w:r>
      <w:r w:rsidRPr="00B56F08">
        <w:rPr>
          <w:rFonts w:ascii="Calibri" w:hAnsi="Calibri" w:cs="Times New Roman"/>
          <w:noProof/>
          <w:sz w:val="24"/>
          <w:szCs w:val="24"/>
        </w:rPr>
        <w:t xml:space="preserve">, </w:t>
      </w:r>
      <w:r w:rsidRPr="00B56F08">
        <w:rPr>
          <w:rFonts w:ascii="Calibri" w:hAnsi="Calibri" w:cs="Times New Roman"/>
          <w:i/>
          <w:iCs/>
          <w:noProof/>
          <w:sz w:val="24"/>
          <w:szCs w:val="24"/>
        </w:rPr>
        <w:t>7</w:t>
      </w:r>
      <w:r w:rsidRPr="00B56F08">
        <w:rPr>
          <w:rFonts w:ascii="Calibri" w:hAnsi="Calibri" w:cs="Times New Roman"/>
          <w:noProof/>
          <w:sz w:val="24"/>
          <w:szCs w:val="24"/>
        </w:rPr>
        <w:t>. https://doi.org/10.1371/currents.dis.f2e5b9e979af6174d2f97c1f0349be5c</w:t>
      </w:r>
    </w:p>
    <w:p w14:paraId="5003CDBF" w14:textId="77777777" w:rsid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Cooper, G. P., Yeager, V., Burkle, F. M., Subbarao, I., Jr., &amp; Subbarao, I. (2015b). Twitter as a Potential Disaster Risk Reduction Tool. Part III: Evaluating Variables that Promoted Regional Twitter Use for At-risk Populations During the 2013 Hattiesburg F4 Tornado. </w:t>
      </w:r>
      <w:r w:rsidRPr="00B56F08">
        <w:rPr>
          <w:rFonts w:ascii="Calibri" w:hAnsi="Calibri" w:cs="Times New Roman"/>
          <w:i/>
          <w:iCs/>
          <w:noProof/>
          <w:sz w:val="24"/>
          <w:szCs w:val="24"/>
        </w:rPr>
        <w:t>PLoS Currents</w:t>
      </w:r>
      <w:r w:rsidRPr="00B56F08">
        <w:rPr>
          <w:rFonts w:ascii="Calibri" w:hAnsi="Calibri" w:cs="Times New Roman"/>
          <w:noProof/>
          <w:sz w:val="24"/>
          <w:szCs w:val="24"/>
        </w:rPr>
        <w:t xml:space="preserve">, </w:t>
      </w:r>
      <w:r w:rsidRPr="00B56F08">
        <w:rPr>
          <w:rFonts w:ascii="Calibri" w:hAnsi="Calibri" w:cs="Times New Roman"/>
          <w:i/>
          <w:iCs/>
          <w:noProof/>
          <w:sz w:val="24"/>
          <w:szCs w:val="24"/>
        </w:rPr>
        <w:t>7</w:t>
      </w:r>
      <w:r w:rsidRPr="00B56F08">
        <w:rPr>
          <w:rFonts w:ascii="Calibri" w:hAnsi="Calibri" w:cs="Times New Roman"/>
          <w:noProof/>
          <w:sz w:val="24"/>
          <w:szCs w:val="24"/>
        </w:rPr>
        <w:t>. https://doi.org/10.1371/currents.dis.b305fe1b479528fda724c6f84f546471</w:t>
      </w:r>
    </w:p>
    <w:p w14:paraId="1181576E" w14:textId="77777777" w:rsidR="006F1AE6" w:rsidRPr="00B56F08" w:rsidRDefault="006F1AE6" w:rsidP="006F1AE6">
      <w:pPr>
        <w:widowControl w:val="0"/>
        <w:autoSpaceDE w:val="0"/>
        <w:autoSpaceDN w:val="0"/>
        <w:adjustRightInd w:val="0"/>
        <w:spacing w:line="240" w:lineRule="auto"/>
        <w:ind w:left="480" w:hanging="480"/>
        <w:rPr>
          <w:rFonts w:ascii="Calibri" w:hAnsi="Calibri" w:cs="Times New Roman"/>
          <w:noProof/>
          <w:sz w:val="24"/>
          <w:szCs w:val="24"/>
        </w:rPr>
      </w:pPr>
    </w:p>
    <w:p w14:paraId="3CF90363"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lastRenderedPageBreak/>
        <w:t>Counting characters. (2020). Retrieved June 24, 2020, from https://developer.twitter.com/en/docs/basics/counting-characters</w:t>
      </w:r>
    </w:p>
    <w:p w14:paraId="3803AF21"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DeCaria, A. (n.d.). ESCI 241-Meteorology Lesson 13 Small Scale Circulations. Retrieved July 25, 2020, from http://snowball.millersville.edu/~adecaria/ESCI241/esci241_lesson13_circulation_I.pdf</w:t>
      </w:r>
    </w:p>
    <w:p w14:paraId="00624761"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Di Liberto, T. (2019). Early March 2019 tornado outbreak ravages parts of U.S. Southeast. Retrieved May 29, 2019, from https://www.climate.gov/news-features/event-tracker/early-march-2019-tornado-outbreak-ravages-parts-us-southeast</w:t>
      </w:r>
    </w:p>
    <w:p w14:paraId="5559052A"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Dial. (2019). Storm Prediction Center Mar 1, 2019 0600 UTC Day 1 Convective Outlook. Retrieved October 5, 2020, from https://www.spc.noaa.gov/products/outlook/archive/2019/day1otlk_20190301_1200.html</w:t>
      </w:r>
    </w:p>
    <w:p w14:paraId="53280D8D"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Evans, J. (n.d.). nni function. Retrieved September 11, 2020, from https://www.rdocumentation.org/packages/spatialEco/versions/1.3-2/topics/nni</w:t>
      </w:r>
    </w:p>
    <w:p w14:paraId="429CB4A9"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Galarnyk, M. (2018). Explaining the 68-95-99.7 rule for a Normal Distribution. Retrieved July 15, 2020, from https://towardsdatascience.com/understanding-the-68-95-99-7-rule-for-a-normal-distribution-b7b7cbf760c2</w:t>
      </w:r>
    </w:p>
    <w:p w14:paraId="10CB9A74"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Gladwell, M. (2002). </w:t>
      </w:r>
      <w:r w:rsidRPr="00B56F08">
        <w:rPr>
          <w:rFonts w:ascii="Calibri" w:hAnsi="Calibri" w:cs="Times New Roman"/>
          <w:i/>
          <w:iCs/>
          <w:noProof/>
          <w:sz w:val="24"/>
          <w:szCs w:val="24"/>
        </w:rPr>
        <w:t>The Tipping Point How Little Things Can Make a Big Difference</w:t>
      </w:r>
      <w:r w:rsidRPr="00B56F08">
        <w:rPr>
          <w:rFonts w:ascii="Calibri" w:hAnsi="Calibri" w:cs="Times New Roman"/>
          <w:noProof/>
          <w:sz w:val="24"/>
          <w:szCs w:val="24"/>
        </w:rPr>
        <w:t>. New York: Back Bay Books.</w:t>
      </w:r>
    </w:p>
    <w:p w14:paraId="748D43F2" w14:textId="2A03D8F9" w:rsidR="006F1AE6"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Gleason, &amp; Bentley. (2019). Storm Prediction Center Mar 4, 2019 0600 UTC Day 1 Convective Outlook. Retrieved October 5, 2020, from https://www.spc.noaa.gov/products/outlook/archive/2019/day1otlk_20190304_1200.html</w:t>
      </w:r>
    </w:p>
    <w:p w14:paraId="537BC189"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Gleason, &amp; Karstens. (2019). Storm Prediction Center Mar 3, 2019 0600 UTC Day 1 Convective Outlook. Retrieved October 5, 2020, from https://www.spc.noaa.gov/products/outlook/archive/2019/day1otlk_20190303_1200.html</w:t>
      </w:r>
    </w:p>
    <w:p w14:paraId="4DBC7AB6"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Gore, L. (2019). Alabama tornado 2019: 23 killed, including 3 children, more missing; What we know today - al.com. Retrieved September 28, 2020, from https://www.al.com/news/2019/03/alabama-tornado-2019-23-killed-including-3-children-more-missing-what-we-know-today.html</w:t>
      </w:r>
    </w:p>
    <w:p w14:paraId="52BC7F11"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Gould, P. R. (1969). </w:t>
      </w:r>
      <w:r w:rsidRPr="00B56F08">
        <w:rPr>
          <w:rFonts w:ascii="Calibri" w:hAnsi="Calibri" w:cs="Times New Roman"/>
          <w:i/>
          <w:iCs/>
          <w:noProof/>
          <w:sz w:val="24"/>
          <w:szCs w:val="24"/>
        </w:rPr>
        <w:t>Spatial Diffusion, Resource Paper No. 4</w:t>
      </w:r>
      <w:r w:rsidRPr="00B56F08">
        <w:rPr>
          <w:rFonts w:ascii="Calibri" w:hAnsi="Calibri" w:cs="Times New Roman"/>
          <w:noProof/>
          <w:sz w:val="24"/>
          <w:szCs w:val="24"/>
        </w:rPr>
        <w:t xml:space="preserve">. </w:t>
      </w:r>
      <w:r w:rsidRPr="00B56F08">
        <w:rPr>
          <w:rFonts w:ascii="Calibri" w:hAnsi="Calibri" w:cs="Times New Roman"/>
          <w:i/>
          <w:iCs/>
          <w:noProof/>
          <w:sz w:val="24"/>
          <w:szCs w:val="24"/>
        </w:rPr>
        <w:t>Spatial Diffusion</w:t>
      </w:r>
      <w:r w:rsidRPr="00B56F08">
        <w:rPr>
          <w:rFonts w:ascii="Calibri" w:hAnsi="Calibri" w:cs="Times New Roman"/>
          <w:noProof/>
          <w:sz w:val="24"/>
          <w:szCs w:val="24"/>
        </w:rPr>
        <w:t>. Washington, D.C. https://doi.org/10.1016/0143-6228(89)90060-x</w:t>
      </w:r>
    </w:p>
    <w:p w14:paraId="24639F0C" w14:textId="77777777" w:rsid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Gregory, T., &amp; Patuelli, R. (2015). Demographic ageing and the polarization of regions—an exploratory space–time analysis. </w:t>
      </w:r>
      <w:r w:rsidRPr="00B56F08">
        <w:rPr>
          <w:rFonts w:ascii="Calibri" w:hAnsi="Calibri" w:cs="Times New Roman"/>
          <w:i/>
          <w:iCs/>
          <w:noProof/>
          <w:sz w:val="24"/>
          <w:szCs w:val="24"/>
        </w:rPr>
        <w:t>Environment and Planning A</w:t>
      </w:r>
      <w:r w:rsidRPr="00B56F08">
        <w:rPr>
          <w:rFonts w:ascii="Calibri" w:hAnsi="Calibri" w:cs="Times New Roman"/>
          <w:noProof/>
          <w:sz w:val="24"/>
          <w:szCs w:val="24"/>
        </w:rPr>
        <w:t xml:space="preserve">, </w:t>
      </w:r>
      <w:r w:rsidRPr="00B56F08">
        <w:rPr>
          <w:rFonts w:ascii="Calibri" w:hAnsi="Calibri" w:cs="Times New Roman"/>
          <w:i/>
          <w:iCs/>
          <w:noProof/>
          <w:sz w:val="24"/>
          <w:szCs w:val="24"/>
        </w:rPr>
        <w:t>47</w:t>
      </w:r>
      <w:r w:rsidRPr="00B56F08">
        <w:rPr>
          <w:rFonts w:ascii="Calibri" w:hAnsi="Calibri" w:cs="Times New Roman"/>
          <w:noProof/>
          <w:sz w:val="24"/>
          <w:szCs w:val="24"/>
        </w:rPr>
        <w:t>(5), 1192–1210. https://doi.org/10.1177/0308518X15592329</w:t>
      </w:r>
    </w:p>
    <w:p w14:paraId="70A7A344" w14:textId="77777777" w:rsidR="006F1AE6" w:rsidRPr="00B56F08" w:rsidRDefault="006F1AE6" w:rsidP="006F1AE6">
      <w:pPr>
        <w:widowControl w:val="0"/>
        <w:autoSpaceDE w:val="0"/>
        <w:autoSpaceDN w:val="0"/>
        <w:adjustRightInd w:val="0"/>
        <w:spacing w:line="240" w:lineRule="auto"/>
        <w:ind w:left="480" w:hanging="480"/>
        <w:rPr>
          <w:rFonts w:ascii="Calibri" w:hAnsi="Calibri" w:cs="Times New Roman"/>
          <w:noProof/>
          <w:sz w:val="24"/>
          <w:szCs w:val="24"/>
        </w:rPr>
      </w:pPr>
    </w:p>
    <w:p w14:paraId="1CD94A1B"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lastRenderedPageBreak/>
        <w:t xml:space="preserve">Hagerstrand, T. (1967). </w:t>
      </w:r>
      <w:r w:rsidRPr="00B56F08">
        <w:rPr>
          <w:rFonts w:ascii="Calibri" w:hAnsi="Calibri" w:cs="Times New Roman"/>
          <w:i/>
          <w:iCs/>
          <w:noProof/>
          <w:sz w:val="24"/>
          <w:szCs w:val="24"/>
        </w:rPr>
        <w:t>Innovation diffusion as a spatial process</w:t>
      </w:r>
      <w:r w:rsidRPr="00B56F08">
        <w:rPr>
          <w:rFonts w:ascii="Calibri" w:hAnsi="Calibri" w:cs="Times New Roman"/>
          <w:noProof/>
          <w:sz w:val="24"/>
          <w:szCs w:val="24"/>
        </w:rPr>
        <w:t>. (A. Pred &amp; G. Haag, Eds.). Chicago: University of Chicago Press.</w:t>
      </w:r>
    </w:p>
    <w:p w14:paraId="56FCB0DE"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Hayes, A. (n.d.). broom package. Retrieved September 10, 2020, from https://www.rdocumentation.org/packages/broom/versions/0.7.0</w:t>
      </w:r>
    </w:p>
    <w:p w14:paraId="6A747DF8" w14:textId="6A2F6D99" w:rsidR="006F1AE6"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Hayes, J. L. (2012). The Historic Tornadoes of April 2011. </w:t>
      </w:r>
      <w:r w:rsidRPr="00B56F08">
        <w:rPr>
          <w:rFonts w:ascii="Calibri" w:hAnsi="Calibri" w:cs="Times New Roman"/>
          <w:i/>
          <w:iCs/>
          <w:noProof/>
          <w:sz w:val="24"/>
          <w:szCs w:val="24"/>
        </w:rPr>
        <w:t>National Oceanic and Atmospheric Administration Service Asessment</w:t>
      </w:r>
      <w:r w:rsidRPr="00B56F08">
        <w:rPr>
          <w:rFonts w:ascii="Calibri" w:hAnsi="Calibri" w:cs="Times New Roman"/>
          <w:noProof/>
          <w:sz w:val="24"/>
          <w:szCs w:val="24"/>
        </w:rPr>
        <w:t>, (April).</w:t>
      </w:r>
    </w:p>
    <w:p w14:paraId="00EF1D74"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Hoekstra, S., Klockow, K., Riley, R., Brotzge, J., Brooks, H., &amp; Erickson, S. (2011). A Preliminary Look at the Social Perspective of Warn-on-Forecast: Preferred Tornado Warning Lead Time and the General Public’s Perceptions of Weather Risks. </w:t>
      </w:r>
      <w:r w:rsidRPr="00B56F08">
        <w:rPr>
          <w:rFonts w:ascii="Calibri" w:hAnsi="Calibri" w:cs="Times New Roman"/>
          <w:i/>
          <w:iCs/>
          <w:noProof/>
          <w:sz w:val="24"/>
          <w:szCs w:val="24"/>
        </w:rPr>
        <w:t>Weather, Climate, and Society</w:t>
      </w:r>
      <w:r w:rsidRPr="00B56F08">
        <w:rPr>
          <w:rFonts w:ascii="Calibri" w:hAnsi="Calibri" w:cs="Times New Roman"/>
          <w:noProof/>
          <w:sz w:val="24"/>
          <w:szCs w:val="24"/>
        </w:rPr>
        <w:t xml:space="preserve">, </w:t>
      </w:r>
      <w:r w:rsidRPr="00B56F08">
        <w:rPr>
          <w:rFonts w:ascii="Calibri" w:hAnsi="Calibri" w:cs="Times New Roman"/>
          <w:i/>
          <w:iCs/>
          <w:noProof/>
          <w:sz w:val="24"/>
          <w:szCs w:val="24"/>
        </w:rPr>
        <w:t>3</w:t>
      </w:r>
      <w:r w:rsidRPr="00B56F08">
        <w:rPr>
          <w:rFonts w:ascii="Calibri" w:hAnsi="Calibri" w:cs="Times New Roman"/>
          <w:noProof/>
          <w:sz w:val="24"/>
          <w:szCs w:val="24"/>
        </w:rPr>
        <w:t>(2), 128–140. https://doi.org/10.1175/2011wcas1076.1</w:t>
      </w:r>
    </w:p>
    <w:p w14:paraId="70499433"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Hoffman, C. (2018). What Is an API? Retrieved June 28, 2020, from https://www.howtogeek.com/343877/what-is-an-api/</w:t>
      </w:r>
    </w:p>
    <w:p w14:paraId="51C7570C"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Holmes, S. (2004). Monte Carlo. Retrieved July 7, 2020, from http://statweb.stanford.edu/~susan/courses/s208/node14.html</w:t>
      </w:r>
    </w:p>
    <w:p w14:paraId="676349BD"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Houston, J. B., Hawthorne, J., Perreault, M. F., Park, E. H., Goldstein Hode, M., Halliwell, M. R., … Griffith, S. A. (2015). Social media and disasters: A functional framework for social media use in disaster planning, response, and research. </w:t>
      </w:r>
      <w:r w:rsidRPr="00B56F08">
        <w:rPr>
          <w:rFonts w:ascii="Calibri" w:hAnsi="Calibri" w:cs="Times New Roman"/>
          <w:i/>
          <w:iCs/>
          <w:noProof/>
          <w:sz w:val="24"/>
          <w:szCs w:val="24"/>
        </w:rPr>
        <w:t>Disasters</w:t>
      </w:r>
      <w:r w:rsidRPr="00B56F08">
        <w:rPr>
          <w:rFonts w:ascii="Calibri" w:hAnsi="Calibri" w:cs="Times New Roman"/>
          <w:noProof/>
          <w:sz w:val="24"/>
          <w:szCs w:val="24"/>
        </w:rPr>
        <w:t xml:space="preserve">, </w:t>
      </w:r>
      <w:r w:rsidRPr="00B56F08">
        <w:rPr>
          <w:rFonts w:ascii="Calibri" w:hAnsi="Calibri" w:cs="Times New Roman"/>
          <w:i/>
          <w:iCs/>
          <w:noProof/>
          <w:sz w:val="24"/>
          <w:szCs w:val="24"/>
        </w:rPr>
        <w:t>39</w:t>
      </w:r>
      <w:r w:rsidRPr="00B56F08">
        <w:rPr>
          <w:rFonts w:ascii="Calibri" w:hAnsi="Calibri" w:cs="Times New Roman"/>
          <w:noProof/>
          <w:sz w:val="24"/>
          <w:szCs w:val="24"/>
        </w:rPr>
        <w:t>(1), 1–22. https://doi.org/10.1111/disa.12092</w:t>
      </w:r>
    </w:p>
    <w:p w14:paraId="6710C474"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How Directional Distribution (Standard Deviational Ellipse) works. (n.d.). Retrieved July 15, 2020, from https://pro.arcgis.com/en/pro-app/tool-reference/spatial-statistics/h-how-directional-distribution-standard-deviationa.htm</w:t>
      </w:r>
    </w:p>
    <w:p w14:paraId="094D8C75"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Hu, Y. (2018). Geo-text data and data-driven geospatial semantics. </w:t>
      </w:r>
      <w:r w:rsidRPr="00B56F08">
        <w:rPr>
          <w:rFonts w:ascii="Calibri" w:hAnsi="Calibri" w:cs="Times New Roman"/>
          <w:i/>
          <w:iCs/>
          <w:noProof/>
          <w:sz w:val="24"/>
          <w:szCs w:val="24"/>
        </w:rPr>
        <w:t>Geography Compass</w:t>
      </w:r>
      <w:r w:rsidRPr="00B56F08">
        <w:rPr>
          <w:rFonts w:ascii="Calibri" w:hAnsi="Calibri" w:cs="Times New Roman"/>
          <w:noProof/>
          <w:sz w:val="24"/>
          <w:szCs w:val="24"/>
        </w:rPr>
        <w:t xml:space="preserve">, </w:t>
      </w:r>
      <w:r w:rsidRPr="00B56F08">
        <w:rPr>
          <w:rFonts w:ascii="Calibri" w:hAnsi="Calibri" w:cs="Times New Roman"/>
          <w:i/>
          <w:iCs/>
          <w:noProof/>
          <w:sz w:val="24"/>
          <w:szCs w:val="24"/>
        </w:rPr>
        <w:t>12</w:t>
      </w:r>
      <w:r w:rsidRPr="00B56F08">
        <w:rPr>
          <w:rFonts w:ascii="Calibri" w:hAnsi="Calibri" w:cs="Times New Roman"/>
          <w:noProof/>
          <w:sz w:val="24"/>
          <w:szCs w:val="24"/>
        </w:rPr>
        <w:t>(11). https://doi.org/10.1111/gec3.12404</w:t>
      </w:r>
    </w:p>
    <w:p w14:paraId="12117208" w14:textId="388C7733" w:rsidR="006F1AE6"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Inhibit Interpretation/Conversion of Objects. (n.d.). Retrieved September 10, 2020, from https://stat.ethz.ch/R-manual/R-devel/library/base/html/AsIs.html</w:t>
      </w:r>
    </w:p>
    <w:p w14:paraId="7317F666"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Iowa State University. (2019). IEM :: NWS Watch Warning Archive Download. Retrieved April 9, 2019, from https://mesonet.agron.iastate.edu/request/gis/watchwarn.phtml</w:t>
      </w:r>
    </w:p>
    <w:p w14:paraId="795490A0"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Jackson, B. (2019). </w:t>
      </w:r>
      <w:r w:rsidRPr="00B56F08">
        <w:rPr>
          <w:rFonts w:ascii="Calibri" w:hAnsi="Calibri" w:cs="Times New Roman"/>
          <w:i/>
          <w:iCs/>
          <w:noProof/>
          <w:sz w:val="24"/>
          <w:szCs w:val="24"/>
        </w:rPr>
        <w:t>Central Rockies to Mid-Atlantic Winter Storm (11 - 14 January, 2019)</w:t>
      </w:r>
      <w:r w:rsidRPr="00B56F08">
        <w:rPr>
          <w:rFonts w:ascii="Calibri" w:hAnsi="Calibri" w:cs="Times New Roman"/>
          <w:noProof/>
          <w:sz w:val="24"/>
          <w:szCs w:val="24"/>
        </w:rPr>
        <w:t>. Retrieved from https://www.wpc.ncep.noaa.gov/storm_summaries/event_reviews.php?YYYYMMDD=20190112</w:t>
      </w:r>
    </w:p>
    <w:p w14:paraId="3C3D47C8"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Kim, Y., Nordgren, R., &amp; Emery, S. (2020). The story of goldilocks and three twitter’s APIs: A pilot study on twitter data sources and disclosure. </w:t>
      </w:r>
      <w:r w:rsidRPr="00B56F08">
        <w:rPr>
          <w:rFonts w:ascii="Calibri" w:hAnsi="Calibri" w:cs="Times New Roman"/>
          <w:i/>
          <w:iCs/>
          <w:noProof/>
          <w:sz w:val="24"/>
          <w:szCs w:val="24"/>
        </w:rPr>
        <w:t>International Journal of Environmental Research and Public Health</w:t>
      </w:r>
      <w:r w:rsidRPr="00B56F08">
        <w:rPr>
          <w:rFonts w:ascii="Calibri" w:hAnsi="Calibri" w:cs="Times New Roman"/>
          <w:noProof/>
          <w:sz w:val="24"/>
          <w:szCs w:val="24"/>
        </w:rPr>
        <w:t xml:space="preserve">, </w:t>
      </w:r>
      <w:r w:rsidRPr="00B56F08">
        <w:rPr>
          <w:rFonts w:ascii="Calibri" w:hAnsi="Calibri" w:cs="Times New Roman"/>
          <w:i/>
          <w:iCs/>
          <w:noProof/>
          <w:sz w:val="24"/>
          <w:szCs w:val="24"/>
        </w:rPr>
        <w:t>17</w:t>
      </w:r>
      <w:r w:rsidRPr="00B56F08">
        <w:rPr>
          <w:rFonts w:ascii="Calibri" w:hAnsi="Calibri" w:cs="Times New Roman"/>
          <w:noProof/>
          <w:sz w:val="24"/>
          <w:szCs w:val="24"/>
        </w:rPr>
        <w:t>(3), 1–15. https://doi.org/10.3390/ijerph17030864</w:t>
      </w:r>
    </w:p>
    <w:p w14:paraId="15F78EAA"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Kryvasheyeu, Y., Chen, H., Obradovich, N., Moro, E., Hentenryck, P. Van, Fowler, J., &amp; Cebrian, M. (2016). Rapid assessment of disaster damage using social media activity. </w:t>
      </w:r>
      <w:r w:rsidRPr="00B56F08">
        <w:rPr>
          <w:rFonts w:ascii="Calibri" w:hAnsi="Calibri" w:cs="Times New Roman"/>
          <w:i/>
          <w:iCs/>
          <w:noProof/>
          <w:sz w:val="24"/>
          <w:szCs w:val="24"/>
        </w:rPr>
        <w:t>Science Advance</w:t>
      </w:r>
      <w:r w:rsidRPr="00B56F08">
        <w:rPr>
          <w:rFonts w:ascii="Calibri" w:hAnsi="Calibri" w:cs="Times New Roman"/>
          <w:noProof/>
          <w:sz w:val="24"/>
          <w:szCs w:val="24"/>
        </w:rPr>
        <w:t>, (March), 1–12. https://doi.org/10.1126/sciadv.1500779</w:t>
      </w:r>
    </w:p>
    <w:p w14:paraId="5528BC6A"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lastRenderedPageBreak/>
        <w:t xml:space="preserve">Le Texier, M., &amp; Caruso, G. (2017). Assessing geographical effects in spatial diffusion processes: The case of euro coins. </w:t>
      </w:r>
      <w:r w:rsidRPr="00B56F08">
        <w:rPr>
          <w:rFonts w:ascii="Calibri" w:hAnsi="Calibri" w:cs="Times New Roman"/>
          <w:i/>
          <w:iCs/>
          <w:noProof/>
          <w:sz w:val="24"/>
          <w:szCs w:val="24"/>
        </w:rPr>
        <w:t>Computers, Environment and Urban Systems</w:t>
      </w:r>
      <w:r w:rsidRPr="00B56F08">
        <w:rPr>
          <w:rFonts w:ascii="Calibri" w:hAnsi="Calibri" w:cs="Times New Roman"/>
          <w:noProof/>
          <w:sz w:val="24"/>
          <w:szCs w:val="24"/>
        </w:rPr>
        <w:t xml:space="preserve">, </w:t>
      </w:r>
      <w:r w:rsidRPr="00B56F08">
        <w:rPr>
          <w:rFonts w:ascii="Calibri" w:hAnsi="Calibri" w:cs="Times New Roman"/>
          <w:i/>
          <w:iCs/>
          <w:noProof/>
          <w:sz w:val="24"/>
          <w:szCs w:val="24"/>
        </w:rPr>
        <w:t>61</w:t>
      </w:r>
      <w:r w:rsidRPr="00B56F08">
        <w:rPr>
          <w:rFonts w:ascii="Calibri" w:hAnsi="Calibri" w:cs="Times New Roman"/>
          <w:noProof/>
          <w:sz w:val="24"/>
          <w:szCs w:val="24"/>
        </w:rPr>
        <w:t>, 81–93. https://doi.org/10.1016/j.compenvurbsys.2016.08.003</w:t>
      </w:r>
    </w:p>
    <w:p w14:paraId="425055B4" w14:textId="7FC5B996" w:rsidR="006F1AE6"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Lee, J., Lay, J.-G., Chin, W. C. B., Chi, Y.-L., &amp; Hsueh, Y.-H. (2014). An Experiment to Model Spatial Diffusion Process with Nearest Neighbor Analysis and Regression Estimation. </w:t>
      </w:r>
      <w:r w:rsidRPr="00B56F08">
        <w:rPr>
          <w:rFonts w:ascii="Calibri" w:hAnsi="Calibri" w:cs="Times New Roman"/>
          <w:i/>
          <w:iCs/>
          <w:noProof/>
          <w:sz w:val="24"/>
          <w:szCs w:val="24"/>
        </w:rPr>
        <w:t>International Journal of Applied Geospatial Research</w:t>
      </w:r>
      <w:r w:rsidRPr="00B56F08">
        <w:rPr>
          <w:rFonts w:ascii="Calibri" w:hAnsi="Calibri" w:cs="Times New Roman"/>
          <w:noProof/>
          <w:sz w:val="24"/>
          <w:szCs w:val="24"/>
        </w:rPr>
        <w:t xml:space="preserve">, </w:t>
      </w:r>
      <w:r w:rsidRPr="00B56F08">
        <w:rPr>
          <w:rFonts w:ascii="Calibri" w:hAnsi="Calibri" w:cs="Times New Roman"/>
          <w:i/>
          <w:iCs/>
          <w:noProof/>
          <w:sz w:val="24"/>
          <w:szCs w:val="24"/>
        </w:rPr>
        <w:t>5</w:t>
      </w:r>
      <w:r w:rsidRPr="00B56F08">
        <w:rPr>
          <w:rFonts w:ascii="Calibri" w:hAnsi="Calibri" w:cs="Times New Roman"/>
          <w:noProof/>
          <w:sz w:val="24"/>
          <w:szCs w:val="24"/>
        </w:rPr>
        <w:t>(1), 1–15. https://doi.org/10.4018/ijagr.2014010101</w:t>
      </w:r>
    </w:p>
    <w:p w14:paraId="6DB57EEE"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Lee, J., Li, S., Wang, S., Wang, J., &amp; Li, J. (2020). Spatio-Temporal Nearest Neighbor Index for Measuring Space-Time Clustering among Geographic Events. </w:t>
      </w:r>
      <w:r w:rsidRPr="00B56F08">
        <w:rPr>
          <w:rFonts w:ascii="Calibri" w:hAnsi="Calibri" w:cs="Times New Roman"/>
          <w:i/>
          <w:iCs/>
          <w:noProof/>
          <w:sz w:val="24"/>
          <w:szCs w:val="24"/>
        </w:rPr>
        <w:t>Papers in Applied Geography</w:t>
      </w:r>
      <w:r w:rsidRPr="00B56F08">
        <w:rPr>
          <w:rFonts w:ascii="Calibri" w:hAnsi="Calibri" w:cs="Times New Roman"/>
          <w:noProof/>
          <w:sz w:val="24"/>
          <w:szCs w:val="24"/>
        </w:rPr>
        <w:t xml:space="preserve">, </w:t>
      </w:r>
      <w:r w:rsidRPr="00B56F08">
        <w:rPr>
          <w:rFonts w:ascii="Calibri" w:hAnsi="Calibri" w:cs="Times New Roman"/>
          <w:i/>
          <w:iCs/>
          <w:noProof/>
          <w:sz w:val="24"/>
          <w:szCs w:val="24"/>
        </w:rPr>
        <w:t>0</w:t>
      </w:r>
      <w:r w:rsidRPr="00B56F08">
        <w:rPr>
          <w:rFonts w:ascii="Calibri" w:hAnsi="Calibri" w:cs="Times New Roman"/>
          <w:noProof/>
          <w:sz w:val="24"/>
          <w:szCs w:val="24"/>
        </w:rPr>
        <w:t>(0), 1–14. https://doi.org/10.1080/23754931.2020.1810112</w:t>
      </w:r>
    </w:p>
    <w:p w14:paraId="66D36951"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Ma, Z. (2011). Hägerstrand time-geography revisited from current perspective. </w:t>
      </w:r>
      <w:r w:rsidRPr="00B56F08">
        <w:rPr>
          <w:rFonts w:ascii="Calibri" w:hAnsi="Calibri" w:cs="Times New Roman"/>
          <w:i/>
          <w:iCs/>
          <w:noProof/>
          <w:sz w:val="24"/>
          <w:szCs w:val="24"/>
        </w:rPr>
        <w:t>2011 International Conference on Multimedia Technology, ICMT 2011</w:t>
      </w:r>
      <w:r w:rsidRPr="00B56F08">
        <w:rPr>
          <w:rFonts w:ascii="Calibri" w:hAnsi="Calibri" w:cs="Times New Roman"/>
          <w:noProof/>
          <w:sz w:val="24"/>
          <w:szCs w:val="24"/>
        </w:rPr>
        <w:t>, (128), 5407–5410. https://doi.org/10.1109/ICMT.2011.6002703</w:t>
      </w:r>
    </w:p>
    <w:p w14:paraId="577C482D"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Malik, M. M., Lamba, H., &amp; Nakos, C. (2015). </w:t>
      </w:r>
      <w:r w:rsidRPr="00B56F08">
        <w:rPr>
          <w:rFonts w:ascii="Calibri" w:hAnsi="Calibri" w:cs="Times New Roman"/>
          <w:i/>
          <w:iCs/>
          <w:noProof/>
          <w:sz w:val="24"/>
          <w:szCs w:val="24"/>
        </w:rPr>
        <w:t>Population Bias in Geotagged Tweets</w:t>
      </w:r>
      <w:r w:rsidRPr="00B56F08">
        <w:rPr>
          <w:rFonts w:ascii="Calibri" w:hAnsi="Calibri" w:cs="Times New Roman"/>
          <w:noProof/>
          <w:sz w:val="24"/>
          <w:szCs w:val="24"/>
        </w:rPr>
        <w:t xml:space="preserve">. (D. Ruths &amp; J. Pfeffer, Eds.), </w:t>
      </w:r>
      <w:r w:rsidRPr="00B56F08">
        <w:rPr>
          <w:rFonts w:ascii="Calibri" w:hAnsi="Calibri" w:cs="Times New Roman"/>
          <w:i/>
          <w:iCs/>
          <w:noProof/>
          <w:sz w:val="24"/>
          <w:szCs w:val="24"/>
        </w:rPr>
        <w:t>Standards and Practices in Large-Scale Social Media Research: Papers from the 2015 ICWSM Workshop</w:t>
      </w:r>
      <w:r w:rsidRPr="00B56F08">
        <w:rPr>
          <w:rFonts w:ascii="Calibri" w:hAnsi="Calibri" w:cs="Times New Roman"/>
          <w:noProof/>
          <w:sz w:val="24"/>
          <w:szCs w:val="24"/>
        </w:rPr>
        <w:t>. Palo Alto: The Association for the Advancement of Artifical Intelligence.</w:t>
      </w:r>
    </w:p>
    <w:p w14:paraId="55E9DAEF"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March 3rd, 2019 Tornado Outbreak. (2019). Retrieved July 25, 2020, from https://www.weather.gov/cae/Tornado_20190303</w:t>
      </w:r>
    </w:p>
    <w:p w14:paraId="0780F4F2"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Martín, Y., Li, Z., &amp; Cutter, S. L. (2017). Leveraging Twitter to gauge evacuation compliance: Spatiotemporal analysis of Hurricane Matthew. </w:t>
      </w:r>
      <w:r w:rsidRPr="00B56F08">
        <w:rPr>
          <w:rFonts w:ascii="Calibri" w:hAnsi="Calibri" w:cs="Times New Roman"/>
          <w:i/>
          <w:iCs/>
          <w:noProof/>
          <w:sz w:val="24"/>
          <w:szCs w:val="24"/>
        </w:rPr>
        <w:t>PLoS ONE</w:t>
      </w:r>
      <w:r w:rsidRPr="00B56F08">
        <w:rPr>
          <w:rFonts w:ascii="Calibri" w:hAnsi="Calibri" w:cs="Times New Roman"/>
          <w:noProof/>
          <w:sz w:val="24"/>
          <w:szCs w:val="24"/>
        </w:rPr>
        <w:t xml:space="preserve">, </w:t>
      </w:r>
      <w:r w:rsidRPr="00B56F08">
        <w:rPr>
          <w:rFonts w:ascii="Calibri" w:hAnsi="Calibri" w:cs="Times New Roman"/>
          <w:i/>
          <w:iCs/>
          <w:noProof/>
          <w:sz w:val="24"/>
          <w:szCs w:val="24"/>
        </w:rPr>
        <w:t>12</w:t>
      </w:r>
      <w:r w:rsidRPr="00B56F08">
        <w:rPr>
          <w:rFonts w:ascii="Calibri" w:hAnsi="Calibri" w:cs="Times New Roman"/>
          <w:noProof/>
          <w:sz w:val="24"/>
          <w:szCs w:val="24"/>
        </w:rPr>
        <w:t>(7), 1–22. https://doi.org/10.1371/journal.pone.0181701</w:t>
      </w:r>
    </w:p>
    <w:p w14:paraId="2AE1620F" w14:textId="5F6DBC6E" w:rsidR="006F1AE6"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Mason, L. R., Ellis, K. N., Winchester, B., Schexnayder, S., Mason, L. R., Ellis, K. N., … Schexnayder, S. (2018). Tornado Warnings at Night: Who Gets the Message? </w:t>
      </w:r>
      <w:r w:rsidRPr="00B56F08">
        <w:rPr>
          <w:rFonts w:ascii="Calibri" w:hAnsi="Calibri" w:cs="Times New Roman"/>
          <w:i/>
          <w:iCs/>
          <w:noProof/>
          <w:sz w:val="24"/>
          <w:szCs w:val="24"/>
        </w:rPr>
        <w:t>Weather, Climate, and Society</w:t>
      </w:r>
      <w:r w:rsidRPr="00B56F08">
        <w:rPr>
          <w:rFonts w:ascii="Calibri" w:hAnsi="Calibri" w:cs="Times New Roman"/>
          <w:noProof/>
          <w:sz w:val="24"/>
          <w:szCs w:val="24"/>
        </w:rPr>
        <w:t xml:space="preserve">, </w:t>
      </w:r>
      <w:r w:rsidRPr="00B56F08">
        <w:rPr>
          <w:rFonts w:ascii="Calibri" w:hAnsi="Calibri" w:cs="Times New Roman"/>
          <w:i/>
          <w:iCs/>
          <w:noProof/>
          <w:sz w:val="24"/>
          <w:szCs w:val="24"/>
        </w:rPr>
        <w:t>10</w:t>
      </w:r>
      <w:r w:rsidRPr="00B56F08">
        <w:rPr>
          <w:rFonts w:ascii="Calibri" w:hAnsi="Calibri" w:cs="Times New Roman"/>
          <w:noProof/>
          <w:sz w:val="24"/>
          <w:szCs w:val="24"/>
        </w:rPr>
        <w:t>(3), 561–568. https://doi.org/10.1175/WCAS-D-17-0114.1</w:t>
      </w:r>
    </w:p>
    <w:p w14:paraId="62DF54EC"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Morss, R. E., Demuth, J. L., Lazrus, H., Palen, L., Barton, C. M., Davis, C. A., … Watts, J. (2017). Hazardous weather prediction and communication in the modern information environment. </w:t>
      </w:r>
      <w:r w:rsidRPr="00B56F08">
        <w:rPr>
          <w:rFonts w:ascii="Calibri" w:hAnsi="Calibri" w:cs="Times New Roman"/>
          <w:i/>
          <w:iCs/>
          <w:noProof/>
          <w:sz w:val="24"/>
          <w:szCs w:val="24"/>
        </w:rPr>
        <w:t>Bulletin of the American Meteorological Society</w:t>
      </w:r>
      <w:r w:rsidRPr="00B56F08">
        <w:rPr>
          <w:rFonts w:ascii="Calibri" w:hAnsi="Calibri" w:cs="Times New Roman"/>
          <w:noProof/>
          <w:sz w:val="24"/>
          <w:szCs w:val="24"/>
        </w:rPr>
        <w:t xml:space="preserve">, </w:t>
      </w:r>
      <w:r w:rsidRPr="00B56F08">
        <w:rPr>
          <w:rFonts w:ascii="Calibri" w:hAnsi="Calibri" w:cs="Times New Roman"/>
          <w:i/>
          <w:iCs/>
          <w:noProof/>
          <w:sz w:val="24"/>
          <w:szCs w:val="24"/>
        </w:rPr>
        <w:t>98</w:t>
      </w:r>
      <w:r w:rsidRPr="00B56F08">
        <w:rPr>
          <w:rFonts w:ascii="Calibri" w:hAnsi="Calibri" w:cs="Times New Roman"/>
          <w:noProof/>
          <w:sz w:val="24"/>
          <w:szCs w:val="24"/>
        </w:rPr>
        <w:t>(12), 2653–2674. https://doi.org/10.1175/BAMS-D-16-0058.1</w:t>
      </w:r>
    </w:p>
    <w:p w14:paraId="2CC9DCB1"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Morstatter, F., Pfeffer, J., &amp; Liu, H. (2014). When is it biased? Assessing the representativeness of twitter’s streaming API. </w:t>
      </w:r>
      <w:r w:rsidRPr="00B56F08">
        <w:rPr>
          <w:rFonts w:ascii="Calibri" w:hAnsi="Calibri" w:cs="Times New Roman"/>
          <w:i/>
          <w:iCs/>
          <w:noProof/>
          <w:sz w:val="24"/>
          <w:szCs w:val="24"/>
        </w:rPr>
        <w:t>WWW 2014 Companion - Proceedings of the 23rd International Conference on World Wide Web</w:t>
      </w:r>
      <w:r w:rsidRPr="00B56F08">
        <w:rPr>
          <w:rFonts w:ascii="Calibri" w:hAnsi="Calibri" w:cs="Times New Roman"/>
          <w:noProof/>
          <w:sz w:val="24"/>
          <w:szCs w:val="24"/>
        </w:rPr>
        <w:t>, 555–556. https://doi.org/10.1145/2567948.2576952</w:t>
      </w:r>
    </w:p>
    <w:p w14:paraId="57244EE9" w14:textId="77777777" w:rsid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Morstatter, F., Pfeffer, J., Liu, H., &amp; Carley, K. M. (2013). Is the Sample Good Enough ? Comparing Data from Twitter ’ s Streaming API with Twitter ’ s Firehose. </w:t>
      </w:r>
      <w:r w:rsidRPr="00B56F08">
        <w:rPr>
          <w:rFonts w:ascii="Calibri" w:hAnsi="Calibri" w:cs="Times New Roman"/>
          <w:i/>
          <w:iCs/>
          <w:noProof/>
          <w:sz w:val="24"/>
          <w:szCs w:val="24"/>
        </w:rPr>
        <w:t>Association for the Advancement of Artificial Intelligence</w:t>
      </w:r>
      <w:r w:rsidRPr="00B56F08">
        <w:rPr>
          <w:rFonts w:ascii="Calibri" w:hAnsi="Calibri" w:cs="Times New Roman"/>
          <w:noProof/>
          <w:sz w:val="24"/>
          <w:szCs w:val="24"/>
        </w:rPr>
        <w:t>, 400–408.</w:t>
      </w:r>
    </w:p>
    <w:p w14:paraId="0FE2BB6E" w14:textId="77777777" w:rsidR="006F1AE6" w:rsidRDefault="006F1AE6" w:rsidP="006F1AE6">
      <w:pPr>
        <w:widowControl w:val="0"/>
        <w:autoSpaceDE w:val="0"/>
        <w:autoSpaceDN w:val="0"/>
        <w:adjustRightInd w:val="0"/>
        <w:spacing w:line="240" w:lineRule="auto"/>
        <w:ind w:left="480" w:hanging="480"/>
        <w:rPr>
          <w:rFonts w:ascii="Calibri" w:hAnsi="Calibri" w:cs="Times New Roman"/>
          <w:noProof/>
          <w:sz w:val="24"/>
          <w:szCs w:val="24"/>
        </w:rPr>
      </w:pPr>
    </w:p>
    <w:p w14:paraId="083D1AEB" w14:textId="77777777" w:rsidR="006F1AE6" w:rsidRPr="00B56F08" w:rsidRDefault="006F1AE6" w:rsidP="006F1AE6">
      <w:pPr>
        <w:widowControl w:val="0"/>
        <w:autoSpaceDE w:val="0"/>
        <w:autoSpaceDN w:val="0"/>
        <w:adjustRightInd w:val="0"/>
        <w:spacing w:line="240" w:lineRule="auto"/>
        <w:ind w:left="480" w:hanging="480"/>
        <w:rPr>
          <w:rFonts w:ascii="Calibri" w:hAnsi="Calibri" w:cs="Times New Roman"/>
          <w:noProof/>
          <w:sz w:val="24"/>
          <w:szCs w:val="24"/>
        </w:rPr>
      </w:pPr>
    </w:p>
    <w:p w14:paraId="26F42DF7"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lastRenderedPageBreak/>
        <w:t>Mosier, &amp; Bentley. (2019). Storm Prediction Center Mar 5, 2019 0600 UTC Day 1 Convective Outlook. Retrieved October 5, 2020, from https://www.spc.noaa.gov/products/outlook/archive/2019/day1otlk_20190305_1200.html</w:t>
      </w:r>
    </w:p>
    <w:p w14:paraId="00943719"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Nguyen, Q. C., McCullough, M., Meng, H. W., Paul, D., Li, D., Kath, S., … Li, F. (2017). Geotagged US tweets as predictors of county-level health outcomes, 2015-2016. </w:t>
      </w:r>
      <w:r w:rsidRPr="00B56F08">
        <w:rPr>
          <w:rFonts w:ascii="Calibri" w:hAnsi="Calibri" w:cs="Times New Roman"/>
          <w:i/>
          <w:iCs/>
          <w:noProof/>
          <w:sz w:val="24"/>
          <w:szCs w:val="24"/>
        </w:rPr>
        <w:t>American Journal of Public Health</w:t>
      </w:r>
      <w:r w:rsidRPr="00B56F08">
        <w:rPr>
          <w:rFonts w:ascii="Calibri" w:hAnsi="Calibri" w:cs="Times New Roman"/>
          <w:noProof/>
          <w:sz w:val="24"/>
          <w:szCs w:val="24"/>
        </w:rPr>
        <w:t xml:space="preserve">, </w:t>
      </w:r>
      <w:r w:rsidRPr="00B56F08">
        <w:rPr>
          <w:rFonts w:ascii="Calibri" w:hAnsi="Calibri" w:cs="Times New Roman"/>
          <w:i/>
          <w:iCs/>
          <w:noProof/>
          <w:sz w:val="24"/>
          <w:szCs w:val="24"/>
        </w:rPr>
        <w:t>107</w:t>
      </w:r>
      <w:r w:rsidRPr="00B56F08">
        <w:rPr>
          <w:rFonts w:ascii="Calibri" w:hAnsi="Calibri" w:cs="Times New Roman"/>
          <w:noProof/>
          <w:sz w:val="24"/>
          <w:szCs w:val="24"/>
        </w:rPr>
        <w:t>(11), 1776–1782. https://doi.org/10.2105/AJPH.2017.303993</w:t>
      </w:r>
    </w:p>
    <w:p w14:paraId="237B9BEA" w14:textId="2B3E6670" w:rsidR="006F1AE6"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Palen, L., Vieweg, S., Liu, S. B., &amp; Hughes, A. L. (2009). Crisis in a Networked World. </w:t>
      </w:r>
      <w:r w:rsidRPr="00B56F08">
        <w:rPr>
          <w:rFonts w:ascii="Calibri" w:hAnsi="Calibri" w:cs="Times New Roman"/>
          <w:i/>
          <w:iCs/>
          <w:noProof/>
          <w:sz w:val="24"/>
          <w:szCs w:val="24"/>
        </w:rPr>
        <w:t>Social Science Computer Review</w:t>
      </w:r>
      <w:r w:rsidRPr="00B56F08">
        <w:rPr>
          <w:rFonts w:ascii="Calibri" w:hAnsi="Calibri" w:cs="Times New Roman"/>
          <w:noProof/>
          <w:sz w:val="24"/>
          <w:szCs w:val="24"/>
        </w:rPr>
        <w:t xml:space="preserve">, </w:t>
      </w:r>
      <w:r w:rsidRPr="00B56F08">
        <w:rPr>
          <w:rFonts w:ascii="Calibri" w:hAnsi="Calibri" w:cs="Times New Roman"/>
          <w:i/>
          <w:iCs/>
          <w:noProof/>
          <w:sz w:val="24"/>
          <w:szCs w:val="24"/>
        </w:rPr>
        <w:t>27</w:t>
      </w:r>
      <w:r w:rsidRPr="00B56F08">
        <w:rPr>
          <w:rFonts w:ascii="Calibri" w:hAnsi="Calibri" w:cs="Times New Roman"/>
          <w:noProof/>
          <w:sz w:val="24"/>
          <w:szCs w:val="24"/>
        </w:rPr>
        <w:t>(4), 467–480. https://doi.org/10.1177/0894439309332302</w:t>
      </w:r>
    </w:p>
    <w:p w14:paraId="4B5814BE"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Paniagua, J., &amp; Sapena, J. (2014). Business performance and social media: Love or hate? </w:t>
      </w:r>
      <w:r w:rsidRPr="00B56F08">
        <w:rPr>
          <w:rFonts w:ascii="Calibri" w:hAnsi="Calibri" w:cs="Times New Roman"/>
          <w:i/>
          <w:iCs/>
          <w:noProof/>
          <w:sz w:val="24"/>
          <w:szCs w:val="24"/>
        </w:rPr>
        <w:t>Business Horizons</w:t>
      </w:r>
      <w:r w:rsidRPr="00B56F08">
        <w:rPr>
          <w:rFonts w:ascii="Calibri" w:hAnsi="Calibri" w:cs="Times New Roman"/>
          <w:noProof/>
          <w:sz w:val="24"/>
          <w:szCs w:val="24"/>
        </w:rPr>
        <w:t xml:space="preserve">, </w:t>
      </w:r>
      <w:r w:rsidRPr="00B56F08">
        <w:rPr>
          <w:rFonts w:ascii="Calibri" w:hAnsi="Calibri" w:cs="Times New Roman"/>
          <w:i/>
          <w:iCs/>
          <w:noProof/>
          <w:sz w:val="24"/>
          <w:szCs w:val="24"/>
        </w:rPr>
        <w:t>57</w:t>
      </w:r>
      <w:r w:rsidRPr="00B56F08">
        <w:rPr>
          <w:rFonts w:ascii="Calibri" w:hAnsi="Calibri" w:cs="Times New Roman"/>
          <w:noProof/>
          <w:sz w:val="24"/>
          <w:szCs w:val="24"/>
        </w:rPr>
        <w:t>(6), 719–728. https://doi.org/10.1016/j.bushor.2014.07.005</w:t>
      </w:r>
    </w:p>
    <w:p w14:paraId="0D209957"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Perrin, A., &amp; Anderson, M. (2019). Social media usage in the U.S. in 2019 | Pew Research Center. Retrieved June 24, 2020, from https://www.pewresearch.org/fact-tank/2019/04/10/share-of-u-s-adults-using-social-media-including-facebook-is-mostly-unchanged-since-2018/</w:t>
      </w:r>
    </w:p>
    <w:p w14:paraId="36A749B1"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Principles of Epidemiology: Glossary. (2014). Retrieved October 17, 2020, from https://www.cdc.gov/csels/dsepd/ss1978/glossary.html</w:t>
      </w:r>
    </w:p>
    <w:p w14:paraId="4AC2CFC9"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Qu, Y., Wu, P. F., &amp; Wang, X. (2009). Online Community Response to Major Disaster: A Study of Tianya Forum in the 2008 Sichuan Earthquake. In </w:t>
      </w:r>
      <w:r w:rsidRPr="00B56F08">
        <w:rPr>
          <w:rFonts w:ascii="Calibri" w:hAnsi="Calibri" w:cs="Times New Roman"/>
          <w:i/>
          <w:iCs/>
          <w:noProof/>
          <w:sz w:val="24"/>
          <w:szCs w:val="24"/>
        </w:rPr>
        <w:t>2009 42nd Hawaii International Conference on System Sciences</w:t>
      </w:r>
      <w:r w:rsidRPr="00B56F08">
        <w:rPr>
          <w:rFonts w:ascii="Calibri" w:hAnsi="Calibri" w:cs="Times New Roman"/>
          <w:noProof/>
          <w:sz w:val="24"/>
          <w:szCs w:val="24"/>
        </w:rPr>
        <w:t xml:space="preserve"> (pp. 1–11). IEEE. https://doi.org/10.1109/HICSS.2009.330</w:t>
      </w:r>
    </w:p>
    <w:p w14:paraId="2EAA2C9C"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R-core R-core@R-project.org. (n.d.). poly function. Retrieved September 10, 2020, from https://www.rdocumentation.org/packages/stats/versions/3.6.2/topics/poly</w:t>
      </w:r>
    </w:p>
    <w:p w14:paraId="517E274D"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R Language Definition. (2020), </w:t>
      </w:r>
      <w:r w:rsidRPr="00B56F08">
        <w:rPr>
          <w:rFonts w:ascii="Calibri" w:hAnsi="Calibri" w:cs="Times New Roman"/>
          <w:i/>
          <w:iCs/>
          <w:noProof/>
          <w:sz w:val="24"/>
          <w:szCs w:val="24"/>
        </w:rPr>
        <w:t>4.0.3</w:t>
      </w:r>
      <w:r w:rsidRPr="00B56F08">
        <w:rPr>
          <w:rFonts w:ascii="Calibri" w:hAnsi="Calibri" w:cs="Times New Roman"/>
          <w:noProof/>
          <w:sz w:val="24"/>
          <w:szCs w:val="24"/>
        </w:rPr>
        <w:t>, 10. https://doi.org/10.1002/9781119197515.app4</w:t>
      </w:r>
    </w:p>
    <w:p w14:paraId="6FB68B83"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Rey, S. J., Murray, A. T., &amp; Anselin, L. (2011). Visualizing Regional Income Distribution Dynamics. </w:t>
      </w:r>
      <w:r w:rsidRPr="00B56F08">
        <w:rPr>
          <w:rFonts w:ascii="Calibri" w:hAnsi="Calibri" w:cs="Times New Roman"/>
          <w:i/>
          <w:iCs/>
          <w:noProof/>
          <w:sz w:val="24"/>
          <w:szCs w:val="24"/>
        </w:rPr>
        <w:t>Letters in Spatial and Resource Sciences</w:t>
      </w:r>
      <w:r w:rsidRPr="00B56F08">
        <w:rPr>
          <w:rFonts w:ascii="Calibri" w:hAnsi="Calibri" w:cs="Times New Roman"/>
          <w:noProof/>
          <w:sz w:val="24"/>
          <w:szCs w:val="24"/>
        </w:rPr>
        <w:t xml:space="preserve">, </w:t>
      </w:r>
      <w:r w:rsidRPr="00B56F08">
        <w:rPr>
          <w:rFonts w:ascii="Calibri" w:hAnsi="Calibri" w:cs="Times New Roman"/>
          <w:i/>
          <w:iCs/>
          <w:noProof/>
          <w:sz w:val="24"/>
          <w:szCs w:val="24"/>
        </w:rPr>
        <w:t>4</w:t>
      </w:r>
      <w:r w:rsidRPr="00B56F08">
        <w:rPr>
          <w:rFonts w:ascii="Calibri" w:hAnsi="Calibri" w:cs="Times New Roman"/>
          <w:noProof/>
          <w:sz w:val="24"/>
          <w:szCs w:val="24"/>
        </w:rPr>
        <w:t>, 81–90. https://doi.org/https://doi.org/10.1007/s12076-010-0048-2</w:t>
      </w:r>
    </w:p>
    <w:p w14:paraId="491318ED"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Ripberger, J. T., Jenkins-Smith, H. C., Silva, C. L., Carlson, D. E., Henderson, M., Ripberger, J. T., … Henderson, M. (2014). Social Media and Severe Weather: Do Tweets Provide a Valid Indicator of Public Attention to Severe Weather Risk Communication? </w:t>
      </w:r>
      <w:r w:rsidRPr="00B56F08">
        <w:rPr>
          <w:rFonts w:ascii="Calibri" w:hAnsi="Calibri" w:cs="Times New Roman"/>
          <w:i/>
          <w:iCs/>
          <w:noProof/>
          <w:sz w:val="24"/>
          <w:szCs w:val="24"/>
        </w:rPr>
        <w:t>Weather, Climate, and Society</w:t>
      </w:r>
      <w:r w:rsidRPr="00B56F08">
        <w:rPr>
          <w:rFonts w:ascii="Calibri" w:hAnsi="Calibri" w:cs="Times New Roman"/>
          <w:noProof/>
          <w:sz w:val="24"/>
          <w:szCs w:val="24"/>
        </w:rPr>
        <w:t xml:space="preserve">, </w:t>
      </w:r>
      <w:r w:rsidRPr="00B56F08">
        <w:rPr>
          <w:rFonts w:ascii="Calibri" w:hAnsi="Calibri" w:cs="Times New Roman"/>
          <w:i/>
          <w:iCs/>
          <w:noProof/>
          <w:sz w:val="24"/>
          <w:szCs w:val="24"/>
        </w:rPr>
        <w:t>6</w:t>
      </w:r>
      <w:r w:rsidRPr="00B56F08">
        <w:rPr>
          <w:rFonts w:ascii="Calibri" w:hAnsi="Calibri" w:cs="Times New Roman"/>
          <w:noProof/>
          <w:sz w:val="24"/>
          <w:szCs w:val="24"/>
        </w:rPr>
        <w:t>(4), 520–530. https://doi.org/10.1175/WCAS-D-13-00028.1</w:t>
      </w:r>
    </w:p>
    <w:p w14:paraId="7CB00B25"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Santorelli. (2019a). 1200Z Surface Analysis for Sat Mar 02 2019. NOAA WPC, NHC, OPC. Retrieved from https://www.wpc.ncep.noaa.gov/archives/sfc/2019/ussatsfc2019030212.gif</w:t>
      </w:r>
    </w:p>
    <w:p w14:paraId="08A87C7C" w14:textId="77777777" w:rsid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Santorelli. (2019b). 1200Z Surface Analysis for Sun Mar 03 2019. NOAA WPC, NHC, OPC. Retrieved from https://www.wpc.ncep.noaa.gov/archives/sfc/2019/ussatsfc2019030312.gif</w:t>
      </w:r>
    </w:p>
    <w:p w14:paraId="13ECB1F4" w14:textId="77777777" w:rsidR="006F1AE6" w:rsidRPr="00B56F08" w:rsidRDefault="006F1AE6" w:rsidP="006F1AE6">
      <w:pPr>
        <w:widowControl w:val="0"/>
        <w:autoSpaceDE w:val="0"/>
        <w:autoSpaceDN w:val="0"/>
        <w:adjustRightInd w:val="0"/>
        <w:spacing w:line="240" w:lineRule="auto"/>
        <w:ind w:left="480" w:hanging="480"/>
        <w:rPr>
          <w:rFonts w:ascii="Calibri" w:hAnsi="Calibri" w:cs="Times New Roman"/>
          <w:noProof/>
          <w:sz w:val="24"/>
          <w:szCs w:val="24"/>
        </w:rPr>
      </w:pPr>
    </w:p>
    <w:p w14:paraId="42BC6635"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lastRenderedPageBreak/>
        <w:t xml:space="preserve">Schramm, M. E., Trainor, K. J., Shanker, M., &amp; Hu, M. Y. (2010). An agent-based diffusion model with consumer and brand agents. </w:t>
      </w:r>
      <w:r w:rsidRPr="00B56F08">
        <w:rPr>
          <w:rFonts w:ascii="Calibri" w:hAnsi="Calibri" w:cs="Times New Roman"/>
          <w:i/>
          <w:iCs/>
          <w:noProof/>
          <w:sz w:val="24"/>
          <w:szCs w:val="24"/>
        </w:rPr>
        <w:t>Decision Support Systems</w:t>
      </w:r>
      <w:r w:rsidRPr="00B56F08">
        <w:rPr>
          <w:rFonts w:ascii="Calibri" w:hAnsi="Calibri" w:cs="Times New Roman"/>
          <w:noProof/>
          <w:sz w:val="24"/>
          <w:szCs w:val="24"/>
        </w:rPr>
        <w:t xml:space="preserve">, </w:t>
      </w:r>
      <w:r w:rsidRPr="00B56F08">
        <w:rPr>
          <w:rFonts w:ascii="Calibri" w:hAnsi="Calibri" w:cs="Times New Roman"/>
          <w:i/>
          <w:iCs/>
          <w:noProof/>
          <w:sz w:val="24"/>
          <w:szCs w:val="24"/>
        </w:rPr>
        <w:t>50</w:t>
      </w:r>
      <w:r w:rsidRPr="00B56F08">
        <w:rPr>
          <w:rFonts w:ascii="Calibri" w:hAnsi="Calibri" w:cs="Times New Roman"/>
          <w:noProof/>
          <w:sz w:val="24"/>
          <w:szCs w:val="24"/>
        </w:rPr>
        <w:t>(1), 234–242. https://doi.org/10.1016/j.dss.2010.08.004</w:t>
      </w:r>
    </w:p>
    <w:p w14:paraId="50A9CBD4"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Search Tweets Standard search API. (2020). Retrieved June 28, 2020, from https://developer.twitter.com/en/docs/tweets/search/api-reference/get-search-tweets</w:t>
      </w:r>
    </w:p>
    <w:p w14:paraId="1CFD7649"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Severe Weather Event Summaries. (2018). Retrieved July 29, 2020, from https://www.spc.noaa.gov/climo/online/</w:t>
      </w:r>
    </w:p>
    <w:p w14:paraId="42AF8212"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Shaw, S. L., &amp; Sui, D. (2018). Editorial: GIScience for human dynamics research in a changing world. </w:t>
      </w:r>
      <w:r w:rsidRPr="00B56F08">
        <w:rPr>
          <w:rFonts w:ascii="Calibri" w:hAnsi="Calibri" w:cs="Times New Roman"/>
          <w:i/>
          <w:iCs/>
          <w:noProof/>
          <w:sz w:val="24"/>
          <w:szCs w:val="24"/>
        </w:rPr>
        <w:t>Transactions in GIS</w:t>
      </w:r>
      <w:r w:rsidRPr="00B56F08">
        <w:rPr>
          <w:rFonts w:ascii="Calibri" w:hAnsi="Calibri" w:cs="Times New Roman"/>
          <w:noProof/>
          <w:sz w:val="24"/>
          <w:szCs w:val="24"/>
        </w:rPr>
        <w:t xml:space="preserve">, </w:t>
      </w:r>
      <w:r w:rsidRPr="00B56F08">
        <w:rPr>
          <w:rFonts w:ascii="Calibri" w:hAnsi="Calibri" w:cs="Times New Roman"/>
          <w:i/>
          <w:iCs/>
          <w:noProof/>
          <w:sz w:val="24"/>
          <w:szCs w:val="24"/>
        </w:rPr>
        <w:t>22</w:t>
      </w:r>
      <w:r w:rsidRPr="00B56F08">
        <w:rPr>
          <w:rFonts w:ascii="Calibri" w:hAnsi="Calibri" w:cs="Times New Roman"/>
          <w:noProof/>
          <w:sz w:val="24"/>
          <w:szCs w:val="24"/>
        </w:rPr>
        <w:t>(4), 891–899. https://doi.org/10.1111/tgis.12474</w:t>
      </w:r>
    </w:p>
    <w:p w14:paraId="621DC52D"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Stilo, G., Velardi, P., Tozzi, A. E., &amp; Gesualdo, F. (2014). Predicting Flu Epidemics Using Twitter and Historical Data (pp. 164–177). Springer, Cham. https://doi.org/10.1007/978-3-319-09891-3_16</w:t>
      </w:r>
    </w:p>
    <w:p w14:paraId="2B224AFB"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Storm Prediction Center. (2019). </w:t>
      </w:r>
      <w:r w:rsidRPr="00B56F08">
        <w:rPr>
          <w:rFonts w:ascii="Calibri" w:hAnsi="Calibri" w:cs="Times New Roman"/>
          <w:i/>
          <w:iCs/>
          <w:noProof/>
          <w:sz w:val="24"/>
          <w:szCs w:val="24"/>
        </w:rPr>
        <w:t>SPC Filtered Storm Reports for 03/03/19</w:t>
      </w:r>
      <w:r w:rsidRPr="00B56F08">
        <w:rPr>
          <w:rFonts w:ascii="Calibri" w:hAnsi="Calibri" w:cs="Times New Roman"/>
          <w:noProof/>
          <w:sz w:val="24"/>
          <w:szCs w:val="24"/>
        </w:rPr>
        <w:t>. NOAA’s National Weather Service. Retrieved from https://www.spc.noaa.gov/climo/reports/190303_rpts.html</w:t>
      </w:r>
    </w:p>
    <w:p w14:paraId="5DA34DC8"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Storm Prediction Center Storm Reports for 3/3/19. (2019). Retrieved October 17, 2020, from https://www.spc.noaa.gov/climo/reports/190303_rpts.html</w:t>
      </w:r>
    </w:p>
    <w:p w14:paraId="5CEBE040"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Sullivan, L., &amp; LaMorte, W. W. (2016). Variance and Standard Deviation. Retrieved July 15, 2020, from https://sphweb.bumc.bu.edu/otlt/MPH-Modules/BS/BS704_SummarizingData/BS704_SummarizingData6.html</w:t>
      </w:r>
    </w:p>
    <w:p w14:paraId="6006D4FC"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Team, R. C. (2020). </w:t>
      </w:r>
      <w:r w:rsidRPr="00B56F08">
        <w:rPr>
          <w:rFonts w:ascii="Calibri" w:hAnsi="Calibri" w:cs="Times New Roman"/>
          <w:i/>
          <w:iCs/>
          <w:noProof/>
          <w:sz w:val="24"/>
          <w:szCs w:val="24"/>
        </w:rPr>
        <w:t>R Language Definition</w:t>
      </w:r>
      <w:r w:rsidRPr="00B56F08">
        <w:rPr>
          <w:rFonts w:ascii="Calibri" w:hAnsi="Calibri" w:cs="Times New Roman"/>
          <w:noProof/>
          <w:sz w:val="24"/>
          <w:szCs w:val="24"/>
        </w:rPr>
        <w:t>.</w:t>
      </w:r>
    </w:p>
    <w:p w14:paraId="0125AA4E"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The Weather Channel Announces Winter Storm Names for 2019-2020 Season. (2019). Retrieved July 29, 2020, from http://weathergroup.com/newsroom/2019/10/03/weather-channel-announces-winter-storm-names-2019-2020-season</w:t>
      </w:r>
    </w:p>
    <w:p w14:paraId="1D033540"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Tornadoes of March 3, 2019 Event Summary for Central Alabama. (n.d.). Retrieved July 25, 2020, from https://www.weather.gov/bmx/event_03032019</w:t>
      </w:r>
    </w:p>
    <w:p w14:paraId="1F1E9399"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Ukkusuri, S. V., Zhan, X., Sadri, A. M., &amp; Ye, Q. (2014). Use of Social Media Data to Explore Crisis Informatics. </w:t>
      </w:r>
      <w:r w:rsidRPr="00B56F08">
        <w:rPr>
          <w:rFonts w:ascii="Calibri" w:hAnsi="Calibri" w:cs="Times New Roman"/>
          <w:i/>
          <w:iCs/>
          <w:noProof/>
          <w:sz w:val="24"/>
          <w:szCs w:val="24"/>
        </w:rPr>
        <w:t>Transportation Research Record: Journal of the Transportation Research Board</w:t>
      </w:r>
      <w:r w:rsidRPr="00B56F08">
        <w:rPr>
          <w:rFonts w:ascii="Calibri" w:hAnsi="Calibri" w:cs="Times New Roman"/>
          <w:noProof/>
          <w:sz w:val="24"/>
          <w:szCs w:val="24"/>
        </w:rPr>
        <w:t xml:space="preserve">, </w:t>
      </w:r>
      <w:r w:rsidRPr="00B56F08">
        <w:rPr>
          <w:rFonts w:ascii="Calibri" w:hAnsi="Calibri" w:cs="Times New Roman"/>
          <w:i/>
          <w:iCs/>
          <w:noProof/>
          <w:sz w:val="24"/>
          <w:szCs w:val="24"/>
        </w:rPr>
        <w:t>2459</w:t>
      </w:r>
      <w:r w:rsidRPr="00B56F08">
        <w:rPr>
          <w:rFonts w:ascii="Calibri" w:hAnsi="Calibri" w:cs="Times New Roman"/>
          <w:noProof/>
          <w:sz w:val="24"/>
          <w:szCs w:val="24"/>
        </w:rPr>
        <w:t>(1), 110–118. https://doi.org/10.3141/2459-13</w:t>
      </w:r>
    </w:p>
    <w:p w14:paraId="73110E29"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Vaught, S. E., &amp; Castagno, A. E. (2008). “I don’t think I’m a racist”: Critical Race Theory, teacher attitudes, and structural racism. </w:t>
      </w:r>
      <w:r w:rsidRPr="00B56F08">
        <w:rPr>
          <w:rFonts w:ascii="Calibri" w:hAnsi="Calibri" w:cs="Times New Roman"/>
          <w:i/>
          <w:iCs/>
          <w:noProof/>
          <w:sz w:val="24"/>
          <w:szCs w:val="24"/>
        </w:rPr>
        <w:t>Race Ethnicity and Education</w:t>
      </w:r>
      <w:r w:rsidRPr="00B56F08">
        <w:rPr>
          <w:rFonts w:ascii="Calibri" w:hAnsi="Calibri" w:cs="Times New Roman"/>
          <w:noProof/>
          <w:sz w:val="24"/>
          <w:szCs w:val="24"/>
        </w:rPr>
        <w:t xml:space="preserve">, </w:t>
      </w:r>
      <w:r w:rsidRPr="00B56F08">
        <w:rPr>
          <w:rFonts w:ascii="Calibri" w:hAnsi="Calibri" w:cs="Times New Roman"/>
          <w:i/>
          <w:iCs/>
          <w:noProof/>
          <w:sz w:val="24"/>
          <w:szCs w:val="24"/>
        </w:rPr>
        <w:t>11</w:t>
      </w:r>
      <w:r w:rsidRPr="00B56F08">
        <w:rPr>
          <w:rFonts w:ascii="Calibri" w:hAnsi="Calibri" w:cs="Times New Roman"/>
          <w:noProof/>
          <w:sz w:val="24"/>
          <w:szCs w:val="24"/>
        </w:rPr>
        <w:t>(2), 95–113. https://doi.org/10.1080/13613320802110217</w:t>
      </w:r>
    </w:p>
    <w:p w14:paraId="70593E94" w14:textId="77777777" w:rsid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Wang, Y., Callan, J., &amp; Zheng, B. (2015). Should we use the sample? Analyzing datasets sampled from Twitter’s stream API. </w:t>
      </w:r>
      <w:r w:rsidRPr="00B56F08">
        <w:rPr>
          <w:rFonts w:ascii="Calibri" w:hAnsi="Calibri" w:cs="Times New Roman"/>
          <w:i/>
          <w:iCs/>
          <w:noProof/>
          <w:sz w:val="24"/>
          <w:szCs w:val="24"/>
        </w:rPr>
        <w:t>ACM Transactions on the Web</w:t>
      </w:r>
      <w:r w:rsidRPr="00B56F08">
        <w:rPr>
          <w:rFonts w:ascii="Calibri" w:hAnsi="Calibri" w:cs="Times New Roman"/>
          <w:noProof/>
          <w:sz w:val="24"/>
          <w:szCs w:val="24"/>
        </w:rPr>
        <w:t xml:space="preserve">, </w:t>
      </w:r>
      <w:r w:rsidRPr="00B56F08">
        <w:rPr>
          <w:rFonts w:ascii="Calibri" w:hAnsi="Calibri" w:cs="Times New Roman"/>
          <w:i/>
          <w:iCs/>
          <w:noProof/>
          <w:sz w:val="24"/>
          <w:szCs w:val="24"/>
        </w:rPr>
        <w:t>9</w:t>
      </w:r>
      <w:r w:rsidRPr="00B56F08">
        <w:rPr>
          <w:rFonts w:ascii="Calibri" w:hAnsi="Calibri" w:cs="Times New Roman"/>
          <w:noProof/>
          <w:sz w:val="24"/>
          <w:szCs w:val="24"/>
        </w:rPr>
        <w:t>(3). https://doi.org/10.1145/2746366</w:t>
      </w:r>
    </w:p>
    <w:p w14:paraId="7A739A41" w14:textId="77777777" w:rsidR="006F1AE6" w:rsidRPr="00B56F08" w:rsidRDefault="006F1AE6" w:rsidP="006F1AE6">
      <w:pPr>
        <w:widowControl w:val="0"/>
        <w:autoSpaceDE w:val="0"/>
        <w:autoSpaceDN w:val="0"/>
        <w:adjustRightInd w:val="0"/>
        <w:spacing w:line="240" w:lineRule="auto"/>
        <w:ind w:left="480" w:hanging="480"/>
        <w:rPr>
          <w:rFonts w:ascii="Calibri" w:hAnsi="Calibri" w:cs="Times New Roman"/>
          <w:noProof/>
          <w:sz w:val="24"/>
          <w:szCs w:val="24"/>
        </w:rPr>
      </w:pPr>
    </w:p>
    <w:p w14:paraId="2AC2A9C8"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lastRenderedPageBreak/>
        <w:t>Watch/Warning/Advisory Definitions. (n.d.). Retrieved September 23, 2019, from https://www.weather.gov/lwx/WarningsDefined</w:t>
      </w:r>
    </w:p>
    <w:p w14:paraId="08F8146F"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Welbers, K., &amp; Opgenhaffen, M. (2018). Social media gatekeeping: An analysis of the gatekeeping influence of newspapers’ public Facebook pages. </w:t>
      </w:r>
      <w:r w:rsidRPr="00B56F08">
        <w:rPr>
          <w:rFonts w:ascii="Calibri" w:hAnsi="Calibri" w:cs="Times New Roman"/>
          <w:i/>
          <w:iCs/>
          <w:noProof/>
          <w:sz w:val="24"/>
          <w:szCs w:val="24"/>
        </w:rPr>
        <w:t>New Media and Society</w:t>
      </w:r>
      <w:r w:rsidRPr="00B56F08">
        <w:rPr>
          <w:rFonts w:ascii="Calibri" w:hAnsi="Calibri" w:cs="Times New Roman"/>
          <w:noProof/>
          <w:sz w:val="24"/>
          <w:szCs w:val="24"/>
        </w:rPr>
        <w:t xml:space="preserve">, </w:t>
      </w:r>
      <w:r w:rsidRPr="00B56F08">
        <w:rPr>
          <w:rFonts w:ascii="Calibri" w:hAnsi="Calibri" w:cs="Times New Roman"/>
          <w:i/>
          <w:iCs/>
          <w:noProof/>
          <w:sz w:val="24"/>
          <w:szCs w:val="24"/>
        </w:rPr>
        <w:t>20</w:t>
      </w:r>
      <w:r w:rsidRPr="00B56F08">
        <w:rPr>
          <w:rFonts w:ascii="Calibri" w:hAnsi="Calibri" w:cs="Times New Roman"/>
          <w:noProof/>
          <w:sz w:val="24"/>
          <w:szCs w:val="24"/>
        </w:rPr>
        <w:t>(12), 4728–4747. https://doi.org/10.1177/1461444818784302</w:t>
      </w:r>
    </w:p>
    <w:p w14:paraId="30349156"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Wilkins, D. E., &amp; Ford, R. L. (2007). Nearest neighbor methods applied to dune field organization: The Coral Pink Sand Dunes, Kane County, Utah, USA. </w:t>
      </w:r>
      <w:r w:rsidRPr="00B56F08">
        <w:rPr>
          <w:rFonts w:ascii="Calibri" w:hAnsi="Calibri" w:cs="Times New Roman"/>
          <w:i/>
          <w:iCs/>
          <w:noProof/>
          <w:sz w:val="24"/>
          <w:szCs w:val="24"/>
        </w:rPr>
        <w:t>Geomorphology</w:t>
      </w:r>
      <w:r w:rsidRPr="00B56F08">
        <w:rPr>
          <w:rFonts w:ascii="Calibri" w:hAnsi="Calibri" w:cs="Times New Roman"/>
          <w:noProof/>
          <w:sz w:val="24"/>
          <w:szCs w:val="24"/>
        </w:rPr>
        <w:t xml:space="preserve">, </w:t>
      </w:r>
      <w:r w:rsidRPr="00B56F08">
        <w:rPr>
          <w:rFonts w:ascii="Calibri" w:hAnsi="Calibri" w:cs="Times New Roman"/>
          <w:i/>
          <w:iCs/>
          <w:noProof/>
          <w:sz w:val="24"/>
          <w:szCs w:val="24"/>
        </w:rPr>
        <w:t>83</w:t>
      </w:r>
      <w:r w:rsidRPr="00B56F08">
        <w:rPr>
          <w:rFonts w:ascii="Calibri" w:hAnsi="Calibri" w:cs="Times New Roman"/>
          <w:noProof/>
          <w:sz w:val="24"/>
          <w:szCs w:val="24"/>
        </w:rPr>
        <w:t>(1–2), 48–57. https://doi.org/10.1016/j.geomorph.2006.06.009</w:t>
      </w:r>
    </w:p>
    <w:p w14:paraId="6BB84DC2" w14:textId="77777777" w:rsidR="00B56F08" w:rsidRPr="00B56F08" w:rsidRDefault="00B56F08" w:rsidP="006F1AE6">
      <w:pPr>
        <w:widowControl w:val="0"/>
        <w:autoSpaceDE w:val="0"/>
        <w:autoSpaceDN w:val="0"/>
        <w:adjustRightInd w:val="0"/>
        <w:spacing w:line="240" w:lineRule="auto"/>
        <w:ind w:left="480" w:hanging="480"/>
        <w:rPr>
          <w:rFonts w:ascii="Calibri" w:hAnsi="Calibri" w:cs="Times New Roman"/>
          <w:noProof/>
          <w:sz w:val="24"/>
          <w:szCs w:val="24"/>
        </w:rPr>
      </w:pPr>
      <w:r w:rsidRPr="00B56F08">
        <w:rPr>
          <w:rFonts w:ascii="Calibri" w:hAnsi="Calibri" w:cs="Times New Roman"/>
          <w:noProof/>
          <w:sz w:val="24"/>
          <w:szCs w:val="24"/>
        </w:rPr>
        <w:t xml:space="preserve">Wolff, J., &amp; Zalta, E. N. (Ed. . (2017). Karl Marx. In </w:t>
      </w:r>
      <w:r w:rsidRPr="00B56F08">
        <w:rPr>
          <w:rFonts w:ascii="Calibri" w:hAnsi="Calibri" w:cs="Times New Roman"/>
          <w:i/>
          <w:iCs/>
          <w:noProof/>
          <w:sz w:val="24"/>
          <w:szCs w:val="24"/>
        </w:rPr>
        <w:t>Stanford Encyclopedia of Philosophy</w:t>
      </w:r>
      <w:r w:rsidRPr="00B56F08">
        <w:rPr>
          <w:rFonts w:ascii="Calibri" w:hAnsi="Calibri" w:cs="Times New Roman"/>
          <w:noProof/>
          <w:sz w:val="24"/>
          <w:szCs w:val="24"/>
        </w:rPr>
        <w:t xml:space="preserve"> (Winter 201). Metaphysics Research Lab, Stanford University. Retrieved from https://plato.stanford.edu/entries/marx/#Bib</w:t>
      </w:r>
    </w:p>
    <w:p w14:paraId="188BEA30" w14:textId="77777777" w:rsidR="00B56F08" w:rsidRPr="00B56F08" w:rsidRDefault="00B56F08" w:rsidP="006F1AE6">
      <w:pPr>
        <w:widowControl w:val="0"/>
        <w:autoSpaceDE w:val="0"/>
        <w:autoSpaceDN w:val="0"/>
        <w:adjustRightInd w:val="0"/>
        <w:spacing w:line="240" w:lineRule="auto"/>
        <w:ind w:left="480" w:hanging="480"/>
        <w:rPr>
          <w:rFonts w:ascii="Calibri" w:hAnsi="Calibri"/>
          <w:noProof/>
          <w:sz w:val="24"/>
        </w:rPr>
      </w:pPr>
      <w:r w:rsidRPr="00B56F08">
        <w:rPr>
          <w:rFonts w:ascii="Calibri" w:hAnsi="Calibri" w:cs="Times New Roman"/>
          <w:noProof/>
          <w:sz w:val="24"/>
          <w:szCs w:val="24"/>
        </w:rPr>
        <w:t>Zornoza, J. (2019). Downloading Data From Twitter Using the Streaming API. Retrieved June 24, 2020, from https://medium.com/@jaimezornoza/downloading-data-from-twitter-using-the-streaming-api-3ac6766ba96c</w:t>
      </w:r>
    </w:p>
    <w:p w14:paraId="2813B8B7" w14:textId="77777777" w:rsidR="00A36C9D" w:rsidRDefault="00A36C9D" w:rsidP="006F1AE6">
      <w:pPr>
        <w:spacing w:line="240" w:lineRule="auto"/>
        <w:rPr>
          <w:sz w:val="24"/>
        </w:rPr>
      </w:pPr>
      <w:r>
        <w:rPr>
          <w:sz w:val="24"/>
        </w:rPr>
        <w:fldChar w:fldCharType="end"/>
      </w:r>
    </w:p>
    <w:p w14:paraId="17A21A34" w14:textId="77777777" w:rsidR="00762306" w:rsidRDefault="00762306" w:rsidP="006F1AE6">
      <w:pPr>
        <w:spacing w:line="480" w:lineRule="auto"/>
        <w:jc w:val="center"/>
        <w:rPr>
          <w:b/>
          <w:caps/>
          <w:sz w:val="28"/>
        </w:rPr>
      </w:pPr>
    </w:p>
    <w:p w14:paraId="40D3E893" w14:textId="77777777" w:rsidR="00517FBD" w:rsidRDefault="00517FBD" w:rsidP="006F1AE6">
      <w:pPr>
        <w:spacing w:line="480" w:lineRule="auto"/>
        <w:jc w:val="center"/>
        <w:rPr>
          <w:b/>
          <w:caps/>
          <w:sz w:val="28"/>
        </w:rPr>
      </w:pPr>
    </w:p>
    <w:p w14:paraId="3EC2EF21" w14:textId="77777777" w:rsidR="005740F4" w:rsidRDefault="005740F4" w:rsidP="007105EE">
      <w:pPr>
        <w:jc w:val="center"/>
        <w:rPr>
          <w:b/>
          <w:caps/>
          <w:sz w:val="28"/>
        </w:rPr>
      </w:pPr>
    </w:p>
    <w:p w14:paraId="575CAD5D" w14:textId="77777777" w:rsidR="005740F4" w:rsidRDefault="005740F4" w:rsidP="007105EE">
      <w:pPr>
        <w:jc w:val="center"/>
        <w:rPr>
          <w:b/>
          <w:caps/>
          <w:sz w:val="28"/>
        </w:rPr>
      </w:pPr>
    </w:p>
    <w:p w14:paraId="1973A39A" w14:textId="77777777" w:rsidR="005740F4" w:rsidRDefault="005740F4" w:rsidP="007105EE">
      <w:pPr>
        <w:jc w:val="center"/>
        <w:rPr>
          <w:b/>
          <w:caps/>
          <w:sz w:val="28"/>
        </w:rPr>
      </w:pPr>
    </w:p>
    <w:p w14:paraId="0458041F" w14:textId="77777777" w:rsidR="005740F4" w:rsidRDefault="005740F4" w:rsidP="007105EE">
      <w:pPr>
        <w:jc w:val="center"/>
        <w:rPr>
          <w:b/>
          <w:caps/>
          <w:sz w:val="28"/>
        </w:rPr>
      </w:pPr>
    </w:p>
    <w:p w14:paraId="3FA2BD14" w14:textId="77777777" w:rsidR="005740F4" w:rsidRDefault="005740F4" w:rsidP="007105EE">
      <w:pPr>
        <w:jc w:val="center"/>
        <w:rPr>
          <w:b/>
          <w:caps/>
          <w:sz w:val="28"/>
        </w:rPr>
      </w:pPr>
    </w:p>
    <w:p w14:paraId="613C7B5C" w14:textId="77777777" w:rsidR="005740F4" w:rsidRDefault="005740F4" w:rsidP="007105EE">
      <w:pPr>
        <w:jc w:val="center"/>
        <w:rPr>
          <w:b/>
          <w:caps/>
          <w:sz w:val="28"/>
        </w:rPr>
      </w:pPr>
    </w:p>
    <w:p w14:paraId="6855631E" w14:textId="77777777" w:rsidR="005740F4" w:rsidRDefault="005740F4" w:rsidP="007105EE">
      <w:pPr>
        <w:jc w:val="center"/>
        <w:rPr>
          <w:b/>
          <w:caps/>
          <w:sz w:val="28"/>
        </w:rPr>
      </w:pPr>
    </w:p>
    <w:p w14:paraId="3C425269" w14:textId="77777777" w:rsidR="00CB0244" w:rsidRDefault="00CB0244" w:rsidP="007105EE">
      <w:pPr>
        <w:jc w:val="center"/>
        <w:rPr>
          <w:b/>
          <w:caps/>
          <w:sz w:val="28"/>
        </w:rPr>
      </w:pPr>
    </w:p>
    <w:p w14:paraId="57605844" w14:textId="77777777" w:rsidR="00CB0244" w:rsidRDefault="00CB0244" w:rsidP="007105EE">
      <w:pPr>
        <w:jc w:val="center"/>
        <w:rPr>
          <w:b/>
          <w:caps/>
          <w:sz w:val="28"/>
        </w:rPr>
      </w:pPr>
    </w:p>
    <w:p w14:paraId="1A6588B3" w14:textId="77777777" w:rsidR="005740F4" w:rsidRDefault="005740F4" w:rsidP="007105EE">
      <w:pPr>
        <w:jc w:val="center"/>
        <w:rPr>
          <w:b/>
          <w:caps/>
          <w:sz w:val="28"/>
        </w:rPr>
      </w:pPr>
    </w:p>
    <w:p w14:paraId="1C8E2546" w14:textId="77777777" w:rsidR="007105EE" w:rsidRPr="005E4CA9" w:rsidRDefault="007105EE" w:rsidP="005E4CA9">
      <w:pPr>
        <w:pStyle w:val="Heading1"/>
        <w:spacing w:line="480" w:lineRule="auto"/>
        <w:jc w:val="center"/>
        <w:rPr>
          <w:rFonts w:asciiTheme="minorHAnsi" w:hAnsiTheme="minorHAnsi"/>
          <w:b/>
        </w:rPr>
      </w:pPr>
      <w:bookmarkStart w:id="58" w:name="_Toc56898399"/>
      <w:r w:rsidRPr="005E4CA9">
        <w:rPr>
          <w:rFonts w:asciiTheme="minorHAnsi" w:hAnsiTheme="minorHAnsi"/>
          <w:b/>
          <w:color w:val="auto"/>
          <w:sz w:val="28"/>
        </w:rPr>
        <w:lastRenderedPageBreak/>
        <w:t>VITA</w:t>
      </w:r>
      <w:bookmarkEnd w:id="58"/>
    </w:p>
    <w:p w14:paraId="1438A80D" w14:textId="60EFB6C9" w:rsidR="0032422B" w:rsidRDefault="007105EE" w:rsidP="005E4CA9">
      <w:pPr>
        <w:tabs>
          <w:tab w:val="left" w:pos="720"/>
          <w:tab w:val="left" w:pos="1440"/>
          <w:tab w:val="left" w:pos="2160"/>
          <w:tab w:val="left" w:pos="3015"/>
        </w:tabs>
        <w:spacing w:line="480" w:lineRule="auto"/>
        <w:rPr>
          <w:sz w:val="24"/>
        </w:rPr>
      </w:pPr>
      <w:r>
        <w:rPr>
          <w:sz w:val="24"/>
        </w:rPr>
        <w:tab/>
      </w:r>
      <w:r w:rsidR="005F1F89">
        <w:rPr>
          <w:sz w:val="24"/>
        </w:rPr>
        <w:t xml:space="preserve">Alyssa Cannistraci finds science empowering and interesting. She earned her Bachelor of Science degree in meteorology from Millersville University. </w:t>
      </w:r>
      <w:r w:rsidR="0032422B">
        <w:rPr>
          <w:sz w:val="24"/>
        </w:rPr>
        <w:t>Alyssa received the National Oceanic and Atmospheric (NOAA) Ernest F. Hollings Undergraduate Scholarship, and completed an internship at the National Weather Center in Norman, Oklahoma.</w:t>
      </w:r>
      <w:r w:rsidR="0032422B" w:rsidRPr="0032422B">
        <w:rPr>
          <w:sz w:val="24"/>
        </w:rPr>
        <w:t xml:space="preserve"> </w:t>
      </w:r>
      <w:r w:rsidR="00424E7A">
        <w:rPr>
          <w:sz w:val="24"/>
        </w:rPr>
        <w:t>Th</w:t>
      </w:r>
      <w:r w:rsidR="006B0493">
        <w:rPr>
          <w:sz w:val="24"/>
        </w:rPr>
        <w:t>r</w:t>
      </w:r>
      <w:r w:rsidR="00424E7A">
        <w:rPr>
          <w:sz w:val="24"/>
        </w:rPr>
        <w:t xml:space="preserve">ough this internship, </w:t>
      </w:r>
      <w:r w:rsidR="00E26C36">
        <w:rPr>
          <w:sz w:val="24"/>
        </w:rPr>
        <w:t>she</w:t>
      </w:r>
      <w:r w:rsidR="0032422B">
        <w:rPr>
          <w:sz w:val="24"/>
        </w:rPr>
        <w:t xml:space="preserve"> realized a social science compo</w:t>
      </w:r>
      <w:r w:rsidR="002E214A">
        <w:rPr>
          <w:sz w:val="24"/>
        </w:rPr>
        <w:t>nent exists within applied atmospheric research.</w:t>
      </w:r>
      <w:r w:rsidR="00D5529E">
        <w:rPr>
          <w:sz w:val="24"/>
        </w:rPr>
        <w:t xml:space="preserve"> She considered dif</w:t>
      </w:r>
      <w:r w:rsidR="00D710E5">
        <w:rPr>
          <w:sz w:val="24"/>
        </w:rPr>
        <w:t xml:space="preserve">ferent graduate school options, and discovered geography </w:t>
      </w:r>
      <w:r w:rsidR="00A92851">
        <w:rPr>
          <w:sz w:val="24"/>
        </w:rPr>
        <w:t>at the University of Tennessee, Knoxville</w:t>
      </w:r>
      <w:r w:rsidR="00D5529E">
        <w:rPr>
          <w:sz w:val="24"/>
        </w:rPr>
        <w:t>. She learned the discipline</w:t>
      </w:r>
      <w:r w:rsidR="002016E1">
        <w:rPr>
          <w:sz w:val="24"/>
        </w:rPr>
        <w:t xml:space="preserve"> excellently combines social and physical science.</w:t>
      </w:r>
      <w:r w:rsidR="008734C1">
        <w:rPr>
          <w:sz w:val="24"/>
        </w:rPr>
        <w:t xml:space="preserve"> </w:t>
      </w:r>
      <w:r w:rsidR="00A92851">
        <w:rPr>
          <w:sz w:val="24"/>
        </w:rPr>
        <w:t xml:space="preserve">Alyssa volunteered as a Social Media Ambassador and Website Coordinator for the Department </w:t>
      </w:r>
      <w:r w:rsidR="008734C1">
        <w:rPr>
          <w:sz w:val="24"/>
        </w:rPr>
        <w:t>of Geography.</w:t>
      </w:r>
      <w:r w:rsidR="00012AF2">
        <w:rPr>
          <w:sz w:val="24"/>
        </w:rPr>
        <w:t xml:space="preserve"> She is not ruling out a future PhD, possibly in communications or sociology; however, for now, she is excited to start a meaningful career. </w:t>
      </w:r>
      <w:r w:rsidR="00424E7A">
        <w:rPr>
          <w:sz w:val="24"/>
        </w:rPr>
        <w:t>Alyssa seeks a position in science communication, education, and outreach.</w:t>
      </w:r>
    </w:p>
    <w:p w14:paraId="5C93C859" w14:textId="77777777" w:rsidR="0032422B" w:rsidRDefault="0032422B" w:rsidP="005C601B">
      <w:pPr>
        <w:tabs>
          <w:tab w:val="left" w:pos="720"/>
          <w:tab w:val="left" w:pos="1440"/>
          <w:tab w:val="left" w:pos="2160"/>
          <w:tab w:val="left" w:pos="3015"/>
        </w:tabs>
        <w:spacing w:line="480" w:lineRule="auto"/>
        <w:rPr>
          <w:sz w:val="24"/>
        </w:rPr>
      </w:pPr>
    </w:p>
    <w:p w14:paraId="2C79DF11" w14:textId="77777777" w:rsidR="0032422B" w:rsidRDefault="0032422B" w:rsidP="005C601B">
      <w:pPr>
        <w:tabs>
          <w:tab w:val="left" w:pos="720"/>
          <w:tab w:val="left" w:pos="1440"/>
          <w:tab w:val="left" w:pos="2160"/>
          <w:tab w:val="left" w:pos="3015"/>
        </w:tabs>
        <w:spacing w:line="480" w:lineRule="auto"/>
        <w:rPr>
          <w:sz w:val="24"/>
        </w:rPr>
      </w:pPr>
    </w:p>
    <w:p w14:paraId="5A6F55C2" w14:textId="77777777" w:rsidR="0032422B" w:rsidRDefault="0032422B" w:rsidP="005C601B">
      <w:pPr>
        <w:tabs>
          <w:tab w:val="left" w:pos="720"/>
          <w:tab w:val="left" w:pos="1440"/>
          <w:tab w:val="left" w:pos="2160"/>
          <w:tab w:val="left" w:pos="3015"/>
        </w:tabs>
        <w:spacing w:line="480" w:lineRule="auto"/>
        <w:rPr>
          <w:sz w:val="24"/>
        </w:rPr>
      </w:pPr>
    </w:p>
    <w:p w14:paraId="7C39D15C" w14:textId="77777777" w:rsidR="0032422B" w:rsidRDefault="0032422B" w:rsidP="005C601B">
      <w:pPr>
        <w:tabs>
          <w:tab w:val="left" w:pos="720"/>
          <w:tab w:val="left" w:pos="1440"/>
          <w:tab w:val="left" w:pos="2160"/>
          <w:tab w:val="left" w:pos="3015"/>
        </w:tabs>
        <w:spacing w:line="480" w:lineRule="auto"/>
        <w:rPr>
          <w:sz w:val="24"/>
        </w:rPr>
      </w:pPr>
    </w:p>
    <w:p w14:paraId="5121A71D" w14:textId="77777777" w:rsidR="0032422B" w:rsidRDefault="0032422B" w:rsidP="005C601B">
      <w:pPr>
        <w:tabs>
          <w:tab w:val="left" w:pos="720"/>
          <w:tab w:val="left" w:pos="1440"/>
          <w:tab w:val="left" w:pos="2160"/>
          <w:tab w:val="left" w:pos="3015"/>
        </w:tabs>
        <w:spacing w:line="480" w:lineRule="auto"/>
        <w:rPr>
          <w:sz w:val="24"/>
        </w:rPr>
      </w:pPr>
    </w:p>
    <w:p w14:paraId="1314E492" w14:textId="77777777" w:rsidR="0032422B" w:rsidRDefault="0032422B" w:rsidP="005C601B">
      <w:pPr>
        <w:tabs>
          <w:tab w:val="left" w:pos="720"/>
          <w:tab w:val="left" w:pos="1440"/>
          <w:tab w:val="left" w:pos="2160"/>
          <w:tab w:val="left" w:pos="3015"/>
        </w:tabs>
        <w:spacing w:line="480" w:lineRule="auto"/>
        <w:rPr>
          <w:sz w:val="24"/>
        </w:rPr>
      </w:pPr>
    </w:p>
    <w:p w14:paraId="23917122" w14:textId="77777777" w:rsidR="0032422B" w:rsidRDefault="0032422B" w:rsidP="005C601B">
      <w:pPr>
        <w:tabs>
          <w:tab w:val="left" w:pos="720"/>
          <w:tab w:val="left" w:pos="1440"/>
          <w:tab w:val="left" w:pos="2160"/>
          <w:tab w:val="left" w:pos="3015"/>
        </w:tabs>
        <w:spacing w:line="480" w:lineRule="auto"/>
        <w:rPr>
          <w:sz w:val="24"/>
        </w:rPr>
      </w:pPr>
    </w:p>
    <w:p w14:paraId="1DADF2C1" w14:textId="2015DA8B" w:rsidR="007105EE" w:rsidRPr="007105EE" w:rsidRDefault="007105EE" w:rsidP="007105EE">
      <w:pPr>
        <w:spacing w:line="480" w:lineRule="auto"/>
        <w:rPr>
          <w:sz w:val="24"/>
        </w:rPr>
      </w:pPr>
    </w:p>
    <w:sectPr w:rsidR="007105EE" w:rsidRPr="007105EE" w:rsidSect="00DF319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60FF0" w14:textId="77777777" w:rsidR="0051212B" w:rsidRDefault="0051212B" w:rsidP="00640092">
      <w:pPr>
        <w:spacing w:after="0" w:line="240" w:lineRule="auto"/>
      </w:pPr>
      <w:r>
        <w:separator/>
      </w:r>
    </w:p>
  </w:endnote>
  <w:endnote w:type="continuationSeparator" w:id="0">
    <w:p w14:paraId="02EA7938" w14:textId="77777777" w:rsidR="0051212B" w:rsidRDefault="0051212B" w:rsidP="00640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180216"/>
      <w:docPartObj>
        <w:docPartGallery w:val="Page Numbers (Bottom of Page)"/>
        <w:docPartUnique/>
      </w:docPartObj>
    </w:sdtPr>
    <w:sdtEndPr>
      <w:rPr>
        <w:noProof/>
        <w:sz w:val="24"/>
      </w:rPr>
    </w:sdtEndPr>
    <w:sdtContent>
      <w:p w14:paraId="3ADE0CFC" w14:textId="77777777" w:rsidR="00074C03" w:rsidRPr="00CC5395" w:rsidRDefault="00074C03">
        <w:pPr>
          <w:pStyle w:val="Footer"/>
          <w:jc w:val="center"/>
          <w:rPr>
            <w:sz w:val="24"/>
          </w:rPr>
        </w:pPr>
        <w:r w:rsidRPr="00CC5395">
          <w:rPr>
            <w:sz w:val="24"/>
          </w:rPr>
          <w:fldChar w:fldCharType="begin"/>
        </w:r>
        <w:r w:rsidRPr="00CC5395">
          <w:rPr>
            <w:sz w:val="24"/>
          </w:rPr>
          <w:instrText xml:space="preserve"> PAGE   \* MERGEFORMAT </w:instrText>
        </w:r>
        <w:r w:rsidRPr="00CC5395">
          <w:rPr>
            <w:sz w:val="24"/>
          </w:rPr>
          <w:fldChar w:fldCharType="separate"/>
        </w:r>
        <w:r w:rsidR="00BB4D6E">
          <w:rPr>
            <w:noProof/>
            <w:sz w:val="24"/>
          </w:rPr>
          <w:t>11</w:t>
        </w:r>
        <w:r w:rsidRPr="00CC5395">
          <w:rPr>
            <w:noProof/>
            <w:sz w:val="24"/>
          </w:rPr>
          <w:fldChar w:fldCharType="end"/>
        </w:r>
      </w:p>
    </w:sdtContent>
  </w:sdt>
  <w:p w14:paraId="73A4F32A" w14:textId="77777777" w:rsidR="00074C03" w:rsidRDefault="00074C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CAC30" w14:textId="77777777" w:rsidR="0051212B" w:rsidRDefault="0051212B" w:rsidP="00640092">
      <w:pPr>
        <w:spacing w:after="0" w:line="240" w:lineRule="auto"/>
      </w:pPr>
      <w:r>
        <w:separator/>
      </w:r>
    </w:p>
  </w:footnote>
  <w:footnote w:type="continuationSeparator" w:id="0">
    <w:p w14:paraId="7ABE18B8" w14:textId="77777777" w:rsidR="0051212B" w:rsidRDefault="0051212B" w:rsidP="006400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297DB0"/>
    <w:multiLevelType w:val="hybridMultilevel"/>
    <w:tmpl w:val="898E7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9017D0"/>
    <w:multiLevelType w:val="hybridMultilevel"/>
    <w:tmpl w:val="65C4A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3E2"/>
    <w:rsid w:val="00000734"/>
    <w:rsid w:val="00002B28"/>
    <w:rsid w:val="00003FE6"/>
    <w:rsid w:val="0000447F"/>
    <w:rsid w:val="0000489D"/>
    <w:rsid w:val="00005013"/>
    <w:rsid w:val="0000594F"/>
    <w:rsid w:val="00005A1D"/>
    <w:rsid w:val="00005A9B"/>
    <w:rsid w:val="00005EA6"/>
    <w:rsid w:val="000067C6"/>
    <w:rsid w:val="00007390"/>
    <w:rsid w:val="00007442"/>
    <w:rsid w:val="000074A0"/>
    <w:rsid w:val="00007511"/>
    <w:rsid w:val="000108F6"/>
    <w:rsid w:val="00010D06"/>
    <w:rsid w:val="000111E6"/>
    <w:rsid w:val="00011231"/>
    <w:rsid w:val="00012759"/>
    <w:rsid w:val="00012887"/>
    <w:rsid w:val="00012AF2"/>
    <w:rsid w:val="00013A80"/>
    <w:rsid w:val="00013DAC"/>
    <w:rsid w:val="00014297"/>
    <w:rsid w:val="00015C73"/>
    <w:rsid w:val="00015E09"/>
    <w:rsid w:val="00016D05"/>
    <w:rsid w:val="00017C8C"/>
    <w:rsid w:val="0002012B"/>
    <w:rsid w:val="00020158"/>
    <w:rsid w:val="00021D85"/>
    <w:rsid w:val="000220BC"/>
    <w:rsid w:val="00023F86"/>
    <w:rsid w:val="00024362"/>
    <w:rsid w:val="00024549"/>
    <w:rsid w:val="00024587"/>
    <w:rsid w:val="00025152"/>
    <w:rsid w:val="00025921"/>
    <w:rsid w:val="00026423"/>
    <w:rsid w:val="000267EE"/>
    <w:rsid w:val="0002700F"/>
    <w:rsid w:val="00030802"/>
    <w:rsid w:val="0003088D"/>
    <w:rsid w:val="000308AC"/>
    <w:rsid w:val="00030D0F"/>
    <w:rsid w:val="00031802"/>
    <w:rsid w:val="000321AF"/>
    <w:rsid w:val="00032635"/>
    <w:rsid w:val="00033237"/>
    <w:rsid w:val="00033B3A"/>
    <w:rsid w:val="00033DB7"/>
    <w:rsid w:val="00033F9F"/>
    <w:rsid w:val="00035343"/>
    <w:rsid w:val="00035471"/>
    <w:rsid w:val="00035F1D"/>
    <w:rsid w:val="0003618A"/>
    <w:rsid w:val="00036FF9"/>
    <w:rsid w:val="00037228"/>
    <w:rsid w:val="00037457"/>
    <w:rsid w:val="00040D03"/>
    <w:rsid w:val="00041E7D"/>
    <w:rsid w:val="00042AD1"/>
    <w:rsid w:val="00042BF9"/>
    <w:rsid w:val="00043AD6"/>
    <w:rsid w:val="00044761"/>
    <w:rsid w:val="000455A9"/>
    <w:rsid w:val="00046B2A"/>
    <w:rsid w:val="00046D51"/>
    <w:rsid w:val="000470D0"/>
    <w:rsid w:val="00047DF7"/>
    <w:rsid w:val="00047FF9"/>
    <w:rsid w:val="00050092"/>
    <w:rsid w:val="000504F4"/>
    <w:rsid w:val="00050BA3"/>
    <w:rsid w:val="00050C51"/>
    <w:rsid w:val="000535E3"/>
    <w:rsid w:val="00053CAC"/>
    <w:rsid w:val="00055164"/>
    <w:rsid w:val="00055714"/>
    <w:rsid w:val="00055962"/>
    <w:rsid w:val="00055B42"/>
    <w:rsid w:val="00055EF7"/>
    <w:rsid w:val="00056175"/>
    <w:rsid w:val="00056990"/>
    <w:rsid w:val="00056C4E"/>
    <w:rsid w:val="0006042B"/>
    <w:rsid w:val="00060633"/>
    <w:rsid w:val="00061759"/>
    <w:rsid w:val="00062555"/>
    <w:rsid w:val="00062773"/>
    <w:rsid w:val="00063209"/>
    <w:rsid w:val="0006484B"/>
    <w:rsid w:val="000649B7"/>
    <w:rsid w:val="00064B43"/>
    <w:rsid w:val="00066050"/>
    <w:rsid w:val="000663CE"/>
    <w:rsid w:val="000663DE"/>
    <w:rsid w:val="00067182"/>
    <w:rsid w:val="000673BC"/>
    <w:rsid w:val="00067932"/>
    <w:rsid w:val="00070A21"/>
    <w:rsid w:val="00070D49"/>
    <w:rsid w:val="0007130C"/>
    <w:rsid w:val="000716C5"/>
    <w:rsid w:val="00071A8D"/>
    <w:rsid w:val="00072079"/>
    <w:rsid w:val="000723D9"/>
    <w:rsid w:val="00072599"/>
    <w:rsid w:val="00074C03"/>
    <w:rsid w:val="00074C13"/>
    <w:rsid w:val="00075D10"/>
    <w:rsid w:val="000763B7"/>
    <w:rsid w:val="00077676"/>
    <w:rsid w:val="000779FF"/>
    <w:rsid w:val="00077D62"/>
    <w:rsid w:val="00080B8A"/>
    <w:rsid w:val="0008143E"/>
    <w:rsid w:val="000825E7"/>
    <w:rsid w:val="00083444"/>
    <w:rsid w:val="00083D72"/>
    <w:rsid w:val="0008439A"/>
    <w:rsid w:val="000843B5"/>
    <w:rsid w:val="00084882"/>
    <w:rsid w:val="00085AA6"/>
    <w:rsid w:val="00085D9A"/>
    <w:rsid w:val="0008646C"/>
    <w:rsid w:val="000878C5"/>
    <w:rsid w:val="000878DC"/>
    <w:rsid w:val="00087953"/>
    <w:rsid w:val="000908F4"/>
    <w:rsid w:val="0009098E"/>
    <w:rsid w:val="00090FFF"/>
    <w:rsid w:val="00091A2F"/>
    <w:rsid w:val="00091D9C"/>
    <w:rsid w:val="00092EAB"/>
    <w:rsid w:val="00092F64"/>
    <w:rsid w:val="000934D2"/>
    <w:rsid w:val="000936FB"/>
    <w:rsid w:val="000940CD"/>
    <w:rsid w:val="000947CD"/>
    <w:rsid w:val="0009516D"/>
    <w:rsid w:val="0009542A"/>
    <w:rsid w:val="0009596F"/>
    <w:rsid w:val="00095E78"/>
    <w:rsid w:val="00095F89"/>
    <w:rsid w:val="00096FD7"/>
    <w:rsid w:val="000979AD"/>
    <w:rsid w:val="000A0606"/>
    <w:rsid w:val="000A0664"/>
    <w:rsid w:val="000A0F3E"/>
    <w:rsid w:val="000A1128"/>
    <w:rsid w:val="000A1553"/>
    <w:rsid w:val="000A34FF"/>
    <w:rsid w:val="000A3FC7"/>
    <w:rsid w:val="000A3FE8"/>
    <w:rsid w:val="000A5913"/>
    <w:rsid w:val="000A69DD"/>
    <w:rsid w:val="000A6BE8"/>
    <w:rsid w:val="000A7529"/>
    <w:rsid w:val="000B031D"/>
    <w:rsid w:val="000B06BF"/>
    <w:rsid w:val="000B15DF"/>
    <w:rsid w:val="000B169D"/>
    <w:rsid w:val="000B17EC"/>
    <w:rsid w:val="000B1A39"/>
    <w:rsid w:val="000B2615"/>
    <w:rsid w:val="000B38FD"/>
    <w:rsid w:val="000B3A8E"/>
    <w:rsid w:val="000B4C91"/>
    <w:rsid w:val="000B531B"/>
    <w:rsid w:val="000B58D7"/>
    <w:rsid w:val="000B596B"/>
    <w:rsid w:val="000B5C2A"/>
    <w:rsid w:val="000B7124"/>
    <w:rsid w:val="000B7230"/>
    <w:rsid w:val="000B7B4A"/>
    <w:rsid w:val="000C0A2E"/>
    <w:rsid w:val="000C0CA5"/>
    <w:rsid w:val="000C1068"/>
    <w:rsid w:val="000C28C9"/>
    <w:rsid w:val="000C2BD8"/>
    <w:rsid w:val="000C36A7"/>
    <w:rsid w:val="000C4AF5"/>
    <w:rsid w:val="000C57F6"/>
    <w:rsid w:val="000C58BC"/>
    <w:rsid w:val="000C65AD"/>
    <w:rsid w:val="000C67F2"/>
    <w:rsid w:val="000C6831"/>
    <w:rsid w:val="000D00CF"/>
    <w:rsid w:val="000D06F0"/>
    <w:rsid w:val="000D094D"/>
    <w:rsid w:val="000D1CA4"/>
    <w:rsid w:val="000D25CF"/>
    <w:rsid w:val="000D2C83"/>
    <w:rsid w:val="000D2E6A"/>
    <w:rsid w:val="000D3A38"/>
    <w:rsid w:val="000D3AC2"/>
    <w:rsid w:val="000D4291"/>
    <w:rsid w:val="000D4ACC"/>
    <w:rsid w:val="000D4B8D"/>
    <w:rsid w:val="000D4B9A"/>
    <w:rsid w:val="000D5BD6"/>
    <w:rsid w:val="000D631D"/>
    <w:rsid w:val="000D6685"/>
    <w:rsid w:val="000D6DE5"/>
    <w:rsid w:val="000D7504"/>
    <w:rsid w:val="000E001E"/>
    <w:rsid w:val="000E02D4"/>
    <w:rsid w:val="000E06C8"/>
    <w:rsid w:val="000E06DA"/>
    <w:rsid w:val="000E1DBF"/>
    <w:rsid w:val="000E2860"/>
    <w:rsid w:val="000E4081"/>
    <w:rsid w:val="000E4D08"/>
    <w:rsid w:val="000E6339"/>
    <w:rsid w:val="000E6A02"/>
    <w:rsid w:val="000E6D1E"/>
    <w:rsid w:val="000E6F2D"/>
    <w:rsid w:val="000E79F2"/>
    <w:rsid w:val="000F0335"/>
    <w:rsid w:val="000F05C2"/>
    <w:rsid w:val="000F0AD6"/>
    <w:rsid w:val="000F118F"/>
    <w:rsid w:val="000F2182"/>
    <w:rsid w:val="000F2B5A"/>
    <w:rsid w:val="000F2D1A"/>
    <w:rsid w:val="000F336B"/>
    <w:rsid w:val="000F37ED"/>
    <w:rsid w:val="000F40D0"/>
    <w:rsid w:val="000F50A9"/>
    <w:rsid w:val="000F616C"/>
    <w:rsid w:val="000F68F9"/>
    <w:rsid w:val="000F7EBE"/>
    <w:rsid w:val="001001D2"/>
    <w:rsid w:val="00101ED3"/>
    <w:rsid w:val="0010202A"/>
    <w:rsid w:val="001021B4"/>
    <w:rsid w:val="001024F2"/>
    <w:rsid w:val="00102FDE"/>
    <w:rsid w:val="0010320C"/>
    <w:rsid w:val="00104196"/>
    <w:rsid w:val="001042D9"/>
    <w:rsid w:val="001056D5"/>
    <w:rsid w:val="00105A02"/>
    <w:rsid w:val="00106085"/>
    <w:rsid w:val="00110179"/>
    <w:rsid w:val="0011059F"/>
    <w:rsid w:val="00110CF9"/>
    <w:rsid w:val="00111496"/>
    <w:rsid w:val="00111DC9"/>
    <w:rsid w:val="001125E8"/>
    <w:rsid w:val="00112F12"/>
    <w:rsid w:val="00114D46"/>
    <w:rsid w:val="0011638B"/>
    <w:rsid w:val="00117BBD"/>
    <w:rsid w:val="00120542"/>
    <w:rsid w:val="00120B42"/>
    <w:rsid w:val="00122438"/>
    <w:rsid w:val="00122905"/>
    <w:rsid w:val="00123535"/>
    <w:rsid w:val="0012424D"/>
    <w:rsid w:val="00124F0A"/>
    <w:rsid w:val="00125045"/>
    <w:rsid w:val="00125CB1"/>
    <w:rsid w:val="00125CF8"/>
    <w:rsid w:val="00127CD6"/>
    <w:rsid w:val="00127D5B"/>
    <w:rsid w:val="001303A1"/>
    <w:rsid w:val="001308A6"/>
    <w:rsid w:val="0013095C"/>
    <w:rsid w:val="00130CA6"/>
    <w:rsid w:val="001314BA"/>
    <w:rsid w:val="00131502"/>
    <w:rsid w:val="001316E5"/>
    <w:rsid w:val="00132811"/>
    <w:rsid w:val="001328BA"/>
    <w:rsid w:val="0013311E"/>
    <w:rsid w:val="0013317C"/>
    <w:rsid w:val="00134073"/>
    <w:rsid w:val="0013427D"/>
    <w:rsid w:val="00134A92"/>
    <w:rsid w:val="001375D3"/>
    <w:rsid w:val="001378A7"/>
    <w:rsid w:val="00137B3B"/>
    <w:rsid w:val="00137B50"/>
    <w:rsid w:val="001401C0"/>
    <w:rsid w:val="00140683"/>
    <w:rsid w:val="0014121E"/>
    <w:rsid w:val="0014136A"/>
    <w:rsid w:val="001413D3"/>
    <w:rsid w:val="00141DF5"/>
    <w:rsid w:val="0014279F"/>
    <w:rsid w:val="00143156"/>
    <w:rsid w:val="00143455"/>
    <w:rsid w:val="00143897"/>
    <w:rsid w:val="0014502A"/>
    <w:rsid w:val="0014542C"/>
    <w:rsid w:val="00145491"/>
    <w:rsid w:val="00145527"/>
    <w:rsid w:val="0014618F"/>
    <w:rsid w:val="00146992"/>
    <w:rsid w:val="00147765"/>
    <w:rsid w:val="001518E9"/>
    <w:rsid w:val="00151CA2"/>
    <w:rsid w:val="0015256B"/>
    <w:rsid w:val="00152619"/>
    <w:rsid w:val="001533F0"/>
    <w:rsid w:val="00153AF4"/>
    <w:rsid w:val="0015404E"/>
    <w:rsid w:val="00154184"/>
    <w:rsid w:val="00154350"/>
    <w:rsid w:val="00154821"/>
    <w:rsid w:val="00157588"/>
    <w:rsid w:val="00161AFD"/>
    <w:rsid w:val="00161DC5"/>
    <w:rsid w:val="00161E90"/>
    <w:rsid w:val="00161F5E"/>
    <w:rsid w:val="0016202F"/>
    <w:rsid w:val="00162747"/>
    <w:rsid w:val="00162A21"/>
    <w:rsid w:val="001631E9"/>
    <w:rsid w:val="00163CAF"/>
    <w:rsid w:val="00163CDF"/>
    <w:rsid w:val="00163E71"/>
    <w:rsid w:val="00164123"/>
    <w:rsid w:val="00164CB7"/>
    <w:rsid w:val="00165CD6"/>
    <w:rsid w:val="00165F6F"/>
    <w:rsid w:val="00166AA8"/>
    <w:rsid w:val="00166CD1"/>
    <w:rsid w:val="00170064"/>
    <w:rsid w:val="0017022B"/>
    <w:rsid w:val="00170AD2"/>
    <w:rsid w:val="00171BDE"/>
    <w:rsid w:val="001730C7"/>
    <w:rsid w:val="001733D2"/>
    <w:rsid w:val="00174048"/>
    <w:rsid w:val="0017433D"/>
    <w:rsid w:val="00174514"/>
    <w:rsid w:val="00174B05"/>
    <w:rsid w:val="00174EC9"/>
    <w:rsid w:val="001751C9"/>
    <w:rsid w:val="001754CB"/>
    <w:rsid w:val="00176041"/>
    <w:rsid w:val="00176290"/>
    <w:rsid w:val="00176FDD"/>
    <w:rsid w:val="00177536"/>
    <w:rsid w:val="001803F5"/>
    <w:rsid w:val="00180AB8"/>
    <w:rsid w:val="00180B0C"/>
    <w:rsid w:val="00180BA5"/>
    <w:rsid w:val="00180C65"/>
    <w:rsid w:val="001814DE"/>
    <w:rsid w:val="00182CBF"/>
    <w:rsid w:val="00183026"/>
    <w:rsid w:val="0018340E"/>
    <w:rsid w:val="00183552"/>
    <w:rsid w:val="001838FF"/>
    <w:rsid w:val="00185532"/>
    <w:rsid w:val="001855A8"/>
    <w:rsid w:val="00185C84"/>
    <w:rsid w:val="00186AAC"/>
    <w:rsid w:val="00186BCC"/>
    <w:rsid w:val="00187C14"/>
    <w:rsid w:val="00190468"/>
    <w:rsid w:val="00190E28"/>
    <w:rsid w:val="00191309"/>
    <w:rsid w:val="0019193F"/>
    <w:rsid w:val="00191AD2"/>
    <w:rsid w:val="00191C60"/>
    <w:rsid w:val="0019226C"/>
    <w:rsid w:val="001922DD"/>
    <w:rsid w:val="00192E91"/>
    <w:rsid w:val="00192EA7"/>
    <w:rsid w:val="00193018"/>
    <w:rsid w:val="001938D0"/>
    <w:rsid w:val="001941F6"/>
    <w:rsid w:val="0019423F"/>
    <w:rsid w:val="0019607D"/>
    <w:rsid w:val="001961CB"/>
    <w:rsid w:val="00196DFF"/>
    <w:rsid w:val="001A0B13"/>
    <w:rsid w:val="001A25FE"/>
    <w:rsid w:val="001A28BE"/>
    <w:rsid w:val="001A3530"/>
    <w:rsid w:val="001A39A4"/>
    <w:rsid w:val="001A406D"/>
    <w:rsid w:val="001A4961"/>
    <w:rsid w:val="001A4A20"/>
    <w:rsid w:val="001A4D36"/>
    <w:rsid w:val="001A542B"/>
    <w:rsid w:val="001A58DB"/>
    <w:rsid w:val="001A68E6"/>
    <w:rsid w:val="001A6C8C"/>
    <w:rsid w:val="001A6E64"/>
    <w:rsid w:val="001A6FF3"/>
    <w:rsid w:val="001A768F"/>
    <w:rsid w:val="001B125C"/>
    <w:rsid w:val="001B1B88"/>
    <w:rsid w:val="001B1DEA"/>
    <w:rsid w:val="001B21E0"/>
    <w:rsid w:val="001B2B4B"/>
    <w:rsid w:val="001B3C4A"/>
    <w:rsid w:val="001B4180"/>
    <w:rsid w:val="001B4782"/>
    <w:rsid w:val="001B4919"/>
    <w:rsid w:val="001B4BDD"/>
    <w:rsid w:val="001B61AD"/>
    <w:rsid w:val="001B73A1"/>
    <w:rsid w:val="001B7D59"/>
    <w:rsid w:val="001B7F57"/>
    <w:rsid w:val="001C1869"/>
    <w:rsid w:val="001C1F55"/>
    <w:rsid w:val="001C302D"/>
    <w:rsid w:val="001C30C4"/>
    <w:rsid w:val="001C46ED"/>
    <w:rsid w:val="001C49F7"/>
    <w:rsid w:val="001C5623"/>
    <w:rsid w:val="001C6F08"/>
    <w:rsid w:val="001C7187"/>
    <w:rsid w:val="001C7671"/>
    <w:rsid w:val="001D0602"/>
    <w:rsid w:val="001D0FFD"/>
    <w:rsid w:val="001D1390"/>
    <w:rsid w:val="001D31B7"/>
    <w:rsid w:val="001D3E7E"/>
    <w:rsid w:val="001D3FEF"/>
    <w:rsid w:val="001D4A0E"/>
    <w:rsid w:val="001D58F8"/>
    <w:rsid w:val="001D70E4"/>
    <w:rsid w:val="001D75EA"/>
    <w:rsid w:val="001D79E9"/>
    <w:rsid w:val="001E0CBC"/>
    <w:rsid w:val="001E17AF"/>
    <w:rsid w:val="001E1819"/>
    <w:rsid w:val="001E23F3"/>
    <w:rsid w:val="001E291C"/>
    <w:rsid w:val="001E2B91"/>
    <w:rsid w:val="001E31BB"/>
    <w:rsid w:val="001E3C7E"/>
    <w:rsid w:val="001E3DA3"/>
    <w:rsid w:val="001E3F0E"/>
    <w:rsid w:val="001E41AA"/>
    <w:rsid w:val="001E4D30"/>
    <w:rsid w:val="001E515F"/>
    <w:rsid w:val="001E5515"/>
    <w:rsid w:val="001E5772"/>
    <w:rsid w:val="001E5DEF"/>
    <w:rsid w:val="001E6A73"/>
    <w:rsid w:val="001E7010"/>
    <w:rsid w:val="001E7A67"/>
    <w:rsid w:val="001E7AA3"/>
    <w:rsid w:val="001E7CA7"/>
    <w:rsid w:val="001E7DF7"/>
    <w:rsid w:val="001E7FC2"/>
    <w:rsid w:val="001F2498"/>
    <w:rsid w:val="001F25F1"/>
    <w:rsid w:val="001F2F16"/>
    <w:rsid w:val="001F33E7"/>
    <w:rsid w:val="001F5E6E"/>
    <w:rsid w:val="001F637B"/>
    <w:rsid w:val="001F6443"/>
    <w:rsid w:val="001F66AD"/>
    <w:rsid w:val="001F6D86"/>
    <w:rsid w:val="001F7E7F"/>
    <w:rsid w:val="001F7F3E"/>
    <w:rsid w:val="00200021"/>
    <w:rsid w:val="00200968"/>
    <w:rsid w:val="00200971"/>
    <w:rsid w:val="00200A55"/>
    <w:rsid w:val="00200CC0"/>
    <w:rsid w:val="0020153A"/>
    <w:rsid w:val="002016BD"/>
    <w:rsid w:val="002016E1"/>
    <w:rsid w:val="00201A38"/>
    <w:rsid w:val="00201AAD"/>
    <w:rsid w:val="00202816"/>
    <w:rsid w:val="002038F3"/>
    <w:rsid w:val="00203F17"/>
    <w:rsid w:val="0020429F"/>
    <w:rsid w:val="00204D60"/>
    <w:rsid w:val="0020522A"/>
    <w:rsid w:val="002058E5"/>
    <w:rsid w:val="00206375"/>
    <w:rsid w:val="00206E54"/>
    <w:rsid w:val="00206ED6"/>
    <w:rsid w:val="00207BE8"/>
    <w:rsid w:val="0021104E"/>
    <w:rsid w:val="00211905"/>
    <w:rsid w:val="002121B1"/>
    <w:rsid w:val="002127CB"/>
    <w:rsid w:val="002135C4"/>
    <w:rsid w:val="00214533"/>
    <w:rsid w:val="00214646"/>
    <w:rsid w:val="002147D0"/>
    <w:rsid w:val="00214899"/>
    <w:rsid w:val="00215EEE"/>
    <w:rsid w:val="00216327"/>
    <w:rsid w:val="00216523"/>
    <w:rsid w:val="0021653A"/>
    <w:rsid w:val="0021661B"/>
    <w:rsid w:val="002166D6"/>
    <w:rsid w:val="00220473"/>
    <w:rsid w:val="002224D3"/>
    <w:rsid w:val="0022288A"/>
    <w:rsid w:val="00222CB4"/>
    <w:rsid w:val="002236A4"/>
    <w:rsid w:val="002238C0"/>
    <w:rsid w:val="00223A8C"/>
    <w:rsid w:val="00224059"/>
    <w:rsid w:val="002253C6"/>
    <w:rsid w:val="002261EA"/>
    <w:rsid w:val="00226250"/>
    <w:rsid w:val="0022652A"/>
    <w:rsid w:val="002267B0"/>
    <w:rsid w:val="00226AF5"/>
    <w:rsid w:val="00226D81"/>
    <w:rsid w:val="00226D8F"/>
    <w:rsid w:val="00227FD7"/>
    <w:rsid w:val="002306C1"/>
    <w:rsid w:val="00230DF3"/>
    <w:rsid w:val="00231145"/>
    <w:rsid w:val="002314E4"/>
    <w:rsid w:val="0023196A"/>
    <w:rsid w:val="0023225E"/>
    <w:rsid w:val="00233B51"/>
    <w:rsid w:val="002343FE"/>
    <w:rsid w:val="00234925"/>
    <w:rsid w:val="002352D0"/>
    <w:rsid w:val="0023567E"/>
    <w:rsid w:val="0023577C"/>
    <w:rsid w:val="002357E6"/>
    <w:rsid w:val="0023610F"/>
    <w:rsid w:val="00236568"/>
    <w:rsid w:val="0023668A"/>
    <w:rsid w:val="00236AC7"/>
    <w:rsid w:val="00236E95"/>
    <w:rsid w:val="00236ED6"/>
    <w:rsid w:val="00240439"/>
    <w:rsid w:val="00240535"/>
    <w:rsid w:val="00241196"/>
    <w:rsid w:val="002419FC"/>
    <w:rsid w:val="00241BA8"/>
    <w:rsid w:val="00242708"/>
    <w:rsid w:val="00242771"/>
    <w:rsid w:val="00242930"/>
    <w:rsid w:val="00242BD4"/>
    <w:rsid w:val="002430FE"/>
    <w:rsid w:val="00243E97"/>
    <w:rsid w:val="00244279"/>
    <w:rsid w:val="0024738C"/>
    <w:rsid w:val="002502AB"/>
    <w:rsid w:val="0025136D"/>
    <w:rsid w:val="00252433"/>
    <w:rsid w:val="00252A6F"/>
    <w:rsid w:val="0025311C"/>
    <w:rsid w:val="002531CC"/>
    <w:rsid w:val="002538D9"/>
    <w:rsid w:val="00254185"/>
    <w:rsid w:val="00254744"/>
    <w:rsid w:val="002548B8"/>
    <w:rsid w:val="00254B18"/>
    <w:rsid w:val="00255035"/>
    <w:rsid w:val="00255058"/>
    <w:rsid w:val="002554D3"/>
    <w:rsid w:val="00256124"/>
    <w:rsid w:val="002562A6"/>
    <w:rsid w:val="00260978"/>
    <w:rsid w:val="002609B1"/>
    <w:rsid w:val="00261491"/>
    <w:rsid w:val="00261E41"/>
    <w:rsid w:val="00261E52"/>
    <w:rsid w:val="002631CE"/>
    <w:rsid w:val="0026346A"/>
    <w:rsid w:val="00263499"/>
    <w:rsid w:val="0026439C"/>
    <w:rsid w:val="002646F7"/>
    <w:rsid w:val="00264BC3"/>
    <w:rsid w:val="00264F75"/>
    <w:rsid w:val="00265504"/>
    <w:rsid w:val="00265661"/>
    <w:rsid w:val="00265AEA"/>
    <w:rsid w:val="00266F59"/>
    <w:rsid w:val="00267BA8"/>
    <w:rsid w:val="00267D9E"/>
    <w:rsid w:val="00270BAB"/>
    <w:rsid w:val="00270DAE"/>
    <w:rsid w:val="00270FCD"/>
    <w:rsid w:val="00271416"/>
    <w:rsid w:val="00271DDF"/>
    <w:rsid w:val="00271F87"/>
    <w:rsid w:val="00272723"/>
    <w:rsid w:val="00275033"/>
    <w:rsid w:val="002751E6"/>
    <w:rsid w:val="00275465"/>
    <w:rsid w:val="00276236"/>
    <w:rsid w:val="00276761"/>
    <w:rsid w:val="002773D2"/>
    <w:rsid w:val="00277E32"/>
    <w:rsid w:val="00280BA7"/>
    <w:rsid w:val="002819BF"/>
    <w:rsid w:val="00284684"/>
    <w:rsid w:val="002854C3"/>
    <w:rsid w:val="002860F8"/>
    <w:rsid w:val="00286835"/>
    <w:rsid w:val="00287133"/>
    <w:rsid w:val="0028798B"/>
    <w:rsid w:val="0029152F"/>
    <w:rsid w:val="00291980"/>
    <w:rsid w:val="002926BE"/>
    <w:rsid w:val="00292805"/>
    <w:rsid w:val="00292E74"/>
    <w:rsid w:val="002933C1"/>
    <w:rsid w:val="00293E27"/>
    <w:rsid w:val="00293EDD"/>
    <w:rsid w:val="002941DB"/>
    <w:rsid w:val="00294D9E"/>
    <w:rsid w:val="00294DA1"/>
    <w:rsid w:val="0029558D"/>
    <w:rsid w:val="00295C30"/>
    <w:rsid w:val="00296639"/>
    <w:rsid w:val="00296BE0"/>
    <w:rsid w:val="00297871"/>
    <w:rsid w:val="002A0342"/>
    <w:rsid w:val="002A0BC0"/>
    <w:rsid w:val="002A0E0A"/>
    <w:rsid w:val="002A0F6E"/>
    <w:rsid w:val="002A1211"/>
    <w:rsid w:val="002A15F3"/>
    <w:rsid w:val="002A17DC"/>
    <w:rsid w:val="002A2758"/>
    <w:rsid w:val="002A2980"/>
    <w:rsid w:val="002A364D"/>
    <w:rsid w:val="002A394C"/>
    <w:rsid w:val="002A44CE"/>
    <w:rsid w:val="002A4DB7"/>
    <w:rsid w:val="002A553A"/>
    <w:rsid w:val="002A645C"/>
    <w:rsid w:val="002A6E61"/>
    <w:rsid w:val="002A7999"/>
    <w:rsid w:val="002B097B"/>
    <w:rsid w:val="002B1037"/>
    <w:rsid w:val="002B1197"/>
    <w:rsid w:val="002B1C52"/>
    <w:rsid w:val="002B2980"/>
    <w:rsid w:val="002B2C8B"/>
    <w:rsid w:val="002B3123"/>
    <w:rsid w:val="002B340A"/>
    <w:rsid w:val="002B3DEB"/>
    <w:rsid w:val="002B4981"/>
    <w:rsid w:val="002B4C12"/>
    <w:rsid w:val="002B5148"/>
    <w:rsid w:val="002B5673"/>
    <w:rsid w:val="002B5E9A"/>
    <w:rsid w:val="002B6176"/>
    <w:rsid w:val="002B650C"/>
    <w:rsid w:val="002B68B2"/>
    <w:rsid w:val="002B6F4B"/>
    <w:rsid w:val="002B6F7B"/>
    <w:rsid w:val="002C03AE"/>
    <w:rsid w:val="002C0595"/>
    <w:rsid w:val="002C09B4"/>
    <w:rsid w:val="002C0E86"/>
    <w:rsid w:val="002C2253"/>
    <w:rsid w:val="002C25A5"/>
    <w:rsid w:val="002C2DD3"/>
    <w:rsid w:val="002C2F6B"/>
    <w:rsid w:val="002C3591"/>
    <w:rsid w:val="002C3907"/>
    <w:rsid w:val="002C3F5D"/>
    <w:rsid w:val="002C426D"/>
    <w:rsid w:val="002C48C4"/>
    <w:rsid w:val="002C5F72"/>
    <w:rsid w:val="002C6280"/>
    <w:rsid w:val="002C7DAC"/>
    <w:rsid w:val="002D0004"/>
    <w:rsid w:val="002D0892"/>
    <w:rsid w:val="002D16E6"/>
    <w:rsid w:val="002D1B30"/>
    <w:rsid w:val="002D1E95"/>
    <w:rsid w:val="002D20CD"/>
    <w:rsid w:val="002D242B"/>
    <w:rsid w:val="002D2B0A"/>
    <w:rsid w:val="002D380C"/>
    <w:rsid w:val="002D3AB7"/>
    <w:rsid w:val="002D5228"/>
    <w:rsid w:val="002D5632"/>
    <w:rsid w:val="002D604C"/>
    <w:rsid w:val="002D6935"/>
    <w:rsid w:val="002D720E"/>
    <w:rsid w:val="002D7664"/>
    <w:rsid w:val="002D7935"/>
    <w:rsid w:val="002E019C"/>
    <w:rsid w:val="002E1645"/>
    <w:rsid w:val="002E1DE8"/>
    <w:rsid w:val="002E214A"/>
    <w:rsid w:val="002E2323"/>
    <w:rsid w:val="002E268A"/>
    <w:rsid w:val="002E2935"/>
    <w:rsid w:val="002E2AAF"/>
    <w:rsid w:val="002E31B3"/>
    <w:rsid w:val="002E349A"/>
    <w:rsid w:val="002E3813"/>
    <w:rsid w:val="002E399B"/>
    <w:rsid w:val="002E3FBA"/>
    <w:rsid w:val="002E4701"/>
    <w:rsid w:val="002E4CA5"/>
    <w:rsid w:val="002E564A"/>
    <w:rsid w:val="002E5A25"/>
    <w:rsid w:val="002E6AB5"/>
    <w:rsid w:val="002F0D3E"/>
    <w:rsid w:val="002F164B"/>
    <w:rsid w:val="002F195A"/>
    <w:rsid w:val="002F1A03"/>
    <w:rsid w:val="002F22CF"/>
    <w:rsid w:val="002F36F6"/>
    <w:rsid w:val="002F3793"/>
    <w:rsid w:val="002F46A6"/>
    <w:rsid w:val="002F4939"/>
    <w:rsid w:val="002F52C7"/>
    <w:rsid w:val="002F6640"/>
    <w:rsid w:val="002F6DC8"/>
    <w:rsid w:val="00300185"/>
    <w:rsid w:val="00300B40"/>
    <w:rsid w:val="0030140D"/>
    <w:rsid w:val="003016A4"/>
    <w:rsid w:val="00301D4A"/>
    <w:rsid w:val="003023F8"/>
    <w:rsid w:val="003025D1"/>
    <w:rsid w:val="00302F12"/>
    <w:rsid w:val="003046B7"/>
    <w:rsid w:val="00304B70"/>
    <w:rsid w:val="00305069"/>
    <w:rsid w:val="003050F1"/>
    <w:rsid w:val="003055E8"/>
    <w:rsid w:val="00305B32"/>
    <w:rsid w:val="00307167"/>
    <w:rsid w:val="003079A7"/>
    <w:rsid w:val="00307AE0"/>
    <w:rsid w:val="003113CE"/>
    <w:rsid w:val="00311547"/>
    <w:rsid w:val="00311EAA"/>
    <w:rsid w:val="00313EDB"/>
    <w:rsid w:val="00314975"/>
    <w:rsid w:val="00314D2D"/>
    <w:rsid w:val="00316249"/>
    <w:rsid w:val="00316583"/>
    <w:rsid w:val="00316BFA"/>
    <w:rsid w:val="003176F2"/>
    <w:rsid w:val="003178F8"/>
    <w:rsid w:val="00320E19"/>
    <w:rsid w:val="00320ED6"/>
    <w:rsid w:val="00320FBF"/>
    <w:rsid w:val="00321620"/>
    <w:rsid w:val="00321819"/>
    <w:rsid w:val="00322BC3"/>
    <w:rsid w:val="00323AA3"/>
    <w:rsid w:val="0032422B"/>
    <w:rsid w:val="00324767"/>
    <w:rsid w:val="00324A51"/>
    <w:rsid w:val="00324F95"/>
    <w:rsid w:val="00325352"/>
    <w:rsid w:val="00325688"/>
    <w:rsid w:val="0032595B"/>
    <w:rsid w:val="00325A9B"/>
    <w:rsid w:val="00326443"/>
    <w:rsid w:val="003264BB"/>
    <w:rsid w:val="003267FE"/>
    <w:rsid w:val="00327683"/>
    <w:rsid w:val="003307E3"/>
    <w:rsid w:val="003310C7"/>
    <w:rsid w:val="003313EE"/>
    <w:rsid w:val="00331FA5"/>
    <w:rsid w:val="003321BF"/>
    <w:rsid w:val="003323AE"/>
    <w:rsid w:val="00332521"/>
    <w:rsid w:val="00333FB2"/>
    <w:rsid w:val="003345FA"/>
    <w:rsid w:val="00335272"/>
    <w:rsid w:val="00335C52"/>
    <w:rsid w:val="00336EA4"/>
    <w:rsid w:val="003370F2"/>
    <w:rsid w:val="00337CA0"/>
    <w:rsid w:val="0034086E"/>
    <w:rsid w:val="003409BD"/>
    <w:rsid w:val="00340FF5"/>
    <w:rsid w:val="00341005"/>
    <w:rsid w:val="003419C8"/>
    <w:rsid w:val="00342E56"/>
    <w:rsid w:val="00343059"/>
    <w:rsid w:val="0034396A"/>
    <w:rsid w:val="0034416E"/>
    <w:rsid w:val="0034568A"/>
    <w:rsid w:val="00346EC0"/>
    <w:rsid w:val="00347E30"/>
    <w:rsid w:val="003501A2"/>
    <w:rsid w:val="003508AF"/>
    <w:rsid w:val="00350E2E"/>
    <w:rsid w:val="00351D54"/>
    <w:rsid w:val="0035364C"/>
    <w:rsid w:val="00354DC9"/>
    <w:rsid w:val="0035572B"/>
    <w:rsid w:val="0035596A"/>
    <w:rsid w:val="00355DF1"/>
    <w:rsid w:val="0035686D"/>
    <w:rsid w:val="0035695F"/>
    <w:rsid w:val="003569BC"/>
    <w:rsid w:val="00357F72"/>
    <w:rsid w:val="00360133"/>
    <w:rsid w:val="00360349"/>
    <w:rsid w:val="0036092B"/>
    <w:rsid w:val="00363BEF"/>
    <w:rsid w:val="00363D7A"/>
    <w:rsid w:val="003640CC"/>
    <w:rsid w:val="0036472D"/>
    <w:rsid w:val="00364F92"/>
    <w:rsid w:val="0036517F"/>
    <w:rsid w:val="003651FA"/>
    <w:rsid w:val="003656F1"/>
    <w:rsid w:val="00366406"/>
    <w:rsid w:val="00367391"/>
    <w:rsid w:val="00367677"/>
    <w:rsid w:val="00367A5D"/>
    <w:rsid w:val="00367CCD"/>
    <w:rsid w:val="00367CD2"/>
    <w:rsid w:val="00367DDC"/>
    <w:rsid w:val="00367F1F"/>
    <w:rsid w:val="00370AC6"/>
    <w:rsid w:val="00370B6F"/>
    <w:rsid w:val="00371C18"/>
    <w:rsid w:val="00372191"/>
    <w:rsid w:val="003721A3"/>
    <w:rsid w:val="00372B64"/>
    <w:rsid w:val="003741B9"/>
    <w:rsid w:val="00374ABB"/>
    <w:rsid w:val="0037518C"/>
    <w:rsid w:val="00376576"/>
    <w:rsid w:val="00376C49"/>
    <w:rsid w:val="00376FDE"/>
    <w:rsid w:val="00377BD3"/>
    <w:rsid w:val="00380130"/>
    <w:rsid w:val="00380AA0"/>
    <w:rsid w:val="0038113E"/>
    <w:rsid w:val="00381FB3"/>
    <w:rsid w:val="00382045"/>
    <w:rsid w:val="0038218B"/>
    <w:rsid w:val="003826DF"/>
    <w:rsid w:val="003828E6"/>
    <w:rsid w:val="00382A29"/>
    <w:rsid w:val="00382F82"/>
    <w:rsid w:val="003835C6"/>
    <w:rsid w:val="00383800"/>
    <w:rsid w:val="003848A7"/>
    <w:rsid w:val="0038678D"/>
    <w:rsid w:val="00386C12"/>
    <w:rsid w:val="0038751E"/>
    <w:rsid w:val="003905A8"/>
    <w:rsid w:val="00391476"/>
    <w:rsid w:val="0039165B"/>
    <w:rsid w:val="003936D5"/>
    <w:rsid w:val="00393F6B"/>
    <w:rsid w:val="00393F6C"/>
    <w:rsid w:val="00394B90"/>
    <w:rsid w:val="00394CD6"/>
    <w:rsid w:val="00395A9D"/>
    <w:rsid w:val="00395C23"/>
    <w:rsid w:val="00395E69"/>
    <w:rsid w:val="00396C15"/>
    <w:rsid w:val="003973FA"/>
    <w:rsid w:val="003978FA"/>
    <w:rsid w:val="003A01F0"/>
    <w:rsid w:val="003A03F9"/>
    <w:rsid w:val="003A22E3"/>
    <w:rsid w:val="003A26E0"/>
    <w:rsid w:val="003A2ABD"/>
    <w:rsid w:val="003A2F7B"/>
    <w:rsid w:val="003A2F91"/>
    <w:rsid w:val="003A345C"/>
    <w:rsid w:val="003A39F7"/>
    <w:rsid w:val="003A3DBE"/>
    <w:rsid w:val="003A4397"/>
    <w:rsid w:val="003A4926"/>
    <w:rsid w:val="003A4B93"/>
    <w:rsid w:val="003A4C72"/>
    <w:rsid w:val="003A5140"/>
    <w:rsid w:val="003A6153"/>
    <w:rsid w:val="003B0625"/>
    <w:rsid w:val="003B0E45"/>
    <w:rsid w:val="003B0E47"/>
    <w:rsid w:val="003B114E"/>
    <w:rsid w:val="003B14FB"/>
    <w:rsid w:val="003B15D6"/>
    <w:rsid w:val="003B1EA6"/>
    <w:rsid w:val="003B2A72"/>
    <w:rsid w:val="003B3217"/>
    <w:rsid w:val="003B3EEC"/>
    <w:rsid w:val="003B3FDC"/>
    <w:rsid w:val="003B431B"/>
    <w:rsid w:val="003B54EF"/>
    <w:rsid w:val="003B554A"/>
    <w:rsid w:val="003C0163"/>
    <w:rsid w:val="003C0764"/>
    <w:rsid w:val="003C15F9"/>
    <w:rsid w:val="003C2583"/>
    <w:rsid w:val="003C4CA1"/>
    <w:rsid w:val="003C4CDC"/>
    <w:rsid w:val="003C50F1"/>
    <w:rsid w:val="003C5366"/>
    <w:rsid w:val="003C59C3"/>
    <w:rsid w:val="003C65D6"/>
    <w:rsid w:val="003C6ACB"/>
    <w:rsid w:val="003C6FB3"/>
    <w:rsid w:val="003C7996"/>
    <w:rsid w:val="003C7B00"/>
    <w:rsid w:val="003C7CA0"/>
    <w:rsid w:val="003D04D7"/>
    <w:rsid w:val="003D061F"/>
    <w:rsid w:val="003D0A23"/>
    <w:rsid w:val="003D0A68"/>
    <w:rsid w:val="003D0AAF"/>
    <w:rsid w:val="003D1D4D"/>
    <w:rsid w:val="003D2B2C"/>
    <w:rsid w:val="003D33C6"/>
    <w:rsid w:val="003D35BB"/>
    <w:rsid w:val="003D3B99"/>
    <w:rsid w:val="003D49CC"/>
    <w:rsid w:val="003D49E6"/>
    <w:rsid w:val="003D4C38"/>
    <w:rsid w:val="003D4EB2"/>
    <w:rsid w:val="003D50A5"/>
    <w:rsid w:val="003D5673"/>
    <w:rsid w:val="003D5FB6"/>
    <w:rsid w:val="003E07DD"/>
    <w:rsid w:val="003E0937"/>
    <w:rsid w:val="003E1128"/>
    <w:rsid w:val="003E17CE"/>
    <w:rsid w:val="003E18E4"/>
    <w:rsid w:val="003E1EF0"/>
    <w:rsid w:val="003E2BFB"/>
    <w:rsid w:val="003E2DC1"/>
    <w:rsid w:val="003E2DEB"/>
    <w:rsid w:val="003E31DE"/>
    <w:rsid w:val="003E3427"/>
    <w:rsid w:val="003E353C"/>
    <w:rsid w:val="003E41A2"/>
    <w:rsid w:val="003E42E2"/>
    <w:rsid w:val="003E4646"/>
    <w:rsid w:val="003E4C59"/>
    <w:rsid w:val="003E4DC7"/>
    <w:rsid w:val="003E5BDB"/>
    <w:rsid w:val="003E60E6"/>
    <w:rsid w:val="003E67D7"/>
    <w:rsid w:val="003F00FD"/>
    <w:rsid w:val="003F0E22"/>
    <w:rsid w:val="003F2010"/>
    <w:rsid w:val="003F2408"/>
    <w:rsid w:val="003F26D5"/>
    <w:rsid w:val="003F4A37"/>
    <w:rsid w:val="003F4CD4"/>
    <w:rsid w:val="003F5664"/>
    <w:rsid w:val="003F56C4"/>
    <w:rsid w:val="003F6C01"/>
    <w:rsid w:val="003F6FC4"/>
    <w:rsid w:val="003F75EC"/>
    <w:rsid w:val="003F769A"/>
    <w:rsid w:val="003F7A7C"/>
    <w:rsid w:val="003F7B65"/>
    <w:rsid w:val="00400A59"/>
    <w:rsid w:val="0040203A"/>
    <w:rsid w:val="004026CB"/>
    <w:rsid w:val="00402A31"/>
    <w:rsid w:val="00403513"/>
    <w:rsid w:val="00403D82"/>
    <w:rsid w:val="00404BCA"/>
    <w:rsid w:val="004054BE"/>
    <w:rsid w:val="0040555E"/>
    <w:rsid w:val="00405BA0"/>
    <w:rsid w:val="00406CD8"/>
    <w:rsid w:val="00406F49"/>
    <w:rsid w:val="00407110"/>
    <w:rsid w:val="00407177"/>
    <w:rsid w:val="00410F25"/>
    <w:rsid w:val="004110D9"/>
    <w:rsid w:val="004112EB"/>
    <w:rsid w:val="004119EF"/>
    <w:rsid w:val="00411D98"/>
    <w:rsid w:val="00412348"/>
    <w:rsid w:val="004123C6"/>
    <w:rsid w:val="004131B1"/>
    <w:rsid w:val="004132EB"/>
    <w:rsid w:val="0041529E"/>
    <w:rsid w:val="00415407"/>
    <w:rsid w:val="004155C3"/>
    <w:rsid w:val="00415696"/>
    <w:rsid w:val="0041653D"/>
    <w:rsid w:val="00416FC5"/>
    <w:rsid w:val="0041745C"/>
    <w:rsid w:val="00420EDF"/>
    <w:rsid w:val="00420EEE"/>
    <w:rsid w:val="00420FA5"/>
    <w:rsid w:val="004215E7"/>
    <w:rsid w:val="00422461"/>
    <w:rsid w:val="00422BA0"/>
    <w:rsid w:val="00422FAA"/>
    <w:rsid w:val="004230AE"/>
    <w:rsid w:val="00423625"/>
    <w:rsid w:val="00423930"/>
    <w:rsid w:val="00423F50"/>
    <w:rsid w:val="004249D9"/>
    <w:rsid w:val="00424E7A"/>
    <w:rsid w:val="00425220"/>
    <w:rsid w:val="00425FB1"/>
    <w:rsid w:val="004267F1"/>
    <w:rsid w:val="00426E66"/>
    <w:rsid w:val="0043035F"/>
    <w:rsid w:val="004305A4"/>
    <w:rsid w:val="00430729"/>
    <w:rsid w:val="00430D80"/>
    <w:rsid w:val="004324BB"/>
    <w:rsid w:val="00432EF0"/>
    <w:rsid w:val="00433284"/>
    <w:rsid w:val="00433844"/>
    <w:rsid w:val="004343B6"/>
    <w:rsid w:val="00434C35"/>
    <w:rsid w:val="0043585D"/>
    <w:rsid w:val="004377CE"/>
    <w:rsid w:val="00440A55"/>
    <w:rsid w:val="00441429"/>
    <w:rsid w:val="00441EF8"/>
    <w:rsid w:val="00442439"/>
    <w:rsid w:val="004427C6"/>
    <w:rsid w:val="004429A7"/>
    <w:rsid w:val="00442F17"/>
    <w:rsid w:val="00442FD2"/>
    <w:rsid w:val="00443119"/>
    <w:rsid w:val="00443D14"/>
    <w:rsid w:val="00444299"/>
    <w:rsid w:val="004449CA"/>
    <w:rsid w:val="00445309"/>
    <w:rsid w:val="00445BD9"/>
    <w:rsid w:val="004502BA"/>
    <w:rsid w:val="0045151E"/>
    <w:rsid w:val="0045209C"/>
    <w:rsid w:val="004521C1"/>
    <w:rsid w:val="00452C6B"/>
    <w:rsid w:val="0045373A"/>
    <w:rsid w:val="00454698"/>
    <w:rsid w:val="00455243"/>
    <w:rsid w:val="004553D3"/>
    <w:rsid w:val="004555C3"/>
    <w:rsid w:val="00456804"/>
    <w:rsid w:val="0045727A"/>
    <w:rsid w:val="00457369"/>
    <w:rsid w:val="00457446"/>
    <w:rsid w:val="00457C0E"/>
    <w:rsid w:val="00460065"/>
    <w:rsid w:val="0046017A"/>
    <w:rsid w:val="00460C6D"/>
    <w:rsid w:val="004610A6"/>
    <w:rsid w:val="004610E8"/>
    <w:rsid w:val="004626E2"/>
    <w:rsid w:val="00462DC7"/>
    <w:rsid w:val="00462F2C"/>
    <w:rsid w:val="00463662"/>
    <w:rsid w:val="00464A10"/>
    <w:rsid w:val="00464E09"/>
    <w:rsid w:val="00465D8A"/>
    <w:rsid w:val="004663A0"/>
    <w:rsid w:val="0046664B"/>
    <w:rsid w:val="00466B03"/>
    <w:rsid w:val="004672CE"/>
    <w:rsid w:val="0046751B"/>
    <w:rsid w:val="0046784A"/>
    <w:rsid w:val="004679B5"/>
    <w:rsid w:val="00470AD4"/>
    <w:rsid w:val="00470BE4"/>
    <w:rsid w:val="00471426"/>
    <w:rsid w:val="00472396"/>
    <w:rsid w:val="004729BF"/>
    <w:rsid w:val="00472B8B"/>
    <w:rsid w:val="00472E79"/>
    <w:rsid w:val="004733AA"/>
    <w:rsid w:val="0047362C"/>
    <w:rsid w:val="00473927"/>
    <w:rsid w:val="00474339"/>
    <w:rsid w:val="0047469D"/>
    <w:rsid w:val="00475086"/>
    <w:rsid w:val="00475E9D"/>
    <w:rsid w:val="00476076"/>
    <w:rsid w:val="00476CB5"/>
    <w:rsid w:val="00477173"/>
    <w:rsid w:val="004803F8"/>
    <w:rsid w:val="0048135F"/>
    <w:rsid w:val="00483580"/>
    <w:rsid w:val="00483BC7"/>
    <w:rsid w:val="004864AA"/>
    <w:rsid w:val="00486844"/>
    <w:rsid w:val="004868A2"/>
    <w:rsid w:val="00486D24"/>
    <w:rsid w:val="00487FFC"/>
    <w:rsid w:val="004906BC"/>
    <w:rsid w:val="00490C4F"/>
    <w:rsid w:val="004912B8"/>
    <w:rsid w:val="004916E5"/>
    <w:rsid w:val="00491ABB"/>
    <w:rsid w:val="00492240"/>
    <w:rsid w:val="004925CF"/>
    <w:rsid w:val="0049455D"/>
    <w:rsid w:val="00495090"/>
    <w:rsid w:val="00495E79"/>
    <w:rsid w:val="00496138"/>
    <w:rsid w:val="0049679D"/>
    <w:rsid w:val="00497F95"/>
    <w:rsid w:val="004A073C"/>
    <w:rsid w:val="004A0DD0"/>
    <w:rsid w:val="004A16A5"/>
    <w:rsid w:val="004A1E41"/>
    <w:rsid w:val="004A213D"/>
    <w:rsid w:val="004A28A8"/>
    <w:rsid w:val="004A2C30"/>
    <w:rsid w:val="004A2C99"/>
    <w:rsid w:val="004A2D5A"/>
    <w:rsid w:val="004A3EAA"/>
    <w:rsid w:val="004A466F"/>
    <w:rsid w:val="004A5F81"/>
    <w:rsid w:val="004A6A00"/>
    <w:rsid w:val="004A7196"/>
    <w:rsid w:val="004A722E"/>
    <w:rsid w:val="004A7945"/>
    <w:rsid w:val="004A79A1"/>
    <w:rsid w:val="004A7E3A"/>
    <w:rsid w:val="004B0AB8"/>
    <w:rsid w:val="004B119C"/>
    <w:rsid w:val="004B17CC"/>
    <w:rsid w:val="004B1A35"/>
    <w:rsid w:val="004B35FA"/>
    <w:rsid w:val="004B3A4C"/>
    <w:rsid w:val="004B598E"/>
    <w:rsid w:val="004B59C9"/>
    <w:rsid w:val="004B5D8B"/>
    <w:rsid w:val="004B6A82"/>
    <w:rsid w:val="004B6BEE"/>
    <w:rsid w:val="004B6DD2"/>
    <w:rsid w:val="004B71EB"/>
    <w:rsid w:val="004B73D8"/>
    <w:rsid w:val="004C116E"/>
    <w:rsid w:val="004C1984"/>
    <w:rsid w:val="004C216E"/>
    <w:rsid w:val="004C3488"/>
    <w:rsid w:val="004C3B64"/>
    <w:rsid w:val="004C441A"/>
    <w:rsid w:val="004C455F"/>
    <w:rsid w:val="004C46B9"/>
    <w:rsid w:val="004C5E95"/>
    <w:rsid w:val="004C6BFB"/>
    <w:rsid w:val="004C7260"/>
    <w:rsid w:val="004C74BA"/>
    <w:rsid w:val="004C7ADB"/>
    <w:rsid w:val="004C7E68"/>
    <w:rsid w:val="004C7F78"/>
    <w:rsid w:val="004D0296"/>
    <w:rsid w:val="004D02A4"/>
    <w:rsid w:val="004D0AF0"/>
    <w:rsid w:val="004D0F67"/>
    <w:rsid w:val="004D1DC1"/>
    <w:rsid w:val="004D3444"/>
    <w:rsid w:val="004D4716"/>
    <w:rsid w:val="004D4FB0"/>
    <w:rsid w:val="004D5BFB"/>
    <w:rsid w:val="004D6B42"/>
    <w:rsid w:val="004D6CA4"/>
    <w:rsid w:val="004D6D1D"/>
    <w:rsid w:val="004D76BF"/>
    <w:rsid w:val="004D7ADD"/>
    <w:rsid w:val="004E02B7"/>
    <w:rsid w:val="004E03F7"/>
    <w:rsid w:val="004E07FC"/>
    <w:rsid w:val="004E1360"/>
    <w:rsid w:val="004E138D"/>
    <w:rsid w:val="004E1D58"/>
    <w:rsid w:val="004E1FD9"/>
    <w:rsid w:val="004E2213"/>
    <w:rsid w:val="004E47D0"/>
    <w:rsid w:val="004E4E08"/>
    <w:rsid w:val="004E5C06"/>
    <w:rsid w:val="004E638B"/>
    <w:rsid w:val="004E6790"/>
    <w:rsid w:val="004F0304"/>
    <w:rsid w:val="004F0507"/>
    <w:rsid w:val="004F0ACA"/>
    <w:rsid w:val="004F0DA3"/>
    <w:rsid w:val="004F226E"/>
    <w:rsid w:val="004F240C"/>
    <w:rsid w:val="004F27DF"/>
    <w:rsid w:val="004F2AC6"/>
    <w:rsid w:val="004F2C2B"/>
    <w:rsid w:val="004F2DA2"/>
    <w:rsid w:val="004F38C6"/>
    <w:rsid w:val="004F4FE8"/>
    <w:rsid w:val="004F5167"/>
    <w:rsid w:val="004F52DF"/>
    <w:rsid w:val="004F5AB4"/>
    <w:rsid w:val="004F5DEA"/>
    <w:rsid w:val="004F62F2"/>
    <w:rsid w:val="004F7263"/>
    <w:rsid w:val="004F76E1"/>
    <w:rsid w:val="00500092"/>
    <w:rsid w:val="0050084C"/>
    <w:rsid w:val="00501B05"/>
    <w:rsid w:val="005027D4"/>
    <w:rsid w:val="00503989"/>
    <w:rsid w:val="00505C84"/>
    <w:rsid w:val="00505F4A"/>
    <w:rsid w:val="005069D4"/>
    <w:rsid w:val="00507CFE"/>
    <w:rsid w:val="0051037B"/>
    <w:rsid w:val="00511A5C"/>
    <w:rsid w:val="0051212B"/>
    <w:rsid w:val="00512AA3"/>
    <w:rsid w:val="00512D6E"/>
    <w:rsid w:val="00513FC6"/>
    <w:rsid w:val="0051448F"/>
    <w:rsid w:val="00514E09"/>
    <w:rsid w:val="005158F1"/>
    <w:rsid w:val="00516D08"/>
    <w:rsid w:val="00517EF8"/>
    <w:rsid w:val="00517FBD"/>
    <w:rsid w:val="0052014C"/>
    <w:rsid w:val="00520161"/>
    <w:rsid w:val="00520EEE"/>
    <w:rsid w:val="00520FFA"/>
    <w:rsid w:val="00521591"/>
    <w:rsid w:val="0052281D"/>
    <w:rsid w:val="00523DD4"/>
    <w:rsid w:val="005260CB"/>
    <w:rsid w:val="00526223"/>
    <w:rsid w:val="005269D0"/>
    <w:rsid w:val="00526C19"/>
    <w:rsid w:val="005275BD"/>
    <w:rsid w:val="00527C87"/>
    <w:rsid w:val="00530860"/>
    <w:rsid w:val="00530B68"/>
    <w:rsid w:val="00533349"/>
    <w:rsid w:val="0053404E"/>
    <w:rsid w:val="00534125"/>
    <w:rsid w:val="00534239"/>
    <w:rsid w:val="00534430"/>
    <w:rsid w:val="00534D6C"/>
    <w:rsid w:val="00534DB7"/>
    <w:rsid w:val="00534F0B"/>
    <w:rsid w:val="00534F92"/>
    <w:rsid w:val="0053587C"/>
    <w:rsid w:val="00540807"/>
    <w:rsid w:val="005412E7"/>
    <w:rsid w:val="00541340"/>
    <w:rsid w:val="005416B9"/>
    <w:rsid w:val="00541A8C"/>
    <w:rsid w:val="005420ED"/>
    <w:rsid w:val="00543142"/>
    <w:rsid w:val="005432A4"/>
    <w:rsid w:val="005432C8"/>
    <w:rsid w:val="00543648"/>
    <w:rsid w:val="00544565"/>
    <w:rsid w:val="00544B39"/>
    <w:rsid w:val="00545126"/>
    <w:rsid w:val="00545AFA"/>
    <w:rsid w:val="005460A8"/>
    <w:rsid w:val="00546653"/>
    <w:rsid w:val="00547012"/>
    <w:rsid w:val="005472AC"/>
    <w:rsid w:val="005508E1"/>
    <w:rsid w:val="00550A09"/>
    <w:rsid w:val="00550D1C"/>
    <w:rsid w:val="0055119D"/>
    <w:rsid w:val="005517D0"/>
    <w:rsid w:val="00551C16"/>
    <w:rsid w:val="005525CD"/>
    <w:rsid w:val="00553313"/>
    <w:rsid w:val="005537B5"/>
    <w:rsid w:val="0055394C"/>
    <w:rsid w:val="00553C99"/>
    <w:rsid w:val="0055449E"/>
    <w:rsid w:val="0055541A"/>
    <w:rsid w:val="00556DA6"/>
    <w:rsid w:val="005572FF"/>
    <w:rsid w:val="00557444"/>
    <w:rsid w:val="00561BCA"/>
    <w:rsid w:val="00562664"/>
    <w:rsid w:val="005626D4"/>
    <w:rsid w:val="00562783"/>
    <w:rsid w:val="005632A4"/>
    <w:rsid w:val="00564B80"/>
    <w:rsid w:val="00564D94"/>
    <w:rsid w:val="00565839"/>
    <w:rsid w:val="005658C2"/>
    <w:rsid w:val="00566C82"/>
    <w:rsid w:val="005675CE"/>
    <w:rsid w:val="0056784D"/>
    <w:rsid w:val="00567D5F"/>
    <w:rsid w:val="00570323"/>
    <w:rsid w:val="005705E7"/>
    <w:rsid w:val="00571789"/>
    <w:rsid w:val="00571B66"/>
    <w:rsid w:val="00571EF5"/>
    <w:rsid w:val="00572619"/>
    <w:rsid w:val="0057266F"/>
    <w:rsid w:val="00572BF6"/>
    <w:rsid w:val="005740F4"/>
    <w:rsid w:val="00574419"/>
    <w:rsid w:val="00574BBF"/>
    <w:rsid w:val="00575293"/>
    <w:rsid w:val="00575D14"/>
    <w:rsid w:val="0057603C"/>
    <w:rsid w:val="00576737"/>
    <w:rsid w:val="005769C4"/>
    <w:rsid w:val="0058058D"/>
    <w:rsid w:val="00580878"/>
    <w:rsid w:val="00580E98"/>
    <w:rsid w:val="0058153B"/>
    <w:rsid w:val="005823D8"/>
    <w:rsid w:val="00582498"/>
    <w:rsid w:val="005830ED"/>
    <w:rsid w:val="005836B2"/>
    <w:rsid w:val="00583FFF"/>
    <w:rsid w:val="005847D8"/>
    <w:rsid w:val="005851E2"/>
    <w:rsid w:val="005858AB"/>
    <w:rsid w:val="00585909"/>
    <w:rsid w:val="00585FFC"/>
    <w:rsid w:val="00586215"/>
    <w:rsid w:val="0058673A"/>
    <w:rsid w:val="00587E16"/>
    <w:rsid w:val="005900AE"/>
    <w:rsid w:val="005904A5"/>
    <w:rsid w:val="0059064A"/>
    <w:rsid w:val="00590901"/>
    <w:rsid w:val="00591185"/>
    <w:rsid w:val="005923DD"/>
    <w:rsid w:val="00593A28"/>
    <w:rsid w:val="00593B70"/>
    <w:rsid w:val="00593E05"/>
    <w:rsid w:val="005947C0"/>
    <w:rsid w:val="00595513"/>
    <w:rsid w:val="00596B43"/>
    <w:rsid w:val="00597309"/>
    <w:rsid w:val="00597545"/>
    <w:rsid w:val="005A025B"/>
    <w:rsid w:val="005A0E1B"/>
    <w:rsid w:val="005A134B"/>
    <w:rsid w:val="005A1579"/>
    <w:rsid w:val="005A1EB9"/>
    <w:rsid w:val="005A2500"/>
    <w:rsid w:val="005A367C"/>
    <w:rsid w:val="005A39F9"/>
    <w:rsid w:val="005A430F"/>
    <w:rsid w:val="005A4471"/>
    <w:rsid w:val="005A4B98"/>
    <w:rsid w:val="005A4BFE"/>
    <w:rsid w:val="005A52DF"/>
    <w:rsid w:val="005A6F09"/>
    <w:rsid w:val="005A7146"/>
    <w:rsid w:val="005A73EC"/>
    <w:rsid w:val="005A7A45"/>
    <w:rsid w:val="005A7B09"/>
    <w:rsid w:val="005B04DB"/>
    <w:rsid w:val="005B05AD"/>
    <w:rsid w:val="005B0D20"/>
    <w:rsid w:val="005B1167"/>
    <w:rsid w:val="005B1464"/>
    <w:rsid w:val="005B26F0"/>
    <w:rsid w:val="005B2DBB"/>
    <w:rsid w:val="005B3874"/>
    <w:rsid w:val="005B3C68"/>
    <w:rsid w:val="005B3DDB"/>
    <w:rsid w:val="005B41B6"/>
    <w:rsid w:val="005B469D"/>
    <w:rsid w:val="005B4B61"/>
    <w:rsid w:val="005B5061"/>
    <w:rsid w:val="005B51B9"/>
    <w:rsid w:val="005B5DF9"/>
    <w:rsid w:val="005B71EC"/>
    <w:rsid w:val="005B7200"/>
    <w:rsid w:val="005B7CF8"/>
    <w:rsid w:val="005B7D41"/>
    <w:rsid w:val="005C0BCD"/>
    <w:rsid w:val="005C1CCE"/>
    <w:rsid w:val="005C243D"/>
    <w:rsid w:val="005C383E"/>
    <w:rsid w:val="005C4E2D"/>
    <w:rsid w:val="005C5E17"/>
    <w:rsid w:val="005C601B"/>
    <w:rsid w:val="005C6367"/>
    <w:rsid w:val="005C6A26"/>
    <w:rsid w:val="005C6B8D"/>
    <w:rsid w:val="005C73E7"/>
    <w:rsid w:val="005D0931"/>
    <w:rsid w:val="005D0DF8"/>
    <w:rsid w:val="005D1BA8"/>
    <w:rsid w:val="005D1E0C"/>
    <w:rsid w:val="005D2B85"/>
    <w:rsid w:val="005D39A0"/>
    <w:rsid w:val="005D40AB"/>
    <w:rsid w:val="005D4D11"/>
    <w:rsid w:val="005D4F5A"/>
    <w:rsid w:val="005D5198"/>
    <w:rsid w:val="005D5AF6"/>
    <w:rsid w:val="005D5B33"/>
    <w:rsid w:val="005D5E1A"/>
    <w:rsid w:val="005D5EAB"/>
    <w:rsid w:val="005D61DA"/>
    <w:rsid w:val="005D6770"/>
    <w:rsid w:val="005D7729"/>
    <w:rsid w:val="005E094B"/>
    <w:rsid w:val="005E0DDE"/>
    <w:rsid w:val="005E114F"/>
    <w:rsid w:val="005E1786"/>
    <w:rsid w:val="005E1EC1"/>
    <w:rsid w:val="005E2E9A"/>
    <w:rsid w:val="005E38BB"/>
    <w:rsid w:val="005E4537"/>
    <w:rsid w:val="005E4600"/>
    <w:rsid w:val="005E4678"/>
    <w:rsid w:val="005E4B54"/>
    <w:rsid w:val="005E4CA9"/>
    <w:rsid w:val="005E61E8"/>
    <w:rsid w:val="005E71B7"/>
    <w:rsid w:val="005F03AD"/>
    <w:rsid w:val="005F09AD"/>
    <w:rsid w:val="005F0ACE"/>
    <w:rsid w:val="005F0C9E"/>
    <w:rsid w:val="005F1865"/>
    <w:rsid w:val="005F1C29"/>
    <w:rsid w:val="005F1D39"/>
    <w:rsid w:val="005F1F89"/>
    <w:rsid w:val="005F25D0"/>
    <w:rsid w:val="005F2730"/>
    <w:rsid w:val="005F2C37"/>
    <w:rsid w:val="005F3840"/>
    <w:rsid w:val="005F3BA6"/>
    <w:rsid w:val="005F3DDE"/>
    <w:rsid w:val="005F40D5"/>
    <w:rsid w:val="005F4CC5"/>
    <w:rsid w:val="005F54EA"/>
    <w:rsid w:val="005F6845"/>
    <w:rsid w:val="005F7545"/>
    <w:rsid w:val="005F7E22"/>
    <w:rsid w:val="00600813"/>
    <w:rsid w:val="00601095"/>
    <w:rsid w:val="006011AA"/>
    <w:rsid w:val="0060131C"/>
    <w:rsid w:val="0060135B"/>
    <w:rsid w:val="00601D51"/>
    <w:rsid w:val="0060233E"/>
    <w:rsid w:val="00602D1D"/>
    <w:rsid w:val="00603284"/>
    <w:rsid w:val="006033F6"/>
    <w:rsid w:val="006034FD"/>
    <w:rsid w:val="00604335"/>
    <w:rsid w:val="00604846"/>
    <w:rsid w:val="00604D0B"/>
    <w:rsid w:val="00605395"/>
    <w:rsid w:val="006104DF"/>
    <w:rsid w:val="00611CA4"/>
    <w:rsid w:val="0061202C"/>
    <w:rsid w:val="006127A3"/>
    <w:rsid w:val="00613D84"/>
    <w:rsid w:val="0061453D"/>
    <w:rsid w:val="006146EA"/>
    <w:rsid w:val="006163C5"/>
    <w:rsid w:val="00617048"/>
    <w:rsid w:val="00617B6C"/>
    <w:rsid w:val="00617EC5"/>
    <w:rsid w:val="006201D3"/>
    <w:rsid w:val="00620D51"/>
    <w:rsid w:val="006214C0"/>
    <w:rsid w:val="00622C8B"/>
    <w:rsid w:val="006230C6"/>
    <w:rsid w:val="00623B1A"/>
    <w:rsid w:val="00623C96"/>
    <w:rsid w:val="006240D5"/>
    <w:rsid w:val="006243FA"/>
    <w:rsid w:val="00624B7D"/>
    <w:rsid w:val="00624D5F"/>
    <w:rsid w:val="00624E37"/>
    <w:rsid w:val="006254A1"/>
    <w:rsid w:val="006254DD"/>
    <w:rsid w:val="0062557B"/>
    <w:rsid w:val="00625E40"/>
    <w:rsid w:val="00626942"/>
    <w:rsid w:val="00626B26"/>
    <w:rsid w:val="00626C34"/>
    <w:rsid w:val="0062755A"/>
    <w:rsid w:val="006277DE"/>
    <w:rsid w:val="006306B4"/>
    <w:rsid w:val="00630861"/>
    <w:rsid w:val="0063098B"/>
    <w:rsid w:val="00630DD5"/>
    <w:rsid w:val="00632599"/>
    <w:rsid w:val="006332AC"/>
    <w:rsid w:val="006332F8"/>
    <w:rsid w:val="00634C43"/>
    <w:rsid w:val="00634D28"/>
    <w:rsid w:val="0063558B"/>
    <w:rsid w:val="00635AC0"/>
    <w:rsid w:val="00635B99"/>
    <w:rsid w:val="00636CE6"/>
    <w:rsid w:val="00640092"/>
    <w:rsid w:val="006417F3"/>
    <w:rsid w:val="00641C2B"/>
    <w:rsid w:val="00642FAC"/>
    <w:rsid w:val="0064332D"/>
    <w:rsid w:val="00644014"/>
    <w:rsid w:val="00644049"/>
    <w:rsid w:val="0064463E"/>
    <w:rsid w:val="00644D18"/>
    <w:rsid w:val="006458C9"/>
    <w:rsid w:val="00645EEF"/>
    <w:rsid w:val="00650E02"/>
    <w:rsid w:val="00651163"/>
    <w:rsid w:val="006512BE"/>
    <w:rsid w:val="006513AA"/>
    <w:rsid w:val="006524C0"/>
    <w:rsid w:val="006528C0"/>
    <w:rsid w:val="006529C9"/>
    <w:rsid w:val="00652C46"/>
    <w:rsid w:val="006536B6"/>
    <w:rsid w:val="00653F25"/>
    <w:rsid w:val="006544AD"/>
    <w:rsid w:val="0065456E"/>
    <w:rsid w:val="00654C61"/>
    <w:rsid w:val="00656479"/>
    <w:rsid w:val="00656FBE"/>
    <w:rsid w:val="00657BD4"/>
    <w:rsid w:val="006603F5"/>
    <w:rsid w:val="0066116D"/>
    <w:rsid w:val="0066125A"/>
    <w:rsid w:val="006618E2"/>
    <w:rsid w:val="0066332E"/>
    <w:rsid w:val="0066353E"/>
    <w:rsid w:val="0066425B"/>
    <w:rsid w:val="0066431F"/>
    <w:rsid w:val="00664672"/>
    <w:rsid w:val="00664CDB"/>
    <w:rsid w:val="00664F05"/>
    <w:rsid w:val="006664B2"/>
    <w:rsid w:val="00666D9A"/>
    <w:rsid w:val="00667285"/>
    <w:rsid w:val="00670439"/>
    <w:rsid w:val="0067157C"/>
    <w:rsid w:val="00671CEA"/>
    <w:rsid w:val="00672EEF"/>
    <w:rsid w:val="00673621"/>
    <w:rsid w:val="006736E7"/>
    <w:rsid w:val="00673A57"/>
    <w:rsid w:val="0067414E"/>
    <w:rsid w:val="006742F3"/>
    <w:rsid w:val="0067430C"/>
    <w:rsid w:val="006743E5"/>
    <w:rsid w:val="00674A7D"/>
    <w:rsid w:val="00674ADE"/>
    <w:rsid w:val="00674B86"/>
    <w:rsid w:val="00674E84"/>
    <w:rsid w:val="00675305"/>
    <w:rsid w:val="00675A7E"/>
    <w:rsid w:val="0067634F"/>
    <w:rsid w:val="006763D1"/>
    <w:rsid w:val="006776A4"/>
    <w:rsid w:val="00680BD3"/>
    <w:rsid w:val="00680C2D"/>
    <w:rsid w:val="00680E00"/>
    <w:rsid w:val="0068103F"/>
    <w:rsid w:val="0068177A"/>
    <w:rsid w:val="0068282C"/>
    <w:rsid w:val="00683043"/>
    <w:rsid w:val="00684026"/>
    <w:rsid w:val="00684DCF"/>
    <w:rsid w:val="006850FE"/>
    <w:rsid w:val="006856C5"/>
    <w:rsid w:val="00685DC1"/>
    <w:rsid w:val="00686355"/>
    <w:rsid w:val="00686757"/>
    <w:rsid w:val="00686DC8"/>
    <w:rsid w:val="00687787"/>
    <w:rsid w:val="00687B87"/>
    <w:rsid w:val="00687DE7"/>
    <w:rsid w:val="00691305"/>
    <w:rsid w:val="006921EC"/>
    <w:rsid w:val="006922DC"/>
    <w:rsid w:val="006932D8"/>
    <w:rsid w:val="00694A90"/>
    <w:rsid w:val="00694ACB"/>
    <w:rsid w:val="00694E5E"/>
    <w:rsid w:val="00697B4A"/>
    <w:rsid w:val="006A099E"/>
    <w:rsid w:val="006A1032"/>
    <w:rsid w:val="006A1173"/>
    <w:rsid w:val="006A1387"/>
    <w:rsid w:val="006A1DF0"/>
    <w:rsid w:val="006A1ED8"/>
    <w:rsid w:val="006A1F78"/>
    <w:rsid w:val="006A29C4"/>
    <w:rsid w:val="006A2B8E"/>
    <w:rsid w:val="006A315F"/>
    <w:rsid w:val="006A3182"/>
    <w:rsid w:val="006A31CC"/>
    <w:rsid w:val="006A3E85"/>
    <w:rsid w:val="006A4897"/>
    <w:rsid w:val="006A50A8"/>
    <w:rsid w:val="006A569C"/>
    <w:rsid w:val="006A5BA7"/>
    <w:rsid w:val="006A6E34"/>
    <w:rsid w:val="006A76A7"/>
    <w:rsid w:val="006A7984"/>
    <w:rsid w:val="006A7EE8"/>
    <w:rsid w:val="006B0493"/>
    <w:rsid w:val="006B178D"/>
    <w:rsid w:val="006B1A01"/>
    <w:rsid w:val="006B1BE9"/>
    <w:rsid w:val="006B2711"/>
    <w:rsid w:val="006B2B92"/>
    <w:rsid w:val="006B2FFF"/>
    <w:rsid w:val="006B3047"/>
    <w:rsid w:val="006B33E4"/>
    <w:rsid w:val="006B356B"/>
    <w:rsid w:val="006B4377"/>
    <w:rsid w:val="006B4E3B"/>
    <w:rsid w:val="006B6AB6"/>
    <w:rsid w:val="006B6BF0"/>
    <w:rsid w:val="006B7132"/>
    <w:rsid w:val="006B7BBE"/>
    <w:rsid w:val="006B7F97"/>
    <w:rsid w:val="006C0B1A"/>
    <w:rsid w:val="006C1576"/>
    <w:rsid w:val="006C17A5"/>
    <w:rsid w:val="006C1978"/>
    <w:rsid w:val="006C1EB7"/>
    <w:rsid w:val="006C24C7"/>
    <w:rsid w:val="006C4250"/>
    <w:rsid w:val="006C4262"/>
    <w:rsid w:val="006C4C85"/>
    <w:rsid w:val="006C6958"/>
    <w:rsid w:val="006C69B7"/>
    <w:rsid w:val="006C701F"/>
    <w:rsid w:val="006C7829"/>
    <w:rsid w:val="006C7AEB"/>
    <w:rsid w:val="006D00D0"/>
    <w:rsid w:val="006D0119"/>
    <w:rsid w:val="006D0C37"/>
    <w:rsid w:val="006D175A"/>
    <w:rsid w:val="006D185B"/>
    <w:rsid w:val="006D3C94"/>
    <w:rsid w:val="006D4948"/>
    <w:rsid w:val="006D78A7"/>
    <w:rsid w:val="006E02C4"/>
    <w:rsid w:val="006E0941"/>
    <w:rsid w:val="006E0A2C"/>
    <w:rsid w:val="006E1528"/>
    <w:rsid w:val="006E1A91"/>
    <w:rsid w:val="006E26EA"/>
    <w:rsid w:val="006E27B1"/>
    <w:rsid w:val="006E36E2"/>
    <w:rsid w:val="006E3729"/>
    <w:rsid w:val="006E383D"/>
    <w:rsid w:val="006E3E40"/>
    <w:rsid w:val="006E3F82"/>
    <w:rsid w:val="006E489B"/>
    <w:rsid w:val="006E4B2A"/>
    <w:rsid w:val="006E4FBF"/>
    <w:rsid w:val="006E5638"/>
    <w:rsid w:val="006E5EA6"/>
    <w:rsid w:val="006E6E2C"/>
    <w:rsid w:val="006E71C8"/>
    <w:rsid w:val="006E7310"/>
    <w:rsid w:val="006E766D"/>
    <w:rsid w:val="006E77C6"/>
    <w:rsid w:val="006F104E"/>
    <w:rsid w:val="006F1546"/>
    <w:rsid w:val="006F1AE6"/>
    <w:rsid w:val="006F28D3"/>
    <w:rsid w:val="006F30C4"/>
    <w:rsid w:val="006F39A7"/>
    <w:rsid w:val="006F3ACA"/>
    <w:rsid w:val="006F3FDA"/>
    <w:rsid w:val="006F41D6"/>
    <w:rsid w:val="006F4989"/>
    <w:rsid w:val="006F6741"/>
    <w:rsid w:val="006F7725"/>
    <w:rsid w:val="006F7DBF"/>
    <w:rsid w:val="00700B88"/>
    <w:rsid w:val="0070328E"/>
    <w:rsid w:val="00703AF3"/>
    <w:rsid w:val="007040AA"/>
    <w:rsid w:val="0070445A"/>
    <w:rsid w:val="0070472C"/>
    <w:rsid w:val="00704CC6"/>
    <w:rsid w:val="007053D1"/>
    <w:rsid w:val="0070611B"/>
    <w:rsid w:val="00706615"/>
    <w:rsid w:val="00707946"/>
    <w:rsid w:val="0071005C"/>
    <w:rsid w:val="007102BD"/>
    <w:rsid w:val="007105EE"/>
    <w:rsid w:val="007108BD"/>
    <w:rsid w:val="00710915"/>
    <w:rsid w:val="0071112C"/>
    <w:rsid w:val="00711371"/>
    <w:rsid w:val="007126EC"/>
    <w:rsid w:val="007128A7"/>
    <w:rsid w:val="00713E32"/>
    <w:rsid w:val="00714287"/>
    <w:rsid w:val="0071472C"/>
    <w:rsid w:val="00714E6C"/>
    <w:rsid w:val="0071675E"/>
    <w:rsid w:val="007202E1"/>
    <w:rsid w:val="007208A8"/>
    <w:rsid w:val="00721108"/>
    <w:rsid w:val="00721433"/>
    <w:rsid w:val="007216E4"/>
    <w:rsid w:val="00721946"/>
    <w:rsid w:val="007229A6"/>
    <w:rsid w:val="00723036"/>
    <w:rsid w:val="00723A19"/>
    <w:rsid w:val="00724F30"/>
    <w:rsid w:val="00724F7F"/>
    <w:rsid w:val="00725681"/>
    <w:rsid w:val="007266C6"/>
    <w:rsid w:val="00730600"/>
    <w:rsid w:val="00731B42"/>
    <w:rsid w:val="00732351"/>
    <w:rsid w:val="00733644"/>
    <w:rsid w:val="0073422F"/>
    <w:rsid w:val="007343AA"/>
    <w:rsid w:val="00734ADD"/>
    <w:rsid w:val="00735878"/>
    <w:rsid w:val="00735CE5"/>
    <w:rsid w:val="00735E5A"/>
    <w:rsid w:val="00736A0F"/>
    <w:rsid w:val="007373F5"/>
    <w:rsid w:val="00740768"/>
    <w:rsid w:val="007414E2"/>
    <w:rsid w:val="00741BDE"/>
    <w:rsid w:val="00742E6F"/>
    <w:rsid w:val="0074358C"/>
    <w:rsid w:val="0074448F"/>
    <w:rsid w:val="007444B8"/>
    <w:rsid w:val="00745403"/>
    <w:rsid w:val="0074625C"/>
    <w:rsid w:val="00746609"/>
    <w:rsid w:val="00746BF5"/>
    <w:rsid w:val="007501D5"/>
    <w:rsid w:val="0075072F"/>
    <w:rsid w:val="00750C0D"/>
    <w:rsid w:val="00750C97"/>
    <w:rsid w:val="007517CC"/>
    <w:rsid w:val="00751AA3"/>
    <w:rsid w:val="00752382"/>
    <w:rsid w:val="0075252A"/>
    <w:rsid w:val="00752DCE"/>
    <w:rsid w:val="00753315"/>
    <w:rsid w:val="007533CF"/>
    <w:rsid w:val="00753753"/>
    <w:rsid w:val="0075449F"/>
    <w:rsid w:val="00754702"/>
    <w:rsid w:val="00754A99"/>
    <w:rsid w:val="00754FF7"/>
    <w:rsid w:val="00755FAD"/>
    <w:rsid w:val="00756817"/>
    <w:rsid w:val="00756C2F"/>
    <w:rsid w:val="00756C89"/>
    <w:rsid w:val="00757524"/>
    <w:rsid w:val="00757EBE"/>
    <w:rsid w:val="00760A07"/>
    <w:rsid w:val="00760A6A"/>
    <w:rsid w:val="00760D2E"/>
    <w:rsid w:val="00761A42"/>
    <w:rsid w:val="00761D5B"/>
    <w:rsid w:val="0076226F"/>
    <w:rsid w:val="00762306"/>
    <w:rsid w:val="007625C2"/>
    <w:rsid w:val="007627F5"/>
    <w:rsid w:val="00762C5B"/>
    <w:rsid w:val="00763010"/>
    <w:rsid w:val="007642F0"/>
    <w:rsid w:val="00765151"/>
    <w:rsid w:val="0076552F"/>
    <w:rsid w:val="00765639"/>
    <w:rsid w:val="007661C2"/>
    <w:rsid w:val="0076693A"/>
    <w:rsid w:val="0076739F"/>
    <w:rsid w:val="007700B3"/>
    <w:rsid w:val="007701AC"/>
    <w:rsid w:val="007704D5"/>
    <w:rsid w:val="00770637"/>
    <w:rsid w:val="007707EF"/>
    <w:rsid w:val="00771CCF"/>
    <w:rsid w:val="00771D26"/>
    <w:rsid w:val="00773DFC"/>
    <w:rsid w:val="00774DC1"/>
    <w:rsid w:val="00774FD4"/>
    <w:rsid w:val="00775C1B"/>
    <w:rsid w:val="00775EC4"/>
    <w:rsid w:val="00776185"/>
    <w:rsid w:val="00776282"/>
    <w:rsid w:val="00776C88"/>
    <w:rsid w:val="007775AD"/>
    <w:rsid w:val="007778B0"/>
    <w:rsid w:val="007802D5"/>
    <w:rsid w:val="00780468"/>
    <w:rsid w:val="007817A8"/>
    <w:rsid w:val="0078181B"/>
    <w:rsid w:val="00781BA8"/>
    <w:rsid w:val="007826C1"/>
    <w:rsid w:val="00782700"/>
    <w:rsid w:val="00782FAA"/>
    <w:rsid w:val="00783A5E"/>
    <w:rsid w:val="00784DD8"/>
    <w:rsid w:val="00785214"/>
    <w:rsid w:val="00785EF0"/>
    <w:rsid w:val="007869DE"/>
    <w:rsid w:val="00786C7A"/>
    <w:rsid w:val="007870FC"/>
    <w:rsid w:val="00787D19"/>
    <w:rsid w:val="0079153E"/>
    <w:rsid w:val="007938DA"/>
    <w:rsid w:val="00793C61"/>
    <w:rsid w:val="0079407C"/>
    <w:rsid w:val="007940F2"/>
    <w:rsid w:val="00794492"/>
    <w:rsid w:val="00794A9D"/>
    <w:rsid w:val="0079666D"/>
    <w:rsid w:val="00797789"/>
    <w:rsid w:val="007A005F"/>
    <w:rsid w:val="007A084C"/>
    <w:rsid w:val="007A1215"/>
    <w:rsid w:val="007A1D1D"/>
    <w:rsid w:val="007A297B"/>
    <w:rsid w:val="007A3012"/>
    <w:rsid w:val="007A313E"/>
    <w:rsid w:val="007A346A"/>
    <w:rsid w:val="007A46A1"/>
    <w:rsid w:val="007A4C6C"/>
    <w:rsid w:val="007A54B2"/>
    <w:rsid w:val="007A5712"/>
    <w:rsid w:val="007A5DC2"/>
    <w:rsid w:val="007A5E8C"/>
    <w:rsid w:val="007A5F27"/>
    <w:rsid w:val="007A6B22"/>
    <w:rsid w:val="007B03C0"/>
    <w:rsid w:val="007B09D3"/>
    <w:rsid w:val="007B12FD"/>
    <w:rsid w:val="007B1685"/>
    <w:rsid w:val="007B22BA"/>
    <w:rsid w:val="007B3BB4"/>
    <w:rsid w:val="007B40AB"/>
    <w:rsid w:val="007B443C"/>
    <w:rsid w:val="007B51E5"/>
    <w:rsid w:val="007B5E65"/>
    <w:rsid w:val="007B6368"/>
    <w:rsid w:val="007B6544"/>
    <w:rsid w:val="007B68A3"/>
    <w:rsid w:val="007B6AD9"/>
    <w:rsid w:val="007B6E98"/>
    <w:rsid w:val="007B7067"/>
    <w:rsid w:val="007B7136"/>
    <w:rsid w:val="007C091F"/>
    <w:rsid w:val="007C0FEB"/>
    <w:rsid w:val="007C1B34"/>
    <w:rsid w:val="007C21B7"/>
    <w:rsid w:val="007C3C07"/>
    <w:rsid w:val="007C3EA6"/>
    <w:rsid w:val="007C42A0"/>
    <w:rsid w:val="007C4771"/>
    <w:rsid w:val="007C4A7D"/>
    <w:rsid w:val="007C5B7E"/>
    <w:rsid w:val="007C6886"/>
    <w:rsid w:val="007C7338"/>
    <w:rsid w:val="007D011D"/>
    <w:rsid w:val="007D1A3F"/>
    <w:rsid w:val="007D1C91"/>
    <w:rsid w:val="007D33F2"/>
    <w:rsid w:val="007D3483"/>
    <w:rsid w:val="007D4411"/>
    <w:rsid w:val="007D45DC"/>
    <w:rsid w:val="007D4ADB"/>
    <w:rsid w:val="007D4E68"/>
    <w:rsid w:val="007D5C32"/>
    <w:rsid w:val="007D73C3"/>
    <w:rsid w:val="007D7691"/>
    <w:rsid w:val="007E0152"/>
    <w:rsid w:val="007E0ABB"/>
    <w:rsid w:val="007E0C24"/>
    <w:rsid w:val="007E170E"/>
    <w:rsid w:val="007E1A5D"/>
    <w:rsid w:val="007E1CFB"/>
    <w:rsid w:val="007E2A85"/>
    <w:rsid w:val="007E4875"/>
    <w:rsid w:val="007E57E1"/>
    <w:rsid w:val="007E72D4"/>
    <w:rsid w:val="007F01E0"/>
    <w:rsid w:val="007F024F"/>
    <w:rsid w:val="007F070E"/>
    <w:rsid w:val="007F0A07"/>
    <w:rsid w:val="007F100E"/>
    <w:rsid w:val="007F1662"/>
    <w:rsid w:val="007F2A7C"/>
    <w:rsid w:val="007F2AF2"/>
    <w:rsid w:val="007F33A7"/>
    <w:rsid w:val="007F3EB8"/>
    <w:rsid w:val="007F49C7"/>
    <w:rsid w:val="007F582A"/>
    <w:rsid w:val="007F58CA"/>
    <w:rsid w:val="007F58D3"/>
    <w:rsid w:val="007F6C15"/>
    <w:rsid w:val="007F73A0"/>
    <w:rsid w:val="007F7474"/>
    <w:rsid w:val="008003AB"/>
    <w:rsid w:val="00800FC0"/>
    <w:rsid w:val="008015D4"/>
    <w:rsid w:val="00801E18"/>
    <w:rsid w:val="008023B4"/>
    <w:rsid w:val="00802954"/>
    <w:rsid w:val="00802C16"/>
    <w:rsid w:val="00804C8D"/>
    <w:rsid w:val="00805AE8"/>
    <w:rsid w:val="00805B96"/>
    <w:rsid w:val="00806773"/>
    <w:rsid w:val="00806AD4"/>
    <w:rsid w:val="00807085"/>
    <w:rsid w:val="00807484"/>
    <w:rsid w:val="00807693"/>
    <w:rsid w:val="00807A99"/>
    <w:rsid w:val="0081044F"/>
    <w:rsid w:val="00810EE1"/>
    <w:rsid w:val="00810EF5"/>
    <w:rsid w:val="00811261"/>
    <w:rsid w:val="0081148A"/>
    <w:rsid w:val="008115B6"/>
    <w:rsid w:val="00811AA5"/>
    <w:rsid w:val="00812CC0"/>
    <w:rsid w:val="00813678"/>
    <w:rsid w:val="008138B7"/>
    <w:rsid w:val="00813BFB"/>
    <w:rsid w:val="0081433C"/>
    <w:rsid w:val="0081570E"/>
    <w:rsid w:val="0081688A"/>
    <w:rsid w:val="00816D32"/>
    <w:rsid w:val="008176F1"/>
    <w:rsid w:val="00817EBC"/>
    <w:rsid w:val="008201F7"/>
    <w:rsid w:val="008209D2"/>
    <w:rsid w:val="00820BD8"/>
    <w:rsid w:val="008215B4"/>
    <w:rsid w:val="008226C4"/>
    <w:rsid w:val="00822D6F"/>
    <w:rsid w:val="00823441"/>
    <w:rsid w:val="008246FA"/>
    <w:rsid w:val="00825BC7"/>
    <w:rsid w:val="00826393"/>
    <w:rsid w:val="00826A1E"/>
    <w:rsid w:val="00826A20"/>
    <w:rsid w:val="00827845"/>
    <w:rsid w:val="00830A7D"/>
    <w:rsid w:val="00830F1E"/>
    <w:rsid w:val="00831690"/>
    <w:rsid w:val="00832692"/>
    <w:rsid w:val="008326B0"/>
    <w:rsid w:val="00832FEB"/>
    <w:rsid w:val="00833201"/>
    <w:rsid w:val="0083386A"/>
    <w:rsid w:val="008341DF"/>
    <w:rsid w:val="00836148"/>
    <w:rsid w:val="008363B8"/>
    <w:rsid w:val="00836697"/>
    <w:rsid w:val="00837353"/>
    <w:rsid w:val="0084167E"/>
    <w:rsid w:val="00842091"/>
    <w:rsid w:val="008422ED"/>
    <w:rsid w:val="00842558"/>
    <w:rsid w:val="00842B31"/>
    <w:rsid w:val="00843B17"/>
    <w:rsid w:val="008456A5"/>
    <w:rsid w:val="00845948"/>
    <w:rsid w:val="0084691D"/>
    <w:rsid w:val="00846B81"/>
    <w:rsid w:val="00847350"/>
    <w:rsid w:val="00850147"/>
    <w:rsid w:val="00850A08"/>
    <w:rsid w:val="00850C56"/>
    <w:rsid w:val="00852156"/>
    <w:rsid w:val="008522A8"/>
    <w:rsid w:val="00852780"/>
    <w:rsid w:val="0085285F"/>
    <w:rsid w:val="00852A2B"/>
    <w:rsid w:val="00852A82"/>
    <w:rsid w:val="00852C9A"/>
    <w:rsid w:val="008534CF"/>
    <w:rsid w:val="0085397C"/>
    <w:rsid w:val="008539FD"/>
    <w:rsid w:val="0085668E"/>
    <w:rsid w:val="00856826"/>
    <w:rsid w:val="00856C66"/>
    <w:rsid w:val="00857220"/>
    <w:rsid w:val="00860202"/>
    <w:rsid w:val="00860308"/>
    <w:rsid w:val="00860CEB"/>
    <w:rsid w:val="00861E45"/>
    <w:rsid w:val="00861EBB"/>
    <w:rsid w:val="008622E9"/>
    <w:rsid w:val="00862CC1"/>
    <w:rsid w:val="008632B6"/>
    <w:rsid w:val="008634C3"/>
    <w:rsid w:val="00863FC2"/>
    <w:rsid w:val="0086463A"/>
    <w:rsid w:val="00864F77"/>
    <w:rsid w:val="00864F80"/>
    <w:rsid w:val="008651C9"/>
    <w:rsid w:val="00865E97"/>
    <w:rsid w:val="00866949"/>
    <w:rsid w:val="008669A9"/>
    <w:rsid w:val="008710E3"/>
    <w:rsid w:val="00871ABA"/>
    <w:rsid w:val="00872303"/>
    <w:rsid w:val="0087281C"/>
    <w:rsid w:val="008728EE"/>
    <w:rsid w:val="008734C1"/>
    <w:rsid w:val="0087387A"/>
    <w:rsid w:val="0087436F"/>
    <w:rsid w:val="0087444A"/>
    <w:rsid w:val="008745D1"/>
    <w:rsid w:val="00874BB8"/>
    <w:rsid w:val="00874D5E"/>
    <w:rsid w:val="008750B4"/>
    <w:rsid w:val="00875214"/>
    <w:rsid w:val="00875390"/>
    <w:rsid w:val="00876EE2"/>
    <w:rsid w:val="008775B2"/>
    <w:rsid w:val="00877893"/>
    <w:rsid w:val="00877A36"/>
    <w:rsid w:val="00877A70"/>
    <w:rsid w:val="00877ED0"/>
    <w:rsid w:val="008801F4"/>
    <w:rsid w:val="00880E86"/>
    <w:rsid w:val="008827A8"/>
    <w:rsid w:val="008829A6"/>
    <w:rsid w:val="008833B8"/>
    <w:rsid w:val="00883D96"/>
    <w:rsid w:val="0088414D"/>
    <w:rsid w:val="00884554"/>
    <w:rsid w:val="00884C44"/>
    <w:rsid w:val="0088552C"/>
    <w:rsid w:val="008856F3"/>
    <w:rsid w:val="00885E8A"/>
    <w:rsid w:val="00886D3A"/>
    <w:rsid w:val="00887098"/>
    <w:rsid w:val="00887896"/>
    <w:rsid w:val="00890030"/>
    <w:rsid w:val="00890848"/>
    <w:rsid w:val="008916C3"/>
    <w:rsid w:val="0089189F"/>
    <w:rsid w:val="0089190B"/>
    <w:rsid w:val="00891A55"/>
    <w:rsid w:val="00892023"/>
    <w:rsid w:val="00892412"/>
    <w:rsid w:val="00892748"/>
    <w:rsid w:val="008933AB"/>
    <w:rsid w:val="0089363B"/>
    <w:rsid w:val="00893E13"/>
    <w:rsid w:val="008943B8"/>
    <w:rsid w:val="0089476D"/>
    <w:rsid w:val="00894A92"/>
    <w:rsid w:val="00896094"/>
    <w:rsid w:val="00896AB7"/>
    <w:rsid w:val="00896B3E"/>
    <w:rsid w:val="0089756E"/>
    <w:rsid w:val="00897DC0"/>
    <w:rsid w:val="008A030C"/>
    <w:rsid w:val="008A0410"/>
    <w:rsid w:val="008A07B4"/>
    <w:rsid w:val="008A090C"/>
    <w:rsid w:val="008A0E06"/>
    <w:rsid w:val="008A1122"/>
    <w:rsid w:val="008A118A"/>
    <w:rsid w:val="008A192D"/>
    <w:rsid w:val="008A1CCB"/>
    <w:rsid w:val="008A20B8"/>
    <w:rsid w:val="008A3BD7"/>
    <w:rsid w:val="008A417B"/>
    <w:rsid w:val="008A4B2A"/>
    <w:rsid w:val="008A4B82"/>
    <w:rsid w:val="008A51C6"/>
    <w:rsid w:val="008A57B8"/>
    <w:rsid w:val="008A5E8C"/>
    <w:rsid w:val="008A64E0"/>
    <w:rsid w:val="008A694C"/>
    <w:rsid w:val="008A77BB"/>
    <w:rsid w:val="008B04E9"/>
    <w:rsid w:val="008B0C2B"/>
    <w:rsid w:val="008B1F48"/>
    <w:rsid w:val="008B2416"/>
    <w:rsid w:val="008B34CF"/>
    <w:rsid w:val="008B397C"/>
    <w:rsid w:val="008B44BD"/>
    <w:rsid w:val="008B4518"/>
    <w:rsid w:val="008B616B"/>
    <w:rsid w:val="008B67FD"/>
    <w:rsid w:val="008B6ECC"/>
    <w:rsid w:val="008B6F17"/>
    <w:rsid w:val="008B71DB"/>
    <w:rsid w:val="008B771A"/>
    <w:rsid w:val="008B7CC4"/>
    <w:rsid w:val="008C076D"/>
    <w:rsid w:val="008C1909"/>
    <w:rsid w:val="008C2618"/>
    <w:rsid w:val="008C27EA"/>
    <w:rsid w:val="008C3BAC"/>
    <w:rsid w:val="008C4315"/>
    <w:rsid w:val="008C4B0D"/>
    <w:rsid w:val="008C6063"/>
    <w:rsid w:val="008C6366"/>
    <w:rsid w:val="008C6A41"/>
    <w:rsid w:val="008C6D3A"/>
    <w:rsid w:val="008C6DB7"/>
    <w:rsid w:val="008C7491"/>
    <w:rsid w:val="008C74B4"/>
    <w:rsid w:val="008D02A6"/>
    <w:rsid w:val="008D03B9"/>
    <w:rsid w:val="008D0789"/>
    <w:rsid w:val="008D0D30"/>
    <w:rsid w:val="008D0F71"/>
    <w:rsid w:val="008D14D5"/>
    <w:rsid w:val="008D1921"/>
    <w:rsid w:val="008D1F91"/>
    <w:rsid w:val="008D27F9"/>
    <w:rsid w:val="008D2D09"/>
    <w:rsid w:val="008D4BDD"/>
    <w:rsid w:val="008D60D4"/>
    <w:rsid w:val="008D65E8"/>
    <w:rsid w:val="008D6829"/>
    <w:rsid w:val="008D6D4D"/>
    <w:rsid w:val="008D6EE1"/>
    <w:rsid w:val="008D7B6A"/>
    <w:rsid w:val="008E09C6"/>
    <w:rsid w:val="008E16F3"/>
    <w:rsid w:val="008E1A6F"/>
    <w:rsid w:val="008E26C5"/>
    <w:rsid w:val="008E30BF"/>
    <w:rsid w:val="008E312B"/>
    <w:rsid w:val="008E31D5"/>
    <w:rsid w:val="008E31F8"/>
    <w:rsid w:val="008E3BC4"/>
    <w:rsid w:val="008E40CB"/>
    <w:rsid w:val="008E4328"/>
    <w:rsid w:val="008E4481"/>
    <w:rsid w:val="008E49C0"/>
    <w:rsid w:val="008E4C2C"/>
    <w:rsid w:val="008E51FA"/>
    <w:rsid w:val="008E7135"/>
    <w:rsid w:val="008E7A4D"/>
    <w:rsid w:val="008F0574"/>
    <w:rsid w:val="008F0668"/>
    <w:rsid w:val="008F08F1"/>
    <w:rsid w:val="008F14D2"/>
    <w:rsid w:val="008F1F31"/>
    <w:rsid w:val="008F2BE9"/>
    <w:rsid w:val="008F2D78"/>
    <w:rsid w:val="008F33C1"/>
    <w:rsid w:val="008F3A6D"/>
    <w:rsid w:val="008F3D0F"/>
    <w:rsid w:val="008F40A5"/>
    <w:rsid w:val="008F69E7"/>
    <w:rsid w:val="008F75A1"/>
    <w:rsid w:val="008F7AE6"/>
    <w:rsid w:val="0090094F"/>
    <w:rsid w:val="00901474"/>
    <w:rsid w:val="009015EA"/>
    <w:rsid w:val="0090177B"/>
    <w:rsid w:val="00902AEA"/>
    <w:rsid w:val="00903FB4"/>
    <w:rsid w:val="009040C8"/>
    <w:rsid w:val="009053FC"/>
    <w:rsid w:val="00905E19"/>
    <w:rsid w:val="00906747"/>
    <w:rsid w:val="009067DE"/>
    <w:rsid w:val="009068B3"/>
    <w:rsid w:val="00907815"/>
    <w:rsid w:val="00907C26"/>
    <w:rsid w:val="0091046F"/>
    <w:rsid w:val="009113A7"/>
    <w:rsid w:val="0091140E"/>
    <w:rsid w:val="00911493"/>
    <w:rsid w:val="009118BC"/>
    <w:rsid w:val="00911EE5"/>
    <w:rsid w:val="00912385"/>
    <w:rsid w:val="009130A1"/>
    <w:rsid w:val="009132B0"/>
    <w:rsid w:val="00913407"/>
    <w:rsid w:val="00914F72"/>
    <w:rsid w:val="009158CC"/>
    <w:rsid w:val="00915CB9"/>
    <w:rsid w:val="009163CB"/>
    <w:rsid w:val="00916BA1"/>
    <w:rsid w:val="00917FDC"/>
    <w:rsid w:val="00921890"/>
    <w:rsid w:val="00921A1A"/>
    <w:rsid w:val="00921DDD"/>
    <w:rsid w:val="009220D6"/>
    <w:rsid w:val="00923241"/>
    <w:rsid w:val="00923827"/>
    <w:rsid w:val="00924EAD"/>
    <w:rsid w:val="00925CF1"/>
    <w:rsid w:val="00925ED7"/>
    <w:rsid w:val="00925EDB"/>
    <w:rsid w:val="00926A1B"/>
    <w:rsid w:val="00930812"/>
    <w:rsid w:val="00930855"/>
    <w:rsid w:val="00930F49"/>
    <w:rsid w:val="0093297C"/>
    <w:rsid w:val="00932C94"/>
    <w:rsid w:val="00933DD9"/>
    <w:rsid w:val="00935493"/>
    <w:rsid w:val="009356AD"/>
    <w:rsid w:val="009356C1"/>
    <w:rsid w:val="00935EF9"/>
    <w:rsid w:val="00935F82"/>
    <w:rsid w:val="00935FB4"/>
    <w:rsid w:val="00936819"/>
    <w:rsid w:val="00936AAC"/>
    <w:rsid w:val="0093732F"/>
    <w:rsid w:val="00937756"/>
    <w:rsid w:val="00937EB3"/>
    <w:rsid w:val="0094057A"/>
    <w:rsid w:val="009429ED"/>
    <w:rsid w:val="00943AF4"/>
    <w:rsid w:val="00943FB5"/>
    <w:rsid w:val="00944070"/>
    <w:rsid w:val="009447BF"/>
    <w:rsid w:val="00944B3E"/>
    <w:rsid w:val="00944C8C"/>
    <w:rsid w:val="0094517F"/>
    <w:rsid w:val="009451A7"/>
    <w:rsid w:val="00945668"/>
    <w:rsid w:val="00945DE4"/>
    <w:rsid w:val="00945EBB"/>
    <w:rsid w:val="00945F75"/>
    <w:rsid w:val="009468CC"/>
    <w:rsid w:val="00946D26"/>
    <w:rsid w:val="00947BD3"/>
    <w:rsid w:val="0095245F"/>
    <w:rsid w:val="00952A0E"/>
    <w:rsid w:val="009536C9"/>
    <w:rsid w:val="00953A4F"/>
    <w:rsid w:val="00953E4A"/>
    <w:rsid w:val="00954B19"/>
    <w:rsid w:val="00955795"/>
    <w:rsid w:val="00955DDE"/>
    <w:rsid w:val="00956EDD"/>
    <w:rsid w:val="009578E3"/>
    <w:rsid w:val="009603EB"/>
    <w:rsid w:val="00960A85"/>
    <w:rsid w:val="009615CF"/>
    <w:rsid w:val="009637E4"/>
    <w:rsid w:val="00963E90"/>
    <w:rsid w:val="00964F19"/>
    <w:rsid w:val="00965CB0"/>
    <w:rsid w:val="009663D0"/>
    <w:rsid w:val="0096660C"/>
    <w:rsid w:val="00966628"/>
    <w:rsid w:val="009669B4"/>
    <w:rsid w:val="00966A20"/>
    <w:rsid w:val="00966F56"/>
    <w:rsid w:val="00967906"/>
    <w:rsid w:val="00967D75"/>
    <w:rsid w:val="00970136"/>
    <w:rsid w:val="0097040F"/>
    <w:rsid w:val="0097104C"/>
    <w:rsid w:val="00971271"/>
    <w:rsid w:val="00971737"/>
    <w:rsid w:val="00971829"/>
    <w:rsid w:val="0097284E"/>
    <w:rsid w:val="0097337E"/>
    <w:rsid w:val="0097358B"/>
    <w:rsid w:val="00973754"/>
    <w:rsid w:val="009752D3"/>
    <w:rsid w:val="00975477"/>
    <w:rsid w:val="00976CE0"/>
    <w:rsid w:val="00976F1E"/>
    <w:rsid w:val="009774A7"/>
    <w:rsid w:val="00977655"/>
    <w:rsid w:val="0098095F"/>
    <w:rsid w:val="00983324"/>
    <w:rsid w:val="00983C7D"/>
    <w:rsid w:val="00984BEE"/>
    <w:rsid w:val="00984C8F"/>
    <w:rsid w:val="00984ECD"/>
    <w:rsid w:val="00984EEF"/>
    <w:rsid w:val="00985349"/>
    <w:rsid w:val="009853D6"/>
    <w:rsid w:val="00985DB9"/>
    <w:rsid w:val="00986373"/>
    <w:rsid w:val="0098666A"/>
    <w:rsid w:val="00986766"/>
    <w:rsid w:val="00990ACF"/>
    <w:rsid w:val="00991177"/>
    <w:rsid w:val="00991389"/>
    <w:rsid w:val="009916D4"/>
    <w:rsid w:val="0099173F"/>
    <w:rsid w:val="00992382"/>
    <w:rsid w:val="00992585"/>
    <w:rsid w:val="00993810"/>
    <w:rsid w:val="00994069"/>
    <w:rsid w:val="0099457C"/>
    <w:rsid w:val="00994712"/>
    <w:rsid w:val="00994E26"/>
    <w:rsid w:val="009953BE"/>
    <w:rsid w:val="0099590F"/>
    <w:rsid w:val="00995AD8"/>
    <w:rsid w:val="00995EF8"/>
    <w:rsid w:val="009966D6"/>
    <w:rsid w:val="00997035"/>
    <w:rsid w:val="0099730C"/>
    <w:rsid w:val="00997EF9"/>
    <w:rsid w:val="009A0171"/>
    <w:rsid w:val="009A0685"/>
    <w:rsid w:val="009A0A44"/>
    <w:rsid w:val="009A0C6D"/>
    <w:rsid w:val="009A2324"/>
    <w:rsid w:val="009A2C7E"/>
    <w:rsid w:val="009A2E1A"/>
    <w:rsid w:val="009A324F"/>
    <w:rsid w:val="009A34B0"/>
    <w:rsid w:val="009A3677"/>
    <w:rsid w:val="009A3BAE"/>
    <w:rsid w:val="009A5641"/>
    <w:rsid w:val="009A7492"/>
    <w:rsid w:val="009A7888"/>
    <w:rsid w:val="009A7A45"/>
    <w:rsid w:val="009A7B7C"/>
    <w:rsid w:val="009A7E50"/>
    <w:rsid w:val="009B0F10"/>
    <w:rsid w:val="009B14E4"/>
    <w:rsid w:val="009B22DC"/>
    <w:rsid w:val="009B23E8"/>
    <w:rsid w:val="009B2A1B"/>
    <w:rsid w:val="009B3148"/>
    <w:rsid w:val="009B3AAC"/>
    <w:rsid w:val="009B3BC6"/>
    <w:rsid w:val="009B3E8D"/>
    <w:rsid w:val="009B3FAC"/>
    <w:rsid w:val="009B41E5"/>
    <w:rsid w:val="009B4360"/>
    <w:rsid w:val="009B6255"/>
    <w:rsid w:val="009B6B08"/>
    <w:rsid w:val="009B7657"/>
    <w:rsid w:val="009B79CD"/>
    <w:rsid w:val="009B7F73"/>
    <w:rsid w:val="009C074A"/>
    <w:rsid w:val="009C1918"/>
    <w:rsid w:val="009C1A08"/>
    <w:rsid w:val="009C1BF1"/>
    <w:rsid w:val="009C2CE1"/>
    <w:rsid w:val="009C3349"/>
    <w:rsid w:val="009C3589"/>
    <w:rsid w:val="009C4028"/>
    <w:rsid w:val="009C4916"/>
    <w:rsid w:val="009C4AD5"/>
    <w:rsid w:val="009C4C83"/>
    <w:rsid w:val="009C5345"/>
    <w:rsid w:val="009C5370"/>
    <w:rsid w:val="009C5ABD"/>
    <w:rsid w:val="009C5D8D"/>
    <w:rsid w:val="009C6754"/>
    <w:rsid w:val="009C6EF9"/>
    <w:rsid w:val="009C731D"/>
    <w:rsid w:val="009D0604"/>
    <w:rsid w:val="009D1297"/>
    <w:rsid w:val="009D1967"/>
    <w:rsid w:val="009D1A7C"/>
    <w:rsid w:val="009D1BB3"/>
    <w:rsid w:val="009D31D3"/>
    <w:rsid w:val="009D35DB"/>
    <w:rsid w:val="009D43BC"/>
    <w:rsid w:val="009D4753"/>
    <w:rsid w:val="009D4A4F"/>
    <w:rsid w:val="009D4ED5"/>
    <w:rsid w:val="009D50BF"/>
    <w:rsid w:val="009D54DF"/>
    <w:rsid w:val="009D566D"/>
    <w:rsid w:val="009D6B39"/>
    <w:rsid w:val="009D7B3B"/>
    <w:rsid w:val="009D7D16"/>
    <w:rsid w:val="009E0057"/>
    <w:rsid w:val="009E0527"/>
    <w:rsid w:val="009E07FB"/>
    <w:rsid w:val="009E0856"/>
    <w:rsid w:val="009E0B7C"/>
    <w:rsid w:val="009E19D7"/>
    <w:rsid w:val="009E288A"/>
    <w:rsid w:val="009E2E95"/>
    <w:rsid w:val="009E2EB1"/>
    <w:rsid w:val="009E31DD"/>
    <w:rsid w:val="009E34CC"/>
    <w:rsid w:val="009E34E0"/>
    <w:rsid w:val="009E3815"/>
    <w:rsid w:val="009E448B"/>
    <w:rsid w:val="009E4EC8"/>
    <w:rsid w:val="009E4F0F"/>
    <w:rsid w:val="009E542F"/>
    <w:rsid w:val="009E5505"/>
    <w:rsid w:val="009E5D43"/>
    <w:rsid w:val="009E5E0F"/>
    <w:rsid w:val="009E5E15"/>
    <w:rsid w:val="009E6DB4"/>
    <w:rsid w:val="009E6DD6"/>
    <w:rsid w:val="009E7A1E"/>
    <w:rsid w:val="009E7AC7"/>
    <w:rsid w:val="009E7CFF"/>
    <w:rsid w:val="009F02C6"/>
    <w:rsid w:val="009F03E8"/>
    <w:rsid w:val="009F0451"/>
    <w:rsid w:val="009F1410"/>
    <w:rsid w:val="009F145C"/>
    <w:rsid w:val="009F1971"/>
    <w:rsid w:val="009F1CDD"/>
    <w:rsid w:val="009F1FD7"/>
    <w:rsid w:val="009F3304"/>
    <w:rsid w:val="009F3BC8"/>
    <w:rsid w:val="009F4191"/>
    <w:rsid w:val="009F42F5"/>
    <w:rsid w:val="009F4681"/>
    <w:rsid w:val="009F4A7E"/>
    <w:rsid w:val="009F529A"/>
    <w:rsid w:val="009F6A3E"/>
    <w:rsid w:val="00A003A5"/>
    <w:rsid w:val="00A011E5"/>
    <w:rsid w:val="00A01A42"/>
    <w:rsid w:val="00A01E7D"/>
    <w:rsid w:val="00A0335C"/>
    <w:rsid w:val="00A03818"/>
    <w:rsid w:val="00A038A8"/>
    <w:rsid w:val="00A03A2D"/>
    <w:rsid w:val="00A04C19"/>
    <w:rsid w:val="00A04E15"/>
    <w:rsid w:val="00A05544"/>
    <w:rsid w:val="00A05FB2"/>
    <w:rsid w:val="00A06825"/>
    <w:rsid w:val="00A0697C"/>
    <w:rsid w:val="00A069D1"/>
    <w:rsid w:val="00A073D4"/>
    <w:rsid w:val="00A0743C"/>
    <w:rsid w:val="00A10038"/>
    <w:rsid w:val="00A1092F"/>
    <w:rsid w:val="00A10B78"/>
    <w:rsid w:val="00A1207A"/>
    <w:rsid w:val="00A12F82"/>
    <w:rsid w:val="00A1336C"/>
    <w:rsid w:val="00A136B9"/>
    <w:rsid w:val="00A139DD"/>
    <w:rsid w:val="00A13B0C"/>
    <w:rsid w:val="00A14A00"/>
    <w:rsid w:val="00A14C79"/>
    <w:rsid w:val="00A14CFA"/>
    <w:rsid w:val="00A14DBD"/>
    <w:rsid w:val="00A15C4F"/>
    <w:rsid w:val="00A16DEB"/>
    <w:rsid w:val="00A1721B"/>
    <w:rsid w:val="00A1746B"/>
    <w:rsid w:val="00A2062E"/>
    <w:rsid w:val="00A206BA"/>
    <w:rsid w:val="00A20B5F"/>
    <w:rsid w:val="00A21588"/>
    <w:rsid w:val="00A22846"/>
    <w:rsid w:val="00A23345"/>
    <w:rsid w:val="00A23480"/>
    <w:rsid w:val="00A236B4"/>
    <w:rsid w:val="00A23C5B"/>
    <w:rsid w:val="00A23D8C"/>
    <w:rsid w:val="00A24B49"/>
    <w:rsid w:val="00A24FBD"/>
    <w:rsid w:val="00A25638"/>
    <w:rsid w:val="00A26858"/>
    <w:rsid w:val="00A2694A"/>
    <w:rsid w:val="00A2714C"/>
    <w:rsid w:val="00A27584"/>
    <w:rsid w:val="00A27766"/>
    <w:rsid w:val="00A27CC2"/>
    <w:rsid w:val="00A310C3"/>
    <w:rsid w:val="00A313B3"/>
    <w:rsid w:val="00A31622"/>
    <w:rsid w:val="00A31D85"/>
    <w:rsid w:val="00A32234"/>
    <w:rsid w:val="00A32C51"/>
    <w:rsid w:val="00A34425"/>
    <w:rsid w:val="00A34FB9"/>
    <w:rsid w:val="00A359AD"/>
    <w:rsid w:val="00A36074"/>
    <w:rsid w:val="00A3616C"/>
    <w:rsid w:val="00A36C9D"/>
    <w:rsid w:val="00A36F40"/>
    <w:rsid w:val="00A370C5"/>
    <w:rsid w:val="00A37610"/>
    <w:rsid w:val="00A3793E"/>
    <w:rsid w:val="00A413EA"/>
    <w:rsid w:val="00A4334F"/>
    <w:rsid w:val="00A4341B"/>
    <w:rsid w:val="00A4347B"/>
    <w:rsid w:val="00A43982"/>
    <w:rsid w:val="00A442C7"/>
    <w:rsid w:val="00A46572"/>
    <w:rsid w:val="00A4728E"/>
    <w:rsid w:val="00A505F4"/>
    <w:rsid w:val="00A50B46"/>
    <w:rsid w:val="00A50E84"/>
    <w:rsid w:val="00A50F7D"/>
    <w:rsid w:val="00A5102C"/>
    <w:rsid w:val="00A51BFE"/>
    <w:rsid w:val="00A52EC0"/>
    <w:rsid w:val="00A5365F"/>
    <w:rsid w:val="00A53BE2"/>
    <w:rsid w:val="00A53D5A"/>
    <w:rsid w:val="00A54201"/>
    <w:rsid w:val="00A55A56"/>
    <w:rsid w:val="00A55DF9"/>
    <w:rsid w:val="00A55E1B"/>
    <w:rsid w:val="00A55FEA"/>
    <w:rsid w:val="00A5676F"/>
    <w:rsid w:val="00A56891"/>
    <w:rsid w:val="00A569BD"/>
    <w:rsid w:val="00A56C85"/>
    <w:rsid w:val="00A60459"/>
    <w:rsid w:val="00A60E94"/>
    <w:rsid w:val="00A618F7"/>
    <w:rsid w:val="00A6196F"/>
    <w:rsid w:val="00A6249C"/>
    <w:rsid w:val="00A624BF"/>
    <w:rsid w:val="00A6257C"/>
    <w:rsid w:val="00A62963"/>
    <w:rsid w:val="00A63CF1"/>
    <w:rsid w:val="00A63FC6"/>
    <w:rsid w:val="00A65709"/>
    <w:rsid w:val="00A65DB0"/>
    <w:rsid w:val="00A66005"/>
    <w:rsid w:val="00A66595"/>
    <w:rsid w:val="00A669DA"/>
    <w:rsid w:val="00A66FCB"/>
    <w:rsid w:val="00A67024"/>
    <w:rsid w:val="00A67B1A"/>
    <w:rsid w:val="00A70741"/>
    <w:rsid w:val="00A708F2"/>
    <w:rsid w:val="00A70B70"/>
    <w:rsid w:val="00A72DAA"/>
    <w:rsid w:val="00A72E56"/>
    <w:rsid w:val="00A72FBA"/>
    <w:rsid w:val="00A73273"/>
    <w:rsid w:val="00A74101"/>
    <w:rsid w:val="00A74F75"/>
    <w:rsid w:val="00A75519"/>
    <w:rsid w:val="00A755AC"/>
    <w:rsid w:val="00A76F29"/>
    <w:rsid w:val="00A76F80"/>
    <w:rsid w:val="00A77326"/>
    <w:rsid w:val="00A77ED5"/>
    <w:rsid w:val="00A80F61"/>
    <w:rsid w:val="00A8121E"/>
    <w:rsid w:val="00A816AE"/>
    <w:rsid w:val="00A82EB9"/>
    <w:rsid w:val="00A83B0C"/>
    <w:rsid w:val="00A83C60"/>
    <w:rsid w:val="00A83EFA"/>
    <w:rsid w:val="00A843C3"/>
    <w:rsid w:val="00A84540"/>
    <w:rsid w:val="00A84866"/>
    <w:rsid w:val="00A84EAD"/>
    <w:rsid w:val="00A85391"/>
    <w:rsid w:val="00A85454"/>
    <w:rsid w:val="00A8621C"/>
    <w:rsid w:val="00A86B77"/>
    <w:rsid w:val="00A8702D"/>
    <w:rsid w:val="00A871E5"/>
    <w:rsid w:val="00A872ED"/>
    <w:rsid w:val="00A875C2"/>
    <w:rsid w:val="00A87B69"/>
    <w:rsid w:val="00A907CD"/>
    <w:rsid w:val="00A907F8"/>
    <w:rsid w:val="00A90A93"/>
    <w:rsid w:val="00A90CED"/>
    <w:rsid w:val="00A90D14"/>
    <w:rsid w:val="00A91051"/>
    <w:rsid w:val="00A91461"/>
    <w:rsid w:val="00A92662"/>
    <w:rsid w:val="00A92851"/>
    <w:rsid w:val="00A92908"/>
    <w:rsid w:val="00A92B61"/>
    <w:rsid w:val="00A93249"/>
    <w:rsid w:val="00A93304"/>
    <w:rsid w:val="00A933B3"/>
    <w:rsid w:val="00A93488"/>
    <w:rsid w:val="00A9391A"/>
    <w:rsid w:val="00A939A2"/>
    <w:rsid w:val="00A93A43"/>
    <w:rsid w:val="00A9499E"/>
    <w:rsid w:val="00A9513F"/>
    <w:rsid w:val="00A965EC"/>
    <w:rsid w:val="00A96ECC"/>
    <w:rsid w:val="00A971F6"/>
    <w:rsid w:val="00A97325"/>
    <w:rsid w:val="00AA005D"/>
    <w:rsid w:val="00AA0F9D"/>
    <w:rsid w:val="00AA15C3"/>
    <w:rsid w:val="00AA3041"/>
    <w:rsid w:val="00AA35C5"/>
    <w:rsid w:val="00AA380A"/>
    <w:rsid w:val="00AA436A"/>
    <w:rsid w:val="00AA51DC"/>
    <w:rsid w:val="00AA5219"/>
    <w:rsid w:val="00AA53E0"/>
    <w:rsid w:val="00AA6D4E"/>
    <w:rsid w:val="00AB022C"/>
    <w:rsid w:val="00AB0466"/>
    <w:rsid w:val="00AB0E17"/>
    <w:rsid w:val="00AB1A5D"/>
    <w:rsid w:val="00AB334B"/>
    <w:rsid w:val="00AB3428"/>
    <w:rsid w:val="00AB3709"/>
    <w:rsid w:val="00AB3FD6"/>
    <w:rsid w:val="00AB4AB1"/>
    <w:rsid w:val="00AB54F3"/>
    <w:rsid w:val="00AB6E74"/>
    <w:rsid w:val="00AB7488"/>
    <w:rsid w:val="00AC0854"/>
    <w:rsid w:val="00AC0D68"/>
    <w:rsid w:val="00AC1BA0"/>
    <w:rsid w:val="00AC25D6"/>
    <w:rsid w:val="00AC267B"/>
    <w:rsid w:val="00AC2C0E"/>
    <w:rsid w:val="00AC31CA"/>
    <w:rsid w:val="00AC36EF"/>
    <w:rsid w:val="00AC3943"/>
    <w:rsid w:val="00AC3A8C"/>
    <w:rsid w:val="00AC3CF9"/>
    <w:rsid w:val="00AC425D"/>
    <w:rsid w:val="00AC460C"/>
    <w:rsid w:val="00AC5860"/>
    <w:rsid w:val="00AC5F95"/>
    <w:rsid w:val="00AC6C1A"/>
    <w:rsid w:val="00AC6F2B"/>
    <w:rsid w:val="00AC70D3"/>
    <w:rsid w:val="00AC7279"/>
    <w:rsid w:val="00AC7F67"/>
    <w:rsid w:val="00AD04B7"/>
    <w:rsid w:val="00AD17E0"/>
    <w:rsid w:val="00AD23A0"/>
    <w:rsid w:val="00AD480C"/>
    <w:rsid w:val="00AD56CE"/>
    <w:rsid w:val="00AD5E05"/>
    <w:rsid w:val="00AD671D"/>
    <w:rsid w:val="00AD6751"/>
    <w:rsid w:val="00AD6770"/>
    <w:rsid w:val="00AD6AD6"/>
    <w:rsid w:val="00AD6F5F"/>
    <w:rsid w:val="00AD7214"/>
    <w:rsid w:val="00AE246D"/>
    <w:rsid w:val="00AE25A9"/>
    <w:rsid w:val="00AE25BE"/>
    <w:rsid w:val="00AE2B29"/>
    <w:rsid w:val="00AE2C0C"/>
    <w:rsid w:val="00AE2D32"/>
    <w:rsid w:val="00AE30FA"/>
    <w:rsid w:val="00AE511F"/>
    <w:rsid w:val="00AE5B43"/>
    <w:rsid w:val="00AE6327"/>
    <w:rsid w:val="00AE7BFC"/>
    <w:rsid w:val="00AF2060"/>
    <w:rsid w:val="00AF2734"/>
    <w:rsid w:val="00AF3A93"/>
    <w:rsid w:val="00AF481A"/>
    <w:rsid w:val="00AF4B96"/>
    <w:rsid w:val="00AF4CAB"/>
    <w:rsid w:val="00AF58CA"/>
    <w:rsid w:val="00AF6913"/>
    <w:rsid w:val="00AF779F"/>
    <w:rsid w:val="00B00282"/>
    <w:rsid w:val="00B002D8"/>
    <w:rsid w:val="00B00FC5"/>
    <w:rsid w:val="00B014EC"/>
    <w:rsid w:val="00B0210D"/>
    <w:rsid w:val="00B02AF4"/>
    <w:rsid w:val="00B03AF8"/>
    <w:rsid w:val="00B03B56"/>
    <w:rsid w:val="00B0456D"/>
    <w:rsid w:val="00B045BF"/>
    <w:rsid w:val="00B045DD"/>
    <w:rsid w:val="00B04BB4"/>
    <w:rsid w:val="00B04BC3"/>
    <w:rsid w:val="00B056DA"/>
    <w:rsid w:val="00B05F74"/>
    <w:rsid w:val="00B06035"/>
    <w:rsid w:val="00B062AF"/>
    <w:rsid w:val="00B064E6"/>
    <w:rsid w:val="00B06730"/>
    <w:rsid w:val="00B07346"/>
    <w:rsid w:val="00B07871"/>
    <w:rsid w:val="00B07ACB"/>
    <w:rsid w:val="00B07BFF"/>
    <w:rsid w:val="00B11016"/>
    <w:rsid w:val="00B115DC"/>
    <w:rsid w:val="00B121AC"/>
    <w:rsid w:val="00B125D7"/>
    <w:rsid w:val="00B1352F"/>
    <w:rsid w:val="00B15656"/>
    <w:rsid w:val="00B161F0"/>
    <w:rsid w:val="00B16ADB"/>
    <w:rsid w:val="00B16BB3"/>
    <w:rsid w:val="00B16C8B"/>
    <w:rsid w:val="00B17EF7"/>
    <w:rsid w:val="00B2024A"/>
    <w:rsid w:val="00B2065E"/>
    <w:rsid w:val="00B207CC"/>
    <w:rsid w:val="00B20AEF"/>
    <w:rsid w:val="00B219BD"/>
    <w:rsid w:val="00B21B00"/>
    <w:rsid w:val="00B22692"/>
    <w:rsid w:val="00B24046"/>
    <w:rsid w:val="00B244B9"/>
    <w:rsid w:val="00B2454C"/>
    <w:rsid w:val="00B246F9"/>
    <w:rsid w:val="00B25F2C"/>
    <w:rsid w:val="00B25F6C"/>
    <w:rsid w:val="00B27AD5"/>
    <w:rsid w:val="00B303D3"/>
    <w:rsid w:val="00B30952"/>
    <w:rsid w:val="00B30CDC"/>
    <w:rsid w:val="00B317AE"/>
    <w:rsid w:val="00B323D5"/>
    <w:rsid w:val="00B32B64"/>
    <w:rsid w:val="00B33A03"/>
    <w:rsid w:val="00B33EC1"/>
    <w:rsid w:val="00B33FC1"/>
    <w:rsid w:val="00B3599C"/>
    <w:rsid w:val="00B370C0"/>
    <w:rsid w:val="00B37220"/>
    <w:rsid w:val="00B404BD"/>
    <w:rsid w:val="00B40E6E"/>
    <w:rsid w:val="00B41139"/>
    <w:rsid w:val="00B41210"/>
    <w:rsid w:val="00B4146E"/>
    <w:rsid w:val="00B43375"/>
    <w:rsid w:val="00B43C36"/>
    <w:rsid w:val="00B44F92"/>
    <w:rsid w:val="00B4517E"/>
    <w:rsid w:val="00B467E8"/>
    <w:rsid w:val="00B46832"/>
    <w:rsid w:val="00B46A32"/>
    <w:rsid w:val="00B46AD7"/>
    <w:rsid w:val="00B46D59"/>
    <w:rsid w:val="00B47161"/>
    <w:rsid w:val="00B504BB"/>
    <w:rsid w:val="00B50A6D"/>
    <w:rsid w:val="00B50C5E"/>
    <w:rsid w:val="00B53ED5"/>
    <w:rsid w:val="00B5460E"/>
    <w:rsid w:val="00B5487E"/>
    <w:rsid w:val="00B556D9"/>
    <w:rsid w:val="00B55B69"/>
    <w:rsid w:val="00B55CAC"/>
    <w:rsid w:val="00B56576"/>
    <w:rsid w:val="00B56F08"/>
    <w:rsid w:val="00B607F3"/>
    <w:rsid w:val="00B60B5E"/>
    <w:rsid w:val="00B611F3"/>
    <w:rsid w:val="00B61576"/>
    <w:rsid w:val="00B62E40"/>
    <w:rsid w:val="00B62E73"/>
    <w:rsid w:val="00B631CC"/>
    <w:rsid w:val="00B63301"/>
    <w:rsid w:val="00B633B4"/>
    <w:rsid w:val="00B634A0"/>
    <w:rsid w:val="00B6452C"/>
    <w:rsid w:val="00B64D76"/>
    <w:rsid w:val="00B66974"/>
    <w:rsid w:val="00B6759A"/>
    <w:rsid w:val="00B70134"/>
    <w:rsid w:val="00B70505"/>
    <w:rsid w:val="00B71938"/>
    <w:rsid w:val="00B724BA"/>
    <w:rsid w:val="00B731A8"/>
    <w:rsid w:val="00B7390E"/>
    <w:rsid w:val="00B73AA8"/>
    <w:rsid w:val="00B742DC"/>
    <w:rsid w:val="00B74B01"/>
    <w:rsid w:val="00B75118"/>
    <w:rsid w:val="00B75BC8"/>
    <w:rsid w:val="00B75FE3"/>
    <w:rsid w:val="00B764ED"/>
    <w:rsid w:val="00B77FFA"/>
    <w:rsid w:val="00B803E0"/>
    <w:rsid w:val="00B8091C"/>
    <w:rsid w:val="00B8095D"/>
    <w:rsid w:val="00B827BE"/>
    <w:rsid w:val="00B84577"/>
    <w:rsid w:val="00B847AB"/>
    <w:rsid w:val="00B854BB"/>
    <w:rsid w:val="00B85BED"/>
    <w:rsid w:val="00B87026"/>
    <w:rsid w:val="00B87073"/>
    <w:rsid w:val="00B87D4B"/>
    <w:rsid w:val="00B903A6"/>
    <w:rsid w:val="00B9042F"/>
    <w:rsid w:val="00B908E3"/>
    <w:rsid w:val="00B90B6D"/>
    <w:rsid w:val="00B90DCB"/>
    <w:rsid w:val="00B915B0"/>
    <w:rsid w:val="00B9174E"/>
    <w:rsid w:val="00B9333C"/>
    <w:rsid w:val="00B93365"/>
    <w:rsid w:val="00B9433B"/>
    <w:rsid w:val="00B94E5C"/>
    <w:rsid w:val="00B9568A"/>
    <w:rsid w:val="00B962CF"/>
    <w:rsid w:val="00B9684C"/>
    <w:rsid w:val="00B969C5"/>
    <w:rsid w:val="00B96D11"/>
    <w:rsid w:val="00B9732A"/>
    <w:rsid w:val="00BA0256"/>
    <w:rsid w:val="00BA06B4"/>
    <w:rsid w:val="00BA0C82"/>
    <w:rsid w:val="00BA11E0"/>
    <w:rsid w:val="00BA149C"/>
    <w:rsid w:val="00BA3CF8"/>
    <w:rsid w:val="00BA3E7E"/>
    <w:rsid w:val="00BA539B"/>
    <w:rsid w:val="00BA5AA5"/>
    <w:rsid w:val="00BA7317"/>
    <w:rsid w:val="00BA73F2"/>
    <w:rsid w:val="00BA7B28"/>
    <w:rsid w:val="00BA7CD1"/>
    <w:rsid w:val="00BB062A"/>
    <w:rsid w:val="00BB0E11"/>
    <w:rsid w:val="00BB1661"/>
    <w:rsid w:val="00BB23CF"/>
    <w:rsid w:val="00BB2867"/>
    <w:rsid w:val="00BB4054"/>
    <w:rsid w:val="00BB4C6F"/>
    <w:rsid w:val="00BB4D6E"/>
    <w:rsid w:val="00BB4F82"/>
    <w:rsid w:val="00BB57FF"/>
    <w:rsid w:val="00BB6011"/>
    <w:rsid w:val="00BB72C2"/>
    <w:rsid w:val="00BB7B54"/>
    <w:rsid w:val="00BC0420"/>
    <w:rsid w:val="00BC044A"/>
    <w:rsid w:val="00BC1EAF"/>
    <w:rsid w:val="00BC2FD0"/>
    <w:rsid w:val="00BC30FF"/>
    <w:rsid w:val="00BC37E2"/>
    <w:rsid w:val="00BC3947"/>
    <w:rsid w:val="00BC3CCE"/>
    <w:rsid w:val="00BC41AE"/>
    <w:rsid w:val="00BC52E3"/>
    <w:rsid w:val="00BC539D"/>
    <w:rsid w:val="00BC55AC"/>
    <w:rsid w:val="00BC5934"/>
    <w:rsid w:val="00BC7E5D"/>
    <w:rsid w:val="00BD0655"/>
    <w:rsid w:val="00BD10AF"/>
    <w:rsid w:val="00BD1330"/>
    <w:rsid w:val="00BD13BF"/>
    <w:rsid w:val="00BD14C3"/>
    <w:rsid w:val="00BD14C4"/>
    <w:rsid w:val="00BD1635"/>
    <w:rsid w:val="00BD1642"/>
    <w:rsid w:val="00BD4A80"/>
    <w:rsid w:val="00BD4D59"/>
    <w:rsid w:val="00BD5756"/>
    <w:rsid w:val="00BD5908"/>
    <w:rsid w:val="00BD5951"/>
    <w:rsid w:val="00BD5E1D"/>
    <w:rsid w:val="00BD5F4C"/>
    <w:rsid w:val="00BD6F03"/>
    <w:rsid w:val="00BD7A68"/>
    <w:rsid w:val="00BE04C7"/>
    <w:rsid w:val="00BE0F19"/>
    <w:rsid w:val="00BE0F86"/>
    <w:rsid w:val="00BE1B5D"/>
    <w:rsid w:val="00BE1E41"/>
    <w:rsid w:val="00BE25FD"/>
    <w:rsid w:val="00BE46DE"/>
    <w:rsid w:val="00BE4771"/>
    <w:rsid w:val="00BE5476"/>
    <w:rsid w:val="00BE56CB"/>
    <w:rsid w:val="00BE57EC"/>
    <w:rsid w:val="00BE678D"/>
    <w:rsid w:val="00BE6D45"/>
    <w:rsid w:val="00BE6D71"/>
    <w:rsid w:val="00BE6EE4"/>
    <w:rsid w:val="00BE793E"/>
    <w:rsid w:val="00BE79AC"/>
    <w:rsid w:val="00BF05B9"/>
    <w:rsid w:val="00BF196C"/>
    <w:rsid w:val="00BF1F40"/>
    <w:rsid w:val="00BF2291"/>
    <w:rsid w:val="00BF2711"/>
    <w:rsid w:val="00BF29AD"/>
    <w:rsid w:val="00BF2E61"/>
    <w:rsid w:val="00BF3679"/>
    <w:rsid w:val="00BF3716"/>
    <w:rsid w:val="00BF3E8F"/>
    <w:rsid w:val="00BF3F21"/>
    <w:rsid w:val="00BF42AC"/>
    <w:rsid w:val="00BF4B86"/>
    <w:rsid w:val="00BF4F00"/>
    <w:rsid w:val="00BF5B91"/>
    <w:rsid w:val="00BF68CB"/>
    <w:rsid w:val="00BF6AFD"/>
    <w:rsid w:val="00BF7072"/>
    <w:rsid w:val="00BF771A"/>
    <w:rsid w:val="00BF77AF"/>
    <w:rsid w:val="00BF7C8A"/>
    <w:rsid w:val="00BF7E62"/>
    <w:rsid w:val="00C0013E"/>
    <w:rsid w:val="00C00C96"/>
    <w:rsid w:val="00C018AC"/>
    <w:rsid w:val="00C01DD1"/>
    <w:rsid w:val="00C02E05"/>
    <w:rsid w:val="00C0351C"/>
    <w:rsid w:val="00C04141"/>
    <w:rsid w:val="00C055C2"/>
    <w:rsid w:val="00C05BC6"/>
    <w:rsid w:val="00C05CC2"/>
    <w:rsid w:val="00C06684"/>
    <w:rsid w:val="00C0783E"/>
    <w:rsid w:val="00C10ECB"/>
    <w:rsid w:val="00C11D73"/>
    <w:rsid w:val="00C121D0"/>
    <w:rsid w:val="00C123AC"/>
    <w:rsid w:val="00C128DC"/>
    <w:rsid w:val="00C147E0"/>
    <w:rsid w:val="00C158C9"/>
    <w:rsid w:val="00C15B47"/>
    <w:rsid w:val="00C15DB9"/>
    <w:rsid w:val="00C1601D"/>
    <w:rsid w:val="00C16AA5"/>
    <w:rsid w:val="00C171AA"/>
    <w:rsid w:val="00C17393"/>
    <w:rsid w:val="00C175B7"/>
    <w:rsid w:val="00C176A5"/>
    <w:rsid w:val="00C17A09"/>
    <w:rsid w:val="00C20AE4"/>
    <w:rsid w:val="00C20CFC"/>
    <w:rsid w:val="00C22D10"/>
    <w:rsid w:val="00C23C1B"/>
    <w:rsid w:val="00C245B1"/>
    <w:rsid w:val="00C25F65"/>
    <w:rsid w:val="00C26809"/>
    <w:rsid w:val="00C270EB"/>
    <w:rsid w:val="00C27E53"/>
    <w:rsid w:val="00C30484"/>
    <w:rsid w:val="00C30531"/>
    <w:rsid w:val="00C3085D"/>
    <w:rsid w:val="00C314D4"/>
    <w:rsid w:val="00C31E17"/>
    <w:rsid w:val="00C31EB0"/>
    <w:rsid w:val="00C324C5"/>
    <w:rsid w:val="00C326C2"/>
    <w:rsid w:val="00C33601"/>
    <w:rsid w:val="00C33B44"/>
    <w:rsid w:val="00C33DCA"/>
    <w:rsid w:val="00C3401D"/>
    <w:rsid w:val="00C353FB"/>
    <w:rsid w:val="00C35582"/>
    <w:rsid w:val="00C36E03"/>
    <w:rsid w:val="00C36E91"/>
    <w:rsid w:val="00C3747C"/>
    <w:rsid w:val="00C37CD9"/>
    <w:rsid w:val="00C37D99"/>
    <w:rsid w:val="00C42B84"/>
    <w:rsid w:val="00C42D72"/>
    <w:rsid w:val="00C43395"/>
    <w:rsid w:val="00C434BE"/>
    <w:rsid w:val="00C44731"/>
    <w:rsid w:val="00C44BBF"/>
    <w:rsid w:val="00C451CB"/>
    <w:rsid w:val="00C4534D"/>
    <w:rsid w:val="00C453D4"/>
    <w:rsid w:val="00C45E34"/>
    <w:rsid w:val="00C46D06"/>
    <w:rsid w:val="00C50D94"/>
    <w:rsid w:val="00C51358"/>
    <w:rsid w:val="00C51847"/>
    <w:rsid w:val="00C51AE5"/>
    <w:rsid w:val="00C51B75"/>
    <w:rsid w:val="00C51E76"/>
    <w:rsid w:val="00C543D0"/>
    <w:rsid w:val="00C54D47"/>
    <w:rsid w:val="00C55227"/>
    <w:rsid w:val="00C5529B"/>
    <w:rsid w:val="00C55804"/>
    <w:rsid w:val="00C56379"/>
    <w:rsid w:val="00C5677A"/>
    <w:rsid w:val="00C56ADE"/>
    <w:rsid w:val="00C573A8"/>
    <w:rsid w:val="00C57774"/>
    <w:rsid w:val="00C57A49"/>
    <w:rsid w:val="00C57C96"/>
    <w:rsid w:val="00C61497"/>
    <w:rsid w:val="00C62479"/>
    <w:rsid w:val="00C62B3D"/>
    <w:rsid w:val="00C62C34"/>
    <w:rsid w:val="00C62E23"/>
    <w:rsid w:val="00C62EB6"/>
    <w:rsid w:val="00C62ECC"/>
    <w:rsid w:val="00C635AE"/>
    <w:rsid w:val="00C645D8"/>
    <w:rsid w:val="00C6487A"/>
    <w:rsid w:val="00C654C0"/>
    <w:rsid w:val="00C666EF"/>
    <w:rsid w:val="00C66846"/>
    <w:rsid w:val="00C669B2"/>
    <w:rsid w:val="00C66F79"/>
    <w:rsid w:val="00C670E0"/>
    <w:rsid w:val="00C6760B"/>
    <w:rsid w:val="00C704FA"/>
    <w:rsid w:val="00C70FB8"/>
    <w:rsid w:val="00C72001"/>
    <w:rsid w:val="00C72846"/>
    <w:rsid w:val="00C73455"/>
    <w:rsid w:val="00C73869"/>
    <w:rsid w:val="00C74602"/>
    <w:rsid w:val="00C74C1E"/>
    <w:rsid w:val="00C75991"/>
    <w:rsid w:val="00C76474"/>
    <w:rsid w:val="00C76630"/>
    <w:rsid w:val="00C76930"/>
    <w:rsid w:val="00C76E05"/>
    <w:rsid w:val="00C77985"/>
    <w:rsid w:val="00C77B9A"/>
    <w:rsid w:val="00C803B7"/>
    <w:rsid w:val="00C82349"/>
    <w:rsid w:val="00C826D6"/>
    <w:rsid w:val="00C82EF9"/>
    <w:rsid w:val="00C83924"/>
    <w:rsid w:val="00C83A99"/>
    <w:rsid w:val="00C840FD"/>
    <w:rsid w:val="00C84249"/>
    <w:rsid w:val="00C84386"/>
    <w:rsid w:val="00C844EB"/>
    <w:rsid w:val="00C8593C"/>
    <w:rsid w:val="00C85ADB"/>
    <w:rsid w:val="00C86715"/>
    <w:rsid w:val="00C86D21"/>
    <w:rsid w:val="00C86EA4"/>
    <w:rsid w:val="00C86F7A"/>
    <w:rsid w:val="00C87004"/>
    <w:rsid w:val="00C871DA"/>
    <w:rsid w:val="00C87C26"/>
    <w:rsid w:val="00C90154"/>
    <w:rsid w:val="00C901BD"/>
    <w:rsid w:val="00C90269"/>
    <w:rsid w:val="00C9039E"/>
    <w:rsid w:val="00C90956"/>
    <w:rsid w:val="00C90B07"/>
    <w:rsid w:val="00C91395"/>
    <w:rsid w:val="00C9165C"/>
    <w:rsid w:val="00C91976"/>
    <w:rsid w:val="00C9203F"/>
    <w:rsid w:val="00C926C5"/>
    <w:rsid w:val="00C92B79"/>
    <w:rsid w:val="00C92EF5"/>
    <w:rsid w:val="00C943D4"/>
    <w:rsid w:val="00C94CFC"/>
    <w:rsid w:val="00C95DB6"/>
    <w:rsid w:val="00C95DF1"/>
    <w:rsid w:val="00C96B17"/>
    <w:rsid w:val="00C97728"/>
    <w:rsid w:val="00CA0DFB"/>
    <w:rsid w:val="00CA0FBE"/>
    <w:rsid w:val="00CA15DB"/>
    <w:rsid w:val="00CA1767"/>
    <w:rsid w:val="00CA1DA4"/>
    <w:rsid w:val="00CA1E7B"/>
    <w:rsid w:val="00CA2161"/>
    <w:rsid w:val="00CA3424"/>
    <w:rsid w:val="00CA3B1C"/>
    <w:rsid w:val="00CA43AD"/>
    <w:rsid w:val="00CA43CB"/>
    <w:rsid w:val="00CA4E1F"/>
    <w:rsid w:val="00CA5226"/>
    <w:rsid w:val="00CA60C1"/>
    <w:rsid w:val="00CA629C"/>
    <w:rsid w:val="00CA7317"/>
    <w:rsid w:val="00CA76FB"/>
    <w:rsid w:val="00CA79AA"/>
    <w:rsid w:val="00CB0244"/>
    <w:rsid w:val="00CB0E88"/>
    <w:rsid w:val="00CB15CA"/>
    <w:rsid w:val="00CB171E"/>
    <w:rsid w:val="00CB1D67"/>
    <w:rsid w:val="00CB1EFC"/>
    <w:rsid w:val="00CB211D"/>
    <w:rsid w:val="00CB2299"/>
    <w:rsid w:val="00CB2308"/>
    <w:rsid w:val="00CB2594"/>
    <w:rsid w:val="00CB3FF7"/>
    <w:rsid w:val="00CB4E02"/>
    <w:rsid w:val="00CB52E2"/>
    <w:rsid w:val="00CB591C"/>
    <w:rsid w:val="00CB63CC"/>
    <w:rsid w:val="00CB7299"/>
    <w:rsid w:val="00CB7EA5"/>
    <w:rsid w:val="00CC166D"/>
    <w:rsid w:val="00CC1936"/>
    <w:rsid w:val="00CC1A48"/>
    <w:rsid w:val="00CC1E60"/>
    <w:rsid w:val="00CC24DB"/>
    <w:rsid w:val="00CC28AF"/>
    <w:rsid w:val="00CC3151"/>
    <w:rsid w:val="00CC33A5"/>
    <w:rsid w:val="00CC37EC"/>
    <w:rsid w:val="00CC3CD8"/>
    <w:rsid w:val="00CC40DA"/>
    <w:rsid w:val="00CC488A"/>
    <w:rsid w:val="00CC5116"/>
    <w:rsid w:val="00CC5395"/>
    <w:rsid w:val="00CC58F0"/>
    <w:rsid w:val="00CC65BE"/>
    <w:rsid w:val="00CC73F3"/>
    <w:rsid w:val="00CC7764"/>
    <w:rsid w:val="00CC7E66"/>
    <w:rsid w:val="00CD0025"/>
    <w:rsid w:val="00CD035E"/>
    <w:rsid w:val="00CD0909"/>
    <w:rsid w:val="00CD0AE8"/>
    <w:rsid w:val="00CD2807"/>
    <w:rsid w:val="00CD2C01"/>
    <w:rsid w:val="00CD321A"/>
    <w:rsid w:val="00CD3487"/>
    <w:rsid w:val="00CD36F7"/>
    <w:rsid w:val="00CD450C"/>
    <w:rsid w:val="00CD48F3"/>
    <w:rsid w:val="00CD4B20"/>
    <w:rsid w:val="00CD6243"/>
    <w:rsid w:val="00CD690C"/>
    <w:rsid w:val="00CD761A"/>
    <w:rsid w:val="00CD78A6"/>
    <w:rsid w:val="00CE05AE"/>
    <w:rsid w:val="00CE0698"/>
    <w:rsid w:val="00CE0892"/>
    <w:rsid w:val="00CE0E95"/>
    <w:rsid w:val="00CE10AE"/>
    <w:rsid w:val="00CE11A8"/>
    <w:rsid w:val="00CE131E"/>
    <w:rsid w:val="00CE2633"/>
    <w:rsid w:val="00CE3742"/>
    <w:rsid w:val="00CE396B"/>
    <w:rsid w:val="00CE4133"/>
    <w:rsid w:val="00CE5687"/>
    <w:rsid w:val="00CE7BFF"/>
    <w:rsid w:val="00CF1082"/>
    <w:rsid w:val="00CF13AF"/>
    <w:rsid w:val="00CF2381"/>
    <w:rsid w:val="00CF3BFB"/>
    <w:rsid w:val="00CF47DA"/>
    <w:rsid w:val="00CF4865"/>
    <w:rsid w:val="00CF4BB1"/>
    <w:rsid w:val="00CF4BF5"/>
    <w:rsid w:val="00CF4EBB"/>
    <w:rsid w:val="00CF5DA9"/>
    <w:rsid w:val="00CF5FDF"/>
    <w:rsid w:val="00CF6AE1"/>
    <w:rsid w:val="00CF7685"/>
    <w:rsid w:val="00D01151"/>
    <w:rsid w:val="00D01DC6"/>
    <w:rsid w:val="00D02480"/>
    <w:rsid w:val="00D02F2F"/>
    <w:rsid w:val="00D035E2"/>
    <w:rsid w:val="00D04445"/>
    <w:rsid w:val="00D048C0"/>
    <w:rsid w:val="00D04B46"/>
    <w:rsid w:val="00D054DF"/>
    <w:rsid w:val="00D06A05"/>
    <w:rsid w:val="00D06C1B"/>
    <w:rsid w:val="00D07DB9"/>
    <w:rsid w:val="00D07EF1"/>
    <w:rsid w:val="00D1083B"/>
    <w:rsid w:val="00D109F1"/>
    <w:rsid w:val="00D10BF6"/>
    <w:rsid w:val="00D1144D"/>
    <w:rsid w:val="00D11791"/>
    <w:rsid w:val="00D12ED7"/>
    <w:rsid w:val="00D134B4"/>
    <w:rsid w:val="00D13B3B"/>
    <w:rsid w:val="00D13C98"/>
    <w:rsid w:val="00D15650"/>
    <w:rsid w:val="00D1569C"/>
    <w:rsid w:val="00D15DBB"/>
    <w:rsid w:val="00D15FFC"/>
    <w:rsid w:val="00D160CD"/>
    <w:rsid w:val="00D16148"/>
    <w:rsid w:val="00D1618E"/>
    <w:rsid w:val="00D1663D"/>
    <w:rsid w:val="00D16778"/>
    <w:rsid w:val="00D17136"/>
    <w:rsid w:val="00D174BA"/>
    <w:rsid w:val="00D2101E"/>
    <w:rsid w:val="00D22812"/>
    <w:rsid w:val="00D237B6"/>
    <w:rsid w:val="00D243A7"/>
    <w:rsid w:val="00D243E2"/>
    <w:rsid w:val="00D24C09"/>
    <w:rsid w:val="00D24C5A"/>
    <w:rsid w:val="00D25153"/>
    <w:rsid w:val="00D252B2"/>
    <w:rsid w:val="00D25300"/>
    <w:rsid w:val="00D25C60"/>
    <w:rsid w:val="00D26411"/>
    <w:rsid w:val="00D2685A"/>
    <w:rsid w:val="00D26A8E"/>
    <w:rsid w:val="00D26CD4"/>
    <w:rsid w:val="00D26E3B"/>
    <w:rsid w:val="00D27442"/>
    <w:rsid w:val="00D276E1"/>
    <w:rsid w:val="00D308FC"/>
    <w:rsid w:val="00D31133"/>
    <w:rsid w:val="00D3137A"/>
    <w:rsid w:val="00D32428"/>
    <w:rsid w:val="00D33498"/>
    <w:rsid w:val="00D34B0D"/>
    <w:rsid w:val="00D356FE"/>
    <w:rsid w:val="00D35DCB"/>
    <w:rsid w:val="00D36B6E"/>
    <w:rsid w:val="00D36BA0"/>
    <w:rsid w:val="00D36EC1"/>
    <w:rsid w:val="00D37B0D"/>
    <w:rsid w:val="00D40764"/>
    <w:rsid w:val="00D41080"/>
    <w:rsid w:val="00D41B3B"/>
    <w:rsid w:val="00D43124"/>
    <w:rsid w:val="00D432E9"/>
    <w:rsid w:val="00D44B03"/>
    <w:rsid w:val="00D4672A"/>
    <w:rsid w:val="00D46C76"/>
    <w:rsid w:val="00D47ABC"/>
    <w:rsid w:val="00D50429"/>
    <w:rsid w:val="00D5074E"/>
    <w:rsid w:val="00D507C3"/>
    <w:rsid w:val="00D5120E"/>
    <w:rsid w:val="00D5170C"/>
    <w:rsid w:val="00D51E84"/>
    <w:rsid w:val="00D5252A"/>
    <w:rsid w:val="00D52649"/>
    <w:rsid w:val="00D52851"/>
    <w:rsid w:val="00D52E1D"/>
    <w:rsid w:val="00D531A9"/>
    <w:rsid w:val="00D532C4"/>
    <w:rsid w:val="00D54770"/>
    <w:rsid w:val="00D54A64"/>
    <w:rsid w:val="00D54C53"/>
    <w:rsid w:val="00D54DDE"/>
    <w:rsid w:val="00D55147"/>
    <w:rsid w:val="00D5529E"/>
    <w:rsid w:val="00D5559B"/>
    <w:rsid w:val="00D56A0C"/>
    <w:rsid w:val="00D56E2D"/>
    <w:rsid w:val="00D56EEA"/>
    <w:rsid w:val="00D57667"/>
    <w:rsid w:val="00D57976"/>
    <w:rsid w:val="00D621A1"/>
    <w:rsid w:val="00D62316"/>
    <w:rsid w:val="00D64028"/>
    <w:rsid w:val="00D64729"/>
    <w:rsid w:val="00D64732"/>
    <w:rsid w:val="00D64EED"/>
    <w:rsid w:val="00D656E5"/>
    <w:rsid w:val="00D675BE"/>
    <w:rsid w:val="00D67D62"/>
    <w:rsid w:val="00D70260"/>
    <w:rsid w:val="00D7073A"/>
    <w:rsid w:val="00D710E5"/>
    <w:rsid w:val="00D711ED"/>
    <w:rsid w:val="00D71316"/>
    <w:rsid w:val="00D71340"/>
    <w:rsid w:val="00D717BD"/>
    <w:rsid w:val="00D71FB4"/>
    <w:rsid w:val="00D7204A"/>
    <w:rsid w:val="00D728BA"/>
    <w:rsid w:val="00D72F13"/>
    <w:rsid w:val="00D733B3"/>
    <w:rsid w:val="00D7375D"/>
    <w:rsid w:val="00D73E43"/>
    <w:rsid w:val="00D742D6"/>
    <w:rsid w:val="00D74B53"/>
    <w:rsid w:val="00D74FB3"/>
    <w:rsid w:val="00D750BD"/>
    <w:rsid w:val="00D76EA5"/>
    <w:rsid w:val="00D7773E"/>
    <w:rsid w:val="00D8040D"/>
    <w:rsid w:val="00D8076B"/>
    <w:rsid w:val="00D80A5C"/>
    <w:rsid w:val="00D80CF9"/>
    <w:rsid w:val="00D812D3"/>
    <w:rsid w:val="00D81463"/>
    <w:rsid w:val="00D81504"/>
    <w:rsid w:val="00D81E8A"/>
    <w:rsid w:val="00D82520"/>
    <w:rsid w:val="00D83013"/>
    <w:rsid w:val="00D8346A"/>
    <w:rsid w:val="00D84B16"/>
    <w:rsid w:val="00D85215"/>
    <w:rsid w:val="00D85990"/>
    <w:rsid w:val="00D85A4A"/>
    <w:rsid w:val="00D85E0C"/>
    <w:rsid w:val="00D85EF4"/>
    <w:rsid w:val="00D86482"/>
    <w:rsid w:val="00D86E48"/>
    <w:rsid w:val="00D87591"/>
    <w:rsid w:val="00D87867"/>
    <w:rsid w:val="00D908A1"/>
    <w:rsid w:val="00D90CD5"/>
    <w:rsid w:val="00D919F1"/>
    <w:rsid w:val="00D91C99"/>
    <w:rsid w:val="00D92144"/>
    <w:rsid w:val="00D92B10"/>
    <w:rsid w:val="00D93953"/>
    <w:rsid w:val="00D94D03"/>
    <w:rsid w:val="00D94E07"/>
    <w:rsid w:val="00D94EE9"/>
    <w:rsid w:val="00D9537E"/>
    <w:rsid w:val="00D95858"/>
    <w:rsid w:val="00D96151"/>
    <w:rsid w:val="00D9649F"/>
    <w:rsid w:val="00DA0485"/>
    <w:rsid w:val="00DA09C3"/>
    <w:rsid w:val="00DA151E"/>
    <w:rsid w:val="00DA15C8"/>
    <w:rsid w:val="00DA28F3"/>
    <w:rsid w:val="00DA4F1F"/>
    <w:rsid w:val="00DA5AF4"/>
    <w:rsid w:val="00DA5CE6"/>
    <w:rsid w:val="00DA64CC"/>
    <w:rsid w:val="00DA687A"/>
    <w:rsid w:val="00DA7A43"/>
    <w:rsid w:val="00DA7B56"/>
    <w:rsid w:val="00DA7CDC"/>
    <w:rsid w:val="00DB0690"/>
    <w:rsid w:val="00DB0A6E"/>
    <w:rsid w:val="00DB1192"/>
    <w:rsid w:val="00DB1975"/>
    <w:rsid w:val="00DB302F"/>
    <w:rsid w:val="00DB336C"/>
    <w:rsid w:val="00DB3681"/>
    <w:rsid w:val="00DB39C4"/>
    <w:rsid w:val="00DB3AC6"/>
    <w:rsid w:val="00DB43F7"/>
    <w:rsid w:val="00DB4559"/>
    <w:rsid w:val="00DB5677"/>
    <w:rsid w:val="00DB5B32"/>
    <w:rsid w:val="00DB5E8D"/>
    <w:rsid w:val="00DB61CB"/>
    <w:rsid w:val="00DB6445"/>
    <w:rsid w:val="00DB76CB"/>
    <w:rsid w:val="00DB775E"/>
    <w:rsid w:val="00DB7F41"/>
    <w:rsid w:val="00DC031E"/>
    <w:rsid w:val="00DC055A"/>
    <w:rsid w:val="00DC0726"/>
    <w:rsid w:val="00DC0AC1"/>
    <w:rsid w:val="00DC11F5"/>
    <w:rsid w:val="00DC14B4"/>
    <w:rsid w:val="00DC1E03"/>
    <w:rsid w:val="00DC1F65"/>
    <w:rsid w:val="00DC234F"/>
    <w:rsid w:val="00DC314E"/>
    <w:rsid w:val="00DC37EF"/>
    <w:rsid w:val="00DC39AC"/>
    <w:rsid w:val="00DC4374"/>
    <w:rsid w:val="00DC49C4"/>
    <w:rsid w:val="00DC566E"/>
    <w:rsid w:val="00DC57B2"/>
    <w:rsid w:val="00DC57D8"/>
    <w:rsid w:val="00DC60BC"/>
    <w:rsid w:val="00DC60E3"/>
    <w:rsid w:val="00DC688A"/>
    <w:rsid w:val="00DC6E81"/>
    <w:rsid w:val="00DC7130"/>
    <w:rsid w:val="00DC7532"/>
    <w:rsid w:val="00DC789C"/>
    <w:rsid w:val="00DC7B7D"/>
    <w:rsid w:val="00DD1244"/>
    <w:rsid w:val="00DD14C8"/>
    <w:rsid w:val="00DD1F3B"/>
    <w:rsid w:val="00DD28E5"/>
    <w:rsid w:val="00DD300D"/>
    <w:rsid w:val="00DD32B7"/>
    <w:rsid w:val="00DD3CA9"/>
    <w:rsid w:val="00DD3F0E"/>
    <w:rsid w:val="00DD4231"/>
    <w:rsid w:val="00DD5258"/>
    <w:rsid w:val="00DD5EE2"/>
    <w:rsid w:val="00DD5FCC"/>
    <w:rsid w:val="00DE02D5"/>
    <w:rsid w:val="00DE043D"/>
    <w:rsid w:val="00DE0EBD"/>
    <w:rsid w:val="00DE16C2"/>
    <w:rsid w:val="00DE179D"/>
    <w:rsid w:val="00DE17DC"/>
    <w:rsid w:val="00DE1B3B"/>
    <w:rsid w:val="00DE1C66"/>
    <w:rsid w:val="00DE22AE"/>
    <w:rsid w:val="00DE2DE6"/>
    <w:rsid w:val="00DE384A"/>
    <w:rsid w:val="00DE50BC"/>
    <w:rsid w:val="00DE57E3"/>
    <w:rsid w:val="00DE596C"/>
    <w:rsid w:val="00DE68EA"/>
    <w:rsid w:val="00DE7718"/>
    <w:rsid w:val="00DE773B"/>
    <w:rsid w:val="00DF00AD"/>
    <w:rsid w:val="00DF08AF"/>
    <w:rsid w:val="00DF1861"/>
    <w:rsid w:val="00DF2BEC"/>
    <w:rsid w:val="00DF319E"/>
    <w:rsid w:val="00DF3793"/>
    <w:rsid w:val="00DF3A30"/>
    <w:rsid w:val="00DF3B71"/>
    <w:rsid w:val="00DF4BA8"/>
    <w:rsid w:val="00DF5EF3"/>
    <w:rsid w:val="00DF6092"/>
    <w:rsid w:val="00DF6A0A"/>
    <w:rsid w:val="00DF7536"/>
    <w:rsid w:val="00DF773F"/>
    <w:rsid w:val="00DF77B7"/>
    <w:rsid w:val="00E0006E"/>
    <w:rsid w:val="00E00405"/>
    <w:rsid w:val="00E00420"/>
    <w:rsid w:val="00E0132D"/>
    <w:rsid w:val="00E0263C"/>
    <w:rsid w:val="00E029B6"/>
    <w:rsid w:val="00E02A64"/>
    <w:rsid w:val="00E02C4A"/>
    <w:rsid w:val="00E02EE5"/>
    <w:rsid w:val="00E02F7B"/>
    <w:rsid w:val="00E053DB"/>
    <w:rsid w:val="00E05B4C"/>
    <w:rsid w:val="00E05C3A"/>
    <w:rsid w:val="00E05D06"/>
    <w:rsid w:val="00E06C85"/>
    <w:rsid w:val="00E0722D"/>
    <w:rsid w:val="00E07617"/>
    <w:rsid w:val="00E07B95"/>
    <w:rsid w:val="00E10DF7"/>
    <w:rsid w:val="00E11FFC"/>
    <w:rsid w:val="00E12ABB"/>
    <w:rsid w:val="00E1318C"/>
    <w:rsid w:val="00E13693"/>
    <w:rsid w:val="00E142B8"/>
    <w:rsid w:val="00E14AB2"/>
    <w:rsid w:val="00E160B3"/>
    <w:rsid w:val="00E17198"/>
    <w:rsid w:val="00E17650"/>
    <w:rsid w:val="00E17D52"/>
    <w:rsid w:val="00E209C6"/>
    <w:rsid w:val="00E20BA2"/>
    <w:rsid w:val="00E21040"/>
    <w:rsid w:val="00E21999"/>
    <w:rsid w:val="00E21C51"/>
    <w:rsid w:val="00E22175"/>
    <w:rsid w:val="00E222BA"/>
    <w:rsid w:val="00E22AF8"/>
    <w:rsid w:val="00E22C03"/>
    <w:rsid w:val="00E22C19"/>
    <w:rsid w:val="00E22D87"/>
    <w:rsid w:val="00E22FF5"/>
    <w:rsid w:val="00E233E2"/>
    <w:rsid w:val="00E23D15"/>
    <w:rsid w:val="00E246C9"/>
    <w:rsid w:val="00E24969"/>
    <w:rsid w:val="00E24B96"/>
    <w:rsid w:val="00E25A5F"/>
    <w:rsid w:val="00E25B15"/>
    <w:rsid w:val="00E26C36"/>
    <w:rsid w:val="00E272F1"/>
    <w:rsid w:val="00E274A1"/>
    <w:rsid w:val="00E27A6C"/>
    <w:rsid w:val="00E3026D"/>
    <w:rsid w:val="00E3075F"/>
    <w:rsid w:val="00E317AB"/>
    <w:rsid w:val="00E31860"/>
    <w:rsid w:val="00E3199E"/>
    <w:rsid w:val="00E31E2C"/>
    <w:rsid w:val="00E32897"/>
    <w:rsid w:val="00E332A2"/>
    <w:rsid w:val="00E3338C"/>
    <w:rsid w:val="00E33823"/>
    <w:rsid w:val="00E33A55"/>
    <w:rsid w:val="00E34BAF"/>
    <w:rsid w:val="00E356DB"/>
    <w:rsid w:val="00E35C42"/>
    <w:rsid w:val="00E379B7"/>
    <w:rsid w:val="00E408A8"/>
    <w:rsid w:val="00E40C8F"/>
    <w:rsid w:val="00E41A1A"/>
    <w:rsid w:val="00E448AB"/>
    <w:rsid w:val="00E449C8"/>
    <w:rsid w:val="00E44B13"/>
    <w:rsid w:val="00E44C51"/>
    <w:rsid w:val="00E44E1D"/>
    <w:rsid w:val="00E4779E"/>
    <w:rsid w:val="00E47F26"/>
    <w:rsid w:val="00E503D3"/>
    <w:rsid w:val="00E50CF0"/>
    <w:rsid w:val="00E51382"/>
    <w:rsid w:val="00E51705"/>
    <w:rsid w:val="00E51CA2"/>
    <w:rsid w:val="00E52405"/>
    <w:rsid w:val="00E527A4"/>
    <w:rsid w:val="00E5327E"/>
    <w:rsid w:val="00E53609"/>
    <w:rsid w:val="00E53D73"/>
    <w:rsid w:val="00E53E84"/>
    <w:rsid w:val="00E546DA"/>
    <w:rsid w:val="00E555CD"/>
    <w:rsid w:val="00E555CF"/>
    <w:rsid w:val="00E559AE"/>
    <w:rsid w:val="00E55A58"/>
    <w:rsid w:val="00E55BA0"/>
    <w:rsid w:val="00E5692E"/>
    <w:rsid w:val="00E56EA9"/>
    <w:rsid w:val="00E56EFB"/>
    <w:rsid w:val="00E574EB"/>
    <w:rsid w:val="00E57A22"/>
    <w:rsid w:val="00E57EBF"/>
    <w:rsid w:val="00E604ED"/>
    <w:rsid w:val="00E60847"/>
    <w:rsid w:val="00E61084"/>
    <w:rsid w:val="00E61A77"/>
    <w:rsid w:val="00E62A6B"/>
    <w:rsid w:val="00E62C1B"/>
    <w:rsid w:val="00E633BF"/>
    <w:rsid w:val="00E6365A"/>
    <w:rsid w:val="00E63A38"/>
    <w:rsid w:val="00E63F71"/>
    <w:rsid w:val="00E640E1"/>
    <w:rsid w:val="00E652A1"/>
    <w:rsid w:val="00E66077"/>
    <w:rsid w:val="00E66889"/>
    <w:rsid w:val="00E674A2"/>
    <w:rsid w:val="00E67A4E"/>
    <w:rsid w:val="00E70120"/>
    <w:rsid w:val="00E701C9"/>
    <w:rsid w:val="00E70D26"/>
    <w:rsid w:val="00E7153C"/>
    <w:rsid w:val="00E72386"/>
    <w:rsid w:val="00E7326B"/>
    <w:rsid w:val="00E74971"/>
    <w:rsid w:val="00E74CB5"/>
    <w:rsid w:val="00E74D4E"/>
    <w:rsid w:val="00E75019"/>
    <w:rsid w:val="00E7593D"/>
    <w:rsid w:val="00E75A03"/>
    <w:rsid w:val="00E7687B"/>
    <w:rsid w:val="00E76B8A"/>
    <w:rsid w:val="00E76FCC"/>
    <w:rsid w:val="00E77F80"/>
    <w:rsid w:val="00E801AB"/>
    <w:rsid w:val="00E8100C"/>
    <w:rsid w:val="00E8119F"/>
    <w:rsid w:val="00E812A2"/>
    <w:rsid w:val="00E815D6"/>
    <w:rsid w:val="00E8191E"/>
    <w:rsid w:val="00E819AD"/>
    <w:rsid w:val="00E82D26"/>
    <w:rsid w:val="00E8355B"/>
    <w:rsid w:val="00E844FF"/>
    <w:rsid w:val="00E8479F"/>
    <w:rsid w:val="00E8491B"/>
    <w:rsid w:val="00E84EA7"/>
    <w:rsid w:val="00E8565D"/>
    <w:rsid w:val="00E8577D"/>
    <w:rsid w:val="00E866C5"/>
    <w:rsid w:val="00E8699F"/>
    <w:rsid w:val="00E86A99"/>
    <w:rsid w:val="00E87673"/>
    <w:rsid w:val="00E876D3"/>
    <w:rsid w:val="00E87849"/>
    <w:rsid w:val="00E9086B"/>
    <w:rsid w:val="00E908E2"/>
    <w:rsid w:val="00E90B29"/>
    <w:rsid w:val="00E913C4"/>
    <w:rsid w:val="00E9184C"/>
    <w:rsid w:val="00E91923"/>
    <w:rsid w:val="00E91FAE"/>
    <w:rsid w:val="00E92EB6"/>
    <w:rsid w:val="00E931A5"/>
    <w:rsid w:val="00E93851"/>
    <w:rsid w:val="00E94881"/>
    <w:rsid w:val="00E9492C"/>
    <w:rsid w:val="00E9494E"/>
    <w:rsid w:val="00E9515B"/>
    <w:rsid w:val="00E952D5"/>
    <w:rsid w:val="00E9587B"/>
    <w:rsid w:val="00E95B93"/>
    <w:rsid w:val="00E96123"/>
    <w:rsid w:val="00E96534"/>
    <w:rsid w:val="00EA0590"/>
    <w:rsid w:val="00EA0CED"/>
    <w:rsid w:val="00EA13F6"/>
    <w:rsid w:val="00EA1714"/>
    <w:rsid w:val="00EA1C44"/>
    <w:rsid w:val="00EA286E"/>
    <w:rsid w:val="00EA2AA6"/>
    <w:rsid w:val="00EA2FD4"/>
    <w:rsid w:val="00EA373C"/>
    <w:rsid w:val="00EA40DF"/>
    <w:rsid w:val="00EA45F6"/>
    <w:rsid w:val="00EA4C31"/>
    <w:rsid w:val="00EA5069"/>
    <w:rsid w:val="00EA593A"/>
    <w:rsid w:val="00EA5BDC"/>
    <w:rsid w:val="00EA6950"/>
    <w:rsid w:val="00EA6AAB"/>
    <w:rsid w:val="00EA6C73"/>
    <w:rsid w:val="00EA6E55"/>
    <w:rsid w:val="00EA737B"/>
    <w:rsid w:val="00EA7513"/>
    <w:rsid w:val="00EA7F77"/>
    <w:rsid w:val="00EB02B6"/>
    <w:rsid w:val="00EB06EC"/>
    <w:rsid w:val="00EB085F"/>
    <w:rsid w:val="00EB0D39"/>
    <w:rsid w:val="00EB10F4"/>
    <w:rsid w:val="00EB1707"/>
    <w:rsid w:val="00EB185A"/>
    <w:rsid w:val="00EB202C"/>
    <w:rsid w:val="00EB2726"/>
    <w:rsid w:val="00EB28D1"/>
    <w:rsid w:val="00EB2CDA"/>
    <w:rsid w:val="00EB2D82"/>
    <w:rsid w:val="00EB3606"/>
    <w:rsid w:val="00EB4CA6"/>
    <w:rsid w:val="00EB637C"/>
    <w:rsid w:val="00EB6A83"/>
    <w:rsid w:val="00EC0C8D"/>
    <w:rsid w:val="00EC0CB6"/>
    <w:rsid w:val="00EC1E04"/>
    <w:rsid w:val="00EC2094"/>
    <w:rsid w:val="00EC262B"/>
    <w:rsid w:val="00EC280F"/>
    <w:rsid w:val="00EC34F7"/>
    <w:rsid w:val="00EC3809"/>
    <w:rsid w:val="00EC3C3B"/>
    <w:rsid w:val="00EC45FC"/>
    <w:rsid w:val="00EC4B06"/>
    <w:rsid w:val="00EC59DA"/>
    <w:rsid w:val="00EC64F0"/>
    <w:rsid w:val="00EC67A9"/>
    <w:rsid w:val="00EC6E98"/>
    <w:rsid w:val="00EC7633"/>
    <w:rsid w:val="00EC7E1B"/>
    <w:rsid w:val="00ED1039"/>
    <w:rsid w:val="00ED2728"/>
    <w:rsid w:val="00ED29B6"/>
    <w:rsid w:val="00ED2ADB"/>
    <w:rsid w:val="00ED2C04"/>
    <w:rsid w:val="00ED354A"/>
    <w:rsid w:val="00ED3634"/>
    <w:rsid w:val="00ED3772"/>
    <w:rsid w:val="00ED3C33"/>
    <w:rsid w:val="00ED43D2"/>
    <w:rsid w:val="00ED4836"/>
    <w:rsid w:val="00ED4BC2"/>
    <w:rsid w:val="00ED57F7"/>
    <w:rsid w:val="00EE0211"/>
    <w:rsid w:val="00EE03AB"/>
    <w:rsid w:val="00EE0E49"/>
    <w:rsid w:val="00EE1054"/>
    <w:rsid w:val="00EE111E"/>
    <w:rsid w:val="00EE1484"/>
    <w:rsid w:val="00EE28C5"/>
    <w:rsid w:val="00EE2ED8"/>
    <w:rsid w:val="00EE3B90"/>
    <w:rsid w:val="00EE3E11"/>
    <w:rsid w:val="00EE5248"/>
    <w:rsid w:val="00EE5C3A"/>
    <w:rsid w:val="00EE5C6E"/>
    <w:rsid w:val="00EE6015"/>
    <w:rsid w:val="00EE61BF"/>
    <w:rsid w:val="00EE7288"/>
    <w:rsid w:val="00EE7452"/>
    <w:rsid w:val="00EE7A4E"/>
    <w:rsid w:val="00EE7A97"/>
    <w:rsid w:val="00EF14BD"/>
    <w:rsid w:val="00EF4774"/>
    <w:rsid w:val="00EF5464"/>
    <w:rsid w:val="00EF7797"/>
    <w:rsid w:val="00EF7FD5"/>
    <w:rsid w:val="00F00404"/>
    <w:rsid w:val="00F0065C"/>
    <w:rsid w:val="00F0079E"/>
    <w:rsid w:val="00F007F5"/>
    <w:rsid w:val="00F00AC3"/>
    <w:rsid w:val="00F00C5B"/>
    <w:rsid w:val="00F01250"/>
    <w:rsid w:val="00F0134A"/>
    <w:rsid w:val="00F01566"/>
    <w:rsid w:val="00F015B7"/>
    <w:rsid w:val="00F01631"/>
    <w:rsid w:val="00F01922"/>
    <w:rsid w:val="00F02675"/>
    <w:rsid w:val="00F036C2"/>
    <w:rsid w:val="00F04D6F"/>
    <w:rsid w:val="00F05226"/>
    <w:rsid w:val="00F054D2"/>
    <w:rsid w:val="00F06254"/>
    <w:rsid w:val="00F062D9"/>
    <w:rsid w:val="00F06A3B"/>
    <w:rsid w:val="00F072D9"/>
    <w:rsid w:val="00F0798E"/>
    <w:rsid w:val="00F10464"/>
    <w:rsid w:val="00F10F19"/>
    <w:rsid w:val="00F11C5D"/>
    <w:rsid w:val="00F12308"/>
    <w:rsid w:val="00F127A9"/>
    <w:rsid w:val="00F132F2"/>
    <w:rsid w:val="00F14869"/>
    <w:rsid w:val="00F14EC7"/>
    <w:rsid w:val="00F1558C"/>
    <w:rsid w:val="00F15EAB"/>
    <w:rsid w:val="00F16261"/>
    <w:rsid w:val="00F169C2"/>
    <w:rsid w:val="00F179D9"/>
    <w:rsid w:val="00F17F48"/>
    <w:rsid w:val="00F205ED"/>
    <w:rsid w:val="00F20974"/>
    <w:rsid w:val="00F219F6"/>
    <w:rsid w:val="00F21AA9"/>
    <w:rsid w:val="00F222F3"/>
    <w:rsid w:val="00F224C4"/>
    <w:rsid w:val="00F227CD"/>
    <w:rsid w:val="00F22BA2"/>
    <w:rsid w:val="00F22ECC"/>
    <w:rsid w:val="00F23357"/>
    <w:rsid w:val="00F2362A"/>
    <w:rsid w:val="00F23C4E"/>
    <w:rsid w:val="00F2409C"/>
    <w:rsid w:val="00F24220"/>
    <w:rsid w:val="00F25A78"/>
    <w:rsid w:val="00F25CE0"/>
    <w:rsid w:val="00F25E1A"/>
    <w:rsid w:val="00F262D5"/>
    <w:rsid w:val="00F26633"/>
    <w:rsid w:val="00F278A9"/>
    <w:rsid w:val="00F27938"/>
    <w:rsid w:val="00F30789"/>
    <w:rsid w:val="00F31226"/>
    <w:rsid w:val="00F313CB"/>
    <w:rsid w:val="00F31942"/>
    <w:rsid w:val="00F32816"/>
    <w:rsid w:val="00F32EA8"/>
    <w:rsid w:val="00F32F95"/>
    <w:rsid w:val="00F3351B"/>
    <w:rsid w:val="00F33F83"/>
    <w:rsid w:val="00F34558"/>
    <w:rsid w:val="00F34AEB"/>
    <w:rsid w:val="00F358B7"/>
    <w:rsid w:val="00F36497"/>
    <w:rsid w:val="00F366BA"/>
    <w:rsid w:val="00F36873"/>
    <w:rsid w:val="00F36C16"/>
    <w:rsid w:val="00F37617"/>
    <w:rsid w:val="00F376B9"/>
    <w:rsid w:val="00F37826"/>
    <w:rsid w:val="00F41409"/>
    <w:rsid w:val="00F419DE"/>
    <w:rsid w:val="00F42017"/>
    <w:rsid w:val="00F42EDD"/>
    <w:rsid w:val="00F43533"/>
    <w:rsid w:val="00F436BA"/>
    <w:rsid w:val="00F43888"/>
    <w:rsid w:val="00F446A5"/>
    <w:rsid w:val="00F44987"/>
    <w:rsid w:val="00F4511A"/>
    <w:rsid w:val="00F45B21"/>
    <w:rsid w:val="00F46B77"/>
    <w:rsid w:val="00F46B88"/>
    <w:rsid w:val="00F471A4"/>
    <w:rsid w:val="00F475EB"/>
    <w:rsid w:val="00F47876"/>
    <w:rsid w:val="00F47CE8"/>
    <w:rsid w:val="00F512CA"/>
    <w:rsid w:val="00F51476"/>
    <w:rsid w:val="00F51573"/>
    <w:rsid w:val="00F515D6"/>
    <w:rsid w:val="00F530D8"/>
    <w:rsid w:val="00F54140"/>
    <w:rsid w:val="00F563D4"/>
    <w:rsid w:val="00F56CE6"/>
    <w:rsid w:val="00F57329"/>
    <w:rsid w:val="00F5733F"/>
    <w:rsid w:val="00F57AC4"/>
    <w:rsid w:val="00F609E4"/>
    <w:rsid w:val="00F60AD1"/>
    <w:rsid w:val="00F6168F"/>
    <w:rsid w:val="00F628C7"/>
    <w:rsid w:val="00F62D05"/>
    <w:rsid w:val="00F63075"/>
    <w:rsid w:val="00F6319C"/>
    <w:rsid w:val="00F636F7"/>
    <w:rsid w:val="00F63A25"/>
    <w:rsid w:val="00F64BC2"/>
    <w:rsid w:val="00F656E2"/>
    <w:rsid w:val="00F65768"/>
    <w:rsid w:val="00F65965"/>
    <w:rsid w:val="00F65AAD"/>
    <w:rsid w:val="00F664B1"/>
    <w:rsid w:val="00F66A7F"/>
    <w:rsid w:val="00F670BF"/>
    <w:rsid w:val="00F67C9B"/>
    <w:rsid w:val="00F711D0"/>
    <w:rsid w:val="00F728A7"/>
    <w:rsid w:val="00F73835"/>
    <w:rsid w:val="00F73851"/>
    <w:rsid w:val="00F744A1"/>
    <w:rsid w:val="00F74824"/>
    <w:rsid w:val="00F762C9"/>
    <w:rsid w:val="00F76B20"/>
    <w:rsid w:val="00F77188"/>
    <w:rsid w:val="00F77AA7"/>
    <w:rsid w:val="00F80732"/>
    <w:rsid w:val="00F808BD"/>
    <w:rsid w:val="00F80A06"/>
    <w:rsid w:val="00F80D16"/>
    <w:rsid w:val="00F81292"/>
    <w:rsid w:val="00F836A6"/>
    <w:rsid w:val="00F83C23"/>
    <w:rsid w:val="00F84424"/>
    <w:rsid w:val="00F860FE"/>
    <w:rsid w:val="00F86134"/>
    <w:rsid w:val="00F87061"/>
    <w:rsid w:val="00F876D9"/>
    <w:rsid w:val="00F87BA4"/>
    <w:rsid w:val="00F90A69"/>
    <w:rsid w:val="00F90EDD"/>
    <w:rsid w:val="00F91664"/>
    <w:rsid w:val="00F91F7E"/>
    <w:rsid w:val="00F91F9D"/>
    <w:rsid w:val="00F92071"/>
    <w:rsid w:val="00F92435"/>
    <w:rsid w:val="00F9289E"/>
    <w:rsid w:val="00F92E99"/>
    <w:rsid w:val="00F93367"/>
    <w:rsid w:val="00F93704"/>
    <w:rsid w:val="00F93ECB"/>
    <w:rsid w:val="00F941E7"/>
    <w:rsid w:val="00F94680"/>
    <w:rsid w:val="00F94FCD"/>
    <w:rsid w:val="00F9593D"/>
    <w:rsid w:val="00F96A0D"/>
    <w:rsid w:val="00F96E6C"/>
    <w:rsid w:val="00F97014"/>
    <w:rsid w:val="00F978AD"/>
    <w:rsid w:val="00FA0166"/>
    <w:rsid w:val="00FA08D2"/>
    <w:rsid w:val="00FA10E2"/>
    <w:rsid w:val="00FA13B4"/>
    <w:rsid w:val="00FA2509"/>
    <w:rsid w:val="00FA5BB4"/>
    <w:rsid w:val="00FA728E"/>
    <w:rsid w:val="00FA7BD0"/>
    <w:rsid w:val="00FB164C"/>
    <w:rsid w:val="00FB2AE7"/>
    <w:rsid w:val="00FB369D"/>
    <w:rsid w:val="00FB4E77"/>
    <w:rsid w:val="00FB6C54"/>
    <w:rsid w:val="00FB6CAA"/>
    <w:rsid w:val="00FB6EC4"/>
    <w:rsid w:val="00FC0190"/>
    <w:rsid w:val="00FC11DC"/>
    <w:rsid w:val="00FC1610"/>
    <w:rsid w:val="00FC1D70"/>
    <w:rsid w:val="00FC3EC5"/>
    <w:rsid w:val="00FC5F6B"/>
    <w:rsid w:val="00FC684F"/>
    <w:rsid w:val="00FC6B3E"/>
    <w:rsid w:val="00FC7417"/>
    <w:rsid w:val="00FC7A13"/>
    <w:rsid w:val="00FD01E6"/>
    <w:rsid w:val="00FD0617"/>
    <w:rsid w:val="00FD30F3"/>
    <w:rsid w:val="00FD35F5"/>
    <w:rsid w:val="00FD3C09"/>
    <w:rsid w:val="00FD3EAB"/>
    <w:rsid w:val="00FD40DC"/>
    <w:rsid w:val="00FD4126"/>
    <w:rsid w:val="00FD4320"/>
    <w:rsid w:val="00FD4709"/>
    <w:rsid w:val="00FD48E6"/>
    <w:rsid w:val="00FD4D4D"/>
    <w:rsid w:val="00FD59F3"/>
    <w:rsid w:val="00FD5FAB"/>
    <w:rsid w:val="00FD7BED"/>
    <w:rsid w:val="00FD7D56"/>
    <w:rsid w:val="00FE06B6"/>
    <w:rsid w:val="00FE0FAE"/>
    <w:rsid w:val="00FE2441"/>
    <w:rsid w:val="00FE26C3"/>
    <w:rsid w:val="00FE273A"/>
    <w:rsid w:val="00FE400C"/>
    <w:rsid w:val="00FE475C"/>
    <w:rsid w:val="00FE47D5"/>
    <w:rsid w:val="00FE4842"/>
    <w:rsid w:val="00FE4CA8"/>
    <w:rsid w:val="00FE500A"/>
    <w:rsid w:val="00FE509A"/>
    <w:rsid w:val="00FE5B5D"/>
    <w:rsid w:val="00FE6188"/>
    <w:rsid w:val="00FE6741"/>
    <w:rsid w:val="00FE67B6"/>
    <w:rsid w:val="00FE6A20"/>
    <w:rsid w:val="00FF0F28"/>
    <w:rsid w:val="00FF19C5"/>
    <w:rsid w:val="00FF1C7D"/>
    <w:rsid w:val="00FF1E0C"/>
    <w:rsid w:val="00FF1E5E"/>
    <w:rsid w:val="00FF26A9"/>
    <w:rsid w:val="00FF2DD3"/>
    <w:rsid w:val="00FF2E49"/>
    <w:rsid w:val="00FF3333"/>
    <w:rsid w:val="00FF42C2"/>
    <w:rsid w:val="00FF55E1"/>
    <w:rsid w:val="00FF6B9D"/>
    <w:rsid w:val="00FF7393"/>
    <w:rsid w:val="00FF7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5B53C9"/>
  <w15:chartTrackingRefBased/>
  <w15:docId w15:val="{32535C58-4FAA-4DF4-B141-8CD18F7C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D2C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D2C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4345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921EC"/>
    <w:rPr>
      <w:sz w:val="16"/>
      <w:szCs w:val="16"/>
    </w:rPr>
  </w:style>
  <w:style w:type="paragraph" w:styleId="CommentText">
    <w:name w:val="annotation text"/>
    <w:basedOn w:val="Normal"/>
    <w:link w:val="CommentTextChar"/>
    <w:uiPriority w:val="99"/>
    <w:semiHidden/>
    <w:unhideWhenUsed/>
    <w:rsid w:val="006921EC"/>
    <w:pPr>
      <w:spacing w:line="240" w:lineRule="auto"/>
    </w:pPr>
    <w:rPr>
      <w:sz w:val="20"/>
      <w:szCs w:val="20"/>
    </w:rPr>
  </w:style>
  <w:style w:type="character" w:customStyle="1" w:styleId="CommentTextChar">
    <w:name w:val="Comment Text Char"/>
    <w:basedOn w:val="DefaultParagraphFont"/>
    <w:link w:val="CommentText"/>
    <w:uiPriority w:val="99"/>
    <w:semiHidden/>
    <w:rsid w:val="006921EC"/>
    <w:rPr>
      <w:sz w:val="20"/>
      <w:szCs w:val="20"/>
    </w:rPr>
  </w:style>
  <w:style w:type="paragraph" w:styleId="CommentSubject">
    <w:name w:val="annotation subject"/>
    <w:basedOn w:val="CommentText"/>
    <w:next w:val="CommentText"/>
    <w:link w:val="CommentSubjectChar"/>
    <w:uiPriority w:val="99"/>
    <w:semiHidden/>
    <w:unhideWhenUsed/>
    <w:rsid w:val="006921EC"/>
    <w:rPr>
      <w:b/>
      <w:bCs/>
    </w:rPr>
  </w:style>
  <w:style w:type="character" w:customStyle="1" w:styleId="CommentSubjectChar">
    <w:name w:val="Comment Subject Char"/>
    <w:basedOn w:val="CommentTextChar"/>
    <w:link w:val="CommentSubject"/>
    <w:uiPriority w:val="99"/>
    <w:semiHidden/>
    <w:rsid w:val="006921EC"/>
    <w:rPr>
      <w:b/>
      <w:bCs/>
      <w:sz w:val="20"/>
      <w:szCs w:val="20"/>
    </w:rPr>
  </w:style>
  <w:style w:type="paragraph" w:styleId="BalloonText">
    <w:name w:val="Balloon Text"/>
    <w:basedOn w:val="Normal"/>
    <w:link w:val="BalloonTextChar"/>
    <w:uiPriority w:val="99"/>
    <w:semiHidden/>
    <w:unhideWhenUsed/>
    <w:rsid w:val="006921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1EC"/>
    <w:rPr>
      <w:rFonts w:ascii="Segoe UI" w:hAnsi="Segoe UI" w:cs="Segoe UI"/>
      <w:sz w:val="18"/>
      <w:szCs w:val="18"/>
    </w:rPr>
  </w:style>
  <w:style w:type="paragraph" w:styleId="FootnoteText">
    <w:name w:val="footnote text"/>
    <w:basedOn w:val="Normal"/>
    <w:link w:val="FootnoteTextChar"/>
    <w:uiPriority w:val="99"/>
    <w:semiHidden/>
    <w:unhideWhenUsed/>
    <w:rsid w:val="006400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0092"/>
    <w:rPr>
      <w:sz w:val="20"/>
      <w:szCs w:val="20"/>
    </w:rPr>
  </w:style>
  <w:style w:type="character" w:styleId="FootnoteReference">
    <w:name w:val="footnote reference"/>
    <w:basedOn w:val="DefaultParagraphFont"/>
    <w:uiPriority w:val="99"/>
    <w:semiHidden/>
    <w:unhideWhenUsed/>
    <w:rsid w:val="00640092"/>
    <w:rPr>
      <w:vertAlign w:val="superscript"/>
    </w:rPr>
  </w:style>
  <w:style w:type="character" w:styleId="EndnoteReference">
    <w:name w:val="endnote reference"/>
    <w:basedOn w:val="DefaultParagraphFont"/>
    <w:uiPriority w:val="99"/>
    <w:semiHidden/>
    <w:unhideWhenUsed/>
    <w:rsid w:val="00DC7B7D"/>
    <w:rPr>
      <w:vertAlign w:val="superscript"/>
    </w:rPr>
  </w:style>
  <w:style w:type="paragraph" w:styleId="ListParagraph">
    <w:name w:val="List Paragraph"/>
    <w:basedOn w:val="Normal"/>
    <w:uiPriority w:val="34"/>
    <w:qFormat/>
    <w:rsid w:val="00A70741"/>
    <w:pPr>
      <w:ind w:left="720"/>
      <w:contextualSpacing/>
    </w:pPr>
  </w:style>
  <w:style w:type="paragraph" w:styleId="Header">
    <w:name w:val="header"/>
    <w:basedOn w:val="Normal"/>
    <w:link w:val="HeaderChar"/>
    <w:uiPriority w:val="99"/>
    <w:unhideWhenUsed/>
    <w:rsid w:val="00CC53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395"/>
  </w:style>
  <w:style w:type="paragraph" w:styleId="Footer">
    <w:name w:val="footer"/>
    <w:basedOn w:val="Normal"/>
    <w:link w:val="FooterChar"/>
    <w:uiPriority w:val="99"/>
    <w:unhideWhenUsed/>
    <w:rsid w:val="00CC5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395"/>
  </w:style>
  <w:style w:type="character" w:styleId="SubtleEmphasis">
    <w:name w:val="Subtle Emphasis"/>
    <w:basedOn w:val="DefaultParagraphFont"/>
    <w:uiPriority w:val="19"/>
    <w:qFormat/>
    <w:rsid w:val="00C45E34"/>
    <w:rPr>
      <w:i/>
      <w:iCs/>
      <w:color w:val="404040" w:themeColor="text1" w:themeTint="BF"/>
    </w:rPr>
  </w:style>
  <w:style w:type="table" w:styleId="TableGrid">
    <w:name w:val="Table Grid"/>
    <w:basedOn w:val="TableNormal"/>
    <w:uiPriority w:val="39"/>
    <w:rsid w:val="00D02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02F2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2D16E6"/>
    <w:rPr>
      <w:color w:val="808080"/>
    </w:rPr>
  </w:style>
  <w:style w:type="paragraph" w:styleId="Caption">
    <w:name w:val="caption"/>
    <w:basedOn w:val="Normal"/>
    <w:next w:val="Normal"/>
    <w:uiPriority w:val="35"/>
    <w:unhideWhenUsed/>
    <w:qFormat/>
    <w:rsid w:val="00F34558"/>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CD2C0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D2C0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43455"/>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3B431B"/>
    <w:pPr>
      <w:outlineLvl w:val="9"/>
    </w:pPr>
  </w:style>
  <w:style w:type="paragraph" w:styleId="TOC1">
    <w:name w:val="toc 1"/>
    <w:basedOn w:val="Normal"/>
    <w:next w:val="Normal"/>
    <w:autoRedefine/>
    <w:uiPriority w:val="39"/>
    <w:unhideWhenUsed/>
    <w:rsid w:val="003B431B"/>
    <w:pPr>
      <w:spacing w:after="100"/>
    </w:pPr>
  </w:style>
  <w:style w:type="paragraph" w:styleId="TOC2">
    <w:name w:val="toc 2"/>
    <w:basedOn w:val="Normal"/>
    <w:next w:val="Normal"/>
    <w:autoRedefine/>
    <w:uiPriority w:val="39"/>
    <w:unhideWhenUsed/>
    <w:rsid w:val="003B431B"/>
    <w:pPr>
      <w:spacing w:after="100"/>
      <w:ind w:left="220"/>
    </w:pPr>
  </w:style>
  <w:style w:type="paragraph" w:styleId="TOC3">
    <w:name w:val="toc 3"/>
    <w:basedOn w:val="Normal"/>
    <w:next w:val="Normal"/>
    <w:autoRedefine/>
    <w:uiPriority w:val="39"/>
    <w:unhideWhenUsed/>
    <w:rsid w:val="003B431B"/>
    <w:pPr>
      <w:spacing w:after="100"/>
      <w:ind w:left="440"/>
    </w:pPr>
  </w:style>
  <w:style w:type="character" w:styleId="Hyperlink">
    <w:name w:val="Hyperlink"/>
    <w:basedOn w:val="DefaultParagraphFont"/>
    <w:uiPriority w:val="99"/>
    <w:unhideWhenUsed/>
    <w:rsid w:val="003B43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5282">
      <w:bodyDiv w:val="1"/>
      <w:marLeft w:val="0"/>
      <w:marRight w:val="0"/>
      <w:marTop w:val="0"/>
      <w:marBottom w:val="0"/>
      <w:divBdr>
        <w:top w:val="none" w:sz="0" w:space="0" w:color="auto"/>
        <w:left w:val="none" w:sz="0" w:space="0" w:color="auto"/>
        <w:bottom w:val="none" w:sz="0" w:space="0" w:color="auto"/>
        <w:right w:val="none" w:sz="0" w:space="0" w:color="auto"/>
      </w:divBdr>
    </w:div>
    <w:div w:id="345521363">
      <w:bodyDiv w:val="1"/>
      <w:marLeft w:val="0"/>
      <w:marRight w:val="0"/>
      <w:marTop w:val="0"/>
      <w:marBottom w:val="0"/>
      <w:divBdr>
        <w:top w:val="none" w:sz="0" w:space="0" w:color="auto"/>
        <w:left w:val="none" w:sz="0" w:space="0" w:color="auto"/>
        <w:bottom w:val="none" w:sz="0" w:space="0" w:color="auto"/>
        <w:right w:val="none" w:sz="0" w:space="0" w:color="auto"/>
      </w:divBdr>
    </w:div>
    <w:div w:id="391850309">
      <w:bodyDiv w:val="1"/>
      <w:marLeft w:val="0"/>
      <w:marRight w:val="0"/>
      <w:marTop w:val="0"/>
      <w:marBottom w:val="0"/>
      <w:divBdr>
        <w:top w:val="none" w:sz="0" w:space="0" w:color="auto"/>
        <w:left w:val="none" w:sz="0" w:space="0" w:color="auto"/>
        <w:bottom w:val="none" w:sz="0" w:space="0" w:color="auto"/>
        <w:right w:val="none" w:sz="0" w:space="0" w:color="auto"/>
      </w:divBdr>
    </w:div>
    <w:div w:id="681320128">
      <w:bodyDiv w:val="1"/>
      <w:marLeft w:val="0"/>
      <w:marRight w:val="0"/>
      <w:marTop w:val="0"/>
      <w:marBottom w:val="0"/>
      <w:divBdr>
        <w:top w:val="none" w:sz="0" w:space="0" w:color="auto"/>
        <w:left w:val="none" w:sz="0" w:space="0" w:color="auto"/>
        <w:bottom w:val="none" w:sz="0" w:space="0" w:color="auto"/>
        <w:right w:val="none" w:sz="0" w:space="0" w:color="auto"/>
      </w:divBdr>
    </w:div>
    <w:div w:id="712510390">
      <w:bodyDiv w:val="1"/>
      <w:marLeft w:val="0"/>
      <w:marRight w:val="0"/>
      <w:marTop w:val="0"/>
      <w:marBottom w:val="0"/>
      <w:divBdr>
        <w:top w:val="none" w:sz="0" w:space="0" w:color="auto"/>
        <w:left w:val="none" w:sz="0" w:space="0" w:color="auto"/>
        <w:bottom w:val="none" w:sz="0" w:space="0" w:color="auto"/>
        <w:right w:val="none" w:sz="0" w:space="0" w:color="auto"/>
      </w:divBdr>
    </w:div>
    <w:div w:id="858469155">
      <w:bodyDiv w:val="1"/>
      <w:marLeft w:val="0"/>
      <w:marRight w:val="0"/>
      <w:marTop w:val="0"/>
      <w:marBottom w:val="0"/>
      <w:divBdr>
        <w:top w:val="none" w:sz="0" w:space="0" w:color="auto"/>
        <w:left w:val="none" w:sz="0" w:space="0" w:color="auto"/>
        <w:bottom w:val="none" w:sz="0" w:space="0" w:color="auto"/>
        <w:right w:val="none" w:sz="0" w:space="0" w:color="auto"/>
      </w:divBdr>
    </w:div>
    <w:div w:id="948196240">
      <w:bodyDiv w:val="1"/>
      <w:marLeft w:val="0"/>
      <w:marRight w:val="0"/>
      <w:marTop w:val="0"/>
      <w:marBottom w:val="0"/>
      <w:divBdr>
        <w:top w:val="none" w:sz="0" w:space="0" w:color="auto"/>
        <w:left w:val="none" w:sz="0" w:space="0" w:color="auto"/>
        <w:bottom w:val="none" w:sz="0" w:space="0" w:color="auto"/>
        <w:right w:val="none" w:sz="0" w:space="0" w:color="auto"/>
      </w:divBdr>
    </w:div>
    <w:div w:id="968241557">
      <w:bodyDiv w:val="1"/>
      <w:marLeft w:val="0"/>
      <w:marRight w:val="0"/>
      <w:marTop w:val="0"/>
      <w:marBottom w:val="0"/>
      <w:divBdr>
        <w:top w:val="none" w:sz="0" w:space="0" w:color="auto"/>
        <w:left w:val="none" w:sz="0" w:space="0" w:color="auto"/>
        <w:bottom w:val="none" w:sz="0" w:space="0" w:color="auto"/>
        <w:right w:val="none" w:sz="0" w:space="0" w:color="auto"/>
      </w:divBdr>
    </w:div>
    <w:div w:id="1022974854">
      <w:bodyDiv w:val="1"/>
      <w:marLeft w:val="0"/>
      <w:marRight w:val="0"/>
      <w:marTop w:val="0"/>
      <w:marBottom w:val="0"/>
      <w:divBdr>
        <w:top w:val="none" w:sz="0" w:space="0" w:color="auto"/>
        <w:left w:val="none" w:sz="0" w:space="0" w:color="auto"/>
        <w:bottom w:val="none" w:sz="0" w:space="0" w:color="auto"/>
        <w:right w:val="none" w:sz="0" w:space="0" w:color="auto"/>
      </w:divBdr>
    </w:div>
    <w:div w:id="1105541907">
      <w:bodyDiv w:val="1"/>
      <w:marLeft w:val="0"/>
      <w:marRight w:val="0"/>
      <w:marTop w:val="0"/>
      <w:marBottom w:val="0"/>
      <w:divBdr>
        <w:top w:val="none" w:sz="0" w:space="0" w:color="auto"/>
        <w:left w:val="none" w:sz="0" w:space="0" w:color="auto"/>
        <w:bottom w:val="none" w:sz="0" w:space="0" w:color="auto"/>
        <w:right w:val="none" w:sz="0" w:space="0" w:color="auto"/>
      </w:divBdr>
    </w:div>
    <w:div w:id="1311447667">
      <w:bodyDiv w:val="1"/>
      <w:marLeft w:val="0"/>
      <w:marRight w:val="0"/>
      <w:marTop w:val="0"/>
      <w:marBottom w:val="0"/>
      <w:divBdr>
        <w:top w:val="none" w:sz="0" w:space="0" w:color="auto"/>
        <w:left w:val="none" w:sz="0" w:space="0" w:color="auto"/>
        <w:bottom w:val="none" w:sz="0" w:space="0" w:color="auto"/>
        <w:right w:val="none" w:sz="0" w:space="0" w:color="auto"/>
      </w:divBdr>
    </w:div>
    <w:div w:id="1329022420">
      <w:bodyDiv w:val="1"/>
      <w:marLeft w:val="0"/>
      <w:marRight w:val="0"/>
      <w:marTop w:val="0"/>
      <w:marBottom w:val="0"/>
      <w:divBdr>
        <w:top w:val="none" w:sz="0" w:space="0" w:color="auto"/>
        <w:left w:val="none" w:sz="0" w:space="0" w:color="auto"/>
        <w:bottom w:val="none" w:sz="0" w:space="0" w:color="auto"/>
        <w:right w:val="none" w:sz="0" w:space="0" w:color="auto"/>
      </w:divBdr>
    </w:div>
    <w:div w:id="1604992567">
      <w:bodyDiv w:val="1"/>
      <w:marLeft w:val="0"/>
      <w:marRight w:val="0"/>
      <w:marTop w:val="0"/>
      <w:marBottom w:val="0"/>
      <w:divBdr>
        <w:top w:val="none" w:sz="0" w:space="0" w:color="auto"/>
        <w:left w:val="none" w:sz="0" w:space="0" w:color="auto"/>
        <w:bottom w:val="none" w:sz="0" w:space="0" w:color="auto"/>
        <w:right w:val="none" w:sz="0" w:space="0" w:color="auto"/>
      </w:divBdr>
    </w:div>
    <w:div w:id="1785225942">
      <w:bodyDiv w:val="1"/>
      <w:marLeft w:val="0"/>
      <w:marRight w:val="0"/>
      <w:marTop w:val="0"/>
      <w:marBottom w:val="0"/>
      <w:divBdr>
        <w:top w:val="none" w:sz="0" w:space="0" w:color="auto"/>
        <w:left w:val="none" w:sz="0" w:space="0" w:color="auto"/>
        <w:bottom w:val="none" w:sz="0" w:space="0" w:color="auto"/>
        <w:right w:val="none" w:sz="0" w:space="0" w:color="auto"/>
      </w:divBdr>
    </w:div>
    <w:div w:id="1867521667">
      <w:bodyDiv w:val="1"/>
      <w:marLeft w:val="0"/>
      <w:marRight w:val="0"/>
      <w:marTop w:val="0"/>
      <w:marBottom w:val="0"/>
      <w:divBdr>
        <w:top w:val="none" w:sz="0" w:space="0" w:color="auto"/>
        <w:left w:val="none" w:sz="0" w:space="0" w:color="auto"/>
        <w:bottom w:val="none" w:sz="0" w:space="0" w:color="auto"/>
        <w:right w:val="none" w:sz="0" w:space="0" w:color="auto"/>
      </w:divBdr>
    </w:div>
    <w:div w:id="1975791684">
      <w:bodyDiv w:val="1"/>
      <w:marLeft w:val="0"/>
      <w:marRight w:val="0"/>
      <w:marTop w:val="0"/>
      <w:marBottom w:val="0"/>
      <w:divBdr>
        <w:top w:val="none" w:sz="0" w:space="0" w:color="auto"/>
        <w:left w:val="none" w:sz="0" w:space="0" w:color="auto"/>
        <w:bottom w:val="none" w:sz="0" w:space="0" w:color="auto"/>
        <w:right w:val="none" w:sz="0" w:space="0" w:color="auto"/>
      </w:divBdr>
    </w:div>
    <w:div w:id="201931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4CC16-DDA7-4592-97D0-20DB7F751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7739</TotalTime>
  <Pages>80</Pages>
  <Words>56934</Words>
  <Characters>324525</Characters>
  <Application>Microsoft Office Word</Application>
  <DocSecurity>0</DocSecurity>
  <Lines>2704</Lines>
  <Paragraphs>761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Cannistraci</dc:creator>
  <cp:keywords/>
  <dc:description/>
  <cp:lastModifiedBy>Alyssa Cannistraci</cp:lastModifiedBy>
  <cp:revision>619</cp:revision>
  <dcterms:created xsi:type="dcterms:W3CDTF">2020-10-21T16:55:00Z</dcterms:created>
  <dcterms:modified xsi:type="dcterms:W3CDTF">2020-11-22T05:48:00Z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8e14cfe9-51f9-3045-8a7c-7333599b41b0</vt:lpwstr>
  </property>
  <property fmtid="{D5CDD505-2E9C-101B-9397-08002B2CF9AE}" pid="4" name="Mendeley Citation Style_1">
    <vt:lpwstr>http://www.zotero.org/styles/apa</vt:lpwstr>
  </property>
  <property fmtid="{D5CDD505-2E9C-101B-9397-08002B2CF9AE}" pid="5" name="Mendeley Recent Style Id 0_1">
    <vt:lpwstr>http://www.zotero.org/styles/american-meteorological-society</vt:lpwstr>
  </property>
  <property fmtid="{D5CDD505-2E9C-101B-9397-08002B2CF9AE}" pid="6" name="Mendeley Recent Style Name 0_1">
    <vt:lpwstr>American Meteorological Society</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http://www.zotero.org/styles/annals-of-the-association-of-american-geographers</vt:lpwstr>
  </property>
  <property fmtid="{D5CDD505-2E9C-101B-9397-08002B2CF9AE}" pid="14" name="Mendeley Recent Style Name 4_1">
    <vt:lpwstr>Annals of the Association of American Geographers</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