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3C6" w:rsidRPr="00A46CB2" w:rsidRDefault="00E763C6" w:rsidP="00DA45F6">
      <w:pPr>
        <w:rPr>
          <w:rFonts w:ascii="Helvetica-Bold" w:hAnsi="Helvetica-Bold" w:cs="Helvetica-Bold"/>
          <w:b/>
          <w:bCs/>
        </w:rPr>
      </w:pPr>
      <w:r w:rsidRPr="00A46CB2">
        <w:rPr>
          <w:rFonts w:ascii="Helvetica-Bold" w:hAnsi="Helvetica-Bold" w:cs="Helvetica-Bold"/>
          <w:b/>
          <w:bCs/>
        </w:rPr>
        <w:t>ASERL Spring 2011 Membership Meeting</w:t>
      </w:r>
    </w:p>
    <w:p w:rsidR="00E763C6" w:rsidRPr="00A46CB2" w:rsidRDefault="00E763C6" w:rsidP="00DA45F6">
      <w:pPr>
        <w:rPr>
          <w:rFonts w:ascii="Helvetica-Bold" w:hAnsi="Helvetica-Bold" w:cs="Helvetica-Bold"/>
          <w:b/>
          <w:bCs/>
          <w:sz w:val="22"/>
          <w:szCs w:val="22"/>
        </w:rPr>
      </w:pPr>
      <w:r w:rsidRPr="00A46CB2">
        <w:rPr>
          <w:rFonts w:ascii="Helvetica-Bold" w:hAnsi="Helvetica-Bold" w:cs="Helvetica-Bold"/>
          <w:b/>
          <w:bCs/>
          <w:sz w:val="22"/>
          <w:szCs w:val="22"/>
        </w:rPr>
        <w:t>Update:  Best Practices for Resource Sharing</w:t>
      </w:r>
    </w:p>
    <w:p w:rsidR="00E763C6" w:rsidRDefault="00E763C6" w:rsidP="00DA45F6">
      <w:pPr>
        <w:rPr>
          <w:rFonts w:ascii="Helvetica-Bold" w:hAnsi="Helvetica-Bold" w:cs="Helvetica-Bold"/>
          <w:b/>
          <w:bCs/>
          <w:sz w:val="22"/>
          <w:szCs w:val="22"/>
        </w:rPr>
      </w:pPr>
      <w:r w:rsidRPr="00A46CB2">
        <w:rPr>
          <w:rFonts w:ascii="Helvetica-Bold" w:hAnsi="Helvetica-Bold" w:cs="Helvetica-Bold"/>
          <w:b/>
          <w:bCs/>
          <w:sz w:val="22"/>
          <w:szCs w:val="22"/>
        </w:rPr>
        <w:t>David Atkins, University of Tennessee</w:t>
      </w:r>
      <w:r>
        <w:rPr>
          <w:rFonts w:ascii="Helvetica-Bold" w:hAnsi="Helvetica-Bold" w:cs="Helvetica-Bold"/>
          <w:b/>
          <w:bCs/>
          <w:sz w:val="22"/>
          <w:szCs w:val="22"/>
        </w:rPr>
        <w:t xml:space="preserve"> </w:t>
      </w:r>
    </w:p>
    <w:p w:rsidR="00E763C6" w:rsidRDefault="00E763C6" w:rsidP="00DA45F6">
      <w:pPr>
        <w:rPr>
          <w:rFonts w:asciiTheme="minorHAnsi" w:hAnsiTheme="minorHAnsi"/>
          <w:b/>
        </w:rPr>
      </w:pPr>
    </w:p>
    <w:p w:rsidR="00542740" w:rsidRDefault="00E763C6" w:rsidP="00DA45F6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1.  Benchmarking Basics:  </w:t>
      </w:r>
      <w:r w:rsidR="00DA45F6" w:rsidRPr="00314E88">
        <w:rPr>
          <w:rFonts w:asciiTheme="minorHAnsi" w:hAnsiTheme="minorHAnsi"/>
          <w:b/>
        </w:rPr>
        <w:t>ASERL Interlibrary Loan Needs Assessment and Best Practices Survey</w:t>
      </w:r>
    </w:p>
    <w:p w:rsidR="006D0E6F" w:rsidRDefault="006D0E6F" w:rsidP="00DA45F6">
      <w:pPr>
        <w:rPr>
          <w:rFonts w:asciiTheme="minorHAnsi" w:hAnsiTheme="minorHAnsi"/>
          <w:b/>
        </w:rPr>
      </w:pPr>
    </w:p>
    <w:p w:rsidR="00DA45F6" w:rsidRDefault="00DA45F6" w:rsidP="00DA45F6">
      <w:pPr>
        <w:rPr>
          <w:rFonts w:asciiTheme="minorHAnsi" w:eastAsia="Times New Roman" w:hAnsiTheme="minorHAnsi" w:cs="Times New Roman"/>
        </w:rPr>
      </w:pPr>
      <w:r>
        <w:rPr>
          <w:rFonts w:asciiTheme="minorHAnsi" w:hAnsiTheme="minorHAnsi"/>
          <w:b/>
        </w:rPr>
        <w:t xml:space="preserve">Scope and </w:t>
      </w:r>
      <w:r w:rsidRPr="001961FB">
        <w:rPr>
          <w:rFonts w:asciiTheme="minorHAnsi" w:hAnsiTheme="minorHAnsi"/>
          <w:b/>
        </w:rPr>
        <w:t>Purpose:</w:t>
      </w:r>
      <w:r w:rsidRPr="00035C7D">
        <w:rPr>
          <w:rFonts w:asciiTheme="minorHAnsi" w:hAnsiTheme="minorHAnsi"/>
        </w:rPr>
        <w:t xml:space="preserve">  </w:t>
      </w:r>
      <w:r>
        <w:rPr>
          <w:rFonts w:asciiTheme="minorHAnsi" w:hAnsiTheme="minorHAnsi"/>
        </w:rPr>
        <w:t xml:space="preserve">A working group of ASERL librarians designed a survey to assess resource sharing issues and identify best practices.  </w:t>
      </w:r>
      <w:r w:rsidRPr="00035C7D">
        <w:rPr>
          <w:rFonts w:asciiTheme="minorHAnsi" w:eastAsia="Times New Roman" w:hAnsiTheme="minorHAnsi" w:cs="Times New Roman"/>
        </w:rPr>
        <w:t>The results will assist ASERL in identifying programming and project areas to support res</w:t>
      </w:r>
      <w:r>
        <w:rPr>
          <w:rFonts w:asciiTheme="minorHAnsi" w:eastAsia="Times New Roman" w:hAnsiTheme="minorHAnsi" w:cs="Times New Roman"/>
        </w:rPr>
        <w:t xml:space="preserve">ource sharing. The survey will also produce ILL and resource sharing benchmarks useful for future planning and assessment.  </w:t>
      </w:r>
      <w:r w:rsidRPr="00035C7D">
        <w:rPr>
          <w:rFonts w:asciiTheme="minorHAnsi" w:eastAsia="Times New Roman" w:hAnsiTheme="minorHAnsi" w:cs="Times New Roman"/>
        </w:rPr>
        <w:t>T</w:t>
      </w:r>
      <w:r>
        <w:rPr>
          <w:rFonts w:asciiTheme="minorHAnsi" w:eastAsia="Times New Roman" w:hAnsiTheme="minorHAnsi" w:cs="Times New Roman"/>
        </w:rPr>
        <w:t xml:space="preserve">he survey inquires into fundamental resource sharing outputs, networks, and technologies.  To measure current best practices, the survey also incorporates </w:t>
      </w:r>
      <w:r w:rsidRPr="00036CDA">
        <w:rPr>
          <w:rFonts w:asciiTheme="minorHAnsi" w:eastAsia="Times New Roman" w:hAnsiTheme="minorHAnsi" w:cs="Times New Roman"/>
          <w:i/>
        </w:rPr>
        <w:t>Rethinking Resource Sharing "STARS" A Checklist Interlibrary Loan Assessment</w:t>
      </w:r>
      <w:r>
        <w:rPr>
          <w:rFonts w:asciiTheme="minorHAnsi" w:eastAsia="Times New Roman" w:hAnsiTheme="minorHAnsi" w:cs="Times New Roman"/>
        </w:rPr>
        <w:t xml:space="preserve">, devised by ALA/RUSA/STARS. </w:t>
      </w:r>
    </w:p>
    <w:p w:rsidR="00DA45F6" w:rsidRDefault="00DA45F6" w:rsidP="00DA45F6">
      <w:pPr>
        <w:rPr>
          <w:rFonts w:asciiTheme="minorHAnsi" w:hAnsiTheme="minorHAnsi"/>
        </w:rPr>
      </w:pPr>
      <w:r w:rsidRPr="001961FB">
        <w:rPr>
          <w:rFonts w:asciiTheme="minorHAnsi" w:hAnsiTheme="minorHAnsi"/>
          <w:b/>
        </w:rPr>
        <w:t>Survey Areas:</w:t>
      </w:r>
      <w:r>
        <w:rPr>
          <w:rFonts w:asciiTheme="minorHAnsi" w:hAnsiTheme="minorHAnsi"/>
          <w:b/>
        </w:rPr>
        <w:t xml:space="preserve">  </w:t>
      </w:r>
      <w:r>
        <w:rPr>
          <w:rFonts w:asciiTheme="minorHAnsi" w:hAnsiTheme="minorHAnsi"/>
        </w:rPr>
        <w:t>Survey respondents answered questions in the following areas:</w:t>
      </w:r>
    </w:p>
    <w:p w:rsidR="00DA45F6" w:rsidRPr="00EA0BC0" w:rsidRDefault="00DA45F6" w:rsidP="00DA45F6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r w:rsidRPr="00EA0BC0">
        <w:rPr>
          <w:rFonts w:asciiTheme="minorHAnsi" w:hAnsiTheme="minorHAnsi"/>
        </w:rPr>
        <w:t xml:space="preserve">Library Member Characteristics and ILL Technology </w:t>
      </w:r>
    </w:p>
    <w:p w:rsidR="00DA45F6" w:rsidRPr="00036CDA" w:rsidRDefault="00DA45F6" w:rsidP="00DA45F6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r w:rsidRPr="00036CDA">
        <w:rPr>
          <w:rFonts w:asciiTheme="minorHAnsi" w:hAnsiTheme="minorHAnsi"/>
        </w:rPr>
        <w:t>Resource Sharing Consortia and Networks</w:t>
      </w:r>
    </w:p>
    <w:p w:rsidR="00DA45F6" w:rsidRPr="00036CDA" w:rsidRDefault="00DA45F6" w:rsidP="00DA45F6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r w:rsidRPr="00036CDA">
        <w:rPr>
          <w:rFonts w:asciiTheme="minorHAnsi" w:hAnsiTheme="minorHAnsi"/>
        </w:rPr>
        <w:t>Campus Document Delivery</w:t>
      </w:r>
    </w:p>
    <w:p w:rsidR="00DA45F6" w:rsidRPr="00036CDA" w:rsidRDefault="00DA45F6" w:rsidP="00DA45F6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>Issues and Challenges</w:t>
      </w:r>
    </w:p>
    <w:p w:rsidR="006D0E6F" w:rsidRPr="006D0E6F" w:rsidRDefault="00DA45F6" w:rsidP="006D0E6F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r w:rsidRPr="00036CDA">
        <w:rPr>
          <w:rFonts w:asciiTheme="minorHAnsi" w:hAnsiTheme="minorHAnsi"/>
        </w:rPr>
        <w:t xml:space="preserve">Best </w:t>
      </w:r>
      <w:r>
        <w:rPr>
          <w:rFonts w:asciiTheme="minorHAnsi" w:hAnsiTheme="minorHAnsi"/>
        </w:rPr>
        <w:t>P</w:t>
      </w:r>
      <w:r w:rsidRPr="00036CDA">
        <w:rPr>
          <w:rFonts w:asciiTheme="minorHAnsi" w:hAnsiTheme="minorHAnsi"/>
        </w:rPr>
        <w:t xml:space="preserve">ractices as defined by </w:t>
      </w:r>
      <w:r w:rsidRPr="00036CDA">
        <w:rPr>
          <w:rFonts w:asciiTheme="minorHAnsi" w:hAnsiTheme="minorHAnsi"/>
          <w:i/>
        </w:rPr>
        <w:t>Rethinking Resource Sharing "STARS" A Checklist Interlibrary Loan Assessmen</w:t>
      </w:r>
      <w:r w:rsidRPr="00036CDA">
        <w:rPr>
          <w:rFonts w:asciiTheme="minorHAnsi" w:hAnsiTheme="minorHAnsi"/>
        </w:rPr>
        <w:t>t.</w:t>
      </w:r>
      <w:r w:rsidR="00353E03">
        <w:rPr>
          <w:rFonts w:asciiTheme="minorHAnsi" w:hAnsiTheme="minorHAnsi"/>
        </w:rPr>
        <w:t xml:space="preserve">  </w:t>
      </w:r>
      <w:r w:rsidR="00353E03" w:rsidRPr="00FE41CE">
        <w:rPr>
          <w:rFonts w:asciiTheme="minorHAnsi" w:hAnsiTheme="minorHAnsi"/>
          <w:b/>
        </w:rPr>
        <w:t>Libraries scoring 80% or higher earn STARS award.</w:t>
      </w:r>
    </w:p>
    <w:p w:rsidR="00FE41CE" w:rsidRPr="00E763C6" w:rsidRDefault="00FE41CE" w:rsidP="00FE41CE">
      <w:pPr>
        <w:pStyle w:val="ListParagraph"/>
        <w:rPr>
          <w:rFonts w:asciiTheme="minorHAnsi" w:hAnsiTheme="minorHAnsi"/>
        </w:rPr>
      </w:pPr>
    </w:p>
    <w:p w:rsidR="006D0E6F" w:rsidRDefault="006D0E6F" w:rsidP="00E763C6">
      <w:pPr>
        <w:rPr>
          <w:rFonts w:asciiTheme="minorHAnsi" w:eastAsia="Times New Roman" w:hAnsiTheme="minorHAnsi" w:cs="Times New Roman"/>
        </w:rPr>
      </w:pPr>
      <w:r w:rsidRPr="001961FB">
        <w:rPr>
          <w:rFonts w:asciiTheme="minorHAnsi" w:eastAsia="Times New Roman" w:hAnsiTheme="minorHAnsi" w:cs="Times New Roman"/>
          <w:b/>
        </w:rPr>
        <w:t>Participation:</w:t>
      </w:r>
      <w:r>
        <w:rPr>
          <w:rFonts w:asciiTheme="minorHAnsi" w:eastAsia="Times New Roman" w:hAnsiTheme="minorHAnsi" w:cs="Times New Roman"/>
        </w:rPr>
        <w:t xml:space="preserve">  32 out of 38 eligible libraries completed the survey. </w:t>
      </w:r>
    </w:p>
    <w:p w:rsidR="006D0E6F" w:rsidRPr="006D0E6F" w:rsidRDefault="006D0E6F" w:rsidP="00E763C6">
      <w:pPr>
        <w:rPr>
          <w:rFonts w:asciiTheme="minorHAnsi" w:eastAsia="Times New Roman" w:hAnsiTheme="minorHAnsi" w:cs="Times New Roman"/>
        </w:rPr>
      </w:pPr>
    </w:p>
    <w:p w:rsidR="00E763C6" w:rsidRPr="00E763C6" w:rsidRDefault="00E763C6" w:rsidP="00E763C6">
      <w:pPr>
        <w:rPr>
          <w:rFonts w:asciiTheme="minorHAnsi" w:hAnsiTheme="minorHAnsi"/>
        </w:rPr>
      </w:pPr>
      <w:r w:rsidRPr="00E763C6">
        <w:rPr>
          <w:rFonts w:asciiTheme="minorHAnsi" w:hAnsiTheme="minorHAnsi"/>
          <w:b/>
        </w:rPr>
        <w:t>Preliminary Summary</w:t>
      </w:r>
      <w:r w:rsidR="006D0E6F">
        <w:rPr>
          <w:rFonts w:asciiTheme="minorHAnsi" w:hAnsiTheme="minorHAnsi"/>
          <w:b/>
        </w:rPr>
        <w:t xml:space="preserve">:  </w:t>
      </w:r>
      <w:r w:rsidR="006D0E6F">
        <w:rPr>
          <w:rFonts w:asciiTheme="minorHAnsi" w:hAnsiTheme="minorHAnsi"/>
        </w:rPr>
        <w:t xml:space="preserve"> Distributed during </w:t>
      </w:r>
      <w:r>
        <w:rPr>
          <w:rFonts w:asciiTheme="minorHAnsi" w:hAnsiTheme="minorHAnsi"/>
        </w:rPr>
        <w:t>Novembe</w:t>
      </w:r>
      <w:r w:rsidR="00542740">
        <w:rPr>
          <w:rFonts w:asciiTheme="minorHAnsi" w:hAnsiTheme="minorHAnsi"/>
        </w:rPr>
        <w:t>r</w:t>
      </w:r>
      <w:r w:rsidR="006D0E6F">
        <w:rPr>
          <w:rFonts w:asciiTheme="minorHAnsi" w:hAnsiTheme="minorHAnsi"/>
        </w:rPr>
        <w:t>’s meeting</w:t>
      </w:r>
      <w:r w:rsidR="00542740">
        <w:rPr>
          <w:rFonts w:asciiTheme="minorHAnsi" w:hAnsiTheme="minorHAnsi"/>
        </w:rPr>
        <w:t xml:space="preserve">.  </w:t>
      </w:r>
      <w:proofErr w:type="gramStart"/>
      <w:r w:rsidR="00542740">
        <w:rPr>
          <w:rFonts w:asciiTheme="minorHAnsi" w:hAnsiTheme="minorHAnsi"/>
        </w:rPr>
        <w:t>Committee expanding report and s</w:t>
      </w:r>
      <w:r>
        <w:rPr>
          <w:rFonts w:asciiTheme="minorHAnsi" w:hAnsiTheme="minorHAnsi"/>
        </w:rPr>
        <w:t>eeking publication and presentation opportunities.</w:t>
      </w:r>
      <w:proofErr w:type="gramEnd"/>
    </w:p>
    <w:p w:rsidR="00353E03" w:rsidRDefault="00353E03" w:rsidP="00353E03">
      <w:pPr>
        <w:rPr>
          <w:rFonts w:asciiTheme="minorHAnsi" w:hAnsiTheme="minorHAnsi"/>
        </w:rPr>
      </w:pPr>
    </w:p>
    <w:p w:rsidR="006B7B33" w:rsidRPr="0063533E" w:rsidRDefault="0063533E" w:rsidP="00353E03">
      <w:pPr>
        <w:rPr>
          <w:rFonts w:asciiTheme="minorHAnsi" w:hAnsiTheme="minorHAnsi"/>
          <w:b/>
        </w:rPr>
      </w:pPr>
      <w:r w:rsidRPr="0063533E">
        <w:rPr>
          <w:rFonts w:asciiTheme="minorHAnsi" w:hAnsiTheme="minorHAnsi"/>
          <w:b/>
        </w:rPr>
        <w:t>Some Results</w:t>
      </w:r>
    </w:p>
    <w:p w:rsidR="006B7B33" w:rsidRPr="00353E03" w:rsidRDefault="006B7B33" w:rsidP="00353E03">
      <w:pPr>
        <w:rPr>
          <w:rFonts w:asciiTheme="minorHAnsi" w:hAnsiTheme="minorHAnsi"/>
        </w:rPr>
      </w:pPr>
      <w:r w:rsidRPr="006B7B33">
        <w:rPr>
          <w:rFonts w:asciiTheme="minorHAnsi" w:hAnsiTheme="minorHAnsi"/>
        </w:rPr>
        <w:drawing>
          <wp:inline distT="0" distB="0" distL="0" distR="0">
            <wp:extent cx="5077460" cy="2914650"/>
            <wp:effectExtent l="19050" t="0" r="27940" b="0"/>
            <wp:docPr id="7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D0E6F" w:rsidRDefault="006D0E6F" w:rsidP="00E763C6">
      <w:pPr>
        <w:rPr>
          <w:rFonts w:asciiTheme="minorHAnsi" w:hAnsiTheme="minorHAnsi"/>
          <w:b/>
        </w:rPr>
      </w:pPr>
    </w:p>
    <w:p w:rsidR="00E763C6" w:rsidRDefault="00E763C6" w:rsidP="00E763C6">
      <w:pPr>
        <w:rPr>
          <w:rFonts w:asciiTheme="minorHAnsi" w:hAnsiTheme="minorHAnsi"/>
          <w:b/>
        </w:rPr>
      </w:pPr>
      <w:r w:rsidRPr="00542740">
        <w:rPr>
          <w:rFonts w:asciiTheme="minorHAnsi" w:hAnsiTheme="minorHAnsi"/>
          <w:b/>
        </w:rPr>
        <w:t xml:space="preserve">2.  Whose Best Practices?   Rethinking Resource Sharing </w:t>
      </w:r>
      <w:r w:rsidR="00542740">
        <w:rPr>
          <w:rFonts w:asciiTheme="minorHAnsi" w:hAnsiTheme="minorHAnsi"/>
          <w:b/>
        </w:rPr>
        <w:t xml:space="preserve">(RRS) </w:t>
      </w:r>
    </w:p>
    <w:p w:rsidR="00542740" w:rsidRDefault="00542740" w:rsidP="00E763C6">
      <w:pPr>
        <w:rPr>
          <w:rFonts w:asciiTheme="minorHAnsi" w:hAnsiTheme="minorHAnsi"/>
          <w:b/>
        </w:rPr>
      </w:pPr>
    </w:p>
    <w:p w:rsidR="00447673" w:rsidRDefault="00542740" w:rsidP="00A46CB2">
      <w:pPr>
        <w:rPr>
          <w:rFonts w:asciiTheme="minorHAnsi" w:hAnsiTheme="minorHAnsi"/>
        </w:rPr>
      </w:pPr>
      <w:r>
        <w:rPr>
          <w:rFonts w:asciiTheme="minorHAnsi" w:hAnsiTheme="minorHAnsi"/>
          <w:b/>
        </w:rPr>
        <w:t>RRS’</w:t>
      </w:r>
      <w:r w:rsidR="00B92367">
        <w:rPr>
          <w:rFonts w:asciiTheme="minorHAnsi" w:hAnsiTheme="minorHAnsi"/>
          <w:b/>
        </w:rPr>
        <w:t>s</w:t>
      </w:r>
      <w:r>
        <w:rPr>
          <w:rFonts w:asciiTheme="minorHAnsi" w:hAnsiTheme="minorHAnsi"/>
          <w:b/>
        </w:rPr>
        <w:t xml:space="preserve"> </w:t>
      </w:r>
      <w:r w:rsidRPr="00542740">
        <w:rPr>
          <w:rFonts w:asciiTheme="minorHAnsi" w:hAnsiTheme="minorHAnsi"/>
          <w:b/>
        </w:rPr>
        <w:t>Goal:</w:t>
      </w:r>
      <w:r w:rsidRPr="00542740">
        <w:rPr>
          <w:rFonts w:asciiTheme="minorHAnsi" w:hAnsiTheme="minorHAnsi"/>
        </w:rPr>
        <w:t xml:space="preserve">  Create and promote best policies and practices for truly valued and valuable resource sharing.  </w:t>
      </w:r>
      <w:r>
        <w:rPr>
          <w:rFonts w:asciiTheme="minorHAnsi" w:hAnsiTheme="minorHAnsi"/>
        </w:rPr>
        <w:t xml:space="preserve"> Lines blurring between </w:t>
      </w:r>
      <w:proofErr w:type="gramStart"/>
      <w:r>
        <w:rPr>
          <w:rFonts w:asciiTheme="minorHAnsi" w:hAnsiTheme="minorHAnsi"/>
        </w:rPr>
        <w:t>ILL</w:t>
      </w:r>
      <w:proofErr w:type="gramEnd"/>
      <w:r>
        <w:rPr>
          <w:rFonts w:asciiTheme="minorHAnsi" w:hAnsiTheme="minorHAnsi"/>
        </w:rPr>
        <w:t>, circulation, acquisitions, reference.  How does resource sharing fit in a changing landscape.</w:t>
      </w:r>
    </w:p>
    <w:p w:rsidR="00A46CB2" w:rsidRPr="00A46CB2" w:rsidRDefault="00A46CB2" w:rsidP="00A46CB2">
      <w:pPr>
        <w:rPr>
          <w:rFonts w:asciiTheme="minorHAnsi" w:hAnsiTheme="minorHAnsi"/>
        </w:rPr>
      </w:pPr>
    </w:p>
    <w:p w:rsidR="00447673" w:rsidRDefault="00447673" w:rsidP="00447673">
      <w:pPr>
        <w:pStyle w:val="NoSpacing"/>
        <w:rPr>
          <w:rFonts w:asciiTheme="minorHAnsi" w:hAnsiTheme="minorHAnsi"/>
          <w:b/>
        </w:rPr>
      </w:pPr>
      <w:r w:rsidRPr="00A46CB2">
        <w:rPr>
          <w:rFonts w:asciiTheme="minorHAnsi" w:hAnsiTheme="minorHAnsi"/>
          <w:b/>
        </w:rPr>
        <w:t>Many Libraries Currently Follow RRS Best Practices</w:t>
      </w:r>
    </w:p>
    <w:p w:rsidR="00447673" w:rsidRDefault="00447673" w:rsidP="00447673">
      <w:pPr>
        <w:pStyle w:val="NoSpacing"/>
        <w:numPr>
          <w:ilvl w:val="0"/>
          <w:numId w:val="6"/>
        </w:numPr>
        <w:rPr>
          <w:rFonts w:asciiTheme="minorHAnsi" w:hAnsiTheme="minorHAnsi"/>
        </w:rPr>
      </w:pPr>
      <w:r w:rsidRPr="00447673">
        <w:rPr>
          <w:rFonts w:asciiTheme="minorHAnsi" w:hAnsiTheme="minorHAnsi"/>
        </w:rPr>
        <w:t>All 32 follow 9 prac</w:t>
      </w:r>
      <w:r>
        <w:rPr>
          <w:rFonts w:asciiTheme="minorHAnsi" w:hAnsiTheme="minorHAnsi"/>
        </w:rPr>
        <w:t>tices</w:t>
      </w:r>
      <w:r w:rsidR="00A46CB2">
        <w:rPr>
          <w:rFonts w:asciiTheme="minorHAnsi" w:hAnsiTheme="minorHAnsi"/>
        </w:rPr>
        <w:t xml:space="preserve"> (e.g.)</w:t>
      </w:r>
    </w:p>
    <w:p w:rsidR="00447673" w:rsidRPr="00447673" w:rsidRDefault="00447673" w:rsidP="00447673">
      <w:pPr>
        <w:pStyle w:val="NoSpacing"/>
        <w:numPr>
          <w:ilvl w:val="0"/>
          <w:numId w:val="7"/>
        </w:numPr>
        <w:ind w:left="1080"/>
        <w:rPr>
          <w:rFonts w:asciiTheme="minorHAnsi" w:hAnsiTheme="minorHAnsi"/>
        </w:rPr>
      </w:pPr>
      <w:r w:rsidRPr="00447673">
        <w:rPr>
          <w:rFonts w:asciiTheme="minorHAnsi" w:hAnsiTheme="minorHAnsi"/>
        </w:rPr>
        <w:t xml:space="preserve">Library’s holdings are discoverable in www.worldcat.org         </w:t>
      </w:r>
    </w:p>
    <w:p w:rsidR="00447673" w:rsidRPr="00447673" w:rsidRDefault="00447673" w:rsidP="00447673">
      <w:pPr>
        <w:pStyle w:val="NoSpacing"/>
        <w:numPr>
          <w:ilvl w:val="0"/>
          <w:numId w:val="7"/>
        </w:numPr>
        <w:ind w:left="1080"/>
        <w:rPr>
          <w:rFonts w:asciiTheme="minorHAnsi" w:hAnsiTheme="minorHAnsi"/>
        </w:rPr>
      </w:pPr>
      <w:r w:rsidRPr="00447673">
        <w:rPr>
          <w:rFonts w:asciiTheme="minorHAnsi" w:hAnsiTheme="minorHAnsi"/>
        </w:rPr>
        <w:t xml:space="preserve">Library utilizes open URL resolvers   </w:t>
      </w:r>
    </w:p>
    <w:p w:rsidR="00447673" w:rsidRPr="00447673" w:rsidRDefault="00447673" w:rsidP="00447673">
      <w:pPr>
        <w:pStyle w:val="NoSpacing"/>
        <w:numPr>
          <w:ilvl w:val="0"/>
          <w:numId w:val="7"/>
        </w:numPr>
        <w:ind w:left="1080"/>
        <w:rPr>
          <w:rFonts w:asciiTheme="minorHAnsi" w:hAnsiTheme="minorHAnsi"/>
        </w:rPr>
      </w:pPr>
      <w:r w:rsidRPr="00447673">
        <w:rPr>
          <w:rFonts w:asciiTheme="minorHAnsi" w:hAnsiTheme="minorHAnsi"/>
        </w:rPr>
        <w:t xml:space="preserve">Library’s borrowing policies and procedures are posted for users   </w:t>
      </w:r>
    </w:p>
    <w:p w:rsidR="00447673" w:rsidRPr="00447673" w:rsidRDefault="00447673" w:rsidP="00447673">
      <w:pPr>
        <w:pStyle w:val="NoSpacing"/>
        <w:numPr>
          <w:ilvl w:val="0"/>
          <w:numId w:val="7"/>
        </w:numPr>
        <w:ind w:left="1080"/>
        <w:rPr>
          <w:rFonts w:asciiTheme="minorHAnsi" w:hAnsiTheme="minorHAnsi"/>
        </w:rPr>
      </w:pPr>
      <w:r w:rsidRPr="00447673">
        <w:rPr>
          <w:rFonts w:asciiTheme="minorHAnsi" w:hAnsiTheme="minorHAnsi"/>
        </w:rPr>
        <w:t xml:space="preserve">Library staff is aware of the sharing permissions of the licensed content at the library     </w:t>
      </w:r>
    </w:p>
    <w:p w:rsidR="00447673" w:rsidRDefault="00447673" w:rsidP="00447673">
      <w:pPr>
        <w:pStyle w:val="NoSpacing"/>
        <w:numPr>
          <w:ilvl w:val="0"/>
          <w:numId w:val="7"/>
        </w:numPr>
        <w:ind w:left="1080"/>
        <w:rPr>
          <w:rFonts w:asciiTheme="minorHAnsi" w:hAnsiTheme="minorHAnsi"/>
        </w:rPr>
      </w:pPr>
      <w:r w:rsidRPr="00447673">
        <w:rPr>
          <w:rFonts w:asciiTheme="minorHAnsi" w:hAnsiTheme="minorHAnsi"/>
        </w:rPr>
        <w:t>Library participates in reciprocal agreements with other library</w:t>
      </w:r>
    </w:p>
    <w:p w:rsidR="00447673" w:rsidRDefault="00447673" w:rsidP="00447673">
      <w:pPr>
        <w:pStyle w:val="NoSpacing"/>
        <w:ind w:left="720"/>
        <w:rPr>
          <w:rFonts w:asciiTheme="minorHAnsi" w:hAnsiTheme="minorHAnsi"/>
        </w:rPr>
      </w:pPr>
    </w:p>
    <w:p w:rsidR="00447673" w:rsidRDefault="00447673" w:rsidP="00447673">
      <w:pPr>
        <w:pStyle w:val="NoSpacing"/>
        <w:numPr>
          <w:ilvl w:val="0"/>
          <w:numId w:val="6"/>
        </w:numPr>
        <w:rPr>
          <w:rFonts w:asciiTheme="minorHAnsi" w:hAnsiTheme="minorHAnsi"/>
        </w:rPr>
      </w:pPr>
      <w:r w:rsidRPr="00447673">
        <w:rPr>
          <w:rFonts w:asciiTheme="minorHAnsi" w:hAnsiTheme="minorHAnsi"/>
        </w:rPr>
        <w:t>31</w:t>
      </w:r>
      <w:r>
        <w:rPr>
          <w:rFonts w:asciiTheme="minorHAnsi" w:hAnsiTheme="minorHAnsi"/>
        </w:rPr>
        <w:t xml:space="preserve"> Libraries</w:t>
      </w:r>
      <w:r w:rsidRPr="00447673">
        <w:rPr>
          <w:rFonts w:asciiTheme="minorHAnsi" w:hAnsiTheme="minorHAnsi"/>
        </w:rPr>
        <w:t xml:space="preserve"> follow 19 practices</w:t>
      </w:r>
      <w:r w:rsidR="00A46CB2">
        <w:rPr>
          <w:rFonts w:asciiTheme="minorHAnsi" w:hAnsiTheme="minorHAnsi"/>
        </w:rPr>
        <w:t xml:space="preserve"> (</w:t>
      </w:r>
      <w:proofErr w:type="spellStart"/>
      <w:r w:rsidR="00A46CB2">
        <w:rPr>
          <w:rFonts w:asciiTheme="minorHAnsi" w:hAnsiTheme="minorHAnsi"/>
        </w:rPr>
        <w:t>e.g</w:t>
      </w:r>
      <w:proofErr w:type="spellEnd"/>
      <w:r w:rsidR="00A46CB2">
        <w:rPr>
          <w:rFonts w:asciiTheme="minorHAnsi" w:hAnsiTheme="minorHAnsi"/>
        </w:rPr>
        <w:t>)</w:t>
      </w:r>
    </w:p>
    <w:p w:rsidR="00447673" w:rsidRPr="00447673" w:rsidRDefault="00447673" w:rsidP="00447673">
      <w:pPr>
        <w:pStyle w:val="NoSpacing"/>
        <w:numPr>
          <w:ilvl w:val="1"/>
          <w:numId w:val="6"/>
        </w:numPr>
        <w:rPr>
          <w:rFonts w:asciiTheme="minorHAnsi" w:hAnsiTheme="minorHAnsi"/>
        </w:rPr>
      </w:pPr>
      <w:r w:rsidRPr="00447673">
        <w:rPr>
          <w:rFonts w:asciiTheme="minorHAnsi" w:hAnsiTheme="minorHAnsi"/>
        </w:rPr>
        <w:t xml:space="preserve">Library processes user requests within 2 business days     </w:t>
      </w:r>
    </w:p>
    <w:p w:rsidR="00447673" w:rsidRPr="00447673" w:rsidRDefault="00447673" w:rsidP="00447673">
      <w:pPr>
        <w:pStyle w:val="NoSpacing"/>
        <w:numPr>
          <w:ilvl w:val="1"/>
          <w:numId w:val="6"/>
        </w:numPr>
        <w:rPr>
          <w:rFonts w:asciiTheme="minorHAnsi" w:hAnsiTheme="minorHAnsi"/>
        </w:rPr>
      </w:pPr>
      <w:r w:rsidRPr="00447673">
        <w:rPr>
          <w:rFonts w:asciiTheme="minorHAnsi" w:hAnsiTheme="minorHAnsi"/>
        </w:rPr>
        <w:t xml:space="preserve">Library provides online status of requests for users 24/7     </w:t>
      </w:r>
    </w:p>
    <w:p w:rsidR="00447673" w:rsidRPr="00447673" w:rsidRDefault="00447673" w:rsidP="00447673">
      <w:pPr>
        <w:pStyle w:val="NoSpacing"/>
        <w:numPr>
          <w:ilvl w:val="1"/>
          <w:numId w:val="6"/>
        </w:numPr>
        <w:rPr>
          <w:rFonts w:asciiTheme="minorHAnsi" w:hAnsiTheme="minorHAnsi"/>
        </w:rPr>
      </w:pPr>
      <w:r w:rsidRPr="00447673">
        <w:rPr>
          <w:rFonts w:asciiTheme="minorHAnsi" w:hAnsiTheme="minorHAnsi"/>
        </w:rPr>
        <w:t xml:space="preserve">Borrowing library sends request to libraries outside of home country     </w:t>
      </w:r>
    </w:p>
    <w:p w:rsidR="00447673" w:rsidRPr="00447673" w:rsidRDefault="00447673" w:rsidP="00447673">
      <w:pPr>
        <w:pStyle w:val="NoSpacing"/>
        <w:numPr>
          <w:ilvl w:val="1"/>
          <w:numId w:val="6"/>
        </w:numPr>
        <w:rPr>
          <w:rFonts w:asciiTheme="minorHAnsi" w:hAnsiTheme="minorHAnsi"/>
        </w:rPr>
      </w:pPr>
      <w:r w:rsidRPr="00447673">
        <w:rPr>
          <w:rFonts w:asciiTheme="minorHAnsi" w:hAnsiTheme="minorHAnsi"/>
        </w:rPr>
        <w:t xml:space="preserve">Lending library loans new items   </w:t>
      </w:r>
    </w:p>
    <w:p w:rsidR="00447673" w:rsidRDefault="00447673" w:rsidP="00447673">
      <w:pPr>
        <w:pStyle w:val="NoSpacing"/>
        <w:numPr>
          <w:ilvl w:val="1"/>
          <w:numId w:val="6"/>
        </w:numPr>
        <w:rPr>
          <w:rFonts w:asciiTheme="minorHAnsi" w:hAnsiTheme="minorHAnsi"/>
        </w:rPr>
      </w:pPr>
      <w:r w:rsidRPr="00447673">
        <w:rPr>
          <w:rFonts w:asciiTheme="minorHAnsi" w:hAnsiTheme="minorHAnsi"/>
        </w:rPr>
        <w:t xml:space="preserve">Library allows for remote renewals of materials   </w:t>
      </w:r>
    </w:p>
    <w:p w:rsidR="00A46CB2" w:rsidRDefault="00A46CB2" w:rsidP="00447673">
      <w:pPr>
        <w:pStyle w:val="NoSpacing"/>
        <w:rPr>
          <w:rFonts w:asciiTheme="minorHAnsi" w:hAnsiTheme="minorHAnsi"/>
          <w:b/>
        </w:rPr>
      </w:pPr>
    </w:p>
    <w:p w:rsidR="00447673" w:rsidRDefault="00A46CB2" w:rsidP="00447673">
      <w:pPr>
        <w:pStyle w:val="NoSpacing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Many Libraries A</w:t>
      </w:r>
      <w:r w:rsidRPr="00A46CB2">
        <w:rPr>
          <w:rFonts w:asciiTheme="minorHAnsi" w:hAnsiTheme="minorHAnsi"/>
          <w:b/>
        </w:rPr>
        <w:t>ren’</w:t>
      </w:r>
      <w:r>
        <w:rPr>
          <w:rFonts w:asciiTheme="minorHAnsi" w:hAnsiTheme="minorHAnsi"/>
          <w:b/>
        </w:rPr>
        <w:t>t Following Other P</w:t>
      </w:r>
      <w:r w:rsidRPr="00A46CB2">
        <w:rPr>
          <w:rFonts w:asciiTheme="minorHAnsi" w:hAnsiTheme="minorHAnsi"/>
          <w:b/>
        </w:rPr>
        <w:t>ractices</w:t>
      </w:r>
    </w:p>
    <w:p w:rsidR="00A46CB2" w:rsidRPr="00A46CB2" w:rsidRDefault="0063533E" w:rsidP="00A46CB2">
      <w:pPr>
        <w:pStyle w:val="NoSpacing"/>
        <w:numPr>
          <w:ilvl w:val="0"/>
          <w:numId w:val="9"/>
        </w:numPr>
        <w:rPr>
          <w:rFonts w:asciiTheme="minorHAnsi" w:hAnsiTheme="minorHAnsi"/>
        </w:rPr>
      </w:pPr>
      <w:r>
        <w:rPr>
          <w:rFonts w:asciiTheme="minorHAnsi" w:hAnsiTheme="minorHAnsi"/>
        </w:rPr>
        <w:t>Only 12% f</w:t>
      </w:r>
      <w:r w:rsidR="00A46CB2" w:rsidRPr="00A46CB2">
        <w:rPr>
          <w:rFonts w:asciiTheme="minorHAnsi" w:hAnsiTheme="minorHAnsi"/>
        </w:rPr>
        <w:t xml:space="preserve">ollow </w:t>
      </w:r>
      <w:r>
        <w:rPr>
          <w:rFonts w:asciiTheme="minorHAnsi" w:hAnsiTheme="minorHAnsi"/>
        </w:rPr>
        <w:t>these practices</w:t>
      </w:r>
    </w:p>
    <w:p w:rsidR="00A46CB2" w:rsidRPr="00A46CB2" w:rsidRDefault="00A46CB2" w:rsidP="00A46CB2">
      <w:pPr>
        <w:pStyle w:val="NoSpacing"/>
        <w:numPr>
          <w:ilvl w:val="1"/>
          <w:numId w:val="9"/>
        </w:numPr>
        <w:rPr>
          <w:rFonts w:asciiTheme="minorHAnsi" w:hAnsiTheme="minorHAnsi"/>
        </w:rPr>
      </w:pPr>
      <w:r w:rsidRPr="00A46CB2">
        <w:rPr>
          <w:rFonts w:asciiTheme="minorHAnsi" w:hAnsiTheme="minorHAnsi"/>
        </w:rPr>
        <w:t xml:space="preserve">Lending library allows unlimited renewals for items not needed locally   </w:t>
      </w:r>
    </w:p>
    <w:p w:rsidR="00A46CB2" w:rsidRPr="00A46CB2" w:rsidRDefault="00A46CB2" w:rsidP="00A46CB2">
      <w:pPr>
        <w:pStyle w:val="NoSpacing"/>
        <w:numPr>
          <w:ilvl w:val="1"/>
          <w:numId w:val="9"/>
        </w:numPr>
        <w:rPr>
          <w:rFonts w:asciiTheme="minorHAnsi" w:hAnsiTheme="minorHAnsi"/>
        </w:rPr>
      </w:pPr>
      <w:r w:rsidRPr="00A46CB2">
        <w:rPr>
          <w:rFonts w:asciiTheme="minorHAnsi" w:hAnsiTheme="minorHAnsi"/>
        </w:rPr>
        <w:t xml:space="preserve">Borrowing library allows for direct delivery of materials from the lending library to the end user   </w:t>
      </w:r>
    </w:p>
    <w:p w:rsidR="00A46CB2" w:rsidRPr="00A46CB2" w:rsidRDefault="00A46CB2" w:rsidP="00A46CB2">
      <w:pPr>
        <w:pStyle w:val="NoSpacing"/>
        <w:numPr>
          <w:ilvl w:val="1"/>
          <w:numId w:val="9"/>
        </w:numPr>
        <w:rPr>
          <w:rFonts w:asciiTheme="minorHAnsi" w:hAnsiTheme="minorHAnsi"/>
        </w:rPr>
      </w:pPr>
      <w:r w:rsidRPr="00A46CB2">
        <w:rPr>
          <w:rFonts w:asciiTheme="minorHAnsi" w:hAnsiTheme="minorHAnsi"/>
        </w:rPr>
        <w:t xml:space="preserve">Lending library distinguishes fees for unique materials   </w:t>
      </w:r>
    </w:p>
    <w:p w:rsidR="00A46CB2" w:rsidRPr="00A46CB2" w:rsidRDefault="00A46CB2" w:rsidP="00A46CB2">
      <w:pPr>
        <w:pStyle w:val="NoSpacing"/>
        <w:numPr>
          <w:ilvl w:val="1"/>
          <w:numId w:val="9"/>
        </w:numPr>
        <w:rPr>
          <w:rFonts w:asciiTheme="minorHAnsi" w:hAnsiTheme="minorHAnsi"/>
        </w:rPr>
      </w:pPr>
      <w:r w:rsidRPr="00A46CB2">
        <w:rPr>
          <w:rFonts w:asciiTheme="minorHAnsi" w:hAnsiTheme="minorHAnsi"/>
        </w:rPr>
        <w:t xml:space="preserve">Library uses DOCLINE EFTS to manage fee transactions   </w:t>
      </w:r>
    </w:p>
    <w:p w:rsidR="00A46CB2" w:rsidRDefault="00A46CB2" w:rsidP="00A46CB2">
      <w:pPr>
        <w:pStyle w:val="NoSpacing"/>
        <w:numPr>
          <w:ilvl w:val="1"/>
          <w:numId w:val="9"/>
        </w:numPr>
        <w:rPr>
          <w:rFonts w:asciiTheme="minorHAnsi" w:hAnsiTheme="minorHAnsi"/>
        </w:rPr>
      </w:pPr>
      <w:r w:rsidRPr="00A46CB2">
        <w:rPr>
          <w:rFonts w:asciiTheme="minorHAnsi" w:hAnsiTheme="minorHAnsi"/>
        </w:rPr>
        <w:t>Lending library offers incentives for early return of materials</w:t>
      </w:r>
    </w:p>
    <w:p w:rsidR="006B7B33" w:rsidRDefault="006B7B33" w:rsidP="006B7B33">
      <w:pPr>
        <w:pStyle w:val="NoSpacing"/>
        <w:rPr>
          <w:rFonts w:asciiTheme="minorHAnsi" w:hAnsiTheme="minorHAnsi"/>
        </w:rPr>
      </w:pPr>
    </w:p>
    <w:p w:rsidR="006B7B33" w:rsidRDefault="006B7B33" w:rsidP="006B7B33">
      <w:pPr>
        <w:rPr>
          <w:rFonts w:asciiTheme="minorHAnsi" w:hAnsiTheme="minorHAnsi"/>
          <w:i/>
          <w:sz w:val="20"/>
          <w:szCs w:val="20"/>
        </w:rPr>
      </w:pPr>
      <w:r w:rsidRPr="00A46CB2">
        <w:rPr>
          <w:rFonts w:asciiTheme="minorHAnsi" w:hAnsiTheme="minorHAnsi"/>
          <w:b/>
        </w:rPr>
        <w:t>18 of 32 scored 80% or higher, earning the newly created RRS “Star” Award.</w:t>
      </w:r>
      <w:r w:rsidR="0063533E">
        <w:rPr>
          <w:rFonts w:asciiTheme="minorHAnsi" w:hAnsiTheme="minorHAnsi"/>
          <w:b/>
        </w:rPr>
        <w:t xml:space="preserve"> </w:t>
      </w:r>
      <w:r w:rsidR="0063533E" w:rsidRPr="0063533E">
        <w:rPr>
          <w:rFonts w:asciiTheme="minorHAnsi" w:hAnsiTheme="minorHAnsi"/>
          <w:i/>
          <w:sz w:val="20"/>
          <w:szCs w:val="20"/>
        </w:rPr>
        <w:t>(</w:t>
      </w:r>
      <w:proofErr w:type="gramStart"/>
      <w:r w:rsidR="0063533E" w:rsidRPr="0063533E">
        <w:rPr>
          <w:rFonts w:asciiTheme="minorHAnsi" w:hAnsiTheme="minorHAnsi"/>
          <w:i/>
          <w:sz w:val="20"/>
          <w:szCs w:val="20"/>
        </w:rPr>
        <w:t>forthcoming</w:t>
      </w:r>
      <w:proofErr w:type="gramEnd"/>
      <w:r w:rsidR="0063533E" w:rsidRPr="0063533E">
        <w:rPr>
          <w:rFonts w:asciiTheme="minorHAnsi" w:hAnsiTheme="minorHAnsi"/>
          <w:i/>
          <w:sz w:val="20"/>
          <w:szCs w:val="20"/>
        </w:rPr>
        <w:t>)</w:t>
      </w:r>
    </w:p>
    <w:p w:rsidR="0063533E" w:rsidRPr="00542740" w:rsidRDefault="0063533E" w:rsidP="006B7B33">
      <w:pPr>
        <w:rPr>
          <w:rFonts w:asciiTheme="minorHAnsi" w:hAnsiTheme="minorHAnsi"/>
        </w:rPr>
      </w:pPr>
    </w:p>
    <w:p w:rsidR="006B7B33" w:rsidRDefault="006B7B33" w:rsidP="0063533E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</w:rPr>
        <w:drawing>
          <wp:inline distT="0" distB="0" distL="0" distR="0">
            <wp:extent cx="4124325" cy="361950"/>
            <wp:effectExtent l="19050" t="0" r="9525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18"/>
        <w:gridCol w:w="5058"/>
      </w:tblGrid>
      <w:tr w:rsidR="006B7B33" w:rsidRPr="00542740" w:rsidTr="00D503E4">
        <w:tc>
          <w:tcPr>
            <w:tcW w:w="4518" w:type="dxa"/>
          </w:tcPr>
          <w:p w:rsidR="006B7B33" w:rsidRPr="00542740" w:rsidRDefault="006B7B33" w:rsidP="00D503E4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4"/>
                <w:szCs w:val="24"/>
              </w:rPr>
            </w:pPr>
            <w:r w:rsidRPr="00542740">
              <w:rPr>
                <w:rFonts w:asciiTheme="minorHAnsi" w:hAnsiTheme="minorHAnsi"/>
                <w:sz w:val="24"/>
                <w:szCs w:val="24"/>
              </w:rPr>
              <w:t>Auburn University</w:t>
            </w:r>
          </w:p>
          <w:p w:rsidR="006B7B33" w:rsidRPr="00542740" w:rsidRDefault="006B7B33" w:rsidP="00D503E4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4"/>
                <w:szCs w:val="24"/>
              </w:rPr>
            </w:pPr>
            <w:r w:rsidRPr="00542740">
              <w:rPr>
                <w:rFonts w:asciiTheme="minorHAnsi" w:hAnsiTheme="minorHAnsi"/>
                <w:sz w:val="24"/>
                <w:szCs w:val="24"/>
              </w:rPr>
              <w:t>College of William and Mary</w:t>
            </w:r>
          </w:p>
          <w:p w:rsidR="006B7B33" w:rsidRPr="00542740" w:rsidRDefault="006B7B33" w:rsidP="00D503E4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4"/>
                <w:szCs w:val="24"/>
              </w:rPr>
            </w:pPr>
            <w:r w:rsidRPr="00542740">
              <w:rPr>
                <w:rFonts w:asciiTheme="minorHAnsi" w:hAnsiTheme="minorHAnsi"/>
                <w:sz w:val="24"/>
                <w:szCs w:val="24"/>
              </w:rPr>
              <w:t>East Carolina University</w:t>
            </w:r>
          </w:p>
          <w:p w:rsidR="006B7B33" w:rsidRPr="00542740" w:rsidRDefault="006B7B33" w:rsidP="00D503E4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4"/>
                <w:szCs w:val="24"/>
              </w:rPr>
            </w:pPr>
            <w:r w:rsidRPr="00542740">
              <w:rPr>
                <w:rFonts w:asciiTheme="minorHAnsi" w:hAnsiTheme="minorHAnsi"/>
                <w:sz w:val="24"/>
                <w:szCs w:val="24"/>
              </w:rPr>
              <w:t>Emory University</w:t>
            </w:r>
          </w:p>
          <w:p w:rsidR="006B7B33" w:rsidRPr="00542740" w:rsidRDefault="006B7B33" w:rsidP="00D503E4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4"/>
                <w:szCs w:val="24"/>
              </w:rPr>
            </w:pPr>
            <w:r w:rsidRPr="00542740">
              <w:rPr>
                <w:rFonts w:asciiTheme="minorHAnsi" w:hAnsiTheme="minorHAnsi"/>
                <w:sz w:val="24"/>
                <w:szCs w:val="24"/>
              </w:rPr>
              <w:t>Florida International University</w:t>
            </w:r>
          </w:p>
          <w:p w:rsidR="006B7B33" w:rsidRPr="00542740" w:rsidRDefault="006B7B33" w:rsidP="00D503E4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4"/>
                <w:szCs w:val="24"/>
              </w:rPr>
            </w:pPr>
            <w:r w:rsidRPr="00542740">
              <w:rPr>
                <w:rFonts w:asciiTheme="minorHAnsi" w:hAnsiTheme="minorHAnsi"/>
                <w:sz w:val="24"/>
                <w:szCs w:val="24"/>
              </w:rPr>
              <w:t>Florida State University</w:t>
            </w:r>
          </w:p>
          <w:p w:rsidR="006B7B33" w:rsidRPr="00542740" w:rsidRDefault="006B7B33" w:rsidP="00D503E4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4"/>
                <w:szCs w:val="24"/>
              </w:rPr>
            </w:pPr>
            <w:r w:rsidRPr="00542740">
              <w:rPr>
                <w:rFonts w:asciiTheme="minorHAnsi" w:hAnsiTheme="minorHAnsi"/>
                <w:sz w:val="24"/>
                <w:szCs w:val="24"/>
              </w:rPr>
              <w:t>Mississippi State University</w:t>
            </w:r>
          </w:p>
          <w:p w:rsidR="006B7B33" w:rsidRPr="00542740" w:rsidRDefault="006B7B33" w:rsidP="00D503E4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4"/>
                <w:szCs w:val="24"/>
              </w:rPr>
            </w:pPr>
            <w:r w:rsidRPr="00542740">
              <w:rPr>
                <w:rFonts w:asciiTheme="minorHAnsi" w:hAnsiTheme="minorHAnsi"/>
                <w:sz w:val="24"/>
                <w:szCs w:val="24"/>
              </w:rPr>
              <w:t xml:space="preserve">North Carolina State University </w:t>
            </w:r>
          </w:p>
          <w:p w:rsidR="006B7B33" w:rsidRPr="00542740" w:rsidRDefault="006B7B33" w:rsidP="00D503E4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4"/>
                <w:szCs w:val="24"/>
              </w:rPr>
            </w:pPr>
            <w:r w:rsidRPr="00542740">
              <w:rPr>
                <w:rFonts w:asciiTheme="minorHAnsi" w:hAnsiTheme="minorHAnsi"/>
                <w:sz w:val="24"/>
                <w:szCs w:val="24"/>
              </w:rPr>
              <w:lastRenderedPageBreak/>
              <w:t>University of Florida</w:t>
            </w:r>
          </w:p>
        </w:tc>
        <w:tc>
          <w:tcPr>
            <w:tcW w:w="5058" w:type="dxa"/>
          </w:tcPr>
          <w:p w:rsidR="006B7B33" w:rsidRPr="00542740" w:rsidRDefault="006B7B33" w:rsidP="00D503E4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4"/>
                <w:szCs w:val="24"/>
              </w:rPr>
            </w:pPr>
            <w:r w:rsidRPr="00542740">
              <w:rPr>
                <w:rFonts w:asciiTheme="minorHAnsi" w:hAnsiTheme="minorHAnsi"/>
                <w:sz w:val="24"/>
                <w:szCs w:val="24"/>
              </w:rPr>
              <w:lastRenderedPageBreak/>
              <w:t>University of Georgia</w:t>
            </w:r>
          </w:p>
          <w:p w:rsidR="006B7B33" w:rsidRPr="00542740" w:rsidRDefault="006B7B33" w:rsidP="00D503E4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4"/>
                <w:szCs w:val="24"/>
              </w:rPr>
            </w:pPr>
            <w:r w:rsidRPr="00542740">
              <w:rPr>
                <w:rFonts w:asciiTheme="minorHAnsi" w:hAnsiTheme="minorHAnsi"/>
                <w:sz w:val="24"/>
                <w:szCs w:val="24"/>
              </w:rPr>
              <w:t>University of Mississippi</w:t>
            </w:r>
          </w:p>
          <w:p w:rsidR="006B7B33" w:rsidRPr="00542740" w:rsidRDefault="006B7B33" w:rsidP="00D503E4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4"/>
                <w:szCs w:val="24"/>
              </w:rPr>
            </w:pPr>
            <w:r w:rsidRPr="00542740">
              <w:rPr>
                <w:rFonts w:asciiTheme="minorHAnsi" w:hAnsiTheme="minorHAnsi"/>
                <w:sz w:val="24"/>
                <w:szCs w:val="24"/>
              </w:rPr>
              <w:t>University of North Carolina at Chapel Hill</w:t>
            </w:r>
          </w:p>
          <w:p w:rsidR="006B7B33" w:rsidRPr="00542740" w:rsidRDefault="006B7B33" w:rsidP="00D503E4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4"/>
                <w:szCs w:val="24"/>
              </w:rPr>
            </w:pPr>
            <w:r w:rsidRPr="00542740">
              <w:rPr>
                <w:rFonts w:asciiTheme="minorHAnsi" w:hAnsiTheme="minorHAnsi"/>
                <w:sz w:val="24"/>
                <w:szCs w:val="24"/>
              </w:rPr>
              <w:t>University of South Carolina</w:t>
            </w:r>
          </w:p>
          <w:p w:rsidR="006B7B33" w:rsidRPr="00542740" w:rsidRDefault="006B7B33" w:rsidP="00D503E4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University of Tennessee</w:t>
            </w:r>
          </w:p>
          <w:p w:rsidR="006B7B33" w:rsidRPr="00542740" w:rsidRDefault="006B7B33" w:rsidP="00D503E4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4"/>
                <w:szCs w:val="24"/>
              </w:rPr>
            </w:pPr>
            <w:r w:rsidRPr="00542740">
              <w:rPr>
                <w:rFonts w:asciiTheme="minorHAnsi" w:hAnsiTheme="minorHAnsi"/>
                <w:sz w:val="24"/>
                <w:szCs w:val="24"/>
              </w:rPr>
              <w:t>Vanderbilt University</w:t>
            </w:r>
          </w:p>
          <w:p w:rsidR="006B7B33" w:rsidRPr="00542740" w:rsidRDefault="006B7B33" w:rsidP="00D503E4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4"/>
                <w:szCs w:val="24"/>
              </w:rPr>
            </w:pPr>
            <w:r w:rsidRPr="00542740">
              <w:rPr>
                <w:rFonts w:asciiTheme="minorHAnsi" w:hAnsiTheme="minorHAnsi"/>
                <w:sz w:val="24"/>
                <w:szCs w:val="24"/>
              </w:rPr>
              <w:t>Virginia Commonwealth University</w:t>
            </w:r>
          </w:p>
          <w:p w:rsidR="006B7B33" w:rsidRPr="00542740" w:rsidRDefault="006B7B33" w:rsidP="00D503E4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4"/>
                <w:szCs w:val="24"/>
              </w:rPr>
            </w:pPr>
            <w:r w:rsidRPr="00542740">
              <w:rPr>
                <w:rFonts w:asciiTheme="minorHAnsi" w:hAnsiTheme="minorHAnsi"/>
                <w:sz w:val="24"/>
                <w:szCs w:val="24"/>
              </w:rPr>
              <w:t>Wake Forest University</w:t>
            </w:r>
          </w:p>
          <w:p w:rsidR="006B7B33" w:rsidRPr="00542740" w:rsidRDefault="006B7B33" w:rsidP="00D503E4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6B7B33" w:rsidRDefault="006B7B33" w:rsidP="006B7B33">
      <w:pPr>
        <w:pStyle w:val="NoSpacing"/>
        <w:rPr>
          <w:rFonts w:asciiTheme="minorHAnsi" w:hAnsiTheme="minorHAnsi"/>
        </w:rPr>
      </w:pPr>
      <w:r w:rsidRPr="006B7B33">
        <w:rPr>
          <w:rFonts w:asciiTheme="minorHAnsi" w:hAnsiTheme="minorHAnsi"/>
          <w:b/>
        </w:rPr>
        <w:lastRenderedPageBreak/>
        <w:t xml:space="preserve">Using </w:t>
      </w:r>
      <w:r w:rsidR="0063533E">
        <w:rPr>
          <w:rFonts w:asciiTheme="minorHAnsi" w:hAnsiTheme="minorHAnsi"/>
          <w:b/>
        </w:rPr>
        <w:t xml:space="preserve">the </w:t>
      </w:r>
      <w:r w:rsidRPr="006B7B33">
        <w:rPr>
          <w:rFonts w:asciiTheme="minorHAnsi" w:hAnsiTheme="minorHAnsi"/>
          <w:b/>
        </w:rPr>
        <w:t>Results</w:t>
      </w:r>
      <w:r w:rsidR="0063533E">
        <w:rPr>
          <w:rFonts w:asciiTheme="minorHAnsi" w:hAnsiTheme="minorHAnsi"/>
          <w:b/>
        </w:rPr>
        <w:t xml:space="preserve">?  Example:  </w:t>
      </w:r>
      <w:r w:rsidR="0063533E">
        <w:rPr>
          <w:rFonts w:asciiTheme="minorHAnsi" w:hAnsiTheme="minorHAnsi"/>
        </w:rPr>
        <w:t>Benchmark</w:t>
      </w:r>
      <w:r>
        <w:rPr>
          <w:rFonts w:asciiTheme="minorHAnsi" w:hAnsiTheme="minorHAnsi"/>
        </w:rPr>
        <w:t xml:space="preserve"> who’s is doing what for “Purchase on Demand”</w:t>
      </w:r>
    </w:p>
    <w:p w:rsidR="0063533E" w:rsidRDefault="0063533E" w:rsidP="006B7B33">
      <w:pPr>
        <w:rPr>
          <w:rFonts w:asciiTheme="minorHAnsi" w:hAnsiTheme="minorHAnsi"/>
          <w:b/>
        </w:rPr>
      </w:pPr>
    </w:p>
    <w:p w:rsidR="006B7B33" w:rsidRPr="0063533E" w:rsidRDefault="0063533E" w:rsidP="006B7B33">
      <w:pPr>
        <w:rPr>
          <w:rStyle w:val="notranslate"/>
          <w:rFonts w:asciiTheme="minorHAnsi" w:hAnsiTheme="minorHAnsi"/>
          <w:sz w:val="25"/>
          <w:szCs w:val="25"/>
        </w:rPr>
      </w:pPr>
      <w:proofErr w:type="gramStart"/>
      <w:r>
        <w:rPr>
          <w:rFonts w:asciiTheme="minorHAnsi" w:hAnsiTheme="minorHAnsi"/>
          <w:b/>
        </w:rPr>
        <w:t>RRS Best Practice</w:t>
      </w:r>
      <w:r w:rsidR="006B7B33" w:rsidRPr="00FE41CE">
        <w:rPr>
          <w:rFonts w:asciiTheme="minorHAnsi" w:hAnsiTheme="minorHAnsi"/>
          <w:b/>
        </w:rPr>
        <w:t xml:space="preserve"> </w:t>
      </w:r>
      <w:r w:rsidR="006B7B33" w:rsidRPr="00FE41CE">
        <w:rPr>
          <w:rStyle w:val="notranslate"/>
          <w:rFonts w:asciiTheme="minorHAnsi" w:hAnsiTheme="minorHAnsi"/>
          <w:b/>
        </w:rPr>
        <w:t>53.</w:t>
      </w:r>
      <w:proofErr w:type="gramEnd"/>
      <w:r w:rsidR="006B7B33" w:rsidRPr="00FE41CE">
        <w:rPr>
          <w:rStyle w:val="notranslate"/>
          <w:rFonts w:asciiTheme="minorHAnsi" w:hAnsiTheme="minorHAnsi"/>
          <w:i/>
        </w:rPr>
        <w:t xml:space="preserve"> </w:t>
      </w:r>
      <w:r w:rsidR="006B7B33" w:rsidRPr="0063533E">
        <w:rPr>
          <w:rStyle w:val="notranslate"/>
          <w:rFonts w:asciiTheme="minorHAnsi" w:hAnsiTheme="minorHAnsi"/>
          <w:i/>
          <w:sz w:val="25"/>
          <w:szCs w:val="25"/>
        </w:rPr>
        <w:t>Library considers buy-on-demand before sending requests to library suppliers.</w:t>
      </w:r>
      <w:r w:rsidR="006B7B33" w:rsidRPr="0063533E">
        <w:rPr>
          <w:rStyle w:val="notranslate"/>
          <w:rFonts w:asciiTheme="minorHAnsi" w:hAnsiTheme="minorHAnsi"/>
          <w:sz w:val="25"/>
          <w:szCs w:val="25"/>
        </w:rPr>
        <w:t xml:space="preserve">  </w:t>
      </w:r>
    </w:p>
    <w:p w:rsidR="006B7B33" w:rsidRPr="00FE41CE" w:rsidRDefault="006B7B33" w:rsidP="006B7B33">
      <w:pPr>
        <w:rPr>
          <w:rStyle w:val="notranslate"/>
          <w:rFonts w:asciiTheme="minorHAnsi" w:hAnsiTheme="minorHAnsi"/>
        </w:rPr>
      </w:pPr>
      <w:r w:rsidRPr="00FE41CE">
        <w:rPr>
          <w:rStyle w:val="notranslate"/>
          <w:rFonts w:asciiTheme="minorHAnsi" w:hAnsiTheme="minorHAnsi"/>
          <w:b/>
        </w:rPr>
        <w:t>23 out of 27 respondents provide this service today or will do so by mid 2011.</w:t>
      </w:r>
      <w:r w:rsidRPr="00FE41CE">
        <w:rPr>
          <w:rStyle w:val="notranslate"/>
          <w:rFonts w:asciiTheme="minorHAnsi" w:hAnsiTheme="minorHAnsi"/>
        </w:rPr>
        <w:t xml:space="preserve">   </w:t>
      </w:r>
    </w:p>
    <w:p w:rsidR="006B7B33" w:rsidRPr="00404860" w:rsidRDefault="006B7B33" w:rsidP="006B7B33"/>
    <w:p w:rsidR="006B7B33" w:rsidRPr="00A46CB2" w:rsidRDefault="006B7B33" w:rsidP="0063533E">
      <w:pPr>
        <w:rPr>
          <w:rFonts w:asciiTheme="minorHAnsi" w:hAnsiTheme="minorHAnsi"/>
        </w:rPr>
      </w:pPr>
      <w:r w:rsidRPr="00F43F97">
        <w:rPr>
          <w:rFonts w:asciiTheme="minorHAnsi" w:hAnsiTheme="minorHAnsi"/>
        </w:rPr>
        <w:drawing>
          <wp:inline distT="0" distB="0" distL="0" distR="0">
            <wp:extent cx="5893992" cy="2876550"/>
            <wp:effectExtent l="19050" t="0" r="0" b="0"/>
            <wp:docPr id="3" name="Picture 4" descr="C:\Users\ATKINS~1.UTK\AppData\Local\Temp\ChartExport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TKINS~1.UTK\AppData\Local\Temp\ChartExport-3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3992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1586" w:rsidRDefault="007F1586">
      <w:pPr>
        <w:rPr>
          <w:rFonts w:asciiTheme="minorHAnsi" w:hAnsiTheme="minorHAnsi"/>
        </w:rPr>
      </w:pPr>
    </w:p>
    <w:p w:rsidR="00353E03" w:rsidRDefault="00353E03" w:rsidP="00353E03">
      <w:pPr>
        <w:rPr>
          <w:rFonts w:asciiTheme="minorHAnsi" w:hAnsiTheme="minorHAnsi"/>
          <w:b/>
        </w:rPr>
      </w:pPr>
    </w:p>
    <w:p w:rsidR="00A46CB2" w:rsidRDefault="006B7B33" w:rsidP="00353E03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3.  Next Steps</w:t>
      </w:r>
    </w:p>
    <w:p w:rsidR="006B7B33" w:rsidRDefault="006B7B33" w:rsidP="00353E03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ab/>
        <w:t xml:space="preserve">A.  Complete survey reports including custom reports by institution  </w:t>
      </w:r>
    </w:p>
    <w:p w:rsidR="006B7B33" w:rsidRDefault="006B7B33" w:rsidP="00353E03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ab/>
        <w:t>B.  Coordinate with RUSA/STARS on use and promotion of the Best Practices Checklist</w:t>
      </w:r>
    </w:p>
    <w:p w:rsidR="006B7B33" w:rsidRDefault="006B7B33" w:rsidP="00353E03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ab/>
        <w:t xml:space="preserve">C.  Figure out the Next Steps:  What does ASERL want to do with Resource </w:t>
      </w:r>
      <w:r>
        <w:rPr>
          <w:rFonts w:asciiTheme="minorHAnsi" w:hAnsiTheme="minorHAnsi"/>
          <w:b/>
        </w:rPr>
        <w:tab/>
        <w:t xml:space="preserve">Sharing?  </w:t>
      </w:r>
    </w:p>
    <w:p w:rsidR="006B7B33" w:rsidRPr="006B7B33" w:rsidRDefault="006B7B33" w:rsidP="006B7B33">
      <w:pPr>
        <w:pStyle w:val="ListParagraph"/>
        <w:numPr>
          <w:ilvl w:val="1"/>
          <w:numId w:val="10"/>
        </w:num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Programming and Training to Expand Best Practices</w:t>
      </w:r>
      <w:r w:rsidR="006D0E6F">
        <w:rPr>
          <w:rFonts w:asciiTheme="minorHAnsi" w:hAnsiTheme="minorHAnsi"/>
          <w:b/>
        </w:rPr>
        <w:t>?</w:t>
      </w:r>
    </w:p>
    <w:p w:rsidR="006B7B33" w:rsidRDefault="006B7B33" w:rsidP="006B7B33">
      <w:pPr>
        <w:pStyle w:val="ListParagraph"/>
        <w:numPr>
          <w:ilvl w:val="1"/>
          <w:numId w:val="10"/>
        </w:numPr>
        <w:rPr>
          <w:rFonts w:asciiTheme="minorHAnsi" w:hAnsiTheme="minorHAnsi"/>
          <w:b/>
        </w:rPr>
      </w:pPr>
      <w:r w:rsidRPr="006B7B33">
        <w:rPr>
          <w:rFonts w:asciiTheme="minorHAnsi" w:hAnsiTheme="minorHAnsi"/>
          <w:b/>
        </w:rPr>
        <w:t xml:space="preserve">Expand </w:t>
      </w:r>
      <w:r>
        <w:rPr>
          <w:rFonts w:asciiTheme="minorHAnsi" w:hAnsiTheme="minorHAnsi"/>
          <w:b/>
        </w:rPr>
        <w:t xml:space="preserve">Kudzu and </w:t>
      </w:r>
      <w:r w:rsidRPr="006B7B33">
        <w:rPr>
          <w:rFonts w:asciiTheme="minorHAnsi" w:hAnsiTheme="minorHAnsi"/>
          <w:b/>
        </w:rPr>
        <w:t>Courier?</w:t>
      </w:r>
    </w:p>
    <w:p w:rsidR="006B7B33" w:rsidRPr="006B7B33" w:rsidRDefault="0063533E" w:rsidP="006B7B33">
      <w:pPr>
        <w:pStyle w:val="ListParagraph"/>
        <w:numPr>
          <w:ilvl w:val="1"/>
          <w:numId w:val="10"/>
        </w:num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Other I</w:t>
      </w:r>
      <w:r w:rsidR="006D0E6F">
        <w:rPr>
          <w:rFonts w:asciiTheme="minorHAnsi" w:hAnsiTheme="minorHAnsi"/>
          <w:b/>
        </w:rPr>
        <w:t xml:space="preserve">deas such as ILL/Acquisitions? </w:t>
      </w:r>
    </w:p>
    <w:p w:rsidR="006B7B33" w:rsidRDefault="006B7B33" w:rsidP="00353E03">
      <w:pPr>
        <w:rPr>
          <w:rFonts w:asciiTheme="minorHAnsi" w:hAnsiTheme="minorHAnsi"/>
          <w:b/>
        </w:rPr>
      </w:pPr>
    </w:p>
    <w:p w:rsidR="006B7B33" w:rsidRDefault="006B7B33" w:rsidP="00353E03">
      <w:pPr>
        <w:rPr>
          <w:rFonts w:asciiTheme="minorHAnsi" w:hAnsiTheme="minorHAnsi"/>
          <w:b/>
        </w:rPr>
      </w:pPr>
    </w:p>
    <w:p w:rsidR="006D0E6F" w:rsidRDefault="006D0E6F" w:rsidP="006D0E6F">
      <w:pPr>
        <w:rPr>
          <w:rFonts w:asciiTheme="minorHAnsi" w:hAnsiTheme="minorHAnsi"/>
        </w:rPr>
      </w:pPr>
      <w:r>
        <w:rPr>
          <w:rFonts w:asciiTheme="minorHAnsi" w:hAnsiTheme="minorHAnsi"/>
          <w:b/>
        </w:rPr>
        <w:t xml:space="preserve">ASERL </w:t>
      </w:r>
      <w:r w:rsidRPr="001961FB">
        <w:rPr>
          <w:rFonts w:asciiTheme="minorHAnsi" w:hAnsiTheme="minorHAnsi"/>
          <w:b/>
        </w:rPr>
        <w:t>Survey Team:</w:t>
      </w:r>
      <w:r w:rsidRPr="00035C7D">
        <w:rPr>
          <w:rFonts w:asciiTheme="minorHAnsi" w:hAnsiTheme="minorHAnsi"/>
        </w:rPr>
        <w:t xml:space="preserve">  David Atkins, University of Tennessee; John Burger, ASERL; William Gee, East Carolina University; Judy Greenwood, University of Mississippi; Pam King, Auburn University; Kristine Shrauger, University of Central Florida; and Shirley Thomas, Virginia Commonwealth University.</w:t>
      </w:r>
    </w:p>
    <w:p w:rsidR="006B7B33" w:rsidRDefault="006B7B33" w:rsidP="00353E03">
      <w:pPr>
        <w:rPr>
          <w:rFonts w:asciiTheme="minorHAnsi" w:hAnsiTheme="minorHAnsi"/>
        </w:rPr>
      </w:pPr>
    </w:p>
    <w:p w:rsidR="0063533E" w:rsidRDefault="0063533E" w:rsidP="00353E03">
      <w:pPr>
        <w:rPr>
          <w:rFonts w:asciiTheme="minorHAnsi" w:hAnsiTheme="minorHAnsi"/>
        </w:rPr>
      </w:pPr>
      <w:r>
        <w:rPr>
          <w:rFonts w:asciiTheme="minorHAnsi" w:hAnsiTheme="minorHAnsi"/>
        </w:rPr>
        <w:t>Contact:</w:t>
      </w:r>
    </w:p>
    <w:p w:rsidR="0063533E" w:rsidRDefault="0063533E" w:rsidP="00353E03">
      <w:pPr>
        <w:rPr>
          <w:rFonts w:asciiTheme="minorHAnsi" w:hAnsiTheme="minorHAnsi"/>
        </w:rPr>
      </w:pPr>
      <w:r>
        <w:rPr>
          <w:rFonts w:asciiTheme="minorHAnsi" w:hAnsiTheme="minorHAnsi"/>
        </w:rPr>
        <w:t>David Atkins</w:t>
      </w:r>
    </w:p>
    <w:p w:rsidR="0063533E" w:rsidRDefault="0063533E" w:rsidP="00353E03">
      <w:pPr>
        <w:rPr>
          <w:rFonts w:asciiTheme="minorHAnsi" w:hAnsiTheme="minorHAnsi"/>
        </w:rPr>
      </w:pPr>
      <w:r>
        <w:rPr>
          <w:rFonts w:asciiTheme="minorHAnsi" w:hAnsiTheme="minorHAnsi"/>
        </w:rPr>
        <w:t>Resource Sharing &amp; Document Delivery</w:t>
      </w:r>
    </w:p>
    <w:p w:rsidR="0063533E" w:rsidRDefault="0063533E" w:rsidP="00353E03">
      <w:pPr>
        <w:rPr>
          <w:rFonts w:asciiTheme="minorHAnsi" w:hAnsiTheme="minorHAnsi"/>
        </w:rPr>
      </w:pPr>
      <w:r>
        <w:rPr>
          <w:rFonts w:asciiTheme="minorHAnsi" w:hAnsiTheme="minorHAnsi"/>
        </w:rPr>
        <w:t>University of Tennessee, Knoxville</w:t>
      </w:r>
    </w:p>
    <w:p w:rsidR="003E50E1" w:rsidRDefault="0063533E">
      <w:pPr>
        <w:rPr>
          <w:rFonts w:asciiTheme="minorHAnsi" w:hAnsiTheme="minorHAnsi"/>
          <w:sz w:val="22"/>
          <w:szCs w:val="22"/>
        </w:rPr>
      </w:pPr>
      <w:hyperlink r:id="rId10" w:history="1">
        <w:r w:rsidRPr="00FC6041">
          <w:rPr>
            <w:rStyle w:val="Hyperlink"/>
            <w:rFonts w:asciiTheme="minorHAnsi" w:hAnsiTheme="minorHAnsi"/>
          </w:rPr>
          <w:t>datkins@utk.edu</w:t>
        </w:r>
      </w:hyperlink>
      <w:r>
        <w:rPr>
          <w:rFonts w:asciiTheme="minorHAnsi" w:hAnsiTheme="minorHAnsi"/>
        </w:rPr>
        <w:t xml:space="preserve"> and 865-974-6866</w:t>
      </w:r>
    </w:p>
    <w:sectPr w:rsidR="003E50E1" w:rsidSect="000D2B80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58D4" w:rsidRDefault="001C58D4" w:rsidP="0063533E">
      <w:r>
        <w:separator/>
      </w:r>
    </w:p>
  </w:endnote>
  <w:endnote w:type="continuationSeparator" w:id="0">
    <w:p w:rsidR="001C58D4" w:rsidRDefault="001C58D4" w:rsidP="006353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787094"/>
      <w:docPartObj>
        <w:docPartGallery w:val="Page Numbers (Bottom of Page)"/>
        <w:docPartUnique/>
      </w:docPartObj>
    </w:sdtPr>
    <w:sdtContent>
      <w:p w:rsidR="0063533E" w:rsidRDefault="0063533E">
        <w:pPr>
          <w:pStyle w:val="Footer"/>
          <w:jc w:val="right"/>
        </w:pPr>
        <w:fldSimple w:instr=" PAGE   \* MERGEFORMAT ">
          <w:r w:rsidR="006D0E6F">
            <w:rPr>
              <w:noProof/>
            </w:rPr>
            <w:t>1</w:t>
          </w:r>
        </w:fldSimple>
      </w:p>
    </w:sdtContent>
  </w:sdt>
  <w:p w:rsidR="0063533E" w:rsidRDefault="0063533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58D4" w:rsidRDefault="001C58D4" w:rsidP="0063533E">
      <w:r>
        <w:separator/>
      </w:r>
    </w:p>
  </w:footnote>
  <w:footnote w:type="continuationSeparator" w:id="0">
    <w:p w:rsidR="001C58D4" w:rsidRDefault="001C58D4" w:rsidP="006353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C1959"/>
    <w:multiLevelType w:val="hybridMultilevel"/>
    <w:tmpl w:val="5E242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3172BA"/>
    <w:multiLevelType w:val="hybridMultilevel"/>
    <w:tmpl w:val="41FCD7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6C2773"/>
    <w:multiLevelType w:val="hybridMultilevel"/>
    <w:tmpl w:val="582890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2F5353"/>
    <w:multiLevelType w:val="hybridMultilevel"/>
    <w:tmpl w:val="CDC495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064177"/>
    <w:multiLevelType w:val="hybridMultilevel"/>
    <w:tmpl w:val="8D2E94C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0C241F"/>
    <w:multiLevelType w:val="hybridMultilevel"/>
    <w:tmpl w:val="D776792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E74BE9"/>
    <w:multiLevelType w:val="hybridMultilevel"/>
    <w:tmpl w:val="F25653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D754CD"/>
    <w:multiLevelType w:val="hybridMultilevel"/>
    <w:tmpl w:val="1C0C6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0A5EBA"/>
    <w:multiLevelType w:val="hybridMultilevel"/>
    <w:tmpl w:val="BB3EE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D83C36"/>
    <w:multiLevelType w:val="hybridMultilevel"/>
    <w:tmpl w:val="54C6B0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1"/>
  </w:num>
  <w:num w:numId="5">
    <w:abstractNumId w:val="9"/>
  </w:num>
  <w:num w:numId="6">
    <w:abstractNumId w:val="7"/>
  </w:num>
  <w:num w:numId="7">
    <w:abstractNumId w:val="5"/>
  </w:num>
  <w:num w:numId="8">
    <w:abstractNumId w:val="4"/>
  </w:num>
  <w:num w:numId="9">
    <w:abstractNumId w:val="6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50E1"/>
    <w:rsid w:val="000D2B80"/>
    <w:rsid w:val="000D3552"/>
    <w:rsid w:val="000F42C3"/>
    <w:rsid w:val="001C58D4"/>
    <w:rsid w:val="00353E03"/>
    <w:rsid w:val="003E50E1"/>
    <w:rsid w:val="00447673"/>
    <w:rsid w:val="0047576D"/>
    <w:rsid w:val="00522E49"/>
    <w:rsid w:val="00542740"/>
    <w:rsid w:val="0063533E"/>
    <w:rsid w:val="006B7B33"/>
    <w:rsid w:val="006D0E6F"/>
    <w:rsid w:val="007F1586"/>
    <w:rsid w:val="00A46CB2"/>
    <w:rsid w:val="00B52C65"/>
    <w:rsid w:val="00B92367"/>
    <w:rsid w:val="00DA45F6"/>
    <w:rsid w:val="00E763C6"/>
    <w:rsid w:val="00F43F97"/>
    <w:rsid w:val="00FE4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576D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7576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3E50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A45F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427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2740"/>
    <w:rPr>
      <w:rFonts w:ascii="Tahoma" w:hAnsi="Tahoma" w:cs="Tahoma"/>
      <w:sz w:val="16"/>
      <w:szCs w:val="16"/>
    </w:rPr>
  </w:style>
  <w:style w:type="character" w:customStyle="1" w:styleId="notranslate">
    <w:name w:val="notranslate"/>
    <w:basedOn w:val="DefaultParagraphFont"/>
    <w:rsid w:val="00F43F97"/>
  </w:style>
  <w:style w:type="paragraph" w:styleId="Header">
    <w:name w:val="header"/>
    <w:basedOn w:val="Normal"/>
    <w:link w:val="HeaderChar"/>
    <w:uiPriority w:val="99"/>
    <w:semiHidden/>
    <w:unhideWhenUsed/>
    <w:rsid w:val="006353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3533E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3533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533E"/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3533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0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datkins@utk.ed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tkins.UTKLIB-STAFF\AppData\Local\Microsoft\Windows\Temporary%20Internet%20Files\Content.Outlook\IWU280FU\question%2013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/>
            </a:pPr>
            <a:r>
              <a:rPr lang="en-US"/>
              <a:t>Top</a:t>
            </a:r>
            <a:r>
              <a:rPr lang="en-US" baseline="0"/>
              <a:t> Issues and Challenges</a:t>
            </a:r>
            <a:endParaRPr lang="en-US"/>
          </a:p>
        </c:rich>
      </c:tx>
      <c:layout>
        <c:manualLayout>
          <c:xMode val="edge"/>
          <c:yMode val="edge"/>
          <c:x val="0.26030023483176301"/>
          <c:y val="4.4989775051124774E-2"/>
        </c:manualLayout>
      </c:layout>
    </c:title>
    <c:plotArea>
      <c:layout/>
      <c:barChart>
        <c:barDir val="bar"/>
        <c:grouping val="clustered"/>
        <c:ser>
          <c:idx val="0"/>
          <c:order val="0"/>
          <c:tx>
            <c:strRef>
              <c:f>analysis!$B$2</c:f>
              <c:strCache>
                <c:ptCount val="1"/>
                <c:pt idx="0">
                  <c:v>Libraries </c:v>
                </c:pt>
              </c:strCache>
            </c:strRef>
          </c:tx>
          <c:cat>
            <c:strRef>
              <c:f>analysis!$A$3:$A$14</c:f>
              <c:strCache>
                <c:ptCount val="12"/>
                <c:pt idx="0">
                  <c:v>Increase in ILL demand/lack of suppliers (due to cuts in acquisitions, ease of discoverability)</c:v>
                </c:pt>
                <c:pt idx="1">
                  <c:v>E-Resources, licenses/sharing</c:v>
                </c:pt>
                <c:pt idx="2">
                  <c:v>Copyright </c:v>
                </c:pt>
                <c:pt idx="3">
                  <c:v>Cost: General (inc. budget cuts)</c:v>
                </c:pt>
                <c:pt idx="4">
                  <c:v>Workflow/Best Practices/Training</c:v>
                </c:pt>
                <c:pt idx="5">
                  <c:v>Interoperability of systems</c:v>
                </c:pt>
                <c:pt idx="6">
                  <c:v>Discovery to delivery</c:v>
                </c:pt>
                <c:pt idx="7">
                  <c:v>Expectations (Quick Turn Arounds, etc)</c:v>
                </c:pt>
                <c:pt idx="8">
                  <c:v>Purchase on demand</c:v>
                </c:pt>
                <c:pt idx="9">
                  <c:v>Cost: Licensing, Copyright Royalties</c:v>
                </c:pt>
                <c:pt idx="10">
                  <c:v>Cost: Staff/Equipment</c:v>
                </c:pt>
                <c:pt idx="11">
                  <c:v>Delivery Options (e.g. home, office)</c:v>
                </c:pt>
              </c:strCache>
            </c:strRef>
          </c:cat>
          <c:val>
            <c:numRef>
              <c:f>analysis!$B$3:$B$14</c:f>
              <c:numCache>
                <c:formatCode>General</c:formatCode>
                <c:ptCount val="12"/>
                <c:pt idx="0">
                  <c:v>12</c:v>
                </c:pt>
                <c:pt idx="1">
                  <c:v>10</c:v>
                </c:pt>
                <c:pt idx="2">
                  <c:v>10</c:v>
                </c:pt>
                <c:pt idx="3">
                  <c:v>10</c:v>
                </c:pt>
                <c:pt idx="4">
                  <c:v>6</c:v>
                </c:pt>
                <c:pt idx="5">
                  <c:v>5</c:v>
                </c:pt>
                <c:pt idx="6">
                  <c:v>4</c:v>
                </c:pt>
                <c:pt idx="7">
                  <c:v>4</c:v>
                </c:pt>
                <c:pt idx="8">
                  <c:v>4</c:v>
                </c:pt>
                <c:pt idx="9">
                  <c:v>3</c:v>
                </c:pt>
                <c:pt idx="10">
                  <c:v>3</c:v>
                </c:pt>
                <c:pt idx="11">
                  <c:v>3</c:v>
                </c:pt>
              </c:numCache>
            </c:numRef>
          </c:val>
        </c:ser>
        <c:axId val="97615232"/>
        <c:axId val="98055680"/>
      </c:barChart>
      <c:catAx>
        <c:axId val="97615232"/>
        <c:scaling>
          <c:orientation val="minMax"/>
        </c:scaling>
        <c:axPos val="l"/>
        <c:tickLblPos val="nextTo"/>
        <c:crossAx val="98055680"/>
        <c:crosses val="autoZero"/>
        <c:auto val="1"/>
        <c:lblAlgn val="ctr"/>
        <c:lblOffset val="100"/>
      </c:catAx>
      <c:valAx>
        <c:axId val="98055680"/>
        <c:scaling>
          <c:orientation val="minMax"/>
        </c:scaling>
        <c:axPos val="b"/>
        <c:majorGridlines/>
        <c:numFmt formatCode="General" sourceLinked="1"/>
        <c:tickLblPos val="nextTo"/>
        <c:crossAx val="97615232"/>
        <c:crosses val="autoZero"/>
        <c:crossBetween val="between"/>
      </c:valAx>
    </c:plotArea>
    <c:plotVisOnly val="1"/>
  </c:chart>
  <c:externalData r:id="rId1"/>
</c:chartSpace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482D34"/>
    <w:rsid w:val="00482D34"/>
    <w:rsid w:val="00816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0244D1986C48DF9FA2C61F7A81E1B0">
    <w:name w:val="A90244D1986C48DF9FA2C61F7A81E1B0"/>
    <w:rsid w:val="00482D34"/>
  </w:style>
  <w:style w:type="paragraph" w:customStyle="1" w:styleId="72654ACF34524C3DA1E725392915AA16">
    <w:name w:val="72654ACF34524C3DA1E725392915AA16"/>
    <w:rsid w:val="00482D34"/>
  </w:style>
  <w:style w:type="paragraph" w:customStyle="1" w:styleId="4423F6E0EE6A42CD9C85A3C05B688E71">
    <w:name w:val="4423F6E0EE6A42CD9C85A3C05B688E71"/>
    <w:rsid w:val="00482D3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681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Tennessee</Company>
  <LinksUpToDate>false</LinksUpToDate>
  <CharactersWithSpaces>4559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atkins</dc:creator>
  <cp:lastModifiedBy>atkins</cp:lastModifiedBy>
  <cp:revision>3</cp:revision>
  <dcterms:created xsi:type="dcterms:W3CDTF">2011-04-26T18:59:00Z</dcterms:created>
  <dcterms:modified xsi:type="dcterms:W3CDTF">2011-04-26T21:00:00Z</dcterms:modified>
</cp:coreProperties>
</file>