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38F" w:rsidRDefault="00F5738F" w:rsidP="003D1F37">
      <w:pPr>
        <w:jc w:val="center"/>
        <w:sectPr w:rsidR="00F5738F" w:rsidSect="004A7323">
          <w:footerReference w:type="default" r:id="rId8"/>
          <w:pgSz w:w="12240" w:h="15840"/>
          <w:pgMar w:top="1440" w:right="1440" w:bottom="1440" w:left="1440" w:header="720" w:footer="720" w:gutter="0"/>
          <w:pgNumType w:fmt="lowerRoman" w:start="1"/>
          <w:cols w:space="720"/>
          <w:titlePg/>
          <w:docGrid w:linePitch="360"/>
        </w:sectPr>
      </w:pPr>
      <w:r>
        <w:t>Approval Sheet</w:t>
      </w:r>
    </w:p>
    <w:p w:rsidR="00F5738F" w:rsidRDefault="00F5738F" w:rsidP="00F5738F">
      <w:pPr>
        <w:sectPr w:rsidR="00F5738F" w:rsidSect="00F5738F">
          <w:type w:val="continuous"/>
          <w:pgSz w:w="12240" w:h="15840"/>
          <w:pgMar w:top="1440" w:right="1440" w:bottom="1440" w:left="1440" w:header="720" w:footer="720" w:gutter="0"/>
          <w:pgNumType w:fmt="lowerRoman" w:start="1"/>
          <w:cols w:space="720"/>
          <w:titlePg/>
          <w:docGrid w:linePitch="360"/>
        </w:sectPr>
      </w:pPr>
    </w:p>
    <w:p w:rsidR="003D1F37" w:rsidRPr="00C123C1" w:rsidRDefault="003D1F37" w:rsidP="00F5738F">
      <w:pPr>
        <w:jc w:val="center"/>
      </w:pPr>
      <w:r w:rsidRPr="00C123C1">
        <w:lastRenderedPageBreak/>
        <w:t>Faunal Analysis of Sachsen Cave Shelter: A Zooarchaeological Approach to Site Function</w:t>
      </w: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jc w:val="center"/>
        <w:rPr>
          <w:rFonts w:cs="Times New Roman"/>
          <w:szCs w:val="24"/>
        </w:rPr>
      </w:pPr>
      <w:r>
        <w:rPr>
          <w:rFonts w:cs="Times New Roman"/>
          <w:szCs w:val="24"/>
        </w:rPr>
        <w:t>A Thesis Presented for the</w:t>
      </w:r>
    </w:p>
    <w:p w:rsidR="003D1F37" w:rsidRDefault="003D1F37" w:rsidP="003D1F37">
      <w:pPr>
        <w:spacing w:line="480" w:lineRule="auto"/>
        <w:jc w:val="center"/>
        <w:rPr>
          <w:rFonts w:cs="Times New Roman"/>
          <w:szCs w:val="24"/>
        </w:rPr>
      </w:pPr>
      <w:r>
        <w:rPr>
          <w:rFonts w:cs="Times New Roman"/>
          <w:szCs w:val="24"/>
        </w:rPr>
        <w:t>Master of Art</w:t>
      </w:r>
    </w:p>
    <w:p w:rsidR="003D1F37" w:rsidRDefault="003D1F37" w:rsidP="003D1F37">
      <w:pPr>
        <w:spacing w:line="480" w:lineRule="auto"/>
        <w:jc w:val="center"/>
        <w:rPr>
          <w:rFonts w:cs="Times New Roman"/>
          <w:szCs w:val="24"/>
        </w:rPr>
      </w:pPr>
      <w:r>
        <w:rPr>
          <w:rFonts w:cs="Times New Roman"/>
          <w:szCs w:val="24"/>
        </w:rPr>
        <w:t>Degree</w:t>
      </w:r>
    </w:p>
    <w:p w:rsidR="003D1F37" w:rsidRDefault="003D1F37" w:rsidP="003D1F37">
      <w:pPr>
        <w:spacing w:line="480" w:lineRule="auto"/>
        <w:jc w:val="center"/>
        <w:rPr>
          <w:rFonts w:cs="Times New Roman"/>
          <w:szCs w:val="24"/>
        </w:rPr>
      </w:pPr>
      <w:r>
        <w:rPr>
          <w:rFonts w:cs="Times New Roman"/>
          <w:szCs w:val="24"/>
        </w:rPr>
        <w:t>The University of Tennessee, Knoxville</w:t>
      </w: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Default="003D1F37" w:rsidP="003D1F37">
      <w:pPr>
        <w:spacing w:line="480" w:lineRule="auto"/>
        <w:rPr>
          <w:rFonts w:cs="Times New Roman"/>
          <w:szCs w:val="24"/>
        </w:rPr>
      </w:pPr>
    </w:p>
    <w:p w:rsidR="003D1F37" w:rsidRPr="00C123C1" w:rsidRDefault="003D1F37" w:rsidP="003D1F37">
      <w:pPr>
        <w:spacing w:line="480" w:lineRule="auto"/>
        <w:rPr>
          <w:rFonts w:cs="Times New Roman"/>
          <w:szCs w:val="24"/>
        </w:rPr>
      </w:pPr>
    </w:p>
    <w:p w:rsidR="003D1F37" w:rsidRDefault="003D1F37" w:rsidP="003D1F37">
      <w:pPr>
        <w:spacing w:line="480" w:lineRule="auto"/>
        <w:jc w:val="center"/>
        <w:rPr>
          <w:rFonts w:cs="Times New Roman"/>
          <w:szCs w:val="24"/>
        </w:rPr>
      </w:pPr>
      <w:r>
        <w:rPr>
          <w:rFonts w:cs="Times New Roman"/>
          <w:szCs w:val="24"/>
        </w:rPr>
        <w:t>Meagan Elizabeth Dennison</w:t>
      </w:r>
    </w:p>
    <w:p w:rsidR="00064459" w:rsidRDefault="003D1F37" w:rsidP="003D1F37">
      <w:pPr>
        <w:spacing w:line="480" w:lineRule="auto"/>
        <w:jc w:val="center"/>
        <w:rPr>
          <w:rFonts w:cs="Times New Roman"/>
          <w:szCs w:val="24"/>
        </w:rPr>
      </w:pPr>
      <w:r>
        <w:rPr>
          <w:rFonts w:cs="Times New Roman"/>
          <w:szCs w:val="24"/>
        </w:rPr>
        <w:t>May 2013</w:t>
      </w:r>
    </w:p>
    <w:p w:rsidR="00211891" w:rsidRDefault="00211891" w:rsidP="00211891">
      <w:pPr>
        <w:rPr>
          <w:rFonts w:cs="Times New Roman"/>
          <w:szCs w:val="24"/>
        </w:rPr>
      </w:pPr>
      <w:r w:rsidRPr="00211891">
        <w:rPr>
          <w:rFonts w:cs="Times New Roman"/>
          <w:noProof/>
          <w:szCs w:val="24"/>
        </w:rPr>
        <w:lastRenderedPageBreak/>
        <mc:AlternateContent>
          <mc:Choice Requires="wps">
            <w:drawing>
              <wp:anchor distT="0" distB="0" distL="114300" distR="114300" simplePos="0" relativeHeight="251659264" behindDoc="0" locked="0" layoutInCell="1" allowOverlap="1" wp14:anchorId="72B49F6D" wp14:editId="16551355">
                <wp:simplePos x="0" y="0"/>
                <wp:positionH relativeFrom="margin">
                  <wp:align>center</wp:align>
                </wp:positionH>
                <wp:positionV relativeFrom="margin">
                  <wp:align>center</wp:align>
                </wp:positionV>
                <wp:extent cx="3291840" cy="958850"/>
                <wp:effectExtent l="0" t="0" r="3810" b="4445"/>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958850"/>
                        </a:xfrm>
                        <a:prstGeom prst="rect">
                          <a:avLst/>
                        </a:prstGeom>
                        <a:solidFill>
                          <a:srgbClr val="FFFFFF"/>
                        </a:solidFill>
                        <a:ln w="9525">
                          <a:noFill/>
                          <a:miter lim="800000"/>
                          <a:headEnd/>
                          <a:tailEnd/>
                        </a:ln>
                      </wps:spPr>
                      <wps:txbx>
                        <w:txbxContent>
                          <w:p w:rsidR="00E26212" w:rsidRDefault="00E26212" w:rsidP="00211891">
                            <w:pPr>
                              <w:jc w:val="center"/>
                              <w:rPr>
                                <w:rFonts w:cs="Times New Roman"/>
                                <w:szCs w:val="24"/>
                              </w:rPr>
                            </w:pPr>
                            <w:r>
                              <w:rPr>
                                <w:rFonts w:cs="Times New Roman"/>
                                <w:szCs w:val="24"/>
                              </w:rPr>
                              <w:t>Copyright © 2013 Meagan Elizabeth Dennison</w:t>
                            </w:r>
                          </w:p>
                          <w:p w:rsidR="00E26212" w:rsidRDefault="00E26212" w:rsidP="00211891">
                            <w:pPr>
                              <w:jc w:val="center"/>
                            </w:pPr>
                            <w:r>
                              <w:rPr>
                                <w:rFonts w:cs="Times New Roman"/>
                                <w:szCs w:val="24"/>
                              </w:rPr>
                              <w:t>All Rights Reserved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49F6D" id="_x0000_t202" coordsize="21600,21600" o:spt="202" path="m,l,21600r21600,l21600,xe">
                <v:stroke joinstyle="miter"/>
                <v:path gradientshapeok="t" o:connecttype="rect"/>
              </v:shapetype>
              <v:shape id="Text Box 2" o:spid="_x0000_s1026" type="#_x0000_t202" style="position:absolute;margin-left:0;margin-top:0;width:259.2pt;height:75.5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" stroked="f">
                <v:textbox style="mso-fit-shape-to-text:t">
                  <w:txbxContent>
                    <w:p w:rsidR="00E26212" w:rsidRDefault="00E26212" w:rsidP="00211891">
                      <w:pPr>
                        <w:jc w:val="center"/>
                        <w:rPr>
                          <w:rFonts w:cs="Times New Roman"/>
                          <w:szCs w:val="24"/>
                        </w:rPr>
                      </w:pPr>
                      <w:r>
                        <w:rPr>
                          <w:rFonts w:cs="Times New Roman"/>
                          <w:szCs w:val="24"/>
                        </w:rPr>
                        <w:t>Copyright © 2013 Meagan Elizabeth Dennison</w:t>
                      </w:r>
                    </w:p>
                    <w:p w:rsidR="00E26212" w:rsidRDefault="00E26212" w:rsidP="00211891">
                      <w:pPr>
                        <w:jc w:val="center"/>
                      </w:pPr>
                      <w:r>
                        <w:rPr>
                          <w:rFonts w:cs="Times New Roman"/>
                          <w:szCs w:val="24"/>
                        </w:rPr>
                        <w:t>All Rights Reserved</w:t>
                      </w:r>
                    </w:p>
                  </w:txbxContent>
                </v:textbox>
                <w10:wrap type="square" anchorx="margin" anchory="margin"/>
              </v:shape>
            </w:pict>
          </mc:Fallback>
        </mc:AlternateContent>
      </w:r>
      <w:r w:rsidR="00064459">
        <w:rPr>
          <w:rFonts w:cs="Times New Roman"/>
          <w:szCs w:val="24"/>
        </w:rPr>
        <w:br w:type="page"/>
      </w:r>
    </w:p>
    <w:p w:rsidR="00F5738F" w:rsidRDefault="00F5738F" w:rsidP="00F5738F">
      <w:pPr>
        <w:jc w:val="center"/>
        <w:rPr>
          <w:rFonts w:cs="Times New Roman"/>
          <w:szCs w:val="24"/>
        </w:rPr>
      </w:pPr>
    </w:p>
    <w:p w:rsidR="00064459" w:rsidRDefault="00064459" w:rsidP="00211891">
      <w:pPr>
        <w:jc w:val="center"/>
        <w:rPr>
          <w:rFonts w:cs="Times New Roman"/>
          <w:szCs w:val="24"/>
        </w:rPr>
      </w:pPr>
      <w:r>
        <w:rPr>
          <w:rFonts w:cs="Times New Roman"/>
          <w:szCs w:val="24"/>
        </w:rPr>
        <w:t>Dedication</w:t>
      </w:r>
    </w:p>
    <w:p w:rsidR="003D1F37" w:rsidRDefault="00064459" w:rsidP="00211891">
      <w:pPr>
        <w:rPr>
          <w:rFonts w:cs="Times New Roman"/>
          <w:szCs w:val="24"/>
        </w:rPr>
      </w:pPr>
      <w:r>
        <w:rPr>
          <w:rFonts w:cs="Times New Roman"/>
          <w:szCs w:val="24"/>
        </w:rPr>
        <w:br w:type="page"/>
      </w:r>
    </w:p>
    <w:p w:rsidR="006C440F" w:rsidRDefault="006C440F" w:rsidP="003D1F37">
      <w:pPr>
        <w:spacing w:line="480" w:lineRule="auto"/>
        <w:jc w:val="center"/>
        <w:rPr>
          <w:rFonts w:cs="Times New Roman"/>
          <w:szCs w:val="24"/>
        </w:rPr>
      </w:pPr>
      <w:r>
        <w:rPr>
          <w:rFonts w:cs="Times New Roman"/>
          <w:szCs w:val="24"/>
        </w:rPr>
        <w:lastRenderedPageBreak/>
        <w:t xml:space="preserve">Acknowledgements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Committee members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Patricia Black Fund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McClung Museum </w:t>
      </w:r>
    </w:p>
    <w:p w:rsidR="00C8333B" w:rsidRDefault="00C8333B" w:rsidP="00C8333B">
      <w:pPr>
        <w:pStyle w:val="ListParagraph"/>
        <w:numPr>
          <w:ilvl w:val="1"/>
          <w:numId w:val="3"/>
        </w:numPr>
        <w:spacing w:line="480" w:lineRule="auto"/>
        <w:rPr>
          <w:rFonts w:cs="Times New Roman"/>
          <w:szCs w:val="24"/>
        </w:rPr>
      </w:pPr>
      <w:r>
        <w:rPr>
          <w:rFonts w:cs="Times New Roman"/>
          <w:szCs w:val="24"/>
        </w:rPr>
        <w:t xml:space="preserve">Lynn Sullivan, </w:t>
      </w:r>
      <w:r w:rsidR="001818FC">
        <w:rPr>
          <w:rFonts w:cs="Times New Roman"/>
          <w:szCs w:val="24"/>
        </w:rPr>
        <w:t xml:space="preserve">Bobby Braly, </w:t>
      </w:r>
      <w:r>
        <w:rPr>
          <w:rFonts w:cs="Times New Roman"/>
          <w:szCs w:val="24"/>
        </w:rPr>
        <w:t xml:space="preserve">Jessica Dalton-Carriger </w:t>
      </w:r>
      <w:r w:rsidR="00525F7F">
        <w:rPr>
          <w:rFonts w:cs="Times New Roman"/>
          <w:szCs w:val="24"/>
        </w:rPr>
        <w:t xml:space="preserve">– access to Eva dogs </w:t>
      </w:r>
    </w:p>
    <w:p w:rsidR="00C8333B" w:rsidRDefault="001818FC" w:rsidP="00C8333B">
      <w:pPr>
        <w:pStyle w:val="ListParagraph"/>
        <w:numPr>
          <w:ilvl w:val="1"/>
          <w:numId w:val="3"/>
        </w:numPr>
        <w:spacing w:line="480" w:lineRule="auto"/>
        <w:rPr>
          <w:rFonts w:cs="Times New Roman"/>
          <w:szCs w:val="24"/>
        </w:rPr>
      </w:pPr>
      <w:r>
        <w:rPr>
          <w:rFonts w:cs="Times New Roman"/>
          <w:szCs w:val="24"/>
        </w:rPr>
        <w:t xml:space="preserve">Gerry Dinkins, Steve Ahlstedt and Matthew Reed </w:t>
      </w:r>
      <w:r w:rsidR="00525F7F">
        <w:rPr>
          <w:rFonts w:cs="Times New Roman"/>
          <w:szCs w:val="24"/>
        </w:rPr>
        <w:t xml:space="preserve">– help with invertebrate identifications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Archaeological Research Laboratories </w:t>
      </w:r>
    </w:p>
    <w:p w:rsidR="006C440F" w:rsidRDefault="006C440F" w:rsidP="006C440F">
      <w:pPr>
        <w:pStyle w:val="ListParagraph"/>
        <w:numPr>
          <w:ilvl w:val="1"/>
          <w:numId w:val="3"/>
        </w:numPr>
        <w:spacing w:line="480" w:lineRule="auto"/>
        <w:rPr>
          <w:rFonts w:cs="Times New Roman"/>
          <w:szCs w:val="24"/>
        </w:rPr>
      </w:pPr>
      <w:r>
        <w:rPr>
          <w:rFonts w:cs="Times New Roman"/>
          <w:szCs w:val="24"/>
        </w:rPr>
        <w:t>H</w:t>
      </w:r>
      <w:r w:rsidR="001818FC">
        <w:rPr>
          <w:rFonts w:cs="Times New Roman"/>
          <w:szCs w:val="24"/>
        </w:rPr>
        <w:t>oward Cyr</w:t>
      </w:r>
      <w:r w:rsidR="00525F7F">
        <w:rPr>
          <w:rFonts w:cs="Times New Roman"/>
          <w:szCs w:val="24"/>
        </w:rPr>
        <w:t xml:space="preserve"> – help with sediment analyses </w:t>
      </w:r>
      <w:r w:rsidR="001818FC">
        <w:rPr>
          <w:rFonts w:cs="Times New Roman"/>
          <w:szCs w:val="24"/>
        </w:rPr>
        <w:t xml:space="preserve">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ETSU field school and governor school students </w:t>
      </w:r>
    </w:p>
    <w:p w:rsidR="001818FC" w:rsidRDefault="001818FC" w:rsidP="006C440F">
      <w:pPr>
        <w:pStyle w:val="ListParagraph"/>
        <w:numPr>
          <w:ilvl w:val="0"/>
          <w:numId w:val="3"/>
        </w:numPr>
        <w:spacing w:line="480" w:lineRule="auto"/>
        <w:rPr>
          <w:rFonts w:cs="Times New Roman"/>
          <w:szCs w:val="24"/>
        </w:rPr>
      </w:pPr>
      <w:r>
        <w:rPr>
          <w:rFonts w:cs="Times New Roman"/>
          <w:szCs w:val="24"/>
        </w:rPr>
        <w:t xml:space="preserve">UTK zooarch lab students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Malcolm and Harriet Colditz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Human bone identification help – Dr. Lee Jantz, Dr. Heli Maijanen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Dr. Barbara Heath – for use of wet lab </w:t>
      </w:r>
    </w:p>
    <w:p w:rsidR="00064459" w:rsidRDefault="00064459" w:rsidP="006C440F">
      <w:pPr>
        <w:pStyle w:val="ListParagraph"/>
        <w:numPr>
          <w:ilvl w:val="0"/>
          <w:numId w:val="3"/>
        </w:numPr>
        <w:spacing w:line="480" w:lineRule="auto"/>
        <w:rPr>
          <w:rFonts w:cs="Times New Roman"/>
          <w:szCs w:val="24"/>
        </w:rPr>
      </w:pPr>
      <w:r>
        <w:rPr>
          <w:rFonts w:cs="Times New Roman"/>
          <w:szCs w:val="24"/>
        </w:rPr>
        <w:t xml:space="preserve">Andrew Wilkins </w:t>
      </w:r>
    </w:p>
    <w:p w:rsidR="004C0A85" w:rsidRDefault="004C0A85" w:rsidP="006C440F">
      <w:pPr>
        <w:pStyle w:val="ListParagraph"/>
        <w:numPr>
          <w:ilvl w:val="0"/>
          <w:numId w:val="3"/>
        </w:numPr>
        <w:spacing w:line="480" w:lineRule="auto"/>
        <w:rPr>
          <w:rFonts w:cs="Times New Roman"/>
          <w:szCs w:val="24"/>
        </w:rPr>
      </w:pPr>
      <w:r>
        <w:rPr>
          <w:rFonts w:cs="Times New Roman"/>
          <w:szCs w:val="24"/>
        </w:rPr>
        <w:t xml:space="preserve">Lucinda Langston </w:t>
      </w:r>
    </w:p>
    <w:p w:rsidR="006C440F" w:rsidRDefault="006C440F" w:rsidP="006C440F">
      <w:pPr>
        <w:pStyle w:val="ListParagraph"/>
        <w:numPr>
          <w:ilvl w:val="0"/>
          <w:numId w:val="3"/>
        </w:numPr>
        <w:spacing w:line="480" w:lineRule="auto"/>
        <w:rPr>
          <w:rFonts w:cs="Times New Roman"/>
          <w:szCs w:val="24"/>
        </w:rPr>
      </w:pPr>
      <w:r>
        <w:rPr>
          <w:rFonts w:cs="Times New Roman"/>
          <w:szCs w:val="24"/>
        </w:rPr>
        <w:t xml:space="preserve">Katie </w:t>
      </w:r>
    </w:p>
    <w:p w:rsidR="006C440F" w:rsidRPr="007C7C53" w:rsidRDefault="006C440F" w:rsidP="006C440F">
      <w:pPr>
        <w:pStyle w:val="ListParagraph"/>
        <w:numPr>
          <w:ilvl w:val="0"/>
          <w:numId w:val="3"/>
        </w:numPr>
        <w:spacing w:line="480" w:lineRule="auto"/>
        <w:rPr>
          <w:rFonts w:cs="Times New Roman"/>
          <w:szCs w:val="24"/>
        </w:rPr>
      </w:pPr>
      <w:r>
        <w:rPr>
          <w:rFonts w:cs="Times New Roman"/>
          <w:szCs w:val="24"/>
        </w:rPr>
        <w:t xml:space="preserve">Family </w:t>
      </w:r>
    </w:p>
    <w:p w:rsidR="006C440F" w:rsidRDefault="006C440F" w:rsidP="00525F7F">
      <w:pPr>
        <w:spacing w:line="480" w:lineRule="auto"/>
        <w:rPr>
          <w:rFonts w:cs="Times New Roman"/>
          <w:i/>
          <w:szCs w:val="24"/>
        </w:rPr>
      </w:pPr>
    </w:p>
    <w:p w:rsidR="00211891" w:rsidRDefault="00211891" w:rsidP="00525F7F">
      <w:pPr>
        <w:spacing w:line="480" w:lineRule="auto"/>
        <w:rPr>
          <w:rFonts w:cs="Times New Roman"/>
          <w:i/>
          <w:szCs w:val="24"/>
        </w:rPr>
      </w:pPr>
    </w:p>
    <w:p w:rsidR="00525F7F" w:rsidRDefault="00525F7F" w:rsidP="00525F7F">
      <w:pPr>
        <w:spacing w:line="480" w:lineRule="auto"/>
        <w:rPr>
          <w:rFonts w:cs="Times New Roman"/>
          <w:i/>
          <w:szCs w:val="24"/>
        </w:rPr>
      </w:pPr>
    </w:p>
    <w:p w:rsidR="006C440F" w:rsidRDefault="006C440F" w:rsidP="006D677B">
      <w:pPr>
        <w:spacing w:line="480" w:lineRule="auto"/>
        <w:jc w:val="center"/>
        <w:rPr>
          <w:rFonts w:cs="Times New Roman"/>
          <w:i/>
          <w:szCs w:val="24"/>
        </w:rPr>
      </w:pPr>
    </w:p>
    <w:p w:rsidR="006C440F" w:rsidRDefault="006C440F" w:rsidP="006D677B">
      <w:pPr>
        <w:spacing w:line="480" w:lineRule="auto"/>
        <w:jc w:val="center"/>
        <w:rPr>
          <w:rFonts w:cs="Times New Roman"/>
          <w:szCs w:val="24"/>
        </w:rPr>
      </w:pPr>
      <w:r>
        <w:rPr>
          <w:rFonts w:cs="Times New Roman"/>
          <w:szCs w:val="24"/>
        </w:rPr>
        <w:t>Abstract</w:t>
      </w:r>
    </w:p>
    <w:p w:rsidR="00754862" w:rsidRPr="006C440F" w:rsidRDefault="009430BB" w:rsidP="006D677B">
      <w:pPr>
        <w:spacing w:line="480" w:lineRule="auto"/>
        <w:jc w:val="center"/>
        <w:rPr>
          <w:rFonts w:cs="Times New Roman"/>
          <w:szCs w:val="24"/>
        </w:rPr>
      </w:pPr>
      <w:r w:rsidRPr="006C440F">
        <w:rPr>
          <w:rFonts w:cs="Times New Roman"/>
          <w:szCs w:val="24"/>
        </w:rPr>
        <w:t xml:space="preserve">Faunal remains are rarely utilized to explore settlement practices and site use by prehistoric foragers. Instead, lithic reduction sequences and site features are generally relied upon when making </w:t>
      </w:r>
      <w:r w:rsidR="00525F7F">
        <w:rPr>
          <w:rFonts w:cs="Times New Roman"/>
          <w:szCs w:val="24"/>
        </w:rPr>
        <w:t xml:space="preserve">these kinds of </w:t>
      </w:r>
      <w:r w:rsidRPr="006C440F">
        <w:rPr>
          <w:rFonts w:cs="Times New Roman"/>
          <w:szCs w:val="24"/>
        </w:rPr>
        <w:t xml:space="preserve">interpretations. Faunal analyses, however, offer an additional line of support to these interpretations, especially when seasonal indicators, transport of large animal remains and diversity </w:t>
      </w:r>
      <w:r w:rsidR="00F62917" w:rsidRPr="006C440F">
        <w:rPr>
          <w:rFonts w:cs="Times New Roman"/>
          <w:szCs w:val="24"/>
        </w:rPr>
        <w:t xml:space="preserve">of </w:t>
      </w:r>
      <w:r w:rsidRPr="006C440F">
        <w:rPr>
          <w:rFonts w:cs="Times New Roman"/>
          <w:szCs w:val="24"/>
        </w:rPr>
        <w:t>species are taken into account. This thesis is an attempt to address site function</w:t>
      </w:r>
      <w:r w:rsidR="004D4F89" w:rsidRPr="006C440F">
        <w:rPr>
          <w:rFonts w:cs="Times New Roman"/>
          <w:szCs w:val="24"/>
        </w:rPr>
        <w:t xml:space="preserve"> through the faunal analysis of Sachsen Cave Shelter, a</w:t>
      </w:r>
      <w:r w:rsidR="00525F7F">
        <w:rPr>
          <w:rFonts w:cs="Times New Roman"/>
          <w:szCs w:val="24"/>
        </w:rPr>
        <w:t xml:space="preserve"> rock shelter site </w:t>
      </w:r>
      <w:r w:rsidR="004D4F89" w:rsidRPr="006C440F">
        <w:rPr>
          <w:rFonts w:cs="Times New Roman"/>
          <w:szCs w:val="24"/>
        </w:rPr>
        <w:t>located on the Upper Cumberland Plateau of Tennessee</w:t>
      </w:r>
      <w:r w:rsidR="00525F7F">
        <w:rPr>
          <w:rFonts w:cs="Times New Roman"/>
          <w:szCs w:val="24"/>
        </w:rPr>
        <w:t xml:space="preserve"> that was utilized by Late Archaic and Woodland peoples</w:t>
      </w:r>
      <w:r w:rsidR="004D4F89" w:rsidRPr="006C440F">
        <w:rPr>
          <w:rFonts w:cs="Times New Roman"/>
          <w:szCs w:val="24"/>
        </w:rPr>
        <w:t>. Based on lithic reduction sequence, site features, dense artifact assemblages and several ‘unique’ artifacts, the interpretation of the function of this site is a base camp. Th</w:t>
      </w:r>
      <w:r w:rsidR="00525F7F">
        <w:rPr>
          <w:rFonts w:cs="Times New Roman"/>
          <w:szCs w:val="24"/>
        </w:rPr>
        <w:t xml:space="preserve">is thesis presents a detailed overview of the faunal assemblage of the site. It is expected that the faunal assemblage will reflect this interpretation based on the anticipated material correlates of a base camp (i.e. high species diversity, whole carcass transportation of large animals and evidence for multiple and diverse activities). The faunal assemblage from Sachsen Cave Shelter does reflect dense occupation and multiple activities, however, species diversity is quite low and mid-body parts of large mammals are underrepresented in this assemblage. Screen size and bone preservation were both taken into account when making these interpretations. The results indicate that site function is reflected in the faunal assemblage of this site, but are highly dependent on the season of occupation and associated procurement activities. </w:t>
      </w:r>
    </w:p>
    <w:p w:rsidR="007C7C53" w:rsidRDefault="007C7C53">
      <w:pPr>
        <w:rPr>
          <w:rFonts w:cs="Times New Roman"/>
          <w:i/>
          <w:szCs w:val="24"/>
        </w:rPr>
      </w:pPr>
      <w:r>
        <w:rPr>
          <w:rFonts w:cs="Times New Roman"/>
          <w:i/>
          <w:szCs w:val="24"/>
        </w:rPr>
        <w:br w:type="page"/>
      </w:r>
    </w:p>
    <w:sdt>
      <w:sdtPr>
        <w:rPr>
          <w:rFonts w:eastAsiaTheme="minorHAnsi" w:cs="Times New Roman"/>
          <w:b w:val="0"/>
          <w:bCs w:val="0"/>
          <w:sz w:val="24"/>
          <w:szCs w:val="24"/>
        </w:rPr>
        <w:id w:val="24615760"/>
        <w:docPartObj>
          <w:docPartGallery w:val="Table of Contents"/>
          <w:docPartUnique/>
        </w:docPartObj>
      </w:sdtPr>
      <w:sdtEndPr/>
      <w:sdtContent>
        <w:p w:rsidR="004A7323" w:rsidRPr="00C123C1" w:rsidRDefault="004A7323">
          <w:pPr>
            <w:pStyle w:val="TOCHeading"/>
            <w:rPr>
              <w:rFonts w:cs="Times New Roman"/>
              <w:sz w:val="24"/>
              <w:szCs w:val="24"/>
            </w:rPr>
          </w:pPr>
          <w:r w:rsidRPr="00C123C1">
            <w:rPr>
              <w:rFonts w:cs="Times New Roman"/>
              <w:sz w:val="24"/>
              <w:szCs w:val="24"/>
            </w:rPr>
            <w:t>Table of Contents</w:t>
          </w:r>
        </w:p>
        <w:p w:rsidR="004C0A85" w:rsidRDefault="00B33E6D">
          <w:pPr>
            <w:pStyle w:val="TOC1"/>
            <w:tabs>
              <w:tab w:val="right" w:leader="dot" w:pos="9350"/>
            </w:tabs>
            <w:rPr>
              <w:rFonts w:asciiTheme="minorHAnsi" w:eastAsiaTheme="minorEastAsia" w:hAnsiTheme="minorHAnsi"/>
              <w:noProof/>
              <w:kern w:val="2"/>
              <w:sz w:val="22"/>
              <w14:ligatures w14:val="standard"/>
            </w:rPr>
          </w:pPr>
          <w:r w:rsidRPr="00C123C1">
            <w:rPr>
              <w:rFonts w:cs="Times New Roman"/>
              <w:szCs w:val="24"/>
            </w:rPr>
            <w:fldChar w:fldCharType="begin"/>
          </w:r>
          <w:r w:rsidR="004A7323" w:rsidRPr="00C123C1">
            <w:rPr>
              <w:rFonts w:cs="Times New Roman"/>
              <w:szCs w:val="24"/>
            </w:rPr>
            <w:instrText xml:space="preserve"> TOC \o "1-3" \h \z \u </w:instrText>
          </w:r>
          <w:r w:rsidRPr="00C123C1">
            <w:rPr>
              <w:rFonts w:cs="Times New Roman"/>
              <w:szCs w:val="24"/>
            </w:rPr>
            <w:fldChar w:fldCharType="separate"/>
          </w:r>
          <w:bookmarkStart w:id="0" w:name="_GoBack"/>
          <w:bookmarkEnd w:id="0"/>
          <w:r w:rsidR="004C0A85" w:rsidRPr="003B7D08">
            <w:rPr>
              <w:rStyle w:val="Hyperlink"/>
              <w:noProof/>
            </w:rPr>
            <w:fldChar w:fldCharType="begin"/>
          </w:r>
          <w:r w:rsidR="004C0A85" w:rsidRPr="003B7D08">
            <w:rPr>
              <w:rStyle w:val="Hyperlink"/>
              <w:noProof/>
            </w:rPr>
            <w:instrText xml:space="preserve"> </w:instrText>
          </w:r>
          <w:r w:rsidR="004C0A85">
            <w:rPr>
              <w:noProof/>
            </w:rPr>
            <w:instrText>HYPERLINK \l "_Toc349507270"</w:instrText>
          </w:r>
          <w:r w:rsidR="004C0A85" w:rsidRPr="003B7D08">
            <w:rPr>
              <w:rStyle w:val="Hyperlink"/>
              <w:noProof/>
            </w:rPr>
            <w:instrText xml:space="preserve"> </w:instrText>
          </w:r>
          <w:r w:rsidR="004C0A85" w:rsidRPr="003B7D08">
            <w:rPr>
              <w:rStyle w:val="Hyperlink"/>
              <w:noProof/>
            </w:rPr>
          </w:r>
          <w:r w:rsidR="004C0A85" w:rsidRPr="003B7D08">
            <w:rPr>
              <w:rStyle w:val="Hyperlink"/>
              <w:noProof/>
            </w:rPr>
            <w:fldChar w:fldCharType="separate"/>
          </w:r>
          <w:r w:rsidR="004C0A85" w:rsidRPr="003B7D08">
            <w:rPr>
              <w:rStyle w:val="Hyperlink"/>
              <w:noProof/>
            </w:rPr>
            <w:t>List of Figures</w:t>
          </w:r>
          <w:r w:rsidR="004C0A85">
            <w:rPr>
              <w:noProof/>
              <w:webHidden/>
            </w:rPr>
            <w:tab/>
          </w:r>
          <w:r w:rsidR="004C0A85">
            <w:rPr>
              <w:noProof/>
              <w:webHidden/>
            </w:rPr>
            <w:fldChar w:fldCharType="begin"/>
          </w:r>
          <w:r w:rsidR="004C0A85">
            <w:rPr>
              <w:noProof/>
              <w:webHidden/>
            </w:rPr>
            <w:instrText xml:space="preserve"> PAGEREF _Toc349507270 \h </w:instrText>
          </w:r>
          <w:r w:rsidR="004C0A85">
            <w:rPr>
              <w:noProof/>
              <w:webHidden/>
            </w:rPr>
          </w:r>
          <w:r w:rsidR="004C0A85">
            <w:rPr>
              <w:noProof/>
              <w:webHidden/>
            </w:rPr>
            <w:fldChar w:fldCharType="separate"/>
          </w:r>
          <w:r w:rsidR="004C0A85">
            <w:rPr>
              <w:noProof/>
              <w:webHidden/>
            </w:rPr>
            <w:t>viii</w:t>
          </w:r>
          <w:r w:rsidR="004C0A85">
            <w:rPr>
              <w:noProof/>
              <w:webHidden/>
            </w:rPr>
            <w:fldChar w:fldCharType="end"/>
          </w:r>
          <w:r w:rsidR="004C0A85" w:rsidRPr="003B7D08">
            <w:rPr>
              <w:rStyle w:val="Hyperlink"/>
              <w:noProof/>
            </w:rPr>
            <w:fldChar w:fldCharType="end"/>
          </w:r>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71" w:history="1">
            <w:r w:rsidRPr="003B7D08">
              <w:rPr>
                <w:rStyle w:val="Hyperlink"/>
                <w:rFonts w:cs="Times New Roman"/>
                <w:noProof/>
              </w:rPr>
              <w:t>List of Tables</w:t>
            </w:r>
            <w:r>
              <w:rPr>
                <w:noProof/>
                <w:webHidden/>
              </w:rPr>
              <w:tab/>
            </w:r>
            <w:r>
              <w:rPr>
                <w:noProof/>
                <w:webHidden/>
              </w:rPr>
              <w:fldChar w:fldCharType="begin"/>
            </w:r>
            <w:r>
              <w:rPr>
                <w:noProof/>
                <w:webHidden/>
              </w:rPr>
              <w:instrText xml:space="preserve"> PAGEREF _Toc349507271 \h </w:instrText>
            </w:r>
            <w:r>
              <w:rPr>
                <w:noProof/>
                <w:webHidden/>
              </w:rPr>
            </w:r>
            <w:r>
              <w:rPr>
                <w:noProof/>
                <w:webHidden/>
              </w:rPr>
              <w:fldChar w:fldCharType="separate"/>
            </w:r>
            <w:r>
              <w:rPr>
                <w:noProof/>
                <w:webHidden/>
              </w:rPr>
              <w:t>ix</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72" w:history="1">
            <w:r w:rsidRPr="003B7D08">
              <w:rPr>
                <w:rStyle w:val="Hyperlink"/>
                <w:noProof/>
              </w:rPr>
              <w:t>Chapter 1: Introduction</w:t>
            </w:r>
            <w:r>
              <w:rPr>
                <w:noProof/>
                <w:webHidden/>
              </w:rPr>
              <w:tab/>
            </w:r>
            <w:r>
              <w:rPr>
                <w:noProof/>
                <w:webHidden/>
              </w:rPr>
              <w:fldChar w:fldCharType="begin"/>
            </w:r>
            <w:r>
              <w:rPr>
                <w:noProof/>
                <w:webHidden/>
              </w:rPr>
              <w:instrText xml:space="preserve"> PAGEREF _Toc349507272 \h </w:instrText>
            </w:r>
            <w:r>
              <w:rPr>
                <w:noProof/>
                <w:webHidden/>
              </w:rPr>
            </w:r>
            <w:r>
              <w:rPr>
                <w:noProof/>
                <w:webHidden/>
              </w:rPr>
              <w:fldChar w:fldCharType="separate"/>
            </w:r>
            <w:r>
              <w:rPr>
                <w:noProof/>
                <w:webHidden/>
              </w:rPr>
              <w:t>1</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73" w:history="1">
            <w:r w:rsidRPr="003B7D08">
              <w:rPr>
                <w:rStyle w:val="Hyperlink"/>
                <w:noProof/>
              </w:rPr>
              <w:t>Site Function – Definitions and Previous Research</w:t>
            </w:r>
            <w:r>
              <w:rPr>
                <w:noProof/>
                <w:webHidden/>
              </w:rPr>
              <w:tab/>
            </w:r>
            <w:r>
              <w:rPr>
                <w:noProof/>
                <w:webHidden/>
              </w:rPr>
              <w:fldChar w:fldCharType="begin"/>
            </w:r>
            <w:r>
              <w:rPr>
                <w:noProof/>
                <w:webHidden/>
              </w:rPr>
              <w:instrText xml:space="preserve"> PAGEREF _Toc349507273 \h </w:instrText>
            </w:r>
            <w:r>
              <w:rPr>
                <w:noProof/>
                <w:webHidden/>
              </w:rPr>
            </w:r>
            <w:r>
              <w:rPr>
                <w:noProof/>
                <w:webHidden/>
              </w:rPr>
              <w:fldChar w:fldCharType="separate"/>
            </w:r>
            <w:r>
              <w:rPr>
                <w:noProof/>
                <w:webHidden/>
              </w:rPr>
              <w:t>1</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74" w:history="1">
            <w:r w:rsidRPr="003B7D08">
              <w:rPr>
                <w:rStyle w:val="Hyperlink"/>
                <w:noProof/>
              </w:rPr>
              <w:t>Goals and Expectations</w:t>
            </w:r>
            <w:r>
              <w:rPr>
                <w:noProof/>
                <w:webHidden/>
              </w:rPr>
              <w:tab/>
            </w:r>
            <w:r>
              <w:rPr>
                <w:noProof/>
                <w:webHidden/>
              </w:rPr>
              <w:fldChar w:fldCharType="begin"/>
            </w:r>
            <w:r>
              <w:rPr>
                <w:noProof/>
                <w:webHidden/>
              </w:rPr>
              <w:instrText xml:space="preserve"> PAGEREF _Toc349507274 \h </w:instrText>
            </w:r>
            <w:r>
              <w:rPr>
                <w:noProof/>
                <w:webHidden/>
              </w:rPr>
            </w:r>
            <w:r>
              <w:rPr>
                <w:noProof/>
                <w:webHidden/>
              </w:rPr>
              <w:fldChar w:fldCharType="separate"/>
            </w:r>
            <w:r>
              <w:rPr>
                <w:noProof/>
                <w:webHidden/>
              </w:rPr>
              <w:t>5</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75" w:history="1">
            <w:r w:rsidRPr="003B7D08">
              <w:rPr>
                <w:rStyle w:val="Hyperlink"/>
                <w:noProof/>
              </w:rPr>
              <w:t>Chapter 2: Background</w:t>
            </w:r>
            <w:r>
              <w:rPr>
                <w:noProof/>
                <w:webHidden/>
              </w:rPr>
              <w:tab/>
            </w:r>
            <w:r>
              <w:rPr>
                <w:noProof/>
                <w:webHidden/>
              </w:rPr>
              <w:fldChar w:fldCharType="begin"/>
            </w:r>
            <w:r>
              <w:rPr>
                <w:noProof/>
                <w:webHidden/>
              </w:rPr>
              <w:instrText xml:space="preserve"> PAGEREF _Toc349507275 \h </w:instrText>
            </w:r>
            <w:r>
              <w:rPr>
                <w:noProof/>
                <w:webHidden/>
              </w:rPr>
            </w:r>
            <w:r>
              <w:rPr>
                <w:noProof/>
                <w:webHidden/>
              </w:rPr>
              <w:fldChar w:fldCharType="separate"/>
            </w:r>
            <w:r>
              <w:rPr>
                <w:noProof/>
                <w:webHidden/>
              </w:rPr>
              <w:t>7</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76" w:history="1">
            <w:r w:rsidRPr="003B7D08">
              <w:rPr>
                <w:rStyle w:val="Hyperlink"/>
                <w:noProof/>
              </w:rPr>
              <w:t>Physiographic Setting</w:t>
            </w:r>
            <w:r>
              <w:rPr>
                <w:noProof/>
                <w:webHidden/>
              </w:rPr>
              <w:tab/>
            </w:r>
            <w:r>
              <w:rPr>
                <w:noProof/>
                <w:webHidden/>
              </w:rPr>
              <w:fldChar w:fldCharType="begin"/>
            </w:r>
            <w:r>
              <w:rPr>
                <w:noProof/>
                <w:webHidden/>
              </w:rPr>
              <w:instrText xml:space="preserve"> PAGEREF _Toc349507276 \h </w:instrText>
            </w:r>
            <w:r>
              <w:rPr>
                <w:noProof/>
                <w:webHidden/>
              </w:rPr>
            </w:r>
            <w:r>
              <w:rPr>
                <w:noProof/>
                <w:webHidden/>
              </w:rPr>
              <w:fldChar w:fldCharType="separate"/>
            </w:r>
            <w:r>
              <w:rPr>
                <w:noProof/>
                <w:webHidden/>
              </w:rPr>
              <w:t>7</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77" w:history="1">
            <w:r w:rsidRPr="003B7D08">
              <w:rPr>
                <w:rStyle w:val="Hyperlink"/>
                <w:noProof/>
              </w:rPr>
              <w:t>Environmental Setting</w:t>
            </w:r>
            <w:r>
              <w:rPr>
                <w:noProof/>
                <w:webHidden/>
              </w:rPr>
              <w:tab/>
            </w:r>
            <w:r>
              <w:rPr>
                <w:noProof/>
                <w:webHidden/>
              </w:rPr>
              <w:fldChar w:fldCharType="begin"/>
            </w:r>
            <w:r>
              <w:rPr>
                <w:noProof/>
                <w:webHidden/>
              </w:rPr>
              <w:instrText xml:space="preserve"> PAGEREF _Toc349507277 \h </w:instrText>
            </w:r>
            <w:r>
              <w:rPr>
                <w:noProof/>
                <w:webHidden/>
              </w:rPr>
            </w:r>
            <w:r>
              <w:rPr>
                <w:noProof/>
                <w:webHidden/>
              </w:rPr>
              <w:fldChar w:fldCharType="separate"/>
            </w:r>
            <w:r>
              <w:rPr>
                <w:noProof/>
                <w:webHidden/>
              </w:rPr>
              <w:t>8</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78" w:history="1">
            <w:r w:rsidRPr="003B7D08">
              <w:rPr>
                <w:rStyle w:val="Hyperlink"/>
                <w:noProof/>
              </w:rPr>
              <w:t>Chapter 3: Culture History</w:t>
            </w:r>
            <w:r>
              <w:rPr>
                <w:noProof/>
                <w:webHidden/>
              </w:rPr>
              <w:tab/>
            </w:r>
            <w:r>
              <w:rPr>
                <w:noProof/>
                <w:webHidden/>
              </w:rPr>
              <w:fldChar w:fldCharType="begin"/>
            </w:r>
            <w:r>
              <w:rPr>
                <w:noProof/>
                <w:webHidden/>
              </w:rPr>
              <w:instrText xml:space="preserve"> PAGEREF _Toc349507278 \h </w:instrText>
            </w:r>
            <w:r>
              <w:rPr>
                <w:noProof/>
                <w:webHidden/>
              </w:rPr>
            </w:r>
            <w:r>
              <w:rPr>
                <w:noProof/>
                <w:webHidden/>
              </w:rPr>
              <w:fldChar w:fldCharType="separate"/>
            </w:r>
            <w:r>
              <w:rPr>
                <w:noProof/>
                <w:webHidden/>
              </w:rPr>
              <w:t>12</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79" w:history="1">
            <w:r w:rsidRPr="003B7D08">
              <w:rPr>
                <w:rStyle w:val="Hyperlink"/>
                <w:noProof/>
              </w:rPr>
              <w:t>The Paleoindian Period (14,800 – 11,500 cal. BP)</w:t>
            </w:r>
            <w:r>
              <w:rPr>
                <w:noProof/>
                <w:webHidden/>
              </w:rPr>
              <w:tab/>
            </w:r>
            <w:r>
              <w:rPr>
                <w:noProof/>
                <w:webHidden/>
              </w:rPr>
              <w:fldChar w:fldCharType="begin"/>
            </w:r>
            <w:r>
              <w:rPr>
                <w:noProof/>
                <w:webHidden/>
              </w:rPr>
              <w:instrText xml:space="preserve"> PAGEREF _Toc349507279 \h </w:instrText>
            </w:r>
            <w:r>
              <w:rPr>
                <w:noProof/>
                <w:webHidden/>
              </w:rPr>
            </w:r>
            <w:r>
              <w:rPr>
                <w:noProof/>
                <w:webHidden/>
              </w:rPr>
              <w:fldChar w:fldCharType="separate"/>
            </w:r>
            <w:r>
              <w:rPr>
                <w:noProof/>
                <w:webHidden/>
              </w:rPr>
              <w:t>12</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0" w:history="1">
            <w:r w:rsidRPr="003B7D08">
              <w:rPr>
                <w:rStyle w:val="Hyperlink"/>
                <w:noProof/>
              </w:rPr>
              <w:t>The Archaic Period (11,500 – 3,200 cal. BP)</w:t>
            </w:r>
            <w:r>
              <w:rPr>
                <w:noProof/>
                <w:webHidden/>
              </w:rPr>
              <w:tab/>
            </w:r>
            <w:r>
              <w:rPr>
                <w:noProof/>
                <w:webHidden/>
              </w:rPr>
              <w:fldChar w:fldCharType="begin"/>
            </w:r>
            <w:r>
              <w:rPr>
                <w:noProof/>
                <w:webHidden/>
              </w:rPr>
              <w:instrText xml:space="preserve"> PAGEREF _Toc349507280 \h </w:instrText>
            </w:r>
            <w:r>
              <w:rPr>
                <w:noProof/>
                <w:webHidden/>
              </w:rPr>
            </w:r>
            <w:r>
              <w:rPr>
                <w:noProof/>
                <w:webHidden/>
              </w:rPr>
              <w:fldChar w:fldCharType="separate"/>
            </w:r>
            <w:r>
              <w:rPr>
                <w:noProof/>
                <w:webHidden/>
              </w:rPr>
              <w:t>13</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1" w:history="1">
            <w:r w:rsidRPr="003B7D08">
              <w:rPr>
                <w:rStyle w:val="Hyperlink"/>
                <w:noProof/>
              </w:rPr>
              <w:t>The Woodland Period (3,200 – 1,000 cal. BP)</w:t>
            </w:r>
            <w:r>
              <w:rPr>
                <w:noProof/>
                <w:webHidden/>
              </w:rPr>
              <w:tab/>
            </w:r>
            <w:r>
              <w:rPr>
                <w:noProof/>
                <w:webHidden/>
              </w:rPr>
              <w:fldChar w:fldCharType="begin"/>
            </w:r>
            <w:r>
              <w:rPr>
                <w:noProof/>
                <w:webHidden/>
              </w:rPr>
              <w:instrText xml:space="preserve"> PAGEREF _Toc349507281 \h </w:instrText>
            </w:r>
            <w:r>
              <w:rPr>
                <w:noProof/>
                <w:webHidden/>
              </w:rPr>
            </w:r>
            <w:r>
              <w:rPr>
                <w:noProof/>
                <w:webHidden/>
              </w:rPr>
              <w:fldChar w:fldCharType="separate"/>
            </w:r>
            <w:r>
              <w:rPr>
                <w:noProof/>
                <w:webHidden/>
              </w:rPr>
              <w:t>16</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2" w:history="1">
            <w:r w:rsidRPr="003B7D08">
              <w:rPr>
                <w:rStyle w:val="Hyperlink"/>
                <w:noProof/>
              </w:rPr>
              <w:t>The Mississippian Period (A.D. 1000 – 1500)</w:t>
            </w:r>
            <w:r>
              <w:rPr>
                <w:noProof/>
                <w:webHidden/>
              </w:rPr>
              <w:tab/>
            </w:r>
            <w:r>
              <w:rPr>
                <w:noProof/>
                <w:webHidden/>
              </w:rPr>
              <w:fldChar w:fldCharType="begin"/>
            </w:r>
            <w:r>
              <w:rPr>
                <w:noProof/>
                <w:webHidden/>
              </w:rPr>
              <w:instrText xml:space="preserve"> PAGEREF _Toc349507282 \h </w:instrText>
            </w:r>
            <w:r>
              <w:rPr>
                <w:noProof/>
                <w:webHidden/>
              </w:rPr>
            </w:r>
            <w:r>
              <w:rPr>
                <w:noProof/>
                <w:webHidden/>
              </w:rPr>
              <w:fldChar w:fldCharType="separate"/>
            </w:r>
            <w:r>
              <w:rPr>
                <w:noProof/>
                <w:webHidden/>
              </w:rPr>
              <w:t>19</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83" w:history="1">
            <w:r w:rsidRPr="003B7D08">
              <w:rPr>
                <w:rStyle w:val="Hyperlink"/>
                <w:noProof/>
              </w:rPr>
              <w:t>Chapter 4: Sachsen Cave Shelter</w:t>
            </w:r>
            <w:r>
              <w:rPr>
                <w:noProof/>
                <w:webHidden/>
              </w:rPr>
              <w:tab/>
            </w:r>
            <w:r>
              <w:rPr>
                <w:noProof/>
                <w:webHidden/>
              </w:rPr>
              <w:fldChar w:fldCharType="begin"/>
            </w:r>
            <w:r>
              <w:rPr>
                <w:noProof/>
                <w:webHidden/>
              </w:rPr>
              <w:instrText xml:space="preserve"> PAGEREF _Toc349507283 \h </w:instrText>
            </w:r>
            <w:r>
              <w:rPr>
                <w:noProof/>
                <w:webHidden/>
              </w:rPr>
            </w:r>
            <w:r>
              <w:rPr>
                <w:noProof/>
                <w:webHidden/>
              </w:rPr>
              <w:fldChar w:fldCharType="separate"/>
            </w:r>
            <w:r>
              <w:rPr>
                <w:noProof/>
                <w:webHidden/>
              </w:rPr>
              <w:t>21</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4" w:history="1">
            <w:r w:rsidRPr="003B7D08">
              <w:rPr>
                <w:rStyle w:val="Hyperlink"/>
                <w:noProof/>
              </w:rPr>
              <w:t>2008 Excavations</w:t>
            </w:r>
            <w:r>
              <w:rPr>
                <w:noProof/>
                <w:webHidden/>
              </w:rPr>
              <w:tab/>
            </w:r>
            <w:r>
              <w:rPr>
                <w:noProof/>
                <w:webHidden/>
              </w:rPr>
              <w:fldChar w:fldCharType="begin"/>
            </w:r>
            <w:r>
              <w:rPr>
                <w:noProof/>
                <w:webHidden/>
              </w:rPr>
              <w:instrText xml:space="preserve"> PAGEREF _Toc349507284 \h </w:instrText>
            </w:r>
            <w:r>
              <w:rPr>
                <w:noProof/>
                <w:webHidden/>
              </w:rPr>
            </w:r>
            <w:r>
              <w:rPr>
                <w:noProof/>
                <w:webHidden/>
              </w:rPr>
              <w:fldChar w:fldCharType="separate"/>
            </w:r>
            <w:r>
              <w:rPr>
                <w:noProof/>
                <w:webHidden/>
              </w:rPr>
              <w:t>24</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5" w:history="1">
            <w:r w:rsidRPr="003B7D08">
              <w:rPr>
                <w:rStyle w:val="Hyperlink"/>
                <w:noProof/>
              </w:rPr>
              <w:t>2010 Excavations</w:t>
            </w:r>
            <w:r>
              <w:rPr>
                <w:noProof/>
                <w:webHidden/>
              </w:rPr>
              <w:tab/>
            </w:r>
            <w:r>
              <w:rPr>
                <w:noProof/>
                <w:webHidden/>
              </w:rPr>
              <w:fldChar w:fldCharType="begin"/>
            </w:r>
            <w:r>
              <w:rPr>
                <w:noProof/>
                <w:webHidden/>
              </w:rPr>
              <w:instrText xml:space="preserve"> PAGEREF _Toc349507285 \h </w:instrText>
            </w:r>
            <w:r>
              <w:rPr>
                <w:noProof/>
                <w:webHidden/>
              </w:rPr>
            </w:r>
            <w:r>
              <w:rPr>
                <w:noProof/>
                <w:webHidden/>
              </w:rPr>
              <w:fldChar w:fldCharType="separate"/>
            </w:r>
            <w:r>
              <w:rPr>
                <w:noProof/>
                <w:webHidden/>
              </w:rPr>
              <w:t>30</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6" w:history="1">
            <w:r w:rsidRPr="003B7D08">
              <w:rPr>
                <w:rStyle w:val="Hyperlink"/>
                <w:noProof/>
              </w:rPr>
              <w:t>2011 Excavations</w:t>
            </w:r>
            <w:r>
              <w:rPr>
                <w:noProof/>
                <w:webHidden/>
              </w:rPr>
              <w:tab/>
            </w:r>
            <w:r>
              <w:rPr>
                <w:noProof/>
                <w:webHidden/>
              </w:rPr>
              <w:fldChar w:fldCharType="begin"/>
            </w:r>
            <w:r>
              <w:rPr>
                <w:noProof/>
                <w:webHidden/>
              </w:rPr>
              <w:instrText xml:space="preserve"> PAGEREF _Toc349507286 \h </w:instrText>
            </w:r>
            <w:r>
              <w:rPr>
                <w:noProof/>
                <w:webHidden/>
              </w:rPr>
            </w:r>
            <w:r>
              <w:rPr>
                <w:noProof/>
                <w:webHidden/>
              </w:rPr>
              <w:fldChar w:fldCharType="separate"/>
            </w:r>
            <w:r>
              <w:rPr>
                <w:noProof/>
                <w:webHidden/>
              </w:rPr>
              <w:t>31</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87" w:history="1">
            <w:r w:rsidRPr="003B7D08">
              <w:rPr>
                <w:rStyle w:val="Hyperlink"/>
                <w:noProof/>
              </w:rPr>
              <w:t>Chapter 5: Methods</w:t>
            </w:r>
            <w:r>
              <w:rPr>
                <w:noProof/>
                <w:webHidden/>
              </w:rPr>
              <w:tab/>
            </w:r>
            <w:r>
              <w:rPr>
                <w:noProof/>
                <w:webHidden/>
              </w:rPr>
              <w:fldChar w:fldCharType="begin"/>
            </w:r>
            <w:r>
              <w:rPr>
                <w:noProof/>
                <w:webHidden/>
              </w:rPr>
              <w:instrText xml:space="preserve"> PAGEREF _Toc349507287 \h </w:instrText>
            </w:r>
            <w:r>
              <w:rPr>
                <w:noProof/>
                <w:webHidden/>
              </w:rPr>
            </w:r>
            <w:r>
              <w:rPr>
                <w:noProof/>
                <w:webHidden/>
              </w:rPr>
              <w:fldChar w:fldCharType="separate"/>
            </w:r>
            <w:r>
              <w:rPr>
                <w:noProof/>
                <w:webHidden/>
              </w:rPr>
              <w:t>36</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8" w:history="1">
            <w:r w:rsidRPr="003B7D08">
              <w:rPr>
                <w:rStyle w:val="Hyperlink"/>
                <w:noProof/>
              </w:rPr>
              <w:t>Faunal Sampling</w:t>
            </w:r>
            <w:r>
              <w:rPr>
                <w:noProof/>
                <w:webHidden/>
              </w:rPr>
              <w:tab/>
            </w:r>
            <w:r>
              <w:rPr>
                <w:noProof/>
                <w:webHidden/>
              </w:rPr>
              <w:fldChar w:fldCharType="begin"/>
            </w:r>
            <w:r>
              <w:rPr>
                <w:noProof/>
                <w:webHidden/>
              </w:rPr>
              <w:instrText xml:space="preserve"> PAGEREF _Toc349507288 \h </w:instrText>
            </w:r>
            <w:r>
              <w:rPr>
                <w:noProof/>
                <w:webHidden/>
              </w:rPr>
            </w:r>
            <w:r>
              <w:rPr>
                <w:noProof/>
                <w:webHidden/>
              </w:rPr>
              <w:fldChar w:fldCharType="separate"/>
            </w:r>
            <w:r>
              <w:rPr>
                <w:noProof/>
                <w:webHidden/>
              </w:rPr>
              <w:t>36</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89" w:history="1">
            <w:r w:rsidRPr="003B7D08">
              <w:rPr>
                <w:rStyle w:val="Hyperlink"/>
                <w:noProof/>
              </w:rPr>
              <w:t>Faunal Identification and Quantification</w:t>
            </w:r>
            <w:r>
              <w:rPr>
                <w:noProof/>
                <w:webHidden/>
              </w:rPr>
              <w:tab/>
            </w:r>
            <w:r>
              <w:rPr>
                <w:noProof/>
                <w:webHidden/>
              </w:rPr>
              <w:fldChar w:fldCharType="begin"/>
            </w:r>
            <w:r>
              <w:rPr>
                <w:noProof/>
                <w:webHidden/>
              </w:rPr>
              <w:instrText xml:space="preserve"> PAGEREF _Toc349507289 \h </w:instrText>
            </w:r>
            <w:r>
              <w:rPr>
                <w:noProof/>
                <w:webHidden/>
              </w:rPr>
            </w:r>
            <w:r>
              <w:rPr>
                <w:noProof/>
                <w:webHidden/>
              </w:rPr>
              <w:fldChar w:fldCharType="separate"/>
            </w:r>
            <w:r>
              <w:rPr>
                <w:noProof/>
                <w:webHidden/>
              </w:rPr>
              <w:t>38</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90" w:history="1">
            <w:r w:rsidRPr="003B7D08">
              <w:rPr>
                <w:rStyle w:val="Hyperlink"/>
                <w:noProof/>
              </w:rPr>
              <w:t>Faunal Modification</w:t>
            </w:r>
            <w:r>
              <w:rPr>
                <w:noProof/>
                <w:webHidden/>
              </w:rPr>
              <w:tab/>
            </w:r>
            <w:r>
              <w:rPr>
                <w:noProof/>
                <w:webHidden/>
              </w:rPr>
              <w:fldChar w:fldCharType="begin"/>
            </w:r>
            <w:r>
              <w:rPr>
                <w:noProof/>
                <w:webHidden/>
              </w:rPr>
              <w:instrText xml:space="preserve"> PAGEREF _Toc349507290 \h </w:instrText>
            </w:r>
            <w:r>
              <w:rPr>
                <w:noProof/>
                <w:webHidden/>
              </w:rPr>
            </w:r>
            <w:r>
              <w:rPr>
                <w:noProof/>
                <w:webHidden/>
              </w:rPr>
              <w:fldChar w:fldCharType="separate"/>
            </w:r>
            <w:r>
              <w:rPr>
                <w:noProof/>
                <w:webHidden/>
              </w:rPr>
              <w:t>42</w:t>
            </w:r>
            <w:r>
              <w:rPr>
                <w:noProof/>
                <w:webHidden/>
              </w:rPr>
              <w:fldChar w:fldCharType="end"/>
            </w:r>
          </w:hyperlink>
        </w:p>
        <w:p w:rsidR="004C0A85" w:rsidRDefault="004C0A85">
          <w:pPr>
            <w:pStyle w:val="TOC3"/>
            <w:tabs>
              <w:tab w:val="right" w:leader="dot" w:pos="9350"/>
            </w:tabs>
            <w:rPr>
              <w:rFonts w:asciiTheme="minorHAnsi" w:eastAsiaTheme="minorEastAsia" w:hAnsiTheme="minorHAnsi"/>
              <w:noProof/>
              <w:kern w:val="2"/>
              <w:sz w:val="22"/>
              <w14:ligatures w14:val="standard"/>
            </w:rPr>
          </w:pPr>
          <w:hyperlink w:anchor="_Toc349507291" w:history="1">
            <w:r w:rsidRPr="003B7D08">
              <w:rPr>
                <w:rStyle w:val="Hyperlink"/>
                <w:noProof/>
              </w:rPr>
              <w:t>Heat Alteration</w:t>
            </w:r>
            <w:r>
              <w:rPr>
                <w:noProof/>
                <w:webHidden/>
              </w:rPr>
              <w:tab/>
            </w:r>
            <w:r>
              <w:rPr>
                <w:noProof/>
                <w:webHidden/>
              </w:rPr>
              <w:fldChar w:fldCharType="begin"/>
            </w:r>
            <w:r>
              <w:rPr>
                <w:noProof/>
                <w:webHidden/>
              </w:rPr>
              <w:instrText xml:space="preserve"> PAGEREF _Toc349507291 \h </w:instrText>
            </w:r>
            <w:r>
              <w:rPr>
                <w:noProof/>
                <w:webHidden/>
              </w:rPr>
            </w:r>
            <w:r>
              <w:rPr>
                <w:noProof/>
                <w:webHidden/>
              </w:rPr>
              <w:fldChar w:fldCharType="separate"/>
            </w:r>
            <w:r>
              <w:rPr>
                <w:noProof/>
                <w:webHidden/>
              </w:rPr>
              <w:t>42</w:t>
            </w:r>
            <w:r>
              <w:rPr>
                <w:noProof/>
                <w:webHidden/>
              </w:rPr>
              <w:fldChar w:fldCharType="end"/>
            </w:r>
          </w:hyperlink>
        </w:p>
        <w:p w:rsidR="004C0A85" w:rsidRDefault="004C0A85">
          <w:pPr>
            <w:pStyle w:val="TOC3"/>
            <w:tabs>
              <w:tab w:val="right" w:leader="dot" w:pos="9350"/>
            </w:tabs>
            <w:rPr>
              <w:rFonts w:asciiTheme="minorHAnsi" w:eastAsiaTheme="minorEastAsia" w:hAnsiTheme="minorHAnsi"/>
              <w:noProof/>
              <w:kern w:val="2"/>
              <w:sz w:val="22"/>
              <w14:ligatures w14:val="standard"/>
            </w:rPr>
          </w:pPr>
          <w:hyperlink w:anchor="_Toc349507292" w:history="1">
            <w:r w:rsidRPr="003B7D08">
              <w:rPr>
                <w:rStyle w:val="Hyperlink"/>
                <w:noProof/>
              </w:rPr>
              <w:t>Butchering</w:t>
            </w:r>
            <w:r>
              <w:rPr>
                <w:noProof/>
                <w:webHidden/>
              </w:rPr>
              <w:tab/>
            </w:r>
            <w:r>
              <w:rPr>
                <w:noProof/>
                <w:webHidden/>
              </w:rPr>
              <w:fldChar w:fldCharType="begin"/>
            </w:r>
            <w:r>
              <w:rPr>
                <w:noProof/>
                <w:webHidden/>
              </w:rPr>
              <w:instrText xml:space="preserve"> PAGEREF _Toc349507292 \h </w:instrText>
            </w:r>
            <w:r>
              <w:rPr>
                <w:noProof/>
                <w:webHidden/>
              </w:rPr>
            </w:r>
            <w:r>
              <w:rPr>
                <w:noProof/>
                <w:webHidden/>
              </w:rPr>
              <w:fldChar w:fldCharType="separate"/>
            </w:r>
            <w:r>
              <w:rPr>
                <w:noProof/>
                <w:webHidden/>
              </w:rPr>
              <w:t>43</w:t>
            </w:r>
            <w:r>
              <w:rPr>
                <w:noProof/>
                <w:webHidden/>
              </w:rPr>
              <w:fldChar w:fldCharType="end"/>
            </w:r>
          </w:hyperlink>
        </w:p>
        <w:p w:rsidR="004C0A85" w:rsidRDefault="004C0A85">
          <w:pPr>
            <w:pStyle w:val="TOC3"/>
            <w:tabs>
              <w:tab w:val="right" w:leader="dot" w:pos="9350"/>
            </w:tabs>
            <w:rPr>
              <w:rFonts w:asciiTheme="minorHAnsi" w:eastAsiaTheme="minorEastAsia" w:hAnsiTheme="minorHAnsi"/>
              <w:noProof/>
              <w:kern w:val="2"/>
              <w:sz w:val="22"/>
              <w14:ligatures w14:val="standard"/>
            </w:rPr>
          </w:pPr>
          <w:hyperlink w:anchor="_Toc349507293" w:history="1">
            <w:r w:rsidRPr="003B7D08">
              <w:rPr>
                <w:rStyle w:val="Hyperlink"/>
                <w:noProof/>
              </w:rPr>
              <w:t>Bone tools and worked bone</w:t>
            </w:r>
            <w:r>
              <w:rPr>
                <w:noProof/>
                <w:webHidden/>
              </w:rPr>
              <w:tab/>
            </w:r>
            <w:r>
              <w:rPr>
                <w:noProof/>
                <w:webHidden/>
              </w:rPr>
              <w:fldChar w:fldCharType="begin"/>
            </w:r>
            <w:r>
              <w:rPr>
                <w:noProof/>
                <w:webHidden/>
              </w:rPr>
              <w:instrText xml:space="preserve"> PAGEREF _Toc349507293 \h </w:instrText>
            </w:r>
            <w:r>
              <w:rPr>
                <w:noProof/>
                <w:webHidden/>
              </w:rPr>
            </w:r>
            <w:r>
              <w:rPr>
                <w:noProof/>
                <w:webHidden/>
              </w:rPr>
              <w:fldChar w:fldCharType="separate"/>
            </w:r>
            <w:r>
              <w:rPr>
                <w:noProof/>
                <w:webHidden/>
              </w:rPr>
              <w:t>44</w:t>
            </w:r>
            <w:r>
              <w:rPr>
                <w:noProof/>
                <w:webHidden/>
              </w:rPr>
              <w:fldChar w:fldCharType="end"/>
            </w:r>
          </w:hyperlink>
        </w:p>
        <w:p w:rsidR="004C0A85" w:rsidRDefault="004C0A85">
          <w:pPr>
            <w:pStyle w:val="TOC3"/>
            <w:tabs>
              <w:tab w:val="right" w:leader="dot" w:pos="9350"/>
            </w:tabs>
            <w:rPr>
              <w:rFonts w:asciiTheme="minorHAnsi" w:eastAsiaTheme="minorEastAsia" w:hAnsiTheme="minorHAnsi"/>
              <w:noProof/>
              <w:kern w:val="2"/>
              <w:sz w:val="22"/>
              <w14:ligatures w14:val="standard"/>
            </w:rPr>
          </w:pPr>
          <w:hyperlink w:anchor="_Toc349507294" w:history="1">
            <w:r w:rsidRPr="003B7D08">
              <w:rPr>
                <w:rStyle w:val="Hyperlink"/>
                <w:noProof/>
              </w:rPr>
              <w:t>Surface Degradation</w:t>
            </w:r>
            <w:r>
              <w:rPr>
                <w:noProof/>
                <w:webHidden/>
              </w:rPr>
              <w:tab/>
            </w:r>
            <w:r>
              <w:rPr>
                <w:noProof/>
                <w:webHidden/>
              </w:rPr>
              <w:fldChar w:fldCharType="begin"/>
            </w:r>
            <w:r>
              <w:rPr>
                <w:noProof/>
                <w:webHidden/>
              </w:rPr>
              <w:instrText xml:space="preserve"> PAGEREF _Toc349507294 \h </w:instrText>
            </w:r>
            <w:r>
              <w:rPr>
                <w:noProof/>
                <w:webHidden/>
              </w:rPr>
            </w:r>
            <w:r>
              <w:rPr>
                <w:noProof/>
                <w:webHidden/>
              </w:rPr>
              <w:fldChar w:fldCharType="separate"/>
            </w:r>
            <w:r>
              <w:rPr>
                <w:noProof/>
                <w:webHidden/>
              </w:rPr>
              <w:t>45</w:t>
            </w:r>
            <w:r>
              <w:rPr>
                <w:noProof/>
                <w:webHidden/>
              </w:rPr>
              <w:fldChar w:fldCharType="end"/>
            </w:r>
          </w:hyperlink>
        </w:p>
        <w:p w:rsidR="004C0A85" w:rsidRDefault="004C0A85">
          <w:pPr>
            <w:pStyle w:val="TOC3"/>
            <w:tabs>
              <w:tab w:val="right" w:leader="dot" w:pos="9350"/>
            </w:tabs>
            <w:rPr>
              <w:rFonts w:asciiTheme="minorHAnsi" w:eastAsiaTheme="minorEastAsia" w:hAnsiTheme="minorHAnsi"/>
              <w:noProof/>
              <w:kern w:val="2"/>
              <w:sz w:val="22"/>
              <w14:ligatures w14:val="standard"/>
            </w:rPr>
          </w:pPr>
          <w:hyperlink w:anchor="_Toc349507295" w:history="1">
            <w:r w:rsidRPr="003B7D08">
              <w:rPr>
                <w:rStyle w:val="Hyperlink"/>
                <w:noProof/>
              </w:rPr>
              <w:t>Gnaw Marks and Digestion</w:t>
            </w:r>
            <w:r>
              <w:rPr>
                <w:noProof/>
                <w:webHidden/>
              </w:rPr>
              <w:tab/>
            </w:r>
            <w:r>
              <w:rPr>
                <w:noProof/>
                <w:webHidden/>
              </w:rPr>
              <w:fldChar w:fldCharType="begin"/>
            </w:r>
            <w:r>
              <w:rPr>
                <w:noProof/>
                <w:webHidden/>
              </w:rPr>
              <w:instrText xml:space="preserve"> PAGEREF _Toc349507295 \h </w:instrText>
            </w:r>
            <w:r>
              <w:rPr>
                <w:noProof/>
                <w:webHidden/>
              </w:rPr>
            </w:r>
            <w:r>
              <w:rPr>
                <w:noProof/>
                <w:webHidden/>
              </w:rPr>
              <w:fldChar w:fldCharType="separate"/>
            </w:r>
            <w:r>
              <w:rPr>
                <w:noProof/>
                <w:webHidden/>
              </w:rPr>
              <w:t>46</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96" w:history="1">
            <w:r w:rsidRPr="003B7D08">
              <w:rPr>
                <w:rStyle w:val="Hyperlink"/>
                <w:noProof/>
              </w:rPr>
              <w:t>Bone Preservation</w:t>
            </w:r>
            <w:r>
              <w:rPr>
                <w:noProof/>
                <w:webHidden/>
              </w:rPr>
              <w:tab/>
            </w:r>
            <w:r>
              <w:rPr>
                <w:noProof/>
                <w:webHidden/>
              </w:rPr>
              <w:fldChar w:fldCharType="begin"/>
            </w:r>
            <w:r>
              <w:rPr>
                <w:noProof/>
                <w:webHidden/>
              </w:rPr>
              <w:instrText xml:space="preserve"> PAGEREF _Toc349507296 \h </w:instrText>
            </w:r>
            <w:r>
              <w:rPr>
                <w:noProof/>
                <w:webHidden/>
              </w:rPr>
            </w:r>
            <w:r>
              <w:rPr>
                <w:noProof/>
                <w:webHidden/>
              </w:rPr>
              <w:fldChar w:fldCharType="separate"/>
            </w:r>
            <w:r>
              <w:rPr>
                <w:noProof/>
                <w:webHidden/>
              </w:rPr>
              <w:t>47</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297" w:history="1">
            <w:r w:rsidRPr="003B7D08">
              <w:rPr>
                <w:rStyle w:val="Hyperlink"/>
                <w:noProof/>
              </w:rPr>
              <w:t>Chapter 6: Results</w:t>
            </w:r>
            <w:r>
              <w:rPr>
                <w:noProof/>
                <w:webHidden/>
              </w:rPr>
              <w:tab/>
            </w:r>
            <w:r>
              <w:rPr>
                <w:noProof/>
                <w:webHidden/>
              </w:rPr>
              <w:fldChar w:fldCharType="begin"/>
            </w:r>
            <w:r>
              <w:rPr>
                <w:noProof/>
                <w:webHidden/>
              </w:rPr>
              <w:instrText xml:space="preserve"> PAGEREF _Toc349507297 \h </w:instrText>
            </w:r>
            <w:r>
              <w:rPr>
                <w:noProof/>
                <w:webHidden/>
              </w:rPr>
            </w:r>
            <w:r>
              <w:rPr>
                <w:noProof/>
                <w:webHidden/>
              </w:rPr>
              <w:fldChar w:fldCharType="separate"/>
            </w:r>
            <w:r>
              <w:rPr>
                <w:noProof/>
                <w:webHidden/>
              </w:rPr>
              <w:t>52</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98" w:history="1">
            <w:r w:rsidRPr="003B7D08">
              <w:rPr>
                <w:rStyle w:val="Hyperlink"/>
                <w:noProof/>
              </w:rPr>
              <w:t>¼” Results</w:t>
            </w:r>
            <w:r>
              <w:rPr>
                <w:noProof/>
                <w:webHidden/>
              </w:rPr>
              <w:tab/>
            </w:r>
            <w:r>
              <w:rPr>
                <w:noProof/>
                <w:webHidden/>
              </w:rPr>
              <w:fldChar w:fldCharType="begin"/>
            </w:r>
            <w:r>
              <w:rPr>
                <w:noProof/>
                <w:webHidden/>
              </w:rPr>
              <w:instrText xml:space="preserve"> PAGEREF _Toc349507298 \h </w:instrText>
            </w:r>
            <w:r>
              <w:rPr>
                <w:noProof/>
                <w:webHidden/>
              </w:rPr>
            </w:r>
            <w:r>
              <w:rPr>
                <w:noProof/>
                <w:webHidden/>
              </w:rPr>
              <w:fldChar w:fldCharType="separate"/>
            </w:r>
            <w:r>
              <w:rPr>
                <w:noProof/>
                <w:webHidden/>
              </w:rPr>
              <w:t>52</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299" w:history="1">
            <w:r w:rsidRPr="003B7D08">
              <w:rPr>
                <w:rStyle w:val="Hyperlink"/>
                <w:noProof/>
              </w:rPr>
              <w:t>1/8”Results</w:t>
            </w:r>
            <w:r>
              <w:rPr>
                <w:noProof/>
                <w:webHidden/>
              </w:rPr>
              <w:tab/>
            </w:r>
            <w:r>
              <w:rPr>
                <w:noProof/>
                <w:webHidden/>
              </w:rPr>
              <w:fldChar w:fldCharType="begin"/>
            </w:r>
            <w:r>
              <w:rPr>
                <w:noProof/>
                <w:webHidden/>
              </w:rPr>
              <w:instrText xml:space="preserve"> PAGEREF _Toc349507299 \h </w:instrText>
            </w:r>
            <w:r>
              <w:rPr>
                <w:noProof/>
                <w:webHidden/>
              </w:rPr>
            </w:r>
            <w:r>
              <w:rPr>
                <w:noProof/>
                <w:webHidden/>
              </w:rPr>
              <w:fldChar w:fldCharType="separate"/>
            </w:r>
            <w:r>
              <w:rPr>
                <w:noProof/>
                <w:webHidden/>
              </w:rPr>
              <w:t>81</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300" w:history="1">
            <w:r w:rsidRPr="003B7D08">
              <w:rPr>
                <w:rStyle w:val="Hyperlink"/>
                <w:noProof/>
              </w:rPr>
              <w:t>1/16” Results</w:t>
            </w:r>
            <w:r>
              <w:rPr>
                <w:noProof/>
                <w:webHidden/>
              </w:rPr>
              <w:tab/>
            </w:r>
            <w:r>
              <w:rPr>
                <w:noProof/>
                <w:webHidden/>
              </w:rPr>
              <w:fldChar w:fldCharType="begin"/>
            </w:r>
            <w:r>
              <w:rPr>
                <w:noProof/>
                <w:webHidden/>
              </w:rPr>
              <w:instrText xml:space="preserve"> PAGEREF _Toc349507300 \h </w:instrText>
            </w:r>
            <w:r>
              <w:rPr>
                <w:noProof/>
                <w:webHidden/>
              </w:rPr>
            </w:r>
            <w:r>
              <w:rPr>
                <w:noProof/>
                <w:webHidden/>
              </w:rPr>
              <w:fldChar w:fldCharType="separate"/>
            </w:r>
            <w:r>
              <w:rPr>
                <w:noProof/>
                <w:webHidden/>
              </w:rPr>
              <w:t>83</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301" w:history="1">
            <w:r w:rsidRPr="003B7D08">
              <w:rPr>
                <w:rStyle w:val="Hyperlink"/>
                <w:noProof/>
              </w:rPr>
              <w:t>Diversity Calculations</w:t>
            </w:r>
            <w:r>
              <w:rPr>
                <w:noProof/>
                <w:webHidden/>
              </w:rPr>
              <w:tab/>
            </w:r>
            <w:r>
              <w:rPr>
                <w:noProof/>
                <w:webHidden/>
              </w:rPr>
              <w:fldChar w:fldCharType="begin"/>
            </w:r>
            <w:r>
              <w:rPr>
                <w:noProof/>
                <w:webHidden/>
              </w:rPr>
              <w:instrText xml:space="preserve"> PAGEREF _Toc349507301 \h </w:instrText>
            </w:r>
            <w:r>
              <w:rPr>
                <w:noProof/>
                <w:webHidden/>
              </w:rPr>
            </w:r>
            <w:r>
              <w:rPr>
                <w:noProof/>
                <w:webHidden/>
              </w:rPr>
              <w:fldChar w:fldCharType="separate"/>
            </w:r>
            <w:r>
              <w:rPr>
                <w:noProof/>
                <w:webHidden/>
              </w:rPr>
              <w:t>84</w:t>
            </w:r>
            <w:r>
              <w:rPr>
                <w:noProof/>
                <w:webHidden/>
              </w:rPr>
              <w:fldChar w:fldCharType="end"/>
            </w:r>
          </w:hyperlink>
        </w:p>
        <w:p w:rsidR="004C0A85" w:rsidRDefault="004C0A85">
          <w:pPr>
            <w:pStyle w:val="TOC2"/>
            <w:tabs>
              <w:tab w:val="right" w:leader="dot" w:pos="9350"/>
            </w:tabs>
            <w:rPr>
              <w:rFonts w:asciiTheme="minorHAnsi" w:eastAsiaTheme="minorEastAsia" w:hAnsiTheme="minorHAnsi"/>
              <w:noProof/>
              <w:kern w:val="2"/>
              <w:sz w:val="22"/>
              <w14:ligatures w14:val="standard"/>
            </w:rPr>
          </w:pPr>
          <w:hyperlink w:anchor="_Toc349507302" w:history="1">
            <w:r w:rsidRPr="003B7D08">
              <w:rPr>
                <w:rStyle w:val="Hyperlink"/>
                <w:noProof/>
              </w:rPr>
              <w:t>Bone Preservation Results</w:t>
            </w:r>
            <w:r>
              <w:rPr>
                <w:noProof/>
                <w:webHidden/>
              </w:rPr>
              <w:tab/>
            </w:r>
            <w:r>
              <w:rPr>
                <w:noProof/>
                <w:webHidden/>
              </w:rPr>
              <w:fldChar w:fldCharType="begin"/>
            </w:r>
            <w:r>
              <w:rPr>
                <w:noProof/>
                <w:webHidden/>
              </w:rPr>
              <w:instrText xml:space="preserve"> PAGEREF _Toc349507302 \h </w:instrText>
            </w:r>
            <w:r>
              <w:rPr>
                <w:noProof/>
                <w:webHidden/>
              </w:rPr>
            </w:r>
            <w:r>
              <w:rPr>
                <w:noProof/>
                <w:webHidden/>
              </w:rPr>
              <w:fldChar w:fldCharType="separate"/>
            </w:r>
            <w:r>
              <w:rPr>
                <w:noProof/>
                <w:webHidden/>
              </w:rPr>
              <w:t>84</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303" w:history="1">
            <w:r w:rsidRPr="003B7D08">
              <w:rPr>
                <w:rStyle w:val="Hyperlink"/>
                <w:noProof/>
              </w:rPr>
              <w:t>Chapter 7: Discussions and Conclusions</w:t>
            </w:r>
            <w:r>
              <w:rPr>
                <w:noProof/>
                <w:webHidden/>
              </w:rPr>
              <w:tab/>
            </w:r>
            <w:r>
              <w:rPr>
                <w:noProof/>
                <w:webHidden/>
              </w:rPr>
              <w:fldChar w:fldCharType="begin"/>
            </w:r>
            <w:r>
              <w:rPr>
                <w:noProof/>
                <w:webHidden/>
              </w:rPr>
              <w:instrText xml:space="preserve"> PAGEREF _Toc349507303 \h </w:instrText>
            </w:r>
            <w:r>
              <w:rPr>
                <w:noProof/>
                <w:webHidden/>
              </w:rPr>
            </w:r>
            <w:r>
              <w:rPr>
                <w:noProof/>
                <w:webHidden/>
              </w:rPr>
              <w:fldChar w:fldCharType="separate"/>
            </w:r>
            <w:r>
              <w:rPr>
                <w:noProof/>
                <w:webHidden/>
              </w:rPr>
              <w:t>87</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304" w:history="1">
            <w:r w:rsidRPr="003B7D08">
              <w:rPr>
                <w:rStyle w:val="Hyperlink"/>
                <w:noProof/>
              </w:rPr>
              <w:t>References Cited</w:t>
            </w:r>
            <w:r>
              <w:rPr>
                <w:noProof/>
                <w:webHidden/>
              </w:rPr>
              <w:tab/>
            </w:r>
            <w:r>
              <w:rPr>
                <w:noProof/>
                <w:webHidden/>
              </w:rPr>
              <w:fldChar w:fldCharType="begin"/>
            </w:r>
            <w:r>
              <w:rPr>
                <w:noProof/>
                <w:webHidden/>
              </w:rPr>
              <w:instrText xml:space="preserve"> PAGEREF _Toc349507304 \h </w:instrText>
            </w:r>
            <w:r>
              <w:rPr>
                <w:noProof/>
                <w:webHidden/>
              </w:rPr>
            </w:r>
            <w:r>
              <w:rPr>
                <w:noProof/>
                <w:webHidden/>
              </w:rPr>
              <w:fldChar w:fldCharType="separate"/>
            </w:r>
            <w:r>
              <w:rPr>
                <w:noProof/>
                <w:webHidden/>
              </w:rPr>
              <w:t>95</w:t>
            </w:r>
            <w:r>
              <w:rPr>
                <w:noProof/>
                <w:webHidden/>
              </w:rPr>
              <w:fldChar w:fldCharType="end"/>
            </w:r>
          </w:hyperlink>
        </w:p>
        <w:p w:rsidR="004C0A85" w:rsidRDefault="004C0A85">
          <w:pPr>
            <w:pStyle w:val="TOC1"/>
            <w:tabs>
              <w:tab w:val="right" w:leader="dot" w:pos="9350"/>
            </w:tabs>
            <w:rPr>
              <w:rFonts w:asciiTheme="minorHAnsi" w:eastAsiaTheme="minorEastAsia" w:hAnsiTheme="minorHAnsi"/>
              <w:noProof/>
              <w:kern w:val="2"/>
              <w:sz w:val="22"/>
              <w14:ligatures w14:val="standard"/>
            </w:rPr>
          </w:pPr>
          <w:hyperlink w:anchor="_Toc349507305" w:history="1">
            <w:r w:rsidRPr="003B7D08">
              <w:rPr>
                <w:rStyle w:val="Hyperlink"/>
                <w:noProof/>
              </w:rPr>
              <w:t>Vita</w:t>
            </w:r>
            <w:r>
              <w:rPr>
                <w:noProof/>
                <w:webHidden/>
              </w:rPr>
              <w:tab/>
            </w:r>
            <w:r>
              <w:rPr>
                <w:noProof/>
                <w:webHidden/>
              </w:rPr>
              <w:fldChar w:fldCharType="begin"/>
            </w:r>
            <w:r>
              <w:rPr>
                <w:noProof/>
                <w:webHidden/>
              </w:rPr>
              <w:instrText xml:space="preserve"> PAGEREF _Toc349507305 \h </w:instrText>
            </w:r>
            <w:r>
              <w:rPr>
                <w:noProof/>
                <w:webHidden/>
              </w:rPr>
            </w:r>
            <w:r>
              <w:rPr>
                <w:noProof/>
                <w:webHidden/>
              </w:rPr>
              <w:fldChar w:fldCharType="separate"/>
            </w:r>
            <w:r>
              <w:rPr>
                <w:noProof/>
                <w:webHidden/>
              </w:rPr>
              <w:t>107</w:t>
            </w:r>
            <w:r>
              <w:rPr>
                <w:noProof/>
                <w:webHidden/>
              </w:rPr>
              <w:fldChar w:fldCharType="end"/>
            </w:r>
          </w:hyperlink>
        </w:p>
        <w:p w:rsidR="004A7323" w:rsidRPr="00C123C1" w:rsidRDefault="00B33E6D">
          <w:pPr>
            <w:rPr>
              <w:rFonts w:cs="Times New Roman"/>
              <w:szCs w:val="24"/>
            </w:rPr>
          </w:pPr>
          <w:r w:rsidRPr="00C123C1">
            <w:rPr>
              <w:rFonts w:cs="Times New Roman"/>
              <w:szCs w:val="24"/>
            </w:rPr>
            <w:fldChar w:fldCharType="end"/>
          </w:r>
        </w:p>
      </w:sdtContent>
    </w:sdt>
    <w:p w:rsidR="00B40AC5" w:rsidRDefault="00B40AC5">
      <w:pPr>
        <w:rPr>
          <w:rFonts w:eastAsiaTheme="majorEastAsia" w:cs="Times New Roman"/>
          <w:b/>
          <w:bCs/>
          <w:szCs w:val="24"/>
        </w:rPr>
      </w:pPr>
      <w:r>
        <w:rPr>
          <w:rFonts w:eastAsiaTheme="majorEastAsia" w:cs="Times New Roman"/>
          <w:b/>
          <w:bCs/>
          <w:szCs w:val="24"/>
        </w:rPr>
        <w:br w:type="page"/>
      </w:r>
    </w:p>
    <w:p w:rsidR="006873C0" w:rsidRDefault="006873C0" w:rsidP="006873C0">
      <w:pPr>
        <w:pStyle w:val="Heading1"/>
        <w:jc w:val="center"/>
      </w:pPr>
      <w:bookmarkStart w:id="1" w:name="_Toc349507270"/>
      <w:r>
        <w:lastRenderedPageBreak/>
        <w:t>List of Figures</w:t>
      </w:r>
      <w:bookmarkEnd w:id="1"/>
      <w:r>
        <w:t xml:space="preserve"> </w:t>
      </w:r>
    </w:p>
    <w:p w:rsidR="00E26212" w:rsidRDefault="00B40AC5">
      <w:pPr>
        <w:pStyle w:val="TableofFigures"/>
        <w:tabs>
          <w:tab w:val="right" w:leader="dot" w:pos="9350"/>
        </w:tabs>
        <w:rPr>
          <w:rFonts w:asciiTheme="minorHAnsi" w:eastAsiaTheme="minorEastAsia" w:hAnsiTheme="minorHAnsi"/>
          <w:noProof/>
          <w:kern w:val="2"/>
          <w:sz w:val="22"/>
          <w14:ligatures w14:val="standard"/>
        </w:rPr>
      </w:pPr>
      <w:r>
        <w:rPr>
          <w:rFonts w:eastAsiaTheme="majorEastAsia" w:cs="Times New Roman"/>
          <w:b/>
          <w:bCs/>
          <w:szCs w:val="24"/>
        </w:rPr>
        <w:fldChar w:fldCharType="begin"/>
      </w:r>
      <w:r>
        <w:rPr>
          <w:rFonts w:eastAsiaTheme="majorEastAsia" w:cs="Times New Roman"/>
          <w:b/>
          <w:bCs/>
          <w:szCs w:val="24"/>
        </w:rPr>
        <w:instrText xml:space="preserve"> TOC \h \z \c "Figure" </w:instrText>
      </w:r>
      <w:r>
        <w:rPr>
          <w:rFonts w:eastAsiaTheme="majorEastAsia" w:cs="Times New Roman"/>
          <w:b/>
          <w:bCs/>
          <w:szCs w:val="24"/>
        </w:rPr>
        <w:fldChar w:fldCharType="separate"/>
      </w:r>
      <w:hyperlink w:anchor="_Toc349505218" w:history="1">
        <w:r w:rsidR="00E26212" w:rsidRPr="00E84518">
          <w:rPr>
            <w:rStyle w:val="Hyperlink"/>
            <w:noProof/>
          </w:rPr>
          <w:t>Figure 1: Sachsen Cave Shelter, facing North. July 2012</w:t>
        </w:r>
        <w:r w:rsidR="00E26212">
          <w:rPr>
            <w:noProof/>
            <w:webHidden/>
          </w:rPr>
          <w:tab/>
        </w:r>
        <w:r w:rsidR="00E26212">
          <w:rPr>
            <w:noProof/>
            <w:webHidden/>
          </w:rPr>
          <w:fldChar w:fldCharType="begin"/>
        </w:r>
        <w:r w:rsidR="00E26212">
          <w:rPr>
            <w:noProof/>
            <w:webHidden/>
          </w:rPr>
          <w:instrText xml:space="preserve"> PAGEREF _Toc349505218 \h </w:instrText>
        </w:r>
        <w:r w:rsidR="00E26212">
          <w:rPr>
            <w:noProof/>
            <w:webHidden/>
          </w:rPr>
        </w:r>
        <w:r w:rsidR="00E26212">
          <w:rPr>
            <w:noProof/>
            <w:webHidden/>
          </w:rPr>
          <w:fldChar w:fldCharType="separate"/>
        </w:r>
        <w:r w:rsidR="00E26212">
          <w:rPr>
            <w:noProof/>
            <w:webHidden/>
          </w:rPr>
          <w:t>21</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219" w:history="1">
        <w:r w:rsidR="00E26212" w:rsidRPr="00E84518">
          <w:rPr>
            <w:rStyle w:val="Hyperlink"/>
            <w:noProof/>
          </w:rPr>
          <w:t>Figure 2: Central portion and excavations at Sachsen Cave Shelter</w:t>
        </w:r>
        <w:r w:rsidR="00E26212">
          <w:rPr>
            <w:noProof/>
            <w:webHidden/>
          </w:rPr>
          <w:tab/>
        </w:r>
        <w:r w:rsidR="00E26212">
          <w:rPr>
            <w:noProof/>
            <w:webHidden/>
          </w:rPr>
          <w:fldChar w:fldCharType="begin"/>
        </w:r>
        <w:r w:rsidR="00E26212">
          <w:rPr>
            <w:noProof/>
            <w:webHidden/>
          </w:rPr>
          <w:instrText xml:space="preserve"> PAGEREF _Toc349505219 \h </w:instrText>
        </w:r>
        <w:r w:rsidR="00E26212">
          <w:rPr>
            <w:noProof/>
            <w:webHidden/>
          </w:rPr>
        </w:r>
        <w:r w:rsidR="00E26212">
          <w:rPr>
            <w:noProof/>
            <w:webHidden/>
          </w:rPr>
          <w:fldChar w:fldCharType="separate"/>
        </w:r>
        <w:r w:rsidR="00E26212">
          <w:rPr>
            <w:noProof/>
            <w:webHidden/>
          </w:rPr>
          <w:t>23</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220" w:history="1">
        <w:r w:rsidR="00E26212" w:rsidRPr="00E84518">
          <w:rPr>
            <w:rStyle w:val="Hyperlink"/>
            <w:noProof/>
          </w:rPr>
          <w:t>Figure 3:Evidence of water flow – looking south toward the back corner of the shelter, water flows north. July 2012</w:t>
        </w:r>
        <w:r w:rsidR="00E26212">
          <w:rPr>
            <w:noProof/>
            <w:webHidden/>
          </w:rPr>
          <w:tab/>
        </w:r>
        <w:r w:rsidR="00E26212">
          <w:rPr>
            <w:noProof/>
            <w:webHidden/>
          </w:rPr>
          <w:fldChar w:fldCharType="begin"/>
        </w:r>
        <w:r w:rsidR="00E26212">
          <w:rPr>
            <w:noProof/>
            <w:webHidden/>
          </w:rPr>
          <w:instrText xml:space="preserve"> PAGEREF _Toc349505220 \h </w:instrText>
        </w:r>
        <w:r w:rsidR="00E26212">
          <w:rPr>
            <w:noProof/>
            <w:webHidden/>
          </w:rPr>
        </w:r>
        <w:r w:rsidR="00E26212">
          <w:rPr>
            <w:noProof/>
            <w:webHidden/>
          </w:rPr>
          <w:fldChar w:fldCharType="separate"/>
        </w:r>
        <w:r w:rsidR="00E26212">
          <w:rPr>
            <w:noProof/>
            <w:webHidden/>
          </w:rPr>
          <w:t>23</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r:id="rId9" w:anchor="_Toc349505221" w:history="1">
        <w:r w:rsidR="00E26212" w:rsidRPr="00E84518">
          <w:rPr>
            <w:rStyle w:val="Hyperlink"/>
            <w:noProof/>
          </w:rPr>
          <w:t>Figure 4: Site map, Sachsen Cave Shelter, showing all years of excavation. Map produced by Lucinda Langston</w:t>
        </w:r>
        <w:r w:rsidR="00E26212">
          <w:rPr>
            <w:noProof/>
            <w:webHidden/>
          </w:rPr>
          <w:tab/>
        </w:r>
        <w:r w:rsidR="00E26212">
          <w:rPr>
            <w:noProof/>
            <w:webHidden/>
          </w:rPr>
          <w:fldChar w:fldCharType="begin"/>
        </w:r>
        <w:r w:rsidR="00E26212">
          <w:rPr>
            <w:noProof/>
            <w:webHidden/>
          </w:rPr>
          <w:instrText xml:space="preserve"> PAGEREF _Toc349505221 \h </w:instrText>
        </w:r>
        <w:r w:rsidR="00E26212">
          <w:rPr>
            <w:noProof/>
            <w:webHidden/>
          </w:rPr>
        </w:r>
        <w:r w:rsidR="00E26212">
          <w:rPr>
            <w:noProof/>
            <w:webHidden/>
          </w:rPr>
          <w:fldChar w:fldCharType="separate"/>
        </w:r>
        <w:r w:rsidR="00E26212">
          <w:rPr>
            <w:noProof/>
            <w:webHidden/>
          </w:rPr>
          <w:t>24</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222" w:history="1">
        <w:r w:rsidR="00E26212" w:rsidRPr="00E84518">
          <w:rPr>
            <w:rStyle w:val="Hyperlink"/>
            <w:noProof/>
          </w:rPr>
          <w:t>Figure 5: S32 Stratigraphy – TU2 N Wall, photo courtesy Jay Franklin</w:t>
        </w:r>
        <w:r w:rsidR="00E26212">
          <w:rPr>
            <w:noProof/>
            <w:webHidden/>
          </w:rPr>
          <w:tab/>
        </w:r>
        <w:r w:rsidR="00E26212">
          <w:rPr>
            <w:noProof/>
            <w:webHidden/>
          </w:rPr>
          <w:fldChar w:fldCharType="begin"/>
        </w:r>
        <w:r w:rsidR="00E26212">
          <w:rPr>
            <w:noProof/>
            <w:webHidden/>
          </w:rPr>
          <w:instrText xml:space="preserve"> PAGEREF _Toc349505222 \h </w:instrText>
        </w:r>
        <w:r w:rsidR="00E26212">
          <w:rPr>
            <w:noProof/>
            <w:webHidden/>
          </w:rPr>
        </w:r>
        <w:r w:rsidR="00E26212">
          <w:rPr>
            <w:noProof/>
            <w:webHidden/>
          </w:rPr>
          <w:fldChar w:fldCharType="separate"/>
        </w:r>
        <w:r w:rsidR="00E26212">
          <w:rPr>
            <w:noProof/>
            <w:webHidden/>
          </w:rPr>
          <w:t>27</w:t>
        </w:r>
        <w:r w:rsidR="00E26212">
          <w:rPr>
            <w:noProof/>
            <w:webHidden/>
          </w:rPr>
          <w:fldChar w:fldCharType="end"/>
        </w:r>
      </w:hyperlink>
    </w:p>
    <w:p w:rsidR="00E26212" w:rsidRDefault="00B40AC5" w:rsidP="00E26212">
      <w:pPr>
        <w:rPr>
          <w:rFonts w:eastAsiaTheme="majorEastAsia" w:cs="Times New Roman"/>
          <w:b/>
          <w:bCs/>
          <w:szCs w:val="24"/>
        </w:rPr>
      </w:pPr>
      <w:r>
        <w:rPr>
          <w:rFonts w:eastAsiaTheme="majorEastAsia" w:cs="Times New Roman"/>
          <w:b/>
          <w:bCs/>
          <w:szCs w:val="24"/>
        </w:rPr>
        <w:fldChar w:fldCharType="end"/>
      </w:r>
      <w:r w:rsidR="0037071E">
        <w:rPr>
          <w:rFonts w:eastAsiaTheme="majorEastAsia" w:cs="Times New Roman"/>
          <w:b/>
          <w:bCs/>
          <w:szCs w:val="24"/>
        </w:rPr>
        <w:fldChar w:fldCharType="begin"/>
      </w:r>
      <w:r w:rsidR="0037071E">
        <w:rPr>
          <w:rFonts w:eastAsiaTheme="majorEastAsia" w:cs="Times New Roman"/>
          <w:b/>
          <w:bCs/>
          <w:szCs w:val="24"/>
        </w:rPr>
        <w:instrText xml:space="preserve"> TOC \h \z \c "Table" </w:instrText>
      </w:r>
      <w:r w:rsidR="0037071E">
        <w:rPr>
          <w:rFonts w:eastAsiaTheme="majorEastAsia" w:cs="Times New Roman"/>
          <w:b/>
          <w:bCs/>
          <w:szCs w:val="24"/>
        </w:rPr>
        <w:fldChar w:fldCharType="separate"/>
      </w: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Default="004C0A85" w:rsidP="00E26212">
      <w:pPr>
        <w:rPr>
          <w:rFonts w:eastAsiaTheme="majorEastAsia" w:cs="Times New Roman"/>
          <w:b/>
          <w:bCs/>
          <w:szCs w:val="24"/>
        </w:rPr>
      </w:pPr>
    </w:p>
    <w:p w:rsidR="004C0A85" w:rsidRPr="00E26212" w:rsidRDefault="004C0A85" w:rsidP="004C0A85">
      <w:pPr>
        <w:pStyle w:val="Heading1"/>
        <w:jc w:val="center"/>
        <w:rPr>
          <w:rStyle w:val="Hyperlink"/>
          <w:rFonts w:cs="Times New Roman"/>
          <w:b w:val="0"/>
          <w:bCs w:val="0"/>
          <w:color w:val="auto"/>
          <w:szCs w:val="24"/>
          <w:u w:val="none"/>
        </w:rPr>
      </w:pPr>
      <w:bookmarkStart w:id="2" w:name="_Toc349507271"/>
      <w:r>
        <w:rPr>
          <w:rStyle w:val="Hyperlink"/>
          <w:rFonts w:cs="Times New Roman"/>
          <w:b w:val="0"/>
          <w:bCs w:val="0"/>
          <w:color w:val="auto"/>
          <w:szCs w:val="24"/>
          <w:u w:val="none"/>
        </w:rPr>
        <w:lastRenderedPageBreak/>
        <w:t>List of Tables</w:t>
      </w:r>
      <w:bookmarkEnd w:id="2"/>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184" w:history="1">
        <w:r w:rsidR="00E26212" w:rsidRPr="008D67B3">
          <w:rPr>
            <w:rStyle w:val="Hyperlink"/>
            <w:noProof/>
          </w:rPr>
          <w:t>Table 1: Proveniences sampled for 1/4” and 1/8” screening and flotation and estimated amount of total sediment excavated.</w:t>
        </w:r>
        <w:r w:rsidR="00E26212">
          <w:rPr>
            <w:noProof/>
            <w:webHidden/>
          </w:rPr>
          <w:tab/>
        </w:r>
        <w:r w:rsidR="00E26212">
          <w:rPr>
            <w:noProof/>
            <w:webHidden/>
          </w:rPr>
          <w:fldChar w:fldCharType="begin"/>
        </w:r>
        <w:r w:rsidR="00E26212">
          <w:rPr>
            <w:noProof/>
            <w:webHidden/>
          </w:rPr>
          <w:instrText xml:space="preserve"> PAGEREF _Toc349505184 \h </w:instrText>
        </w:r>
        <w:r w:rsidR="00E26212">
          <w:rPr>
            <w:noProof/>
            <w:webHidden/>
          </w:rPr>
        </w:r>
        <w:r w:rsidR="00E26212">
          <w:rPr>
            <w:noProof/>
            <w:webHidden/>
          </w:rPr>
          <w:fldChar w:fldCharType="separate"/>
        </w:r>
        <w:r w:rsidR="00E26212">
          <w:rPr>
            <w:noProof/>
            <w:webHidden/>
          </w:rPr>
          <w:t>26</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185" w:history="1">
        <w:r w:rsidR="00E26212" w:rsidRPr="008D67B3">
          <w:rPr>
            <w:rStyle w:val="Hyperlink"/>
            <w:noProof/>
          </w:rPr>
          <w:t>Table 2: AMS dates S32, adapted from Table 1 Franklin et al. 2010</w:t>
        </w:r>
        <w:r w:rsidR="00E26212">
          <w:rPr>
            <w:noProof/>
            <w:webHidden/>
          </w:rPr>
          <w:tab/>
        </w:r>
        <w:r w:rsidR="00E26212">
          <w:rPr>
            <w:noProof/>
            <w:webHidden/>
          </w:rPr>
          <w:fldChar w:fldCharType="begin"/>
        </w:r>
        <w:r w:rsidR="00E26212">
          <w:rPr>
            <w:noProof/>
            <w:webHidden/>
          </w:rPr>
          <w:instrText xml:space="preserve"> PAGEREF _Toc349505185 \h </w:instrText>
        </w:r>
        <w:r w:rsidR="00E26212">
          <w:rPr>
            <w:noProof/>
            <w:webHidden/>
          </w:rPr>
        </w:r>
        <w:r w:rsidR="00E26212">
          <w:rPr>
            <w:noProof/>
            <w:webHidden/>
          </w:rPr>
          <w:fldChar w:fldCharType="separate"/>
        </w:r>
        <w:r w:rsidR="00E26212">
          <w:rPr>
            <w:noProof/>
            <w:webHidden/>
          </w:rPr>
          <w:t>28</w:t>
        </w:r>
        <w:r w:rsidR="00E26212">
          <w:rPr>
            <w:noProof/>
            <w:webHidden/>
          </w:rPr>
          <w:fldChar w:fldCharType="end"/>
        </w:r>
      </w:hyperlink>
    </w:p>
    <w:p w:rsidR="00E26212" w:rsidRDefault="00706C28">
      <w:pPr>
        <w:pStyle w:val="TableofFigures"/>
        <w:tabs>
          <w:tab w:val="right" w:leader="dot" w:pos="9350"/>
        </w:tabs>
        <w:rPr>
          <w:rFonts w:asciiTheme="minorHAnsi" w:eastAsiaTheme="minorEastAsia" w:hAnsiTheme="minorHAnsi"/>
          <w:noProof/>
          <w:kern w:val="2"/>
          <w:sz w:val="22"/>
          <w14:ligatures w14:val="standard"/>
        </w:rPr>
      </w:pPr>
      <w:hyperlink w:anchor="_Toc349505186" w:history="1">
        <w:r w:rsidR="00E26212" w:rsidRPr="008D67B3">
          <w:rPr>
            <w:rStyle w:val="Hyperlink"/>
            <w:noProof/>
          </w:rPr>
          <w:t>Table 3:  Associated context for all proveniences excavated at Sachsen Cave Shelter</w:t>
        </w:r>
        <w:r w:rsidR="00E26212">
          <w:rPr>
            <w:noProof/>
            <w:webHidden/>
          </w:rPr>
          <w:tab/>
        </w:r>
        <w:r w:rsidR="00E26212">
          <w:rPr>
            <w:noProof/>
            <w:webHidden/>
          </w:rPr>
          <w:fldChar w:fldCharType="begin"/>
        </w:r>
        <w:r w:rsidR="00E26212">
          <w:rPr>
            <w:noProof/>
            <w:webHidden/>
          </w:rPr>
          <w:instrText xml:space="preserve"> PAGEREF _Toc349505186 \h </w:instrText>
        </w:r>
        <w:r w:rsidR="00E26212">
          <w:rPr>
            <w:noProof/>
            <w:webHidden/>
          </w:rPr>
        </w:r>
        <w:r w:rsidR="00E26212">
          <w:rPr>
            <w:noProof/>
            <w:webHidden/>
          </w:rPr>
          <w:fldChar w:fldCharType="separate"/>
        </w:r>
        <w:r w:rsidR="00E26212">
          <w:rPr>
            <w:noProof/>
            <w:webHidden/>
          </w:rPr>
          <w:t>34</w:t>
        </w:r>
        <w:r w:rsidR="00E26212">
          <w:rPr>
            <w:noProof/>
            <w:webHidden/>
          </w:rPr>
          <w:fldChar w:fldCharType="end"/>
        </w:r>
      </w:hyperlink>
    </w:p>
    <w:p w:rsidR="004A7323" w:rsidRPr="00FB1F4F" w:rsidRDefault="0037071E" w:rsidP="00FB1F4F">
      <w:pPr>
        <w:rPr>
          <w:rFonts w:eastAsiaTheme="majorEastAsia" w:cs="Times New Roman"/>
          <w:b/>
          <w:bCs/>
          <w:szCs w:val="24"/>
        </w:rPr>
        <w:sectPr w:rsidR="004A7323" w:rsidRPr="00FB1F4F" w:rsidSect="00F5738F">
          <w:pgSz w:w="12240" w:h="15840"/>
          <w:pgMar w:top="1440" w:right="1440" w:bottom="1440" w:left="1440" w:header="720" w:footer="720" w:gutter="0"/>
          <w:pgNumType w:fmt="lowerRoman" w:start="1"/>
          <w:cols w:space="720"/>
          <w:titlePg/>
          <w:docGrid w:linePitch="360"/>
        </w:sectPr>
      </w:pPr>
      <w:r>
        <w:rPr>
          <w:rFonts w:eastAsiaTheme="majorEastAsia" w:cs="Times New Roman"/>
          <w:b/>
          <w:bCs/>
          <w:szCs w:val="24"/>
        </w:rPr>
        <w:fldChar w:fldCharType="end"/>
      </w:r>
    </w:p>
    <w:p w:rsidR="009430BB" w:rsidRPr="00C123C1" w:rsidRDefault="0064653C" w:rsidP="00C123C1">
      <w:pPr>
        <w:pStyle w:val="Heading1"/>
        <w:jc w:val="center"/>
      </w:pPr>
      <w:bookmarkStart w:id="3" w:name="_Toc349507272"/>
      <w:r w:rsidRPr="00C123C1">
        <w:lastRenderedPageBreak/>
        <w:t xml:space="preserve">Chapter 1: </w:t>
      </w:r>
      <w:r w:rsidR="00754862" w:rsidRPr="00C123C1">
        <w:t>Introduction</w:t>
      </w:r>
      <w:bookmarkEnd w:id="3"/>
    </w:p>
    <w:p w:rsidR="00F62917" w:rsidRPr="00C123C1" w:rsidRDefault="00F62917" w:rsidP="006D677B">
      <w:pPr>
        <w:spacing w:after="0" w:line="480" w:lineRule="auto"/>
        <w:rPr>
          <w:rFonts w:cs="Times New Roman"/>
          <w:szCs w:val="24"/>
        </w:rPr>
      </w:pPr>
    </w:p>
    <w:p w:rsidR="00525F7F" w:rsidRDefault="00525F7F" w:rsidP="00525F7F">
      <w:pPr>
        <w:spacing w:after="0" w:line="480" w:lineRule="auto"/>
        <w:ind w:firstLine="720"/>
        <w:rPr>
          <w:rFonts w:cs="Times New Roman"/>
          <w:szCs w:val="24"/>
        </w:rPr>
      </w:pPr>
      <w:r w:rsidRPr="00DA2A1B">
        <w:rPr>
          <w:rFonts w:cs="Times New Roman"/>
          <w:szCs w:val="24"/>
        </w:rPr>
        <w:t>Zooarchaeological research is one of the most important</w:t>
      </w:r>
      <w:r>
        <w:rPr>
          <w:rFonts w:cs="Times New Roman"/>
          <w:szCs w:val="24"/>
        </w:rPr>
        <w:t>, diverse</w:t>
      </w:r>
      <w:r w:rsidRPr="00DA2A1B">
        <w:rPr>
          <w:rFonts w:cs="Times New Roman"/>
          <w:szCs w:val="24"/>
        </w:rPr>
        <w:t xml:space="preserve"> and specialized branches of </w:t>
      </w:r>
      <w:r>
        <w:rPr>
          <w:rFonts w:cs="Times New Roman"/>
          <w:szCs w:val="24"/>
        </w:rPr>
        <w:t xml:space="preserve">archaeological inquiry. This subfield of archaeology is broadly concerned with the relationship of past humans with their environments </w:t>
      </w:r>
      <w:r>
        <w:rPr>
          <w:rFonts w:cs="Times New Roman"/>
          <w:szCs w:val="24"/>
        </w:rPr>
        <w:fldChar w:fldCharType="begin"/>
      </w:r>
      <w:r>
        <w:rPr>
          <w:rFonts w:cs="Times New Roman"/>
          <w:szCs w:val="24"/>
        </w:rPr>
        <w:instrText xml:space="preserve"> ADDIN EN.CITE &lt;EndNote&gt;&lt;Cite&gt;&lt;Author&gt;Reitz&lt;/Author&gt;&lt;Year&gt;2008&lt;/Year&gt;&lt;RecNum&gt;68&lt;/RecNum&gt;&lt;Pages&gt;1&lt;/Pages&gt;&lt;DisplayText&gt;(Reitz and Wing 2008:1)&lt;/DisplayText&gt;&lt;record&gt;&lt;rec-number&gt;68&lt;/rec-number&gt;&lt;foreign-keys&gt;&lt;key app="EN" db-id="pvwvsv0fktzv2weszt4xp95xstrzawadapa0"&gt;68&lt;/key&gt;&lt;/foreign-keys&gt;&lt;ref-type name="Book"&gt;6&lt;/ref-type&gt;&lt;contributors&gt;&lt;authors&gt;&lt;author&gt;Reitz, Elizabeth J. &lt;/author&gt;&lt;author&gt;Elizabeth S. Wing&lt;/author&gt;&lt;/authors&gt;&lt;/contributors&gt;&lt;titles&gt;&lt;title&gt;Zooarchaeology, Second Edition &lt;/title&gt;&lt;secondary-title&gt;Cambirdge Manuals in Archaeology&lt;/secondary-title&gt;&lt;/titles&gt;&lt;dates&gt;&lt;year&gt;2008&lt;/year&gt;&lt;/dates&gt;&lt;pub-location&gt;New York&lt;/pub-location&gt;&lt;publisher&gt;Cambridge University Press&lt;/publisher&gt;&lt;urls&gt;&lt;/urls&gt;&lt;/record&gt;&lt;/Cite&gt;&lt;/EndNote&gt;</w:instrText>
      </w:r>
      <w:r>
        <w:rPr>
          <w:rFonts w:cs="Times New Roman"/>
          <w:szCs w:val="24"/>
        </w:rPr>
        <w:fldChar w:fldCharType="separate"/>
      </w:r>
      <w:r>
        <w:rPr>
          <w:rFonts w:cs="Times New Roman"/>
          <w:noProof/>
          <w:szCs w:val="24"/>
        </w:rPr>
        <w:t>(</w:t>
      </w:r>
      <w:hyperlink w:anchor="_ENREF_73" w:tooltip="Reitz, 2008 #68" w:history="1">
        <w:r w:rsidR="00B15FB2">
          <w:rPr>
            <w:rFonts w:cs="Times New Roman"/>
            <w:noProof/>
            <w:szCs w:val="24"/>
          </w:rPr>
          <w:t>Reitz and Wing 2008:1</w:t>
        </w:r>
      </w:hyperlink>
      <w:r>
        <w:rPr>
          <w:rFonts w:cs="Times New Roman"/>
          <w:noProof/>
          <w:szCs w:val="24"/>
        </w:rPr>
        <w:t>)</w:t>
      </w:r>
      <w:r>
        <w:rPr>
          <w:rFonts w:cs="Times New Roman"/>
          <w:szCs w:val="24"/>
        </w:rPr>
        <w:fldChar w:fldCharType="end"/>
      </w:r>
      <w:r>
        <w:rPr>
          <w:rFonts w:cs="Times New Roman"/>
          <w:szCs w:val="24"/>
        </w:rPr>
        <w:t xml:space="preserve">. Faunal analyses can yield information concerning subsistence practices, mobility of peoples, the processes of domestication, differential social statuses, changing environments, and use of animal byproducts for utilitarian items </w:t>
      </w:r>
      <w:r>
        <w:rPr>
          <w:rFonts w:cs="Times New Roman"/>
          <w:szCs w:val="24"/>
        </w:rPr>
        <w:fldChar w:fldCharType="begin"/>
      </w:r>
      <w:r>
        <w:rPr>
          <w:rFonts w:cs="Times New Roman"/>
          <w:szCs w:val="24"/>
        </w:rPr>
        <w:instrText xml:space="preserve"> ADDIN EN.CITE &lt;EndNote&gt;&lt;Cite&gt;&lt;Author&gt;Reitz&lt;/Author&gt;&lt;Year&gt;2008&lt;/Year&gt;&lt;RecNum&gt;68&lt;/RecNum&gt;&lt;DisplayText&gt;(Davis 1987; Reitz and Wing 2008)&lt;/DisplayText&gt;&lt;record&gt;&lt;rec-number&gt;68&lt;/rec-number&gt;&lt;foreign-keys&gt;&lt;key app="EN" db-id="pvwvsv0fktzv2weszt4xp95xstrzawadapa0"&gt;68&lt;/key&gt;&lt;/foreign-keys&gt;&lt;ref-type name="Book"&gt;6&lt;/ref-type&gt;&lt;contributors&gt;&lt;authors&gt;&lt;author&gt;Reitz, Elizabeth J. &lt;/author&gt;&lt;author&gt;Elizabeth S. Wing&lt;/author&gt;&lt;/authors&gt;&lt;/contributors&gt;&lt;titles&gt;&lt;title&gt;Zooarchaeology, Second Edition &lt;/title&gt;&lt;secondary-title&gt;Cambirdge Manuals in Archaeology&lt;/secondary-title&gt;&lt;/titles&gt;&lt;dates&gt;&lt;year&gt;2008&lt;/year&gt;&lt;/dates&gt;&lt;pub-location&gt;New York&lt;/pub-location&gt;&lt;publisher&gt;Cambridge University Press&lt;/publisher&gt;&lt;urls&gt;&lt;/urls&gt;&lt;/record&gt;&lt;/Cite&gt;&lt;Cite&gt;&lt;Author&gt;Davis&lt;/Author&gt;&lt;Year&gt;1987&lt;/Year&gt;&lt;RecNum&gt;118&lt;/RecNum&gt;&lt;record&gt;&lt;rec-number&gt;118&lt;/rec-number&gt;&lt;foreign-keys&gt;&lt;key app="EN" db-id="pvwvsv0fktzv2weszt4xp95xstrzawadapa0"&gt;118&lt;/key&gt;&lt;/foreign-keys&gt;&lt;ref-type name="Book"&gt;6&lt;/ref-type&gt;&lt;contributors&gt;&lt;authors&gt;&lt;author&gt;Davis, Simon J.M. &lt;/author&gt;&lt;/authors&gt;&lt;/contributors&gt;&lt;titles&gt;&lt;title&gt;The Archaeology of Animals.&lt;/title&gt;&lt;/titles&gt;&lt;dates&gt;&lt;year&gt;1987&lt;/year&gt;&lt;/dates&gt;&lt;pub-location&gt;New Haven&lt;/pub-location&gt;&lt;publisher&gt;Yale University Press&lt;/publisher&gt;&lt;urls&gt;&lt;/urls&gt;&lt;/record&gt;&lt;/Cite&gt;&lt;/EndNote&gt;</w:instrText>
      </w:r>
      <w:r>
        <w:rPr>
          <w:rFonts w:cs="Times New Roman"/>
          <w:szCs w:val="24"/>
        </w:rPr>
        <w:fldChar w:fldCharType="separate"/>
      </w:r>
      <w:r>
        <w:rPr>
          <w:rFonts w:cs="Times New Roman"/>
          <w:noProof/>
          <w:szCs w:val="24"/>
        </w:rPr>
        <w:t>(</w:t>
      </w:r>
      <w:hyperlink w:anchor="_ENREF_21" w:tooltip="Davis, 1987 #118" w:history="1">
        <w:r w:rsidR="00B15FB2">
          <w:rPr>
            <w:rFonts w:cs="Times New Roman"/>
            <w:noProof/>
            <w:szCs w:val="24"/>
          </w:rPr>
          <w:t>Davis 1987</w:t>
        </w:r>
      </w:hyperlink>
      <w:r>
        <w:rPr>
          <w:rFonts w:cs="Times New Roman"/>
          <w:noProof/>
          <w:szCs w:val="24"/>
        </w:rPr>
        <w:t xml:space="preserve">; </w:t>
      </w:r>
      <w:hyperlink w:anchor="_ENREF_73" w:tooltip="Reitz, 2008 #68" w:history="1">
        <w:r w:rsidR="00B15FB2">
          <w:rPr>
            <w:rFonts w:cs="Times New Roman"/>
            <w:noProof/>
            <w:szCs w:val="24"/>
          </w:rPr>
          <w:t>Reitz and Wing 2008</w:t>
        </w:r>
      </w:hyperlink>
      <w:r>
        <w:rPr>
          <w:rFonts w:cs="Times New Roman"/>
          <w:noProof/>
          <w:szCs w:val="24"/>
        </w:rPr>
        <w:t>)</w:t>
      </w:r>
      <w:r>
        <w:rPr>
          <w:rFonts w:cs="Times New Roman"/>
          <w:szCs w:val="24"/>
        </w:rPr>
        <w:fldChar w:fldCharType="end"/>
      </w:r>
      <w:r>
        <w:rPr>
          <w:rFonts w:cs="Times New Roman"/>
          <w:szCs w:val="24"/>
        </w:rPr>
        <w:t xml:space="preserve">.  </w:t>
      </w:r>
    </w:p>
    <w:p w:rsidR="00525F7F" w:rsidRDefault="00525F7F" w:rsidP="00525F7F">
      <w:pPr>
        <w:spacing w:after="0" w:line="480" w:lineRule="auto"/>
        <w:ind w:firstLine="720"/>
        <w:rPr>
          <w:rFonts w:cs="Times New Roman"/>
          <w:szCs w:val="24"/>
        </w:rPr>
      </w:pPr>
      <w:r>
        <w:rPr>
          <w:rFonts w:cs="Times New Roman"/>
          <w:szCs w:val="24"/>
        </w:rPr>
        <w:t xml:space="preserve">This thesis is concerned with exploring subsistence patterns and how they relate to settlement patterns and mobility of the prehistoric Late Archaic and Woodland inhabitants of the Upper Cumberland Plateau (UCP) of Tennessee. This type of research is not novel by any means (see below); however, an investigation such as this has never been carried out on the UCP.  A sample of faunal remains recovered from a single site on the UCP is analyzed and reported upon here, in an attempt to characterize the function of this site by the faunal remains present. The site is Sachsen Cave Shelter, a large rock shelter that was used by Late Archaic and Woodland peoples as a habitation site, or as it will be referred for the remainder of this paper – a base camp, based on artifacts other than faunal remains and other features of the site </w:t>
      </w:r>
      <w:r>
        <w:rPr>
          <w:rFonts w:cs="Times New Roman"/>
          <w:szCs w:val="24"/>
        </w:rPr>
        <w:fldChar w:fldCharType="begin"/>
      </w:r>
      <w:r>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Pr>
          <w:rFonts w:cs="Times New Roman"/>
          <w:szCs w:val="24"/>
        </w:rPr>
        <w:fldChar w:fldCharType="separate"/>
      </w:r>
      <w:r>
        <w:rPr>
          <w:rFonts w:cs="Times New Roman"/>
          <w:noProof/>
          <w:szCs w:val="24"/>
        </w:rPr>
        <w:t>(</w:t>
      </w:r>
      <w:hyperlink w:anchor="_ENREF_30" w:tooltip="Franklin, 2010 #67" w:history="1">
        <w:r w:rsidR="00B15FB2">
          <w:rPr>
            <w:rFonts w:cs="Times New Roman"/>
            <w:noProof/>
            <w:szCs w:val="24"/>
          </w:rPr>
          <w:t>Franklin, et al. 2010</w:t>
        </w:r>
      </w:hyperlink>
      <w:r>
        <w:rPr>
          <w:rFonts w:cs="Times New Roman"/>
          <w:noProof/>
          <w:szCs w:val="24"/>
        </w:rPr>
        <w:t>)</w:t>
      </w:r>
      <w:r>
        <w:rPr>
          <w:rFonts w:cs="Times New Roman"/>
          <w:szCs w:val="24"/>
        </w:rPr>
        <w:fldChar w:fldCharType="end"/>
      </w:r>
      <w:r>
        <w:rPr>
          <w:rFonts w:cs="Times New Roman"/>
          <w:szCs w:val="24"/>
        </w:rPr>
        <w:t xml:space="preserve">. The exact ways in which this designation was assigned will be explained later on in this thesis. </w:t>
      </w:r>
    </w:p>
    <w:p w:rsidR="00525F7F" w:rsidRDefault="00525F7F" w:rsidP="00525F7F">
      <w:pPr>
        <w:pStyle w:val="Heading2"/>
      </w:pPr>
      <w:bookmarkStart w:id="4" w:name="_Toc343820336"/>
      <w:bookmarkStart w:id="5" w:name="_Toc349507273"/>
      <w:r>
        <w:t>Site Function – Definitions and Previous Research</w:t>
      </w:r>
      <w:bookmarkEnd w:id="4"/>
      <w:bookmarkEnd w:id="5"/>
      <w:r>
        <w:t xml:space="preserve"> </w:t>
      </w:r>
    </w:p>
    <w:p w:rsidR="00525F7F" w:rsidRDefault="00525F7F" w:rsidP="00525F7F">
      <w:pPr>
        <w:spacing w:after="0" w:line="480" w:lineRule="auto"/>
        <w:ind w:firstLine="720"/>
        <w:rPr>
          <w:rFonts w:cs="Times New Roman"/>
          <w:szCs w:val="24"/>
        </w:rPr>
      </w:pPr>
      <w:r>
        <w:rPr>
          <w:rFonts w:cs="Times New Roman"/>
          <w:szCs w:val="24"/>
        </w:rPr>
        <w:t>S</w:t>
      </w:r>
      <w:r w:rsidRPr="00DA2A1B">
        <w:rPr>
          <w:rFonts w:cs="Times New Roman"/>
          <w:szCs w:val="24"/>
        </w:rPr>
        <w:t>ite function</w:t>
      </w:r>
      <w:r>
        <w:rPr>
          <w:rFonts w:cs="Times New Roman"/>
          <w:szCs w:val="24"/>
        </w:rPr>
        <w:t xml:space="preserve"> is ascribed based on Binford’s foragers/collectors model outlined in his seminal 1980 publication. </w:t>
      </w:r>
      <w:r w:rsidRPr="00DA2A1B">
        <w:rPr>
          <w:rFonts w:cs="Times New Roman"/>
          <w:szCs w:val="24"/>
        </w:rPr>
        <w:t xml:space="preserve"> Binford defines foragers as small family groups that move together</w:t>
      </w:r>
      <w:r>
        <w:rPr>
          <w:rFonts w:cs="Times New Roman"/>
          <w:szCs w:val="24"/>
        </w:rPr>
        <w:t xml:space="preserve"> seasonally from one resource patch to the next </w:t>
      </w:r>
      <w:r>
        <w:rPr>
          <w:rFonts w:cs="Times New Roman"/>
          <w:szCs w:val="24"/>
        </w:rPr>
        <w:fldChar w:fldCharType="begin"/>
      </w:r>
      <w:r>
        <w:rPr>
          <w:rFonts w:cs="Times New Roman"/>
          <w:szCs w:val="24"/>
        </w:rPr>
        <w:instrText xml:space="preserve"> ADDIN EN.CITE &lt;EndNote&gt;&lt;Cite&gt;&lt;Author&gt;Binford&lt;/Author&gt;&lt;Year&gt;1980&lt;/Year&gt;&lt;RecNum&gt;40&lt;/RecNum&gt;&lt;Pages&gt;5&lt;/Pages&gt;&lt;DisplayText&gt;(Binford 1980:5)&lt;/DisplayText&gt;&lt;record&gt;&lt;rec-number&gt;40&lt;/rec-number&gt;&lt;foreign-keys&gt;&lt;key app="EN" db-id="pvwvsv0fktzv2weszt4xp95xstrzawadapa0"&gt;40&lt;/key&gt;&lt;/foreign-keys&gt;&lt;ref-type name="Journal Article"&gt;17&lt;/ref-type&gt;&lt;contributors&gt;&lt;authors&gt;&lt;author&gt;Binford, Lewis R. &lt;/author&gt;&lt;/authors&gt;&lt;/contributors&gt;&lt;titles&gt;&lt;title&gt;Willow Smoke and Dogs&amp;apos; Tails: Hunter-Gatherer Settlement Systems and Archaeological Site Formation &lt;/title&gt;&lt;secondary-title&gt;American Antiquity&lt;/secondary-title&gt;&lt;/titles&gt;&lt;periodical&gt;&lt;full-title&gt;American Antiquity&lt;/full-title&gt;&lt;/periodical&gt;&lt;pages&gt;4-20&lt;/pages&gt;&lt;volume&gt;45&lt;/volume&gt;&lt;number&gt;1&lt;/number&gt;&lt;section&gt;4&lt;/section&gt;&lt;dates&gt;&lt;year&gt;1980&lt;/year&gt;&lt;/dates&gt;&lt;urls&gt;&lt;/urls&gt;&lt;/record&gt;&lt;/Cite&gt;&lt;/EndNote&gt;</w:instrText>
      </w:r>
      <w:r>
        <w:rPr>
          <w:rFonts w:cs="Times New Roman"/>
          <w:szCs w:val="24"/>
        </w:rPr>
        <w:fldChar w:fldCharType="separate"/>
      </w:r>
      <w:r>
        <w:rPr>
          <w:rFonts w:cs="Times New Roman"/>
          <w:noProof/>
          <w:szCs w:val="24"/>
        </w:rPr>
        <w:t>(</w:t>
      </w:r>
      <w:hyperlink w:anchor="_ENREF_9" w:tooltip="Binford, 1980 #40" w:history="1">
        <w:r w:rsidR="00B15FB2">
          <w:rPr>
            <w:rFonts w:cs="Times New Roman"/>
            <w:noProof/>
            <w:szCs w:val="24"/>
          </w:rPr>
          <w:t>Binford 1980:5</w:t>
        </w:r>
      </w:hyperlink>
      <w:r>
        <w:rPr>
          <w:rFonts w:cs="Times New Roman"/>
          <w:noProof/>
          <w:szCs w:val="24"/>
        </w:rPr>
        <w:t>)</w:t>
      </w:r>
      <w:r>
        <w:rPr>
          <w:rFonts w:cs="Times New Roman"/>
          <w:szCs w:val="24"/>
        </w:rPr>
        <w:fldChar w:fldCharType="end"/>
      </w:r>
      <w:r>
        <w:rPr>
          <w:rFonts w:cs="Times New Roman"/>
          <w:szCs w:val="24"/>
        </w:rPr>
        <w:t xml:space="preserve">. They utilize base camps intensively, as well as locations away from base camps, often represented by ephemeral use – </w:t>
      </w:r>
      <w:r>
        <w:rPr>
          <w:rFonts w:cs="Times New Roman"/>
          <w:szCs w:val="24"/>
        </w:rPr>
        <w:lastRenderedPageBreak/>
        <w:t xml:space="preserve">such as butchering, retooling or resting, snacking or gearing up (1980:9). </w:t>
      </w:r>
      <w:r w:rsidRPr="00DA2A1B">
        <w:rPr>
          <w:rFonts w:cs="Times New Roman"/>
          <w:szCs w:val="24"/>
        </w:rPr>
        <w:t xml:space="preserve"> Collectors, on the other hand, </w:t>
      </w:r>
      <w:r>
        <w:rPr>
          <w:rFonts w:cs="Times New Roman"/>
          <w:szCs w:val="24"/>
        </w:rPr>
        <w:t>also live in small family groups</w:t>
      </w:r>
      <w:r w:rsidRPr="00DA2A1B">
        <w:rPr>
          <w:rFonts w:cs="Times New Roman"/>
          <w:szCs w:val="24"/>
        </w:rPr>
        <w:t xml:space="preserve">, but move less </w:t>
      </w:r>
      <w:r>
        <w:rPr>
          <w:rFonts w:cs="Times New Roman"/>
          <w:szCs w:val="24"/>
        </w:rPr>
        <w:t>frequently</w:t>
      </w:r>
      <w:r w:rsidRPr="00DA2A1B">
        <w:rPr>
          <w:rFonts w:cs="Times New Roman"/>
          <w:szCs w:val="24"/>
        </w:rPr>
        <w:t xml:space="preserve">. </w:t>
      </w:r>
      <w:r>
        <w:rPr>
          <w:rFonts w:cs="Times New Roman"/>
          <w:szCs w:val="24"/>
        </w:rPr>
        <w:t>They are defined by food storage and the creation of more and varied site types on the landscape, such as field camps, stations and caches. T</w:t>
      </w:r>
      <w:r w:rsidRPr="00DA2A1B">
        <w:rPr>
          <w:rFonts w:cs="Times New Roman"/>
          <w:szCs w:val="24"/>
        </w:rPr>
        <w:t xml:space="preserve">hey rely on task-groups </w:t>
      </w:r>
      <w:r>
        <w:rPr>
          <w:rFonts w:cs="Times New Roman"/>
          <w:szCs w:val="24"/>
        </w:rPr>
        <w:t>to</w:t>
      </w:r>
      <w:r w:rsidRPr="00DA2A1B">
        <w:rPr>
          <w:rFonts w:cs="Times New Roman"/>
          <w:szCs w:val="24"/>
        </w:rPr>
        <w:t xml:space="preserve"> bring subsistence </w:t>
      </w:r>
      <w:r>
        <w:rPr>
          <w:rFonts w:cs="Times New Roman"/>
          <w:szCs w:val="24"/>
        </w:rPr>
        <w:t xml:space="preserve">related </w:t>
      </w:r>
      <w:r w:rsidRPr="00DA2A1B">
        <w:rPr>
          <w:rFonts w:cs="Times New Roman"/>
          <w:szCs w:val="24"/>
        </w:rPr>
        <w:t xml:space="preserve">material </w:t>
      </w:r>
      <w:r>
        <w:rPr>
          <w:rFonts w:cs="Times New Roman"/>
          <w:szCs w:val="24"/>
        </w:rPr>
        <w:t>back to base camps</w:t>
      </w:r>
      <w:r w:rsidRPr="00DA2A1B">
        <w:rPr>
          <w:rFonts w:cs="Times New Roman"/>
          <w:szCs w:val="24"/>
        </w:rPr>
        <w:t xml:space="preserve">. It should be noted, however, that the forager/collector model is not a fixed designation for any group. The patterns are generally dependent on resource distribution, which vary </w:t>
      </w:r>
      <w:r>
        <w:rPr>
          <w:rFonts w:cs="Times New Roman"/>
          <w:szCs w:val="24"/>
        </w:rPr>
        <w:t xml:space="preserve">by season and location, and groups may switch from foraging one season, to collecting in another. The two settlement models overlap, however, in that they both utilize base camps. </w:t>
      </w:r>
      <w:r>
        <w:rPr>
          <w:rFonts w:cs="Times New Roman"/>
          <w:szCs w:val="24"/>
        </w:rPr>
        <w:tab/>
      </w:r>
    </w:p>
    <w:p w:rsidR="00525F7F" w:rsidRDefault="00525F7F" w:rsidP="00525F7F">
      <w:pPr>
        <w:spacing w:after="0" w:line="480" w:lineRule="auto"/>
        <w:ind w:firstLine="720"/>
        <w:rPr>
          <w:rFonts w:cs="Times New Roman"/>
          <w:szCs w:val="24"/>
        </w:rPr>
      </w:pPr>
      <w:r>
        <w:rPr>
          <w:rFonts w:cs="Times New Roman"/>
          <w:szCs w:val="24"/>
        </w:rPr>
        <w:t xml:space="preserve">Previous research on site function has been conducted mainly through middle-range research. Lewis Binford was perhaps the first scholar to undertake such a research endeavor. During his time with the Nunamiut, he outlined the archaeological correlates of habitation sites and hunting camp sites based on several artifact assemblages, including faunal remains </w:t>
      </w:r>
      <w:r>
        <w:rPr>
          <w:rFonts w:cs="Times New Roman"/>
          <w:szCs w:val="24"/>
        </w:rPr>
        <w:fldChar w:fldCharType="begin"/>
      </w:r>
      <w:r>
        <w:rPr>
          <w:rFonts w:cs="Times New Roman"/>
          <w:szCs w:val="24"/>
        </w:rPr>
        <w:instrText xml:space="preserve"> ADDIN EN.CITE &lt;EndNote&gt;&lt;Cite&gt;&lt;Author&gt;Binford&lt;/Author&gt;&lt;Year&gt;1978&lt;/Year&gt;&lt;RecNum&gt;65&lt;/RecNum&gt;&lt;DisplayText&gt;(Binford 1978)&lt;/DisplayText&gt;&lt;record&gt;&lt;rec-number&gt;65&lt;/rec-number&gt;&lt;foreign-keys&gt;&lt;key app="EN" db-id="pvwvsv0fktzv2weszt4xp95xstrzawadapa0"&gt;65&lt;/key&gt;&lt;/foreign-keys&gt;&lt;ref-type name="Book"&gt;6&lt;/ref-type&gt;&lt;contributors&gt;&lt;authors&gt;&lt;author&gt;Binford, Lewis R.&lt;/author&gt;&lt;/authors&gt;&lt;/contributors&gt;&lt;titles&gt;&lt;title&gt;Nunamiut Ethnoarchaeology&lt;/title&gt;&lt;/titles&gt;&lt;dates&gt;&lt;year&gt;1978&lt;/year&gt;&lt;/dates&gt;&lt;pub-location&gt;NewYork&lt;/pub-location&gt;&lt;publisher&gt;Academic Press&lt;/publisher&gt;&lt;urls&gt;&lt;/urls&gt;&lt;/record&gt;&lt;/Cite&gt;&lt;/EndNote&gt;</w:instrText>
      </w:r>
      <w:r>
        <w:rPr>
          <w:rFonts w:cs="Times New Roman"/>
          <w:szCs w:val="24"/>
        </w:rPr>
        <w:fldChar w:fldCharType="separate"/>
      </w:r>
      <w:r>
        <w:rPr>
          <w:rFonts w:cs="Times New Roman"/>
          <w:noProof/>
          <w:szCs w:val="24"/>
        </w:rPr>
        <w:t>(</w:t>
      </w:r>
      <w:hyperlink w:anchor="_ENREF_7" w:tooltip="Binford, 1978 #65" w:history="1">
        <w:r w:rsidR="00B15FB2">
          <w:rPr>
            <w:rFonts w:cs="Times New Roman"/>
            <w:noProof/>
            <w:szCs w:val="24"/>
          </w:rPr>
          <w:t>Binford 1978</w:t>
        </w:r>
      </w:hyperlink>
      <w:r>
        <w:rPr>
          <w:rFonts w:cs="Times New Roman"/>
          <w:noProof/>
          <w:szCs w:val="24"/>
        </w:rPr>
        <w:t>)</w:t>
      </w:r>
      <w:r>
        <w:rPr>
          <w:rFonts w:cs="Times New Roman"/>
          <w:szCs w:val="24"/>
        </w:rPr>
        <w:fldChar w:fldCharType="end"/>
      </w:r>
      <w:r>
        <w:rPr>
          <w:rFonts w:cs="Times New Roman"/>
          <w:szCs w:val="24"/>
        </w:rPr>
        <w:t xml:space="preserve">. He later demonstrated that carnivore accumulated assemblages can mimic this type of archaeological patterning </w:t>
      </w:r>
      <w:r>
        <w:rPr>
          <w:rFonts w:cs="Times New Roman"/>
          <w:szCs w:val="24"/>
        </w:rPr>
        <w:fldChar w:fldCharType="begin"/>
      </w:r>
      <w:r>
        <w:rPr>
          <w:rFonts w:cs="Times New Roman"/>
          <w:szCs w:val="24"/>
        </w:rPr>
        <w:instrText xml:space="preserve"> ADDIN EN.CITE &lt;EndNote&gt;&lt;Cite&gt;&lt;Author&gt;Binford&lt;/Author&gt;&lt;Year&gt;1981&lt;/Year&gt;&lt;RecNum&gt;47&lt;/RecNum&gt;&lt;DisplayText&gt;(Binford 1981)&lt;/DisplayText&gt;&lt;record&gt;&lt;rec-number&gt;47&lt;/rec-number&gt;&lt;foreign-keys&gt;&lt;key app="EN" db-id="pvwvsv0fktzv2weszt4xp95xstrzawadapa0"&gt;47&lt;/key&gt;&lt;/foreign-keys&gt;&lt;ref-type name="Book"&gt;6&lt;/ref-type&gt;&lt;contributors&gt;&lt;authors&gt;&lt;author&gt;Binford, Lewis R.&lt;/author&gt;&lt;/authors&gt;&lt;/contributors&gt;&lt;titles&gt;&lt;title&gt;Bones: Ancient Men and Modern Myths &lt;/title&gt;&lt;secondary-title&gt;Studies in Archaeology&lt;/secondary-title&gt;&lt;/titles&gt;&lt;dates&gt;&lt;year&gt;1981&lt;/year&gt;&lt;/dates&gt;&lt;pub-location&gt;New York&lt;/pub-location&gt;&lt;publisher&gt;Academic Press&lt;/publisher&gt;&lt;urls&gt;&lt;/urls&gt;&lt;/record&gt;&lt;/Cite&gt;&lt;/EndNote&gt;</w:instrText>
      </w:r>
      <w:r>
        <w:rPr>
          <w:rFonts w:cs="Times New Roman"/>
          <w:szCs w:val="24"/>
        </w:rPr>
        <w:fldChar w:fldCharType="separate"/>
      </w:r>
      <w:r>
        <w:rPr>
          <w:rFonts w:cs="Times New Roman"/>
          <w:noProof/>
          <w:szCs w:val="24"/>
        </w:rPr>
        <w:t>(</w:t>
      </w:r>
      <w:hyperlink w:anchor="_ENREF_8" w:tooltip="Binford, 1981 #47" w:history="1">
        <w:r w:rsidR="00B15FB2">
          <w:rPr>
            <w:rFonts w:cs="Times New Roman"/>
            <w:noProof/>
            <w:szCs w:val="24"/>
          </w:rPr>
          <w:t>Binford 1981</w:t>
        </w:r>
      </w:hyperlink>
      <w:r>
        <w:rPr>
          <w:rFonts w:cs="Times New Roman"/>
          <w:noProof/>
          <w:szCs w:val="24"/>
        </w:rPr>
        <w:t>)</w:t>
      </w:r>
      <w:r>
        <w:rPr>
          <w:rFonts w:cs="Times New Roman"/>
          <w:szCs w:val="24"/>
        </w:rPr>
        <w:fldChar w:fldCharType="end"/>
      </w:r>
      <w:r>
        <w:rPr>
          <w:rFonts w:cs="Times New Roman"/>
          <w:szCs w:val="24"/>
        </w:rPr>
        <w:t xml:space="preserve"> and therefore careful attention must be paid to the types of modifications on bones when analyzing faunal remains that may be the result of carnivore activity. Distinguishing between natural and cultural deposition of faunal remains has been the subject of many studies in numerous context </w:t>
      </w:r>
      <w:r>
        <w:rPr>
          <w:rFonts w:cs="Times New Roman"/>
          <w:szCs w:val="24"/>
        </w:rPr>
        <w:fldChar w:fldCharType="begin">
          <w:fldData xml:space="preserve">PEVuZE5vdGU+PENpdGU+PEF1dGhvcj5CaW5mb3JkPC9BdXRob3I+PFllYXI+MTk4MTwvWWVhcj48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PEVuZE5vdGU+PENpdGU+PEF1dGhvcj5CaW5mb3JkPC9BdXRob3I+PFllYXI+MTk4MTwvWWVhcj48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8" w:tooltip="Binford, 1981 #47" w:history="1">
        <w:r w:rsidR="00B15FB2">
          <w:rPr>
            <w:rFonts w:cs="Times New Roman"/>
            <w:noProof/>
            <w:szCs w:val="24"/>
          </w:rPr>
          <w:t>Binford 1981</w:t>
        </w:r>
      </w:hyperlink>
      <w:r>
        <w:rPr>
          <w:rFonts w:cs="Times New Roman"/>
          <w:noProof/>
          <w:szCs w:val="24"/>
        </w:rPr>
        <w:t xml:space="preserve">; </w:t>
      </w:r>
      <w:hyperlink w:anchor="_ENREF_12" w:tooltip="Brain, 1981 #119" w:history="1">
        <w:r w:rsidR="00B15FB2">
          <w:rPr>
            <w:rFonts w:cs="Times New Roman"/>
            <w:noProof/>
            <w:szCs w:val="24"/>
          </w:rPr>
          <w:t>Brain 1981</w:t>
        </w:r>
      </w:hyperlink>
      <w:r>
        <w:rPr>
          <w:rFonts w:cs="Times New Roman"/>
          <w:noProof/>
          <w:szCs w:val="24"/>
        </w:rPr>
        <w:t xml:space="preserve">; </w:t>
      </w:r>
      <w:hyperlink w:anchor="_ENREF_48" w:tooltip="Klein, 1989 #51" w:history="1">
        <w:r w:rsidR="00B15FB2">
          <w:rPr>
            <w:rFonts w:cs="Times New Roman"/>
            <w:noProof/>
            <w:szCs w:val="24"/>
          </w:rPr>
          <w:t>Klein 1989</w:t>
        </w:r>
      </w:hyperlink>
      <w:r>
        <w:rPr>
          <w:rFonts w:cs="Times New Roman"/>
          <w:noProof/>
          <w:szCs w:val="24"/>
        </w:rPr>
        <w:t xml:space="preserve">; </w:t>
      </w:r>
      <w:hyperlink w:anchor="_ENREF_64" w:tooltip="O'Connell, 1992 #56" w:history="1">
        <w:r w:rsidR="00B15FB2">
          <w:rPr>
            <w:rFonts w:cs="Times New Roman"/>
            <w:noProof/>
            <w:szCs w:val="24"/>
          </w:rPr>
          <w:t>O'Connell 1992</w:t>
        </w:r>
      </w:hyperlink>
      <w:r>
        <w:rPr>
          <w:rFonts w:cs="Times New Roman"/>
          <w:noProof/>
          <w:szCs w:val="24"/>
        </w:rPr>
        <w:t>)</w:t>
      </w:r>
      <w:r>
        <w:rPr>
          <w:rFonts w:cs="Times New Roman"/>
          <w:szCs w:val="24"/>
        </w:rPr>
        <w:fldChar w:fldCharType="end"/>
      </w:r>
      <w:r>
        <w:rPr>
          <w:rFonts w:cs="Times New Roman"/>
          <w:szCs w:val="24"/>
        </w:rPr>
        <w:t>.</w:t>
      </w:r>
    </w:p>
    <w:p w:rsidR="00525F7F" w:rsidRDefault="00525F7F" w:rsidP="00525F7F">
      <w:pPr>
        <w:spacing w:after="0" w:line="480" w:lineRule="auto"/>
        <w:ind w:firstLine="720"/>
        <w:rPr>
          <w:rFonts w:cs="Times New Roman"/>
          <w:szCs w:val="24"/>
        </w:rPr>
      </w:pPr>
      <w:r>
        <w:rPr>
          <w:rFonts w:cs="Times New Roman"/>
          <w:szCs w:val="24"/>
        </w:rPr>
        <w:t xml:space="preserve">Another well studied ethnographic hunting and gathering group is the Hadza of central Africa. </w:t>
      </w:r>
      <w:r>
        <w:rPr>
          <w:rFonts w:cs="Times New Roman"/>
          <w:szCs w:val="24"/>
        </w:rPr>
        <w:fldChar w:fldCharType="begin"/>
      </w:r>
      <w:r>
        <w:rPr>
          <w:rFonts w:cs="Times New Roman"/>
          <w:szCs w:val="24"/>
        </w:rPr>
        <w:instrText xml:space="preserve"> ADDIN EN.CITE &lt;EndNote&gt;&lt;Cite AuthorYear="1"&gt;&lt;Author&gt;Bunn&lt;/Author&gt;&lt;Year&gt;1988&lt;/Year&gt;&lt;RecNum&gt;42&lt;/RecNum&gt;&lt;DisplayText&gt;Bunn, et al. (1988)&lt;/DisplayText&gt;&lt;record&gt;&lt;rec-number&gt;42&lt;/rec-number&gt;&lt;foreign-keys&gt;&lt;key app="EN" db-id="pvwvsv0fktzv2weszt4xp95xstrzawadapa0"&gt;42&lt;/key&gt;&lt;/foreign-keys&gt;&lt;ref-type name="Journal Article"&gt;17&lt;/ref-type&gt;&lt;contributors&gt;&lt;authors&gt;&lt;author&gt;Bunn, Henry T.&lt;/author&gt;&lt;author&gt;Bartram, Laurence E.&lt;/author&gt;&lt;author&gt;Kroll, Ellen M.&lt;/author&gt;&lt;/authors&gt;&lt;/contributors&gt;&lt;titles&gt;&lt;title&gt;Variability in bone assemblage formation from Hadza hunting, scavenging, and carcass processing&lt;/title&gt;&lt;secondary-title&gt;Journal of Anthropological Archaeology&lt;/secondary-title&gt;&lt;/titles&gt;&lt;periodical&gt;&lt;full-title&gt;Journal of Anthropological Archaeology&lt;/full-title&gt;&lt;/periodical&gt;&lt;pages&gt;412-457&lt;/pages&gt;&lt;volume&gt;7&lt;/volume&gt;&lt;number&gt;4&lt;/number&gt;&lt;keywords&gt;&lt;keyword&gt;Hadza&lt;/keyword&gt;&lt;keyword&gt;ethnography&lt;/keyword&gt;&lt;/keywords&gt;&lt;dates&gt;&lt;year&gt;1988&lt;/year&gt;&lt;pub-dates&gt;&lt;date&gt;12//&lt;/date&gt;&lt;/pub-dates&gt;&lt;/dates&gt;&lt;isbn&gt;0278-4165&lt;/isbn&gt;&lt;urls&gt;&lt;related-urls&gt;&lt;url&gt;http://www.sciencedirect.com/science/article/pii/0278416588900049&lt;/url&gt;&lt;/related-urls&gt;&lt;/urls&gt;&lt;electronic-resource-num&gt;http://dx.doi.org/10.1016/0278-4165(88)90004-9&lt;/electronic-resource-num&gt;&lt;/record&gt;&lt;/Cite&gt;&lt;/EndNote&gt;</w:instrText>
      </w:r>
      <w:r>
        <w:rPr>
          <w:rFonts w:cs="Times New Roman"/>
          <w:szCs w:val="24"/>
        </w:rPr>
        <w:fldChar w:fldCharType="separate"/>
      </w:r>
      <w:hyperlink w:anchor="_ENREF_13" w:tooltip="Bunn, 1988 #42" w:history="1">
        <w:r w:rsidR="00B15FB2">
          <w:rPr>
            <w:rFonts w:cs="Times New Roman"/>
            <w:noProof/>
            <w:szCs w:val="24"/>
          </w:rPr>
          <w:t>Bunn, et al. (1988</w:t>
        </w:r>
      </w:hyperlink>
      <w:r>
        <w:rPr>
          <w:rFonts w:cs="Times New Roman"/>
          <w:noProof/>
          <w:szCs w:val="24"/>
        </w:rPr>
        <w:t>)</w:t>
      </w:r>
      <w:r>
        <w:rPr>
          <w:rFonts w:cs="Times New Roman"/>
          <w:szCs w:val="24"/>
        </w:rPr>
        <w:fldChar w:fldCharType="end"/>
      </w:r>
      <w:r>
        <w:rPr>
          <w:rFonts w:cs="Times New Roman"/>
          <w:szCs w:val="24"/>
        </w:rPr>
        <w:t xml:space="preserve"> suggest that during their dry season and wet season foraging activities, the Hadza create up to 5 site types, and include base camps, kill sites, butchering sites and snack sites (none of which are mutually exclusive). They found that kill and butchering sites are dominated by axial skeleton parts and base camps have a mix of both axial and appendicular </w:t>
      </w:r>
      <w:r>
        <w:rPr>
          <w:rFonts w:cs="Times New Roman"/>
          <w:szCs w:val="24"/>
        </w:rPr>
        <w:lastRenderedPageBreak/>
        <w:t xml:space="preserve">skeletal parts </w:t>
      </w:r>
      <w:r>
        <w:rPr>
          <w:rFonts w:cs="Times New Roman"/>
          <w:szCs w:val="24"/>
        </w:rPr>
        <w:fldChar w:fldCharType="begin"/>
      </w:r>
      <w:r>
        <w:rPr>
          <w:rFonts w:cs="Times New Roman"/>
          <w:szCs w:val="24"/>
        </w:rPr>
        <w:instrText xml:space="preserve"> ADDIN EN.CITE &lt;EndNote&gt;&lt;Cite&gt;&lt;Author&gt;Bunn&lt;/Author&gt;&lt;Year&gt;1988&lt;/Year&gt;&lt;RecNum&gt;42&lt;/RecNum&gt;&lt;Pages&gt;438&lt;/Pages&gt;&lt;DisplayText&gt;(Bunn, et al. 1988:438)&lt;/DisplayText&gt;&lt;record&gt;&lt;rec-number&gt;42&lt;/rec-number&gt;&lt;foreign-keys&gt;&lt;key app="EN" db-id="pvwvsv0fktzv2weszt4xp95xstrzawadapa0"&gt;42&lt;/key&gt;&lt;/foreign-keys&gt;&lt;ref-type name="Journal Article"&gt;17&lt;/ref-type&gt;&lt;contributors&gt;&lt;authors&gt;&lt;author&gt;Bunn, Henry T.&lt;/author&gt;&lt;author&gt;Bartram, Laurence E.&lt;/author&gt;&lt;author&gt;Kroll, Ellen M.&lt;/author&gt;&lt;/authors&gt;&lt;/contributors&gt;&lt;titles&gt;&lt;title&gt;Variability in bone assemblage formation from Hadza hunting, scavenging, and carcass processing&lt;/title&gt;&lt;secondary-title&gt;Journal of Anthropological Archaeology&lt;/secondary-title&gt;&lt;/titles&gt;&lt;periodical&gt;&lt;full-title&gt;Journal of Anthropological Archaeology&lt;/full-title&gt;&lt;/periodical&gt;&lt;pages&gt;412-457&lt;/pages&gt;&lt;volume&gt;7&lt;/volume&gt;&lt;number&gt;4&lt;/number&gt;&lt;keywords&gt;&lt;keyword&gt;Hadza&lt;/keyword&gt;&lt;keyword&gt;ethnography&lt;/keyword&gt;&lt;/keywords&gt;&lt;dates&gt;&lt;year&gt;1988&lt;/year&gt;&lt;pub-dates&gt;&lt;date&gt;12//&lt;/date&gt;&lt;/pub-dates&gt;&lt;/dates&gt;&lt;isbn&gt;0278-4165&lt;/isbn&gt;&lt;urls&gt;&lt;related-urls&gt;&lt;url&gt;http://www.sciencedirect.com/science/article/pii/0278416588900049&lt;/url&gt;&lt;/related-urls&gt;&lt;/urls&gt;&lt;electronic-resource-num&gt;http://dx.doi.org/10.1016/0278-4165(88)90004-9&lt;/electronic-resource-num&gt;&lt;/record&gt;&lt;/Cite&gt;&lt;/EndNote&gt;</w:instrText>
      </w:r>
      <w:r>
        <w:rPr>
          <w:rFonts w:cs="Times New Roman"/>
          <w:szCs w:val="24"/>
        </w:rPr>
        <w:fldChar w:fldCharType="separate"/>
      </w:r>
      <w:r>
        <w:rPr>
          <w:rFonts w:cs="Times New Roman"/>
          <w:noProof/>
          <w:szCs w:val="24"/>
        </w:rPr>
        <w:t>(</w:t>
      </w:r>
      <w:hyperlink w:anchor="_ENREF_13" w:tooltip="Bunn, 1988 #42" w:history="1">
        <w:r w:rsidR="00B15FB2">
          <w:rPr>
            <w:rFonts w:cs="Times New Roman"/>
            <w:noProof/>
            <w:szCs w:val="24"/>
          </w:rPr>
          <w:t>Bunn, et al. 1988:438</w:t>
        </w:r>
      </w:hyperlink>
      <w:r>
        <w:rPr>
          <w:rFonts w:cs="Times New Roman"/>
          <w:noProof/>
          <w:szCs w:val="24"/>
        </w:rPr>
        <w:t>)</w:t>
      </w:r>
      <w:r>
        <w:rPr>
          <w:rFonts w:cs="Times New Roman"/>
          <w:szCs w:val="24"/>
        </w:rPr>
        <w:fldChar w:fldCharType="end"/>
      </w:r>
      <w:r>
        <w:rPr>
          <w:rFonts w:cs="Times New Roman"/>
          <w:szCs w:val="24"/>
        </w:rPr>
        <w:t xml:space="preserve">. It should be noted that the Hadza hunt animals much larger than those found in the Southeastern United State prehistorically, aside from black bear and elk. </w:t>
      </w:r>
      <w:r>
        <w:rPr>
          <w:rFonts w:cs="Times New Roman"/>
          <w:szCs w:val="24"/>
        </w:rPr>
        <w:fldChar w:fldCharType="begin"/>
      </w:r>
      <w:r>
        <w:rPr>
          <w:rFonts w:cs="Times New Roman"/>
          <w:szCs w:val="24"/>
        </w:rPr>
        <w:instrText xml:space="preserve"> ADDIN EN.CITE &lt;EndNote&gt;&lt;Cite AuthorYear="1"&gt;&lt;Author&gt;O&amp;apos;Connell&lt;/Author&gt;&lt;Year&gt;1988&lt;/Year&gt;&lt;RecNum&gt;55&lt;/RecNum&gt;&lt;DisplayText&gt;O&amp;apos;Connell, et al. (1988)&lt;/DisplayText&gt;&lt;record&gt;&lt;rec-number&gt;55&lt;/rec-number&gt;&lt;foreign-keys&gt;&lt;key app="EN" db-id="pvwvsv0fktzv2weszt4xp95xstrzawadapa0"&gt;55&lt;/key&gt;&lt;/foreign-keys&gt;&lt;ref-type name="Journal Article"&gt;17&lt;/ref-type&gt;&lt;contributors&gt;&lt;authors&gt;&lt;author&gt;O&amp;apos;Connell, James F.&lt;/author&gt;&lt;author&gt;Kristen Hawkes &lt;/author&gt;&lt;author&gt;Nicholas Blurton Jones&lt;/author&gt;&lt;/authors&gt;&lt;/contributors&gt;&lt;titles&gt;&lt;title&gt;Hadza Hunting, Butchering, and Bone Transport and their Archaeological Implications &lt;/title&gt;&lt;secondary-title&gt;Journal of Anthropological Research &lt;/secondary-title&gt;&lt;/titles&gt;&lt;periodical&gt;&lt;full-title&gt;Journal of Anthropological Research&lt;/full-title&gt;&lt;/periodical&gt;&lt;pages&gt;113-161&lt;/pages&gt;&lt;volume&gt;44&lt;/volume&gt;&lt;number&gt;2&lt;/number&gt;&lt;dates&gt;&lt;year&gt;1988&lt;/year&gt;&lt;/dates&gt;&lt;urls&gt;&lt;/urls&gt;&lt;/record&gt;&lt;/Cite&gt;&lt;/EndNote&gt;</w:instrText>
      </w:r>
      <w:r>
        <w:rPr>
          <w:rFonts w:cs="Times New Roman"/>
          <w:szCs w:val="24"/>
        </w:rPr>
        <w:fldChar w:fldCharType="separate"/>
      </w:r>
      <w:hyperlink w:anchor="_ENREF_63" w:tooltip="O'Connell, 1988 #55" w:history="1">
        <w:r w:rsidR="00B15FB2">
          <w:rPr>
            <w:rFonts w:cs="Times New Roman"/>
            <w:noProof/>
            <w:szCs w:val="24"/>
          </w:rPr>
          <w:t>O'Connell, et al. (1988</w:t>
        </w:r>
      </w:hyperlink>
      <w:r>
        <w:rPr>
          <w:rFonts w:cs="Times New Roman"/>
          <w:noProof/>
          <w:szCs w:val="24"/>
        </w:rPr>
        <w:t>)</w:t>
      </w:r>
      <w:r>
        <w:rPr>
          <w:rFonts w:cs="Times New Roman"/>
          <w:szCs w:val="24"/>
        </w:rPr>
        <w:fldChar w:fldCharType="end"/>
      </w:r>
      <w:r>
        <w:rPr>
          <w:rFonts w:cs="Times New Roman"/>
          <w:szCs w:val="24"/>
        </w:rPr>
        <w:t xml:space="preserve"> conducted similar research and suggest that while carcass transport is highly variable, it is patterned by a balance of nutritional utility and processing and transport costs (1988:115). </w:t>
      </w:r>
    </w:p>
    <w:p w:rsidR="00525F7F" w:rsidRDefault="00525F7F" w:rsidP="00525F7F">
      <w:pPr>
        <w:spacing w:after="0" w:line="480" w:lineRule="auto"/>
        <w:ind w:firstLine="720"/>
        <w:rPr>
          <w:rFonts w:cs="Times New Roman"/>
          <w:szCs w:val="24"/>
        </w:rPr>
      </w:pPr>
      <w:r>
        <w:rPr>
          <w:rFonts w:cs="Times New Roman"/>
          <w:szCs w:val="24"/>
        </w:rPr>
        <w:t xml:space="preserve">Archaeological studies of kill/butchering sites are common from Paleoindian sites in the western United Sties </w:t>
      </w:r>
      <w:r>
        <w:rPr>
          <w:rFonts w:cs="Times New Roman"/>
          <w:szCs w:val="24"/>
        </w:rPr>
        <w:fldChar w:fldCharType="begin">
          <w:fldData xml:space="preserve">PEVuZE5vdGU+PENpdGU+PEF1dGhvcj5XaGVhdDwvQXV0aG9yPjxZZWFyPjE5NzI8L1llYXI+PFJl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PEVuZE5vdGU+PENpdGU+PEF1dGhvcj5XaGVhdDwvQXV0aG9yPjxZZWFyPjE5NzI8L1llYXI+PFJl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2" w:tooltip="Kooyman, 2006 #53" w:history="1">
        <w:r w:rsidR="00B15FB2">
          <w:rPr>
            <w:rFonts w:cs="Times New Roman"/>
            <w:noProof/>
            <w:szCs w:val="24"/>
          </w:rPr>
          <w:t>Kooyman 2006 et al.</w:t>
        </w:r>
      </w:hyperlink>
      <w:r>
        <w:rPr>
          <w:rFonts w:cs="Times New Roman"/>
          <w:noProof/>
          <w:szCs w:val="24"/>
        </w:rPr>
        <w:t xml:space="preserve">; </w:t>
      </w:r>
      <w:hyperlink w:anchor="_ENREF_84" w:tooltip="Speth, 1983 #60" w:history="1">
        <w:r w:rsidR="00B15FB2">
          <w:rPr>
            <w:rFonts w:cs="Times New Roman"/>
            <w:noProof/>
            <w:szCs w:val="24"/>
          </w:rPr>
          <w:t>Speth 1983</w:t>
        </w:r>
      </w:hyperlink>
      <w:r>
        <w:rPr>
          <w:rFonts w:cs="Times New Roman"/>
          <w:noProof/>
          <w:szCs w:val="24"/>
        </w:rPr>
        <w:t xml:space="preserve">; </w:t>
      </w:r>
      <w:hyperlink w:anchor="_ENREF_92" w:tooltip="Wheat, 1972 #59" w:history="1">
        <w:r w:rsidR="00B15FB2">
          <w:rPr>
            <w:rFonts w:cs="Times New Roman"/>
            <w:noProof/>
            <w:szCs w:val="24"/>
          </w:rPr>
          <w:t>Wheat 1972 et al.</w:t>
        </w:r>
      </w:hyperlink>
      <w:r>
        <w:rPr>
          <w:rFonts w:cs="Times New Roman"/>
          <w:noProof/>
          <w:szCs w:val="24"/>
        </w:rPr>
        <w:t>)</w:t>
      </w:r>
      <w:r>
        <w:rPr>
          <w:rFonts w:cs="Times New Roman"/>
          <w:szCs w:val="24"/>
        </w:rPr>
        <w:fldChar w:fldCharType="end"/>
      </w:r>
      <w:r>
        <w:rPr>
          <w:rFonts w:cs="Times New Roman"/>
          <w:szCs w:val="24"/>
        </w:rPr>
        <w:t xml:space="preserve"> These sites are typically dominated by one animal species (</w:t>
      </w:r>
      <w:r>
        <w:rPr>
          <w:rFonts w:cs="Times New Roman"/>
          <w:i/>
          <w:szCs w:val="24"/>
        </w:rPr>
        <w:t>Bison bison</w:t>
      </w:r>
      <w:r>
        <w:rPr>
          <w:rFonts w:cs="Times New Roman"/>
          <w:szCs w:val="24"/>
        </w:rPr>
        <w:t xml:space="preserve">) and parts of that animal that are the least efficient to transport (i.e. the axial skeleton). Similar approaches are also popular in Paleolithic and Mesolithic European contexts </w:t>
      </w:r>
      <w:r>
        <w:rPr>
          <w:rFonts w:cs="Times New Roman"/>
          <w:szCs w:val="24"/>
        </w:rPr>
        <w:fldChar w:fldCharType="begin">
          <w:fldData xml:space="preserve">PEVuZE5vdGU+PENpdGU+PEF1dGhvcj5Nb25jZWw8L0F1dGhvcj48WWVhcj4yMDA1PC9ZZWFyPjxS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PEVuZE5vdGU+PENpdGU+PEF1dGhvcj5Nb25jZWw8L0F1dGhvcj48WWVhcj4yMDA1PC9ZZWFyPjxS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 xml:space="preserve">(e.g. </w:t>
      </w:r>
      <w:hyperlink w:anchor="_ENREF_18" w:tooltip="Chase, 1986 #41" w:history="1">
        <w:r w:rsidR="00B15FB2">
          <w:rPr>
            <w:rFonts w:cs="Times New Roman"/>
            <w:noProof/>
            <w:szCs w:val="24"/>
          </w:rPr>
          <w:t>Chase 1986</w:t>
        </w:r>
      </w:hyperlink>
      <w:r>
        <w:rPr>
          <w:rFonts w:cs="Times New Roman"/>
          <w:noProof/>
          <w:szCs w:val="24"/>
        </w:rPr>
        <w:t xml:space="preserve">; </w:t>
      </w:r>
      <w:hyperlink w:anchor="_ENREF_60" w:tooltip="Moncel, 2005 #54" w:history="1">
        <w:r w:rsidR="00B15FB2">
          <w:rPr>
            <w:rFonts w:cs="Times New Roman"/>
            <w:noProof/>
            <w:szCs w:val="24"/>
          </w:rPr>
          <w:t>Moncel 2005 et al.</w:t>
        </w:r>
      </w:hyperlink>
      <w:r>
        <w:rPr>
          <w:rFonts w:cs="Times New Roman"/>
          <w:noProof/>
          <w:szCs w:val="24"/>
        </w:rPr>
        <w:t xml:space="preserve">; </w:t>
      </w:r>
      <w:hyperlink w:anchor="_ENREF_87" w:tooltip="Straus, 2006 #58" w:history="1">
        <w:r w:rsidR="00B15FB2">
          <w:rPr>
            <w:rFonts w:cs="Times New Roman"/>
            <w:noProof/>
            <w:szCs w:val="24"/>
          </w:rPr>
          <w:t>Straus 2006</w:t>
        </w:r>
      </w:hyperlink>
      <w:r>
        <w:rPr>
          <w:rFonts w:cs="Times New Roman"/>
          <w:noProof/>
          <w:szCs w:val="24"/>
        </w:rPr>
        <w:t>)</w:t>
      </w:r>
      <w:r>
        <w:rPr>
          <w:rFonts w:cs="Times New Roman"/>
          <w:szCs w:val="24"/>
        </w:rPr>
        <w:fldChar w:fldCharType="end"/>
      </w:r>
      <w:r>
        <w:rPr>
          <w:rFonts w:cs="Times New Roman"/>
          <w:szCs w:val="24"/>
        </w:rPr>
        <w:t xml:space="preserve">. Another interesting study of site function utilized the production of ostrich eggshell beads to determine movement of peoples across an area of South Africa, tracked by bead production sequence </w:t>
      </w:r>
      <w:r>
        <w:rPr>
          <w:rFonts w:cs="Times New Roman"/>
          <w:szCs w:val="24"/>
        </w:rPr>
        <w:fldChar w:fldCharType="begin"/>
      </w:r>
      <w:r>
        <w:rPr>
          <w:rFonts w:cs="Times New Roman"/>
          <w:szCs w:val="24"/>
        </w:rPr>
        <w:instrText xml:space="preserve"> ADDIN EN.CITE &lt;EndNote&gt;&lt;Cite&gt;&lt;Author&gt;Kandal&lt;/Author&gt;&lt;Year&gt;2005&lt;/Year&gt;&lt;RecNum&gt;50&lt;/RecNum&gt;&lt;DisplayText&gt;(Kandal 2005)&lt;/DisplayText&gt;&lt;record&gt;&lt;rec-number&gt;50&lt;/rec-number&gt;&lt;foreign-keys&gt;&lt;key app="EN" db-id="pvwvsv0fktzv2weszt4xp95xstrzawadapa0"&gt;50&lt;/key&gt;&lt;/foreign-keys&gt;&lt;ref-type name="Journal Article"&gt;17&lt;/ref-type&gt;&lt;contributors&gt;&lt;authors&gt;&lt;author&gt;Kandal, Andrew W. and Nicholas J. Conard &lt;/author&gt;&lt;/authors&gt;&lt;/contributors&gt;&lt;titles&gt;&lt;title&gt;Production Sequence of Ostrich Eggshell Beads and Settlement Dynamics in the Geelbek Dunes of the Western Cape, South Africa &lt;/title&gt;&lt;secondary-title&gt;Journal of Archaeological Science&lt;/secondary-title&gt;&lt;/titles&gt;&lt;periodical&gt;&lt;full-title&gt;Journal of Archaeological Science&lt;/full-title&gt;&lt;/periodical&gt;&lt;pages&gt;1711-1721&lt;/pages&gt;&lt;volume&gt;32&lt;/volume&gt;&lt;dates&gt;&lt;year&gt;2005&lt;/year&gt;&lt;/dates&gt;&lt;urls&gt;&lt;/urls&gt;&lt;/record&gt;&lt;/Cite&gt;&lt;/EndNote&gt;</w:instrText>
      </w:r>
      <w:r>
        <w:rPr>
          <w:rFonts w:cs="Times New Roman"/>
          <w:szCs w:val="24"/>
        </w:rPr>
        <w:fldChar w:fldCharType="separate"/>
      </w:r>
      <w:r>
        <w:rPr>
          <w:rFonts w:cs="Times New Roman"/>
          <w:noProof/>
          <w:szCs w:val="24"/>
        </w:rPr>
        <w:t>(</w:t>
      </w:r>
      <w:hyperlink w:anchor="_ENREF_43" w:tooltip="Kandal, 2005 #50" w:history="1">
        <w:r w:rsidR="00B15FB2">
          <w:rPr>
            <w:rFonts w:cs="Times New Roman"/>
            <w:noProof/>
            <w:szCs w:val="24"/>
          </w:rPr>
          <w:t>Kandal 2005</w:t>
        </w:r>
      </w:hyperlink>
      <w:r>
        <w:rPr>
          <w:rFonts w:cs="Times New Roman"/>
          <w:noProof/>
          <w:szCs w:val="24"/>
        </w:rPr>
        <w:t>)</w:t>
      </w:r>
      <w:r>
        <w:rPr>
          <w:rFonts w:cs="Times New Roman"/>
          <w:szCs w:val="24"/>
        </w:rPr>
        <w:fldChar w:fldCharType="end"/>
      </w:r>
      <w:r>
        <w:rPr>
          <w:rFonts w:cs="Times New Roman"/>
          <w:szCs w:val="24"/>
        </w:rPr>
        <w:t xml:space="preserve">. Longer used sites had more stages of bead production represented, while more ephemerally used sites were dominated by beads in final stages of production and use-life. </w:t>
      </w:r>
      <w:r w:rsidRPr="00DA2A1B">
        <w:rPr>
          <w:rFonts w:cs="Times New Roman"/>
          <w:szCs w:val="24"/>
        </w:rPr>
        <w:t>This thesis researc</w:t>
      </w:r>
      <w:r>
        <w:rPr>
          <w:rFonts w:cs="Times New Roman"/>
          <w:szCs w:val="24"/>
        </w:rPr>
        <w:t>h is based on a similar premise –</w:t>
      </w:r>
      <w:r w:rsidRPr="00DA2A1B">
        <w:rPr>
          <w:rFonts w:cs="Times New Roman"/>
          <w:szCs w:val="24"/>
        </w:rPr>
        <w:t xml:space="preserve"> that site function is patterned in all artifact assemblages represented at a site. The focus here is on faunal assemblage composition; however, other artifact assemblages will be taken into account as all should be used together when making </w:t>
      </w:r>
      <w:r>
        <w:rPr>
          <w:rFonts w:cs="Times New Roman"/>
          <w:szCs w:val="24"/>
        </w:rPr>
        <w:t xml:space="preserve">broad site and regional level interpretations. </w:t>
      </w:r>
    </w:p>
    <w:p w:rsidR="00525F7F" w:rsidRDefault="00525F7F" w:rsidP="00525F7F">
      <w:pPr>
        <w:spacing w:after="0" w:line="480" w:lineRule="auto"/>
        <w:ind w:firstLine="720"/>
        <w:rPr>
          <w:rFonts w:cs="Times New Roman"/>
          <w:szCs w:val="24"/>
        </w:rPr>
      </w:pPr>
      <w:r>
        <w:rPr>
          <w:rFonts w:cs="Times New Roman"/>
          <w:szCs w:val="24"/>
        </w:rPr>
        <w:t xml:space="preserve">Traditionally, determining site function has been carried out through associated features at an archaeological site and by determining artifact uses </w:t>
      </w:r>
      <w:r>
        <w:rPr>
          <w:rFonts w:cs="Times New Roman"/>
          <w:szCs w:val="24"/>
        </w:rPr>
        <w:fldChar w:fldCharType="begin"/>
      </w:r>
      <w:r>
        <w:rPr>
          <w:rFonts w:cs="Times New Roman"/>
          <w:szCs w:val="24"/>
        </w:rPr>
        <w:instrText xml:space="preserve"> ADDIN EN.CITE &lt;EndNote&gt;&lt;Cite&gt;&lt;Author&gt;Andrefsky&lt;/Author&gt;&lt;Year&gt;2005&lt;/Year&gt;&lt;RecNum&gt;46&lt;/RecNum&gt;&lt;Pages&gt;201&lt;/Pages&gt;&lt;DisplayText&gt;(Andrefsky 2005:201)&lt;/DisplayText&gt;&lt;record&gt;&lt;rec-number&gt;46&lt;/rec-number&gt;&lt;foreign-keys&gt;&lt;key app="EN" db-id="pvwvsv0fktzv2weszt4xp95xstrzawadapa0"&gt;46&lt;/key&gt;&lt;/foreign-keys&gt;&lt;ref-type name="Book"&gt;6&lt;/ref-type&gt;&lt;contributors&gt;&lt;authors&gt;&lt;author&gt;Andrefsky, Jr., William&lt;/author&gt;&lt;/authors&gt;&lt;/contributors&gt;&lt;titles&gt;&lt;title&gt;Lithics: Macroscopic Approaches to Analysis&lt;/title&gt;&lt;secondary-title&gt;Cambridge Manuals in Archaeology&lt;/secondary-title&gt;&lt;/titles&gt;&lt;edition&gt;Second &lt;/edition&gt;&lt;dates&gt;&lt;year&gt;2005&lt;/year&gt;&lt;/dates&gt;&lt;pub-location&gt;New York &lt;/pub-location&gt;&lt;publisher&gt;Cambridge University Press &lt;/publisher&gt;&lt;urls&gt;&lt;/urls&gt;&lt;/record&gt;&lt;/Cite&gt;&lt;/EndNote&gt;</w:instrText>
      </w:r>
      <w:r>
        <w:rPr>
          <w:rFonts w:cs="Times New Roman"/>
          <w:szCs w:val="24"/>
        </w:rPr>
        <w:fldChar w:fldCharType="separate"/>
      </w:r>
      <w:r>
        <w:rPr>
          <w:rFonts w:cs="Times New Roman"/>
          <w:noProof/>
          <w:szCs w:val="24"/>
        </w:rPr>
        <w:t>(</w:t>
      </w:r>
      <w:hyperlink w:anchor="_ENREF_2" w:tooltip="Andrefsky, 2005 #46" w:history="1">
        <w:r w:rsidR="00B15FB2">
          <w:rPr>
            <w:rFonts w:cs="Times New Roman"/>
            <w:noProof/>
            <w:szCs w:val="24"/>
          </w:rPr>
          <w:t>Andrefsky 2005:201</w:t>
        </w:r>
      </w:hyperlink>
      <w:r>
        <w:rPr>
          <w:rFonts w:cs="Times New Roman"/>
          <w:noProof/>
          <w:szCs w:val="24"/>
        </w:rPr>
        <w:t>)</w:t>
      </w:r>
      <w:r>
        <w:rPr>
          <w:rFonts w:cs="Times New Roman"/>
          <w:szCs w:val="24"/>
        </w:rPr>
        <w:fldChar w:fldCharType="end"/>
      </w:r>
      <w:r>
        <w:rPr>
          <w:rFonts w:cs="Times New Roman"/>
          <w:szCs w:val="24"/>
        </w:rPr>
        <w:t xml:space="preserve">. More recently, lithic tool and debitage analyses have also been used to establish site function </w:t>
      </w:r>
      <w:r>
        <w:rPr>
          <w:rFonts w:cs="Times New Roman"/>
          <w:szCs w:val="24"/>
        </w:rPr>
        <w:fldChar w:fldCharType="begin"/>
      </w:r>
      <w:r>
        <w:rPr>
          <w:rFonts w:cs="Times New Roman"/>
          <w:szCs w:val="24"/>
        </w:rPr>
        <w:instrText xml:space="preserve"> ADDIN EN.CITE &lt;EndNote&gt;&lt;Cite&gt;&lt;Author&gt;Carr&lt;/Author&gt;&lt;Year&gt;2001&lt;/Year&gt;&lt;RecNum&gt;49&lt;/RecNum&gt;&lt;DisplayText&gt;(Carr and Bradbury 2001)&lt;/DisplayText&gt;&lt;record&gt;&lt;rec-number&gt;49&lt;/rec-number&gt;&lt;foreign-keys&gt;&lt;key app="EN" db-id="pvwvsv0fktzv2weszt4xp95xstrzawadapa0"&gt;49&lt;/key&gt;&lt;/foreign-keys&gt;&lt;ref-type name="Book Section"&gt;5&lt;/ref-type&gt;&lt;contributors&gt;&lt;authors&gt;&lt;author&gt;Carr, Phillip J.&lt;/author&gt;&lt;author&gt;Andrew P. Bradbury &lt;/author&gt;&lt;/authors&gt;&lt;secondary-authors&gt;&lt;author&gt;Andrefsky, William&lt;/author&gt;&lt;/secondary-authors&gt;&lt;/contributors&gt;&lt;titles&gt;&lt;title&gt;Flake Debris Analysis, Levels of Production, and the Organization of Technology&lt;/title&gt;&lt;secondary-title&gt;Lithic Debitage Analysis: Studies in Context, Form and Meaning &lt;/secondary-title&gt;&lt;/titles&gt;&lt;pages&gt;126-146&lt;/pages&gt;&lt;section&gt;8&lt;/section&gt;&lt;dates&gt;&lt;year&gt;2001&lt;/year&gt;&lt;/dates&gt;&lt;publisher&gt;University of Utah Press&lt;/publisher&gt;&lt;urls&gt;&lt;/urls&gt;&lt;/record&gt;&lt;/Cite&gt;&lt;/EndNote&gt;</w:instrText>
      </w:r>
      <w:r>
        <w:rPr>
          <w:rFonts w:cs="Times New Roman"/>
          <w:szCs w:val="24"/>
        </w:rPr>
        <w:fldChar w:fldCharType="separate"/>
      </w:r>
      <w:r>
        <w:rPr>
          <w:rFonts w:cs="Times New Roman"/>
          <w:noProof/>
          <w:szCs w:val="24"/>
        </w:rPr>
        <w:t>(</w:t>
      </w:r>
      <w:hyperlink w:anchor="_ENREF_15" w:tooltip="Carr, 2001 #49" w:history="1">
        <w:r w:rsidR="00B15FB2">
          <w:rPr>
            <w:rFonts w:cs="Times New Roman"/>
            <w:noProof/>
            <w:szCs w:val="24"/>
          </w:rPr>
          <w:t>Carr and Bradbury 2001</w:t>
        </w:r>
      </w:hyperlink>
      <w:r>
        <w:rPr>
          <w:rFonts w:cs="Times New Roman"/>
          <w:noProof/>
          <w:szCs w:val="24"/>
        </w:rPr>
        <w:t>)</w:t>
      </w:r>
      <w:r>
        <w:rPr>
          <w:rFonts w:cs="Times New Roman"/>
          <w:szCs w:val="24"/>
        </w:rPr>
        <w:fldChar w:fldCharType="end"/>
      </w:r>
      <w:r>
        <w:rPr>
          <w:rFonts w:cs="Times New Roman"/>
          <w:szCs w:val="24"/>
        </w:rPr>
        <w:t xml:space="preserve">. Where raw material sources are not located nearby, base camps and special function sites can be characterized by their lithic assemblages </w:t>
      </w:r>
      <w:r>
        <w:rPr>
          <w:rFonts w:cs="Times New Roman"/>
          <w:szCs w:val="24"/>
        </w:rPr>
        <w:fldChar w:fldCharType="begin"/>
      </w:r>
      <w:r>
        <w:rPr>
          <w:rFonts w:cs="Times New Roman"/>
          <w:szCs w:val="24"/>
        </w:rPr>
        <w:instrText xml:space="preserve"> ADDIN EN.CITE &lt;EndNote&gt;&lt;Cite&gt;&lt;Author&gt;Andrefsky&lt;/Author&gt;&lt;Year&gt;2005&lt;/Year&gt;&lt;RecNum&gt;46&lt;/RecNum&gt;&lt;DisplayText&gt;(Andrefsky 2005)&lt;/DisplayText&gt;&lt;record&gt;&lt;rec-number&gt;46&lt;/rec-number&gt;&lt;foreign-keys&gt;&lt;key app="EN" db-id="pvwvsv0fktzv2weszt4xp95xstrzawadapa0"&gt;46&lt;/key&gt;&lt;/foreign-keys&gt;&lt;ref-type name="Book"&gt;6&lt;/ref-type&gt;&lt;contributors&gt;&lt;authors&gt;&lt;author&gt;Andrefsky, Jr., William&lt;/author&gt;&lt;/authors&gt;&lt;/contributors&gt;&lt;titles&gt;&lt;title&gt;Lithics: Macroscopic Approaches to Analysis&lt;/title&gt;&lt;secondary-title&gt;Cambridge Manuals in Archaeology&lt;/secondary-title&gt;&lt;/titles&gt;&lt;edition&gt;Second &lt;/edition&gt;&lt;dates&gt;&lt;year&gt;2005&lt;/year&gt;&lt;/dates&gt;&lt;pub-location&gt;New York &lt;/pub-location&gt;&lt;publisher&gt;Cambridge University Press &lt;/publisher&gt;&lt;urls&gt;&lt;/urls&gt;&lt;/record&gt;&lt;/Cite&gt;&lt;/EndNote&gt;</w:instrText>
      </w:r>
      <w:r>
        <w:rPr>
          <w:rFonts w:cs="Times New Roman"/>
          <w:szCs w:val="24"/>
        </w:rPr>
        <w:fldChar w:fldCharType="separate"/>
      </w:r>
      <w:r>
        <w:rPr>
          <w:rFonts w:cs="Times New Roman"/>
          <w:noProof/>
          <w:szCs w:val="24"/>
        </w:rPr>
        <w:t>(</w:t>
      </w:r>
      <w:hyperlink w:anchor="_ENREF_2" w:tooltip="Andrefsky, 2005 #46" w:history="1">
        <w:r w:rsidR="00B15FB2">
          <w:rPr>
            <w:rFonts w:cs="Times New Roman"/>
            <w:noProof/>
            <w:szCs w:val="24"/>
          </w:rPr>
          <w:t>Andrefsky 2005</w:t>
        </w:r>
      </w:hyperlink>
      <w:r>
        <w:rPr>
          <w:rFonts w:cs="Times New Roman"/>
          <w:noProof/>
          <w:szCs w:val="24"/>
        </w:rPr>
        <w:t>)</w:t>
      </w:r>
      <w:r>
        <w:rPr>
          <w:rFonts w:cs="Times New Roman"/>
          <w:szCs w:val="24"/>
        </w:rPr>
        <w:fldChar w:fldCharType="end"/>
      </w:r>
      <w:r>
        <w:rPr>
          <w:rFonts w:cs="Times New Roman"/>
          <w:szCs w:val="24"/>
        </w:rPr>
        <w:t xml:space="preserve">. Beginning with </w:t>
      </w:r>
      <w:r>
        <w:rPr>
          <w:rFonts w:cs="Times New Roman"/>
          <w:szCs w:val="24"/>
        </w:rPr>
        <w:lastRenderedPageBreak/>
        <w:t xml:space="preserve">formal tools, </w:t>
      </w:r>
      <w:r>
        <w:rPr>
          <w:rFonts w:cs="Times New Roman"/>
          <w:szCs w:val="24"/>
        </w:rPr>
        <w:fldChar w:fldCharType="begin"/>
      </w:r>
      <w:r>
        <w:rPr>
          <w:rFonts w:cs="Times New Roman"/>
          <w:szCs w:val="24"/>
        </w:rPr>
        <w:instrText xml:space="preserve"> ADDIN EN.CITE &lt;EndNote&gt;&lt;Cite AuthorYear="1"&gt;&lt;Author&gt;Chatters&lt;/Author&gt;&lt;Year&gt;1987&lt;/Year&gt;&lt;RecNum&gt;48&lt;/RecNum&gt;&lt;DisplayText&gt;Chatters (1987)&lt;/DisplayText&gt;&lt;record&gt;&lt;rec-number&gt;48&lt;/rec-number&gt;&lt;foreign-keys&gt;&lt;key app="EN" db-id="pvwvsv0fktzv2weszt4xp95xstrzawadapa0"&gt;48&lt;/key&gt;&lt;/foreign-keys&gt;&lt;ref-type name="Journal Article"&gt;17&lt;/ref-type&gt;&lt;contributors&gt;&lt;authors&gt;&lt;author&gt;Chatters, James C. &lt;/author&gt;&lt;/authors&gt;&lt;/contributors&gt;&lt;titles&gt;&lt;title&gt;Hunter-Gatherer Adaptations and Assemblage Structure &lt;/title&gt;&lt;secondary-title&gt;Journal of Anthropological Archaeology&lt;/secondary-title&gt;&lt;/titles&gt;&lt;periodical&gt;&lt;full-title&gt;Journal of Anthropological Archaeology&lt;/full-title&gt;&lt;/periodical&gt;&lt;pages&gt;336-375&lt;/pages&gt;&lt;volume&gt;6&lt;/volume&gt;&lt;dates&gt;&lt;year&gt;1987&lt;/year&gt;&lt;/dates&gt;&lt;urls&gt;&lt;/urls&gt;&lt;/record&gt;&lt;/Cite&gt;&lt;/EndNote&gt;</w:instrText>
      </w:r>
      <w:r>
        <w:rPr>
          <w:rFonts w:cs="Times New Roman"/>
          <w:szCs w:val="24"/>
        </w:rPr>
        <w:fldChar w:fldCharType="separate"/>
      </w:r>
      <w:hyperlink w:anchor="_ENREF_19" w:tooltip="Chatters, 1987 #48" w:history="1">
        <w:r w:rsidR="00B15FB2">
          <w:rPr>
            <w:rFonts w:cs="Times New Roman"/>
            <w:noProof/>
            <w:szCs w:val="24"/>
          </w:rPr>
          <w:t>Chatters (1987</w:t>
        </w:r>
      </w:hyperlink>
      <w:r>
        <w:rPr>
          <w:rFonts w:cs="Times New Roman"/>
          <w:noProof/>
          <w:szCs w:val="24"/>
        </w:rPr>
        <w:t>)</w:t>
      </w:r>
      <w:r>
        <w:rPr>
          <w:rFonts w:cs="Times New Roman"/>
          <w:szCs w:val="24"/>
        </w:rPr>
        <w:fldChar w:fldCharType="end"/>
      </w:r>
      <w:r>
        <w:rPr>
          <w:rFonts w:cs="Times New Roman"/>
          <w:szCs w:val="24"/>
        </w:rPr>
        <w:t xml:space="preserve"> suggests that base camps on the Pacific Northwest coast are characterized by more diverse tool morphological types, while field camps are dominated by few tool types. In general, more artifacts are recovered from base camps as opposed to field camps </w:t>
      </w:r>
      <w:r>
        <w:rPr>
          <w:rFonts w:cs="Times New Roman"/>
          <w:szCs w:val="24"/>
        </w:rPr>
        <w:fldChar w:fldCharType="begin">
          <w:fldData xml:space="preserve">PEVuZE5vdGU+PENpdGU+PEF1dGhvcj5DaGF0dGVyczwvQXV0aG9yPjxZZWFyPjE5ODc8L1llYXI+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PEVuZE5vdGU+PENpdGU+PEF1dGhvcj5DaGF0dGVyczwvQXV0aG9yPjxZZWFyPjE5ODc8L1llYXI+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9" w:tooltip="Chatters, 1987 #48" w:history="1">
        <w:r w:rsidR="00B15FB2">
          <w:rPr>
            <w:rFonts w:cs="Times New Roman"/>
            <w:noProof/>
            <w:szCs w:val="24"/>
          </w:rPr>
          <w:t>Chatters 1987</w:t>
        </w:r>
      </w:hyperlink>
      <w:r>
        <w:rPr>
          <w:rFonts w:cs="Times New Roman"/>
          <w:noProof/>
          <w:szCs w:val="24"/>
        </w:rPr>
        <w:t xml:space="preserve">; </w:t>
      </w:r>
      <w:hyperlink w:anchor="_ENREF_70" w:tooltip="Price, 1978 #121" w:history="1">
        <w:r w:rsidR="00B15FB2">
          <w:rPr>
            <w:rFonts w:cs="Times New Roman"/>
            <w:noProof/>
            <w:szCs w:val="24"/>
          </w:rPr>
          <w:t>Price 1978</w:t>
        </w:r>
      </w:hyperlink>
      <w:r>
        <w:rPr>
          <w:rFonts w:cs="Times New Roman"/>
          <w:noProof/>
          <w:szCs w:val="24"/>
        </w:rPr>
        <w:t xml:space="preserve">; </w:t>
      </w:r>
      <w:hyperlink w:anchor="_ENREF_81" w:tooltip="Shott, 1986 #120" w:history="1">
        <w:r w:rsidR="00B15FB2">
          <w:rPr>
            <w:rFonts w:cs="Times New Roman"/>
            <w:noProof/>
            <w:szCs w:val="24"/>
          </w:rPr>
          <w:t>Shott 1986</w:t>
        </w:r>
      </w:hyperlink>
      <w:r>
        <w:rPr>
          <w:rFonts w:cs="Times New Roman"/>
          <w:noProof/>
          <w:szCs w:val="24"/>
        </w:rPr>
        <w:t>)</w:t>
      </w:r>
      <w:r>
        <w:rPr>
          <w:rFonts w:cs="Times New Roman"/>
          <w:szCs w:val="24"/>
        </w:rPr>
        <w:fldChar w:fldCharType="end"/>
      </w:r>
      <w:r>
        <w:rPr>
          <w:rFonts w:cs="Times New Roman"/>
          <w:szCs w:val="24"/>
        </w:rPr>
        <w:t xml:space="preserve">. Additionally, biface manufacture occurs in stages from  blanks to performs to finished bifaces at base camps </w:t>
      </w:r>
      <w:r>
        <w:rPr>
          <w:rFonts w:cs="Times New Roman"/>
          <w:szCs w:val="24"/>
        </w:rPr>
        <w:fldChar w:fldCharType="begin"/>
      </w:r>
      <w:r>
        <w:rPr>
          <w:rFonts w:cs="Times New Roman"/>
          <w:szCs w:val="24"/>
        </w:rPr>
        <w:instrText xml:space="preserve"> ADDIN EN.CITE &lt;EndNote&gt;&lt;Cite&gt;&lt;Author&gt;Andrefsky&lt;/Author&gt;&lt;Year&gt;2005&lt;/Year&gt;&lt;RecNum&gt;46&lt;/RecNum&gt;&lt;DisplayText&gt;(Andrefsky 2005)&lt;/DisplayText&gt;&lt;record&gt;&lt;rec-number&gt;46&lt;/rec-number&gt;&lt;foreign-keys&gt;&lt;key app="EN" db-id="pvwvsv0fktzv2weszt4xp95xstrzawadapa0"&gt;46&lt;/key&gt;&lt;/foreign-keys&gt;&lt;ref-type name="Book"&gt;6&lt;/ref-type&gt;&lt;contributors&gt;&lt;authors&gt;&lt;author&gt;Andrefsky, Jr., William&lt;/author&gt;&lt;/authors&gt;&lt;/contributors&gt;&lt;titles&gt;&lt;title&gt;Lithics: Macroscopic Approaches to Analysis&lt;/title&gt;&lt;secondary-title&gt;Cambridge Manuals in Archaeology&lt;/secondary-title&gt;&lt;/titles&gt;&lt;edition&gt;Second &lt;/edition&gt;&lt;dates&gt;&lt;year&gt;2005&lt;/year&gt;&lt;/dates&gt;&lt;pub-location&gt;New York &lt;/pub-location&gt;&lt;publisher&gt;Cambridge University Press &lt;/publisher&gt;&lt;urls&gt;&lt;/urls&gt;&lt;/record&gt;&lt;/Cite&gt;&lt;/EndNote&gt;</w:instrText>
      </w:r>
      <w:r>
        <w:rPr>
          <w:rFonts w:cs="Times New Roman"/>
          <w:szCs w:val="24"/>
        </w:rPr>
        <w:fldChar w:fldCharType="separate"/>
      </w:r>
      <w:r>
        <w:rPr>
          <w:rFonts w:cs="Times New Roman"/>
          <w:noProof/>
          <w:szCs w:val="24"/>
        </w:rPr>
        <w:t>(</w:t>
      </w:r>
      <w:hyperlink w:anchor="_ENREF_2" w:tooltip="Andrefsky, 2005 #46" w:history="1">
        <w:r w:rsidR="00B15FB2">
          <w:rPr>
            <w:rFonts w:cs="Times New Roman"/>
            <w:noProof/>
            <w:szCs w:val="24"/>
          </w:rPr>
          <w:t>Andrefsky 2005</w:t>
        </w:r>
      </w:hyperlink>
      <w:r>
        <w:rPr>
          <w:rFonts w:cs="Times New Roman"/>
          <w:noProof/>
          <w:szCs w:val="24"/>
        </w:rPr>
        <w:t>)</w:t>
      </w:r>
      <w:r>
        <w:rPr>
          <w:rFonts w:cs="Times New Roman"/>
          <w:szCs w:val="24"/>
        </w:rPr>
        <w:fldChar w:fldCharType="end"/>
      </w:r>
      <w:r>
        <w:rPr>
          <w:rFonts w:cs="Times New Roman"/>
          <w:szCs w:val="24"/>
        </w:rPr>
        <w:t xml:space="preserve">. Again, base camps should be characterized by all stages of bifaces manufacture, while hunting camps sites would likely be dominated by discarded completed bifaces. Lithic reduction sequences can also be used to indicate site function as debitage is usually recovered near where a reduction activity took place, and these activities can be separated into early and late stage reduction sequences, which can reflect site function </w:t>
      </w:r>
      <w:r>
        <w:rPr>
          <w:rFonts w:cs="Times New Roman"/>
          <w:szCs w:val="24"/>
        </w:rPr>
        <w:fldChar w:fldCharType="begin">
          <w:fldData xml:space="preserve">PEVuZE5vdGU+PENpdGU+PEF1dGhvcj5DYXJyPC9BdXRob3I+PFllYXI+MjAwMTwvWWVhcj48UmVj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</w:fldData>
        </w:fldChar>
      </w:r>
      <w:r w:rsidR="00847AFE">
        <w:rPr>
          <w:rFonts w:cs="Times New Roman"/>
          <w:szCs w:val="24"/>
        </w:rPr>
        <w:instrText xml:space="preserve"> ADDIN EN.CITE </w:instrText>
      </w:r>
      <w:r w:rsidR="00847AFE">
        <w:rPr>
          <w:rFonts w:cs="Times New Roman"/>
          <w:szCs w:val="24"/>
        </w:rPr>
        <w:fldChar w:fldCharType="begin">
          <w:fldData xml:space="preserve">PEVuZE5vdGU+PENpdGU+PEF1dGhvcj5DYXJyPC9BdXRob3I+PFllYXI+MjAwMTwvWWVhcj48UmVj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</w:fldData>
        </w:fldChar>
      </w:r>
      <w:r w:rsidR="00847AFE">
        <w:rPr>
          <w:rFonts w:cs="Times New Roman"/>
          <w:szCs w:val="24"/>
        </w:rPr>
        <w:instrText xml:space="preserve"> ADDIN EN.CITE.DATA </w:instrText>
      </w:r>
      <w:r w:rsidR="00847AFE">
        <w:rPr>
          <w:rFonts w:cs="Times New Roman"/>
          <w:szCs w:val="24"/>
        </w:rPr>
      </w:r>
      <w:r w:rsidR="00847AFE">
        <w:rPr>
          <w:rFonts w:cs="Times New Roman"/>
          <w:szCs w:val="24"/>
        </w:rPr>
        <w:fldChar w:fldCharType="end"/>
      </w:r>
      <w:r>
        <w:rPr>
          <w:rFonts w:cs="Times New Roman"/>
          <w:szCs w:val="24"/>
        </w:rPr>
      </w:r>
      <w:r>
        <w:rPr>
          <w:rFonts w:cs="Times New Roman"/>
          <w:szCs w:val="24"/>
        </w:rPr>
        <w:fldChar w:fldCharType="separate"/>
      </w:r>
      <w:r w:rsidR="00847AFE">
        <w:rPr>
          <w:rFonts w:cs="Times New Roman"/>
          <w:noProof/>
          <w:szCs w:val="24"/>
        </w:rPr>
        <w:t>(</w:t>
      </w:r>
      <w:hyperlink w:anchor="_ENREF_15" w:tooltip="Carr, 2001 #49" w:history="1">
        <w:r w:rsidR="00B15FB2">
          <w:rPr>
            <w:rFonts w:cs="Times New Roman"/>
            <w:noProof/>
            <w:szCs w:val="24"/>
          </w:rPr>
          <w:t>Carr and Bradbury 2001</w:t>
        </w:r>
      </w:hyperlink>
      <w:r w:rsidR="00847AFE">
        <w:rPr>
          <w:rFonts w:cs="Times New Roman"/>
          <w:noProof/>
          <w:szCs w:val="24"/>
        </w:rPr>
        <w:t xml:space="preserve">; </w:t>
      </w:r>
      <w:hyperlink w:anchor="_ENREF_59" w:tooltip="Magne, 1989 #102" w:history="1">
        <w:r w:rsidR="00B15FB2">
          <w:rPr>
            <w:rFonts w:cs="Times New Roman"/>
            <w:noProof/>
            <w:szCs w:val="24"/>
          </w:rPr>
          <w:t>Magne 1989</w:t>
        </w:r>
      </w:hyperlink>
      <w:r w:rsidR="00847AFE">
        <w:rPr>
          <w:rFonts w:cs="Times New Roman"/>
          <w:noProof/>
          <w:szCs w:val="24"/>
        </w:rPr>
        <w:t xml:space="preserve">; </w:t>
      </w:r>
      <w:hyperlink w:anchor="_ENREF_88" w:tooltip="Sullivan, 1985 #122" w:history="1">
        <w:r w:rsidR="00B15FB2">
          <w:rPr>
            <w:rFonts w:cs="Times New Roman"/>
            <w:noProof/>
            <w:szCs w:val="24"/>
          </w:rPr>
          <w:t>Sullivan and Rozen 1985</w:t>
        </w:r>
      </w:hyperlink>
      <w:r w:rsidR="00847AFE">
        <w:rPr>
          <w:rFonts w:cs="Times New Roman"/>
          <w:noProof/>
          <w:szCs w:val="24"/>
        </w:rPr>
        <w:t>)</w:t>
      </w:r>
      <w:r>
        <w:rPr>
          <w:rFonts w:cs="Times New Roman"/>
          <w:szCs w:val="24"/>
        </w:rPr>
        <w:fldChar w:fldCharType="end"/>
      </w:r>
      <w:r>
        <w:rPr>
          <w:rFonts w:cs="Times New Roman"/>
          <w:szCs w:val="24"/>
        </w:rPr>
        <w:t xml:space="preserve">. Debitage can be utilized in a similar way – all stages of the reduction sequence should be present at a base camp, while late stage reduction/resharpening should be characteristic of a hunting camp site. Additionally, early stage reduction and some tool manufacture should be evident from a quarry site. </w:t>
      </w:r>
    </w:p>
    <w:p w:rsidR="00525F7F" w:rsidRDefault="00525F7F" w:rsidP="00525F7F">
      <w:pPr>
        <w:spacing w:after="0" w:line="480" w:lineRule="auto"/>
        <w:ind w:firstLine="720"/>
        <w:rPr>
          <w:rFonts w:cs="Times New Roman"/>
          <w:szCs w:val="24"/>
        </w:rPr>
      </w:pPr>
      <w:r>
        <w:rPr>
          <w:rFonts w:cs="Times New Roman"/>
          <w:szCs w:val="24"/>
        </w:rPr>
        <w:t xml:space="preserve">In sum, site function has been extensively explored using many types of archaeological data, including faunal remains. Some examples do exist where faunal and lithic data are used together when discussing site function </w:t>
      </w:r>
      <w:r>
        <w:rPr>
          <w:rFonts w:cs="Times New Roman"/>
          <w:szCs w:val="24"/>
        </w:rPr>
        <w:fldChar w:fldCharType="begin"/>
      </w:r>
      <w:r>
        <w:rPr>
          <w:rFonts w:cs="Times New Roman"/>
          <w:szCs w:val="24"/>
        </w:rPr>
        <w:instrText xml:space="preserve"> ADDIN EN.CITE &lt;EndNote&gt;&lt;Cite&gt;&lt;Author&gt;Chatters&lt;/Author&gt;&lt;Year&gt;1987&lt;/Year&gt;&lt;RecNum&gt;48&lt;/RecNum&gt;&lt;DisplayText&gt;(Chatters 1987; Straus 2006)&lt;/DisplayText&gt;&lt;record&gt;&lt;rec-number&gt;48&lt;/rec-number&gt;&lt;foreign-keys&gt;&lt;key app="EN" db-id="pvwvsv0fktzv2weszt4xp95xstrzawadapa0"&gt;48&lt;/key&gt;&lt;/foreign-keys&gt;&lt;ref-type name="Journal Article"&gt;17&lt;/ref-type&gt;&lt;contributors&gt;&lt;authors&gt;&lt;author&gt;Chatters, James C. &lt;/author&gt;&lt;/authors&gt;&lt;/contributors&gt;&lt;titles&gt;&lt;title&gt;Hunter-Gatherer Adaptations and Assemblage Structure &lt;/title&gt;&lt;secondary-title&gt;Journal of Anthropological Archaeology&lt;/secondary-title&gt;&lt;/titles&gt;&lt;periodical&gt;&lt;full-title&gt;Journal of Anthropological Archaeology&lt;/full-title&gt;&lt;/periodical&gt;&lt;pages&gt;336-375&lt;/pages&gt;&lt;volume&gt;6&lt;/volume&gt;&lt;dates&gt;&lt;year&gt;1987&lt;/year&gt;&lt;/dates&gt;&lt;urls&gt;&lt;/urls&gt;&lt;/record&gt;&lt;/Cite&gt;&lt;Cite&gt;&lt;Author&gt;Straus&lt;/Author&gt;&lt;Year&gt;2006&lt;/Year&gt;&lt;RecNum&gt;58&lt;/RecNum&gt;&lt;record&gt;&lt;rec-number&gt;58&lt;/rec-number&gt;&lt;foreign-keys&gt;&lt;key app="EN" db-id="pvwvsv0fktzv2weszt4xp95xstrzawadapa0"&gt;58&lt;/key&gt;&lt;/foreign-keys&gt;&lt;ref-type name="Journal Article"&gt;17&lt;/ref-type&gt;&lt;contributors&gt;&lt;authors&gt;&lt;author&gt;Straus, Lawrence Guy&lt;/author&gt;&lt;/authors&gt;&lt;/contributors&gt;&lt;titles&gt;&lt;title&gt;Of stones and bones: Interpreting site function in the Upper Paleolithic and Mesolithic of Western Europe&lt;/title&gt;&lt;secondary-title&gt;Journal of Anthropological Archaeology&lt;/secondary-title&gt;&lt;/titles&gt;&lt;periodical&gt;&lt;full-title&gt;Journal of Anthropological Archaeology&lt;/full-title&gt;&lt;/periodical&gt;&lt;pages&gt;500-509&lt;/pages&gt;&lt;volume&gt;25&lt;/volume&gt;&lt;number&gt;4&lt;/number&gt;&lt;dates&gt;&lt;year&gt;2006&lt;/year&gt;&lt;/dates&gt;&lt;isbn&gt;02784165&lt;/isbn&gt;&lt;urls&gt;&lt;/urls&gt;&lt;electronic-resource-num&gt;10.1016/j.jaa.2006.03.004&lt;/electronic-resource-num&gt;&lt;/record&gt;&lt;/Cite&gt;&lt;/EndNote&gt;</w:instrText>
      </w:r>
      <w:r>
        <w:rPr>
          <w:rFonts w:cs="Times New Roman"/>
          <w:szCs w:val="24"/>
        </w:rPr>
        <w:fldChar w:fldCharType="separate"/>
      </w:r>
      <w:r>
        <w:rPr>
          <w:rFonts w:cs="Times New Roman"/>
          <w:noProof/>
          <w:szCs w:val="24"/>
        </w:rPr>
        <w:t>(</w:t>
      </w:r>
      <w:hyperlink w:anchor="_ENREF_19" w:tooltip="Chatters, 1987 #48" w:history="1">
        <w:r w:rsidR="00B15FB2">
          <w:rPr>
            <w:rFonts w:cs="Times New Roman"/>
            <w:noProof/>
            <w:szCs w:val="24"/>
          </w:rPr>
          <w:t>Chatters 1987</w:t>
        </w:r>
      </w:hyperlink>
      <w:r>
        <w:rPr>
          <w:rFonts w:cs="Times New Roman"/>
          <w:noProof/>
          <w:szCs w:val="24"/>
        </w:rPr>
        <w:t xml:space="preserve">; </w:t>
      </w:r>
      <w:hyperlink w:anchor="_ENREF_87" w:tooltip="Straus, 2006 #58" w:history="1">
        <w:r w:rsidR="00B15FB2">
          <w:rPr>
            <w:rFonts w:cs="Times New Roman"/>
            <w:noProof/>
            <w:szCs w:val="24"/>
          </w:rPr>
          <w:t>Straus 2006</w:t>
        </w:r>
      </w:hyperlink>
      <w:r>
        <w:rPr>
          <w:rFonts w:cs="Times New Roman"/>
          <w:noProof/>
          <w:szCs w:val="24"/>
        </w:rPr>
        <w:t>)</w:t>
      </w:r>
      <w:r>
        <w:rPr>
          <w:rFonts w:cs="Times New Roman"/>
          <w:szCs w:val="24"/>
        </w:rPr>
        <w:fldChar w:fldCharType="end"/>
      </w:r>
      <w:r>
        <w:rPr>
          <w:rFonts w:cs="Times New Roman"/>
          <w:szCs w:val="24"/>
        </w:rPr>
        <w:t xml:space="preserve">. As some of the authors referenced in the section have pointed out, these types of studies are highly specific to the regions, time periods and cultures with which they are concerned. Therefore, this type of study on the UCP of Tennessee adds a new study to the literature that supports the notions of these discussed here – that the prehistoric functions of archaeological sites are patterned and can be detected through thorough analysis of artifacts. </w:t>
      </w:r>
    </w:p>
    <w:p w:rsidR="00525F7F" w:rsidRPr="00CC4FF1" w:rsidRDefault="00525F7F" w:rsidP="00525F7F">
      <w:pPr>
        <w:pStyle w:val="Heading2"/>
        <w:rPr>
          <w:szCs w:val="24"/>
        </w:rPr>
      </w:pPr>
      <w:bookmarkStart w:id="6" w:name="_Toc343820337"/>
      <w:bookmarkStart w:id="7" w:name="_Toc349507274"/>
      <w:r w:rsidRPr="00CC4FF1">
        <w:rPr>
          <w:szCs w:val="24"/>
        </w:rPr>
        <w:lastRenderedPageBreak/>
        <w:t>Goals and Expectations</w:t>
      </w:r>
      <w:bookmarkEnd w:id="6"/>
      <w:bookmarkEnd w:id="7"/>
    </w:p>
    <w:p w:rsidR="00525F7F" w:rsidRDefault="00525F7F" w:rsidP="00525F7F">
      <w:pPr>
        <w:spacing w:after="0" w:line="480" w:lineRule="auto"/>
        <w:ind w:firstLine="720"/>
        <w:rPr>
          <w:rFonts w:cs="Times New Roman"/>
          <w:szCs w:val="24"/>
        </w:rPr>
      </w:pPr>
      <w:r>
        <w:rPr>
          <w:rFonts w:cs="Times New Roman"/>
          <w:szCs w:val="24"/>
        </w:rPr>
        <w:t xml:space="preserve">The goals of this thesis are to analyze a sample of faunal remains from Sachsen Cave Shelter, focusing on taxonomic diversity, distribution of large mammal elements, seasonality and recording culturally and naturally produced modification. Since the site has previously been classified as a base camp, the focus here will be on what characterizes a base camp, as used by both residentially and logistically mobile groups. In this case, only one site will be discussed, Sachsen Cave Shelter. It is therefore not possible to address whether or not the inhabitants of this site were residentially or logistically mobile based on the faunal assemblage; however, there is no expected differences in base camp artifact assemblages generated by either mobility strategy. Addressing these differences is beyond the scope of this thesis and is more practical to be conducted on a larger, regional scale </w:t>
      </w:r>
      <w:r>
        <w:rPr>
          <w:rFonts w:cs="Times New Roman"/>
          <w:szCs w:val="24"/>
        </w:rPr>
        <w:fldChar w:fldCharType="begin"/>
      </w:r>
      <w:r>
        <w:rPr>
          <w:rFonts w:cs="Times New Roman"/>
          <w:szCs w:val="24"/>
        </w:rPr>
        <w:instrText xml:space="preserve"> ADDIN EN.CITE &lt;EndNote&gt;&lt;Cite&gt;&lt;Author&gt;Kimball&lt;/Author&gt;&lt;Year&gt;1993&lt;/Year&gt;&lt;RecNum&gt;63&lt;/RecNum&gt;&lt;DisplayText&gt;(for example see Kimball 1996; Kimball 1993)&lt;/DisplayText&gt;&lt;record&gt;&lt;rec-number&gt;63&lt;/rec-number&gt;&lt;foreign-keys&gt;&lt;key app="EN" db-id="pvwvsv0fktzv2weszt4xp95xstrzawadapa0"&gt;63&lt;/key&gt;&lt;/foreign-keys&gt;&lt;ref-type name="Journal Article"&gt;17&lt;/ref-type&gt;&lt;contributors&gt;&lt;authors&gt;&lt;author&gt;Kimball, Larry R. &lt;/author&gt;&lt;/authors&gt;&lt;/contributors&gt;&lt;titles&gt;&lt;title&gt;Rose Island Revisited: The Detection of Early Archaic Site Structure using Grid Count Data&lt;/title&gt;&lt;secondary-title&gt;Southeastern Archaeology&lt;/secondary-title&gt;&lt;/titles&gt;&lt;periodical&gt;&lt;full-title&gt;Southeastern Archaeology&lt;/full-title&gt;&lt;/periodical&gt;&lt;pages&gt;93-116&lt;/pages&gt;&lt;volume&gt;12&lt;/volume&gt;&lt;dates&gt;&lt;year&gt;1993&lt;/year&gt;&lt;/dates&gt;&lt;urls&gt;&lt;/urls&gt;&lt;/record&gt;&lt;/Cite&gt;&lt;Cite&gt;&lt;Author&gt;Kimball&lt;/Author&gt;&lt;Year&gt;1996&lt;/Year&gt;&lt;RecNum&gt;64&lt;/RecNum&gt;&lt;Prefix&gt;for example see &lt;/Prefix&gt;&lt;record&gt;&lt;rec-number&gt;64&lt;/rec-number&gt;&lt;foreign-keys&gt;&lt;key app="EN" db-id="pvwvsv0fktzv2weszt4xp95xstrzawadapa0"&gt;64&lt;/key&gt;&lt;/foreign-keys&gt;&lt;ref-type name="Book Section"&gt;5&lt;/ref-type&gt;&lt;contributors&gt;&lt;authors&gt;&lt;author&gt;Kimball, Larry R.&lt;/author&gt;&lt;/authors&gt;&lt;secondary-authors&gt;&lt;author&gt;D. G. Anderson&lt;/author&gt;&lt;author&gt;K.E. Sassaman &lt;/author&gt;&lt;/secondary-authors&gt;&lt;/contributors&gt;&lt;titles&gt;&lt;title&gt;Early Archaic Settlement and Technology: Lessons from Tellico&lt;/title&gt;&lt;secondary-title&gt;The Paleoindian and Early Archaic Southeast&lt;/secondary-title&gt;&lt;/titles&gt;&lt;dates&gt;&lt;year&gt;1996&lt;/year&gt;&lt;/dates&gt;&lt;pub-location&gt;Tuscaloosa&lt;/pub-location&gt;&lt;publisher&gt;University of Alabama Press&lt;/publisher&gt;&lt;urls&gt;&lt;/urls&gt;&lt;/record&gt;&lt;/Cite&gt;&lt;/EndNote&gt;</w:instrText>
      </w:r>
      <w:r>
        <w:rPr>
          <w:rFonts w:cs="Times New Roman"/>
          <w:szCs w:val="24"/>
        </w:rPr>
        <w:fldChar w:fldCharType="separate"/>
      </w:r>
      <w:r>
        <w:rPr>
          <w:rFonts w:cs="Times New Roman"/>
          <w:noProof/>
          <w:szCs w:val="24"/>
        </w:rPr>
        <w:t>(</w:t>
      </w:r>
      <w:hyperlink w:anchor="_ENREF_46" w:tooltip="Kimball, 1996 #64" w:history="1">
        <w:r w:rsidR="00B15FB2">
          <w:rPr>
            <w:rFonts w:cs="Times New Roman"/>
            <w:noProof/>
            <w:szCs w:val="24"/>
          </w:rPr>
          <w:t>for example see Kimball 1996</w:t>
        </w:r>
      </w:hyperlink>
      <w:r>
        <w:rPr>
          <w:rFonts w:cs="Times New Roman"/>
          <w:noProof/>
          <w:szCs w:val="24"/>
        </w:rPr>
        <w:t xml:space="preserve">; </w:t>
      </w:r>
      <w:hyperlink w:anchor="_ENREF_47" w:tooltip="Kimball, 1993 #63" w:history="1">
        <w:r w:rsidR="00B15FB2">
          <w:rPr>
            <w:rFonts w:cs="Times New Roman"/>
            <w:noProof/>
            <w:szCs w:val="24"/>
          </w:rPr>
          <w:t>Kimball 1993</w:t>
        </w:r>
      </w:hyperlink>
      <w:r>
        <w:rPr>
          <w:rFonts w:cs="Times New Roman"/>
          <w:noProof/>
          <w:szCs w:val="24"/>
        </w:rPr>
        <w:t>)</w:t>
      </w:r>
      <w:r>
        <w:rPr>
          <w:rFonts w:cs="Times New Roman"/>
          <w:szCs w:val="24"/>
        </w:rPr>
        <w:fldChar w:fldCharType="end"/>
      </w:r>
      <w:r>
        <w:rPr>
          <w:rFonts w:cs="Times New Roman"/>
          <w:szCs w:val="24"/>
        </w:rPr>
        <w:t>.</w:t>
      </w:r>
    </w:p>
    <w:p w:rsidR="00525F7F" w:rsidRDefault="00525F7F" w:rsidP="00525F7F">
      <w:pPr>
        <w:spacing w:after="0" w:line="480" w:lineRule="auto"/>
        <w:ind w:firstLine="720"/>
        <w:rPr>
          <w:rFonts w:cs="Times New Roman"/>
          <w:szCs w:val="24"/>
        </w:rPr>
      </w:pPr>
      <w:r>
        <w:rPr>
          <w:rFonts w:cs="Times New Roman"/>
          <w:szCs w:val="24"/>
        </w:rPr>
        <w:t>It is expected that the faunal assemblage will reflect activities being conducted at a base camp as opposed to a special purpose site (discussed in more detail below). This includes a diverse array of taxa and all parts of large mammals represented at the site, as well as many other activities, such as processing for marrow, bone grease and fuel and the production and use of bone tools. Preservation and sampling biases are also addressed as they may inhibit robust interpretations of this faunal assemblage.</w:t>
      </w:r>
    </w:p>
    <w:p w:rsidR="00525F7F" w:rsidRPr="00DA2A1B" w:rsidRDefault="00525F7F" w:rsidP="00525F7F">
      <w:pPr>
        <w:spacing w:after="0" w:line="480" w:lineRule="auto"/>
        <w:rPr>
          <w:rFonts w:cs="Times New Roman"/>
          <w:szCs w:val="24"/>
        </w:rPr>
      </w:pPr>
      <w:r>
        <w:rPr>
          <w:rFonts w:cs="Times New Roman"/>
          <w:szCs w:val="24"/>
        </w:rPr>
        <w:tab/>
        <w:t xml:space="preserve">Chapter 2 of this thesis documents the physiographic and environmental setting of the UCP. Chapter 3 presents the culture history of the Southeastern United States, and the characteristics of these time periods on the UCP. Chapter 4 presents a detailed overview of excavation methods that have been employed at Sachsen Cave Shelter during three field seasons and the results of these excavations. Chapter 5 outlines the methods used in all other aspects of this analysis –faunal recovery and identification, several sediment analyses, and quantification methods used to evaluate the faunal assemblage. Chapter 6 presents the results of the faunal </w:t>
      </w:r>
      <w:r>
        <w:rPr>
          <w:rFonts w:cs="Times New Roman"/>
          <w:szCs w:val="24"/>
        </w:rPr>
        <w:lastRenderedPageBreak/>
        <w:t xml:space="preserve">analysis conducted for remains recovered from Sachsen Cave Shelter, and the results of the sediment analyses. Finally, Chapter 7 presents the conclusions and implications of this research. </w:t>
      </w:r>
    </w:p>
    <w:p w:rsidR="004B70F3" w:rsidRPr="00C123C1" w:rsidRDefault="004B70F3" w:rsidP="007D6E92">
      <w:pPr>
        <w:spacing w:after="0" w:line="480" w:lineRule="auto"/>
        <w:rPr>
          <w:rFonts w:cs="Times New Roman"/>
          <w:szCs w:val="24"/>
        </w:rPr>
      </w:pPr>
    </w:p>
    <w:p w:rsidR="0064653C" w:rsidRPr="00C123C1" w:rsidRDefault="0064653C" w:rsidP="006D677B">
      <w:pPr>
        <w:spacing w:line="480" w:lineRule="auto"/>
        <w:rPr>
          <w:rFonts w:eastAsiaTheme="majorEastAsia" w:cs="Times New Roman"/>
          <w:b/>
          <w:bCs/>
          <w:szCs w:val="24"/>
        </w:rPr>
      </w:pPr>
      <w:r w:rsidRPr="00C123C1">
        <w:rPr>
          <w:rFonts w:cs="Times New Roman"/>
          <w:szCs w:val="24"/>
        </w:rPr>
        <w:br w:type="page"/>
      </w:r>
    </w:p>
    <w:p w:rsidR="0064769E" w:rsidRPr="00C123C1" w:rsidRDefault="0064653C" w:rsidP="00C123C1">
      <w:pPr>
        <w:pStyle w:val="Heading1"/>
        <w:jc w:val="center"/>
      </w:pPr>
      <w:bookmarkStart w:id="8" w:name="_Toc349507275"/>
      <w:r w:rsidRPr="00C123C1">
        <w:lastRenderedPageBreak/>
        <w:t>Chapter 2:</w:t>
      </w:r>
      <w:r w:rsidR="00E16C6D" w:rsidRPr="00C123C1">
        <w:t xml:space="preserve"> </w:t>
      </w:r>
      <w:r w:rsidR="00CC32D4" w:rsidRPr="00C123C1">
        <w:t>Background</w:t>
      </w:r>
      <w:bookmarkEnd w:id="8"/>
    </w:p>
    <w:p w:rsidR="005D1010" w:rsidRPr="00C123C1" w:rsidRDefault="005D1010" w:rsidP="005D1010">
      <w:pPr>
        <w:tabs>
          <w:tab w:val="left" w:pos="1890"/>
        </w:tabs>
        <w:spacing w:line="480" w:lineRule="auto"/>
        <w:rPr>
          <w:rFonts w:cs="Times New Roman"/>
          <w:b/>
          <w:szCs w:val="24"/>
        </w:rPr>
      </w:pPr>
    </w:p>
    <w:p w:rsidR="005D1010" w:rsidRPr="00C123C1" w:rsidRDefault="005D1010" w:rsidP="00C123C1">
      <w:pPr>
        <w:pStyle w:val="Heading2"/>
      </w:pPr>
      <w:bookmarkStart w:id="9" w:name="_Toc349507276"/>
      <w:r w:rsidRPr="00C123C1">
        <w:t>Physiographic Setting</w:t>
      </w:r>
      <w:bookmarkEnd w:id="9"/>
    </w:p>
    <w:p w:rsidR="005D1010" w:rsidRPr="00C123C1" w:rsidRDefault="005D1010" w:rsidP="005D1010">
      <w:pPr>
        <w:tabs>
          <w:tab w:val="left" w:pos="90"/>
          <w:tab w:val="left" w:pos="720"/>
          <w:tab w:val="left" w:pos="1890"/>
        </w:tabs>
        <w:spacing w:line="480" w:lineRule="auto"/>
        <w:rPr>
          <w:rFonts w:cs="Times New Roman"/>
          <w:szCs w:val="24"/>
        </w:rPr>
      </w:pPr>
      <w:r w:rsidRPr="00C123C1">
        <w:rPr>
          <w:rFonts w:cs="Times New Roman"/>
          <w:szCs w:val="24"/>
        </w:rPr>
        <w:tab/>
      </w:r>
      <w:r w:rsidRPr="00C123C1">
        <w:rPr>
          <w:rFonts w:cs="Times New Roman"/>
          <w:szCs w:val="24"/>
        </w:rPr>
        <w:tab/>
        <w:t xml:space="preserve">Sachsen Cave Shelter is located in Fentress County, Tennessee, in what is defined as the Upper Cumberland Plateau </w:t>
      </w:r>
      <w:r w:rsidR="00B33E6D" w:rsidRPr="00C123C1">
        <w:rPr>
          <w:rFonts w:cs="Times New Roman"/>
          <w:szCs w:val="24"/>
        </w:rPr>
        <w:fldChar w:fldCharType="begin"/>
      </w:r>
      <w:r w:rsidR="00642F95"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This small section is part of the larger Cumberland Plateau, which makes up the southwestern portion of the Appalachian Plateau physiographic province </w:t>
      </w:r>
      <w:r w:rsidR="00B33E6D" w:rsidRPr="00C123C1">
        <w:rPr>
          <w:rFonts w:cs="Times New Roman"/>
          <w:szCs w:val="24"/>
        </w:rPr>
        <w:fldChar w:fldCharType="begin"/>
      </w:r>
      <w:r w:rsidR="00642F95" w:rsidRPr="00C123C1">
        <w:rPr>
          <w:rFonts w:cs="Times New Roman"/>
          <w:szCs w:val="24"/>
        </w:rPr>
        <w:instrText xml:space="preserve"> ADDIN EN.CITE &lt;EndNote&gt;&lt;Cite&gt;&lt;Author&gt;Fenneman&lt;/Author&gt;&lt;Year&gt;1938&lt;/Year&gt;&lt;RecNum&gt;66&lt;/RecNum&gt;&lt;Pages&gt;337&lt;/Pages&gt;&lt;DisplayText&gt;(Fenneman 1938:337)&lt;/DisplayText&gt;&lt;record&gt;&lt;rec-number&gt;66&lt;/rec-number&gt;&lt;foreign-keys&gt;&lt;key app="EN" db-id="pvwvsv0fktzv2weszt4xp95xstrzawadapa0"&gt;66&lt;/key&gt;&lt;/foreign-keys&gt;&lt;ref-type name="Book"&gt;6&lt;/ref-type&gt;&lt;contributors&gt;&lt;authors&gt;&lt;author&gt;Nevin M. Fenneman&lt;/author&gt;&lt;/authors&gt;&lt;/contributors&gt;&lt;titles&gt;&lt;title&gt;Physiography of Eastern United States.&lt;/title&gt;&lt;/titles&gt;&lt;keywords&gt;&lt;keyword&gt;physiography&lt;/keyword&gt;&lt;/keywords&gt;&lt;dates&gt;&lt;year&gt;1938&lt;/year&gt;&lt;/dates&gt;&lt;pub-location&gt;New York&lt;/pub-location&gt;&lt;publisher&gt;McGraw-Hill&lt;/publisher&gt;&lt;urls&gt;&lt;/urls&gt;&lt;research-notes&gt;p. 337&amp;#xD;&amp;#xD;Cumberland Plateau - suddivsion of the Appalachain Physiographic Province &amp;#xD;northeast to southwest trending - 300 m above the Ridge and Valley to the east and eastern Highland Rim to the west &lt;/research-notes&gt;&lt;/record&gt;&lt;/Cite&gt;&lt;/EndNote&gt;</w:instrText>
      </w:r>
      <w:r w:rsidR="00B33E6D" w:rsidRPr="00C123C1">
        <w:rPr>
          <w:rFonts w:cs="Times New Roman"/>
          <w:szCs w:val="24"/>
        </w:rPr>
        <w:fldChar w:fldCharType="separate"/>
      </w:r>
      <w:r w:rsidRPr="00C123C1">
        <w:rPr>
          <w:rFonts w:cs="Times New Roman"/>
          <w:noProof/>
          <w:szCs w:val="24"/>
        </w:rPr>
        <w:t>(</w:t>
      </w:r>
      <w:hyperlink w:anchor="_ENREF_27" w:tooltip="Fenneman, 1938 #66" w:history="1">
        <w:r w:rsidR="00B15FB2" w:rsidRPr="00C123C1">
          <w:rPr>
            <w:rFonts w:cs="Times New Roman"/>
            <w:noProof/>
            <w:szCs w:val="24"/>
          </w:rPr>
          <w:t>Fenneman 1938:337</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designation of ‘upper’ Cumberland Plateau is used to define the section of the Cumberland Plateau that is located north of I-40 and South of the Tennessee-Kentucky border </w:t>
      </w:r>
      <w:r w:rsidR="00B33E6D" w:rsidRPr="00C123C1">
        <w:rPr>
          <w:rFonts w:cs="Times New Roman"/>
          <w:szCs w:val="24"/>
        </w:rPr>
        <w:fldChar w:fldCharType="begin"/>
      </w:r>
      <w:r w:rsidR="00642F95" w:rsidRPr="00C123C1">
        <w:rPr>
          <w:rFonts w:cs="Times New Roman"/>
          <w:szCs w:val="24"/>
        </w:rPr>
        <w:instrText xml:space="preserve"> ADDIN EN.CITE &lt;EndNote&gt;&lt;Cite&gt;&lt;Author&gt;Franklin&lt;/Author&gt;&lt;Year&gt;2002&lt;/Year&gt;&lt;RecNum&gt;61&lt;/RecNum&gt;&lt;Pages&gt;7&lt;/Pages&gt;&lt;DisplayText&gt;(Franklin 2002:7)&lt;/DisplayText&gt;&lt;record&gt;&lt;rec-number&gt;61&lt;/rec-number&gt;&lt;foreign-keys&gt;&lt;key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2002:7</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differentiation from the southern plateau, most often only referred as just the ‘plateau,’ is based on physiographic characteristics of the two regions and cultural differences both today and in prehistory. The Cumberland Plateau itself is part of the larger Alleghany Plateau that extends into Pennsylvania (Fenneman 1938). The Cumberland Plateau section is defined as by Fenneman (1938) as the area south of the Kentucky River drainage basin (1938:333). It is bordered to the east by the Ridge and Valley physiographic province and Highland Rim to the west. </w:t>
      </w:r>
    </w:p>
    <w:p w:rsidR="005D1010" w:rsidRPr="00C123C1" w:rsidRDefault="005D1010" w:rsidP="005D1010">
      <w:pPr>
        <w:tabs>
          <w:tab w:val="left" w:pos="720"/>
          <w:tab w:val="left" w:pos="1890"/>
        </w:tabs>
        <w:spacing w:line="480" w:lineRule="auto"/>
        <w:rPr>
          <w:rFonts w:cs="Times New Roman"/>
          <w:szCs w:val="24"/>
        </w:rPr>
      </w:pPr>
      <w:r w:rsidRPr="00C123C1">
        <w:rPr>
          <w:rFonts w:cs="Times New Roman"/>
          <w:szCs w:val="24"/>
        </w:rPr>
        <w:tab/>
        <w:t xml:space="preserve">The Cumberland Plateau is a karstic region with elevations that reach nearly 2,000 feet in some places </w:t>
      </w:r>
      <w:r w:rsidR="00B33E6D" w:rsidRPr="00C123C1">
        <w:rPr>
          <w:rFonts w:cs="Times New Roman"/>
          <w:szCs w:val="24"/>
        </w:rPr>
        <w:fldChar w:fldCharType="begin"/>
      </w:r>
      <w:r w:rsidR="00642F95" w:rsidRPr="00C123C1">
        <w:rPr>
          <w:rFonts w:cs="Times New Roman"/>
          <w:szCs w:val="24"/>
        </w:rPr>
        <w:instrText xml:space="preserve"> ADDIN EN.CITE &lt;EndNote&gt;&lt;Cite&gt;&lt;Author&gt;Campbell&lt;/Author&gt;&lt;Year&gt;1995&lt;/Year&gt;&lt;RecNum&gt;75&lt;/RecNum&gt;&lt;Pages&gt;3&lt;/Pages&gt;&lt;DisplayText&gt;(Campbell and Newton 1995:3)&lt;/DisplayText&gt;&lt;record&gt;&lt;rec-number&gt;75&lt;/rec-number&gt;&lt;foreign-keys&gt;&lt;key app="EN" db-id="pvwvsv0fktzv2weszt4xp95xstrzawadapa0"&gt;75&lt;/key&gt;&lt;/foreign-keys&gt;&lt;ref-type name="Book"&gt;6&lt;/ref-type&gt;&lt;contributors&gt;&lt;authors&gt;&lt;author&gt;Campbell, Jessie F. &lt;/author&gt;&lt;author&gt;Darwin L. Newton &lt;/author&gt;&lt;/authors&gt;&lt;/contributors&gt;&lt;titles&gt;&lt;title&gt;Soil Survey of Fentress and Pickett Counties, Tennessee.&lt;/title&gt;&lt;/titles&gt;&lt;dates&gt;&lt;year&gt;1995&lt;/year&gt;&lt;/dates&gt;&lt;publisher&gt;United States Department of Agriclture, Soil Conservation Service; in cooperation with Tennessee Agricultural Experiment Station &lt;/publisher&gt;&lt;urls&gt;&lt;/urls&gt;&lt;research-notes&gt;2&amp;#xD;&amp;#xD;Physiogaphy-&amp;#xD;&amp;#xD;15% Fentress Co on Highland Rim &amp;#xD;&amp;#xD;3 &amp;#xD;&amp;#xD;Cumberland Plateau-&amp;#xD;2000 feet above sealevel &amp;#xD;highland rim - 1000 feet above sealevel &amp;#xD;underlaind by sandstone and shale - most of the soils from the plateau from these weathered materials &amp;#xD;soils are well drained, pale colored, loamy and low in natural fertility &amp;#xD;&lt;/research-notes&gt;&lt;/record&gt;&lt;/Cite&gt;&lt;/EndNote&gt;</w:instrText>
      </w:r>
      <w:r w:rsidR="00B33E6D" w:rsidRPr="00C123C1">
        <w:rPr>
          <w:rFonts w:cs="Times New Roman"/>
          <w:szCs w:val="24"/>
        </w:rPr>
        <w:fldChar w:fldCharType="separate"/>
      </w:r>
      <w:r w:rsidRPr="00C123C1">
        <w:rPr>
          <w:rFonts w:cs="Times New Roman"/>
          <w:noProof/>
          <w:szCs w:val="24"/>
        </w:rPr>
        <w:t>(</w:t>
      </w:r>
      <w:hyperlink w:anchor="_ENREF_14" w:tooltip="Campbell, 1995 #75" w:history="1">
        <w:r w:rsidR="00B15FB2" w:rsidRPr="00C123C1">
          <w:rPr>
            <w:rFonts w:cs="Times New Roman"/>
            <w:noProof/>
            <w:szCs w:val="24"/>
          </w:rPr>
          <w:t>Campbell and Newton 1995:3</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plateau was formed as part of the initial folding and faulting that produced the Appalachian Mountain Chain. The Appalachian landforms are Paleozoic in age, and have been affected by prolonged erosion and weathering </w:t>
      </w:r>
      <w:r w:rsidR="00B33E6D" w:rsidRPr="00C123C1">
        <w:rPr>
          <w:rFonts w:cs="Times New Roman"/>
          <w:szCs w:val="24"/>
        </w:rPr>
        <w:fldChar w:fldCharType="begin"/>
      </w:r>
      <w:r w:rsidR="00642F95" w:rsidRPr="00C123C1">
        <w:rPr>
          <w:rFonts w:cs="Times New Roman"/>
          <w:szCs w:val="24"/>
        </w:rPr>
        <w:instrText xml:space="preserve"> ADDIN EN.CITE &lt;EndNote&gt;&lt;Cite&gt;&lt;Author&gt;Redington&lt;/Author&gt;&lt;Year&gt;1978&lt;/Year&gt;&lt;RecNum&gt;84&lt;/RecNum&gt;&lt;Pages&gt;13&lt;/Pages&gt;&lt;DisplayText&gt;(Redington 1978:13)&lt;/DisplayText&gt;&lt;record&gt;&lt;rec-number&gt;84&lt;/rec-number&gt;&lt;foreign-keys&gt;&lt;key app="EN" db-id="pvwvsv0fktzv2weszt4xp95xstrzawadapa0"&gt;84&lt;/key&gt;&lt;/foreign-keys&gt;&lt;ref-type name="Book"&gt;6&lt;/ref-type&gt;&lt;contributors&gt;&lt;authors&gt;&lt;author&gt;Robert J. Redington &lt;/author&gt;&lt;/authors&gt;&lt;/contributors&gt;&lt;titles&gt;&lt;title&gt;Survey of the Appalachias.&lt;/title&gt;&lt;/titles&gt;&lt;dates&gt;&lt;year&gt;1978&lt;/year&gt;&lt;/dates&gt;&lt;pub-location&gt;South Egremont, Massachusetts &lt;/pub-location&gt;&lt;publisher&gt;Taconic Publishers&lt;/publisher&gt;&lt;urls&gt;&lt;/urls&gt;&lt;/record&gt;&lt;/Cite&gt;&lt;/EndNote&gt;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72" w:tooltip="Redington, 1978 #84" w:history="1">
        <w:r w:rsidR="00B15FB2" w:rsidRPr="00C123C1">
          <w:rPr>
            <w:rFonts w:cs="Times New Roman"/>
            <w:noProof/>
            <w:szCs w:val="24"/>
          </w:rPr>
          <w:t>Redington 1978:13</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Plateau itself is the result of an upward thrust of the Earth’s crust that resulted in the tabletop formation on the western half of the Plateau </w:t>
      </w:r>
      <w:r w:rsidR="00B33E6D" w:rsidRPr="00C123C1">
        <w:rPr>
          <w:rFonts w:cs="Times New Roman"/>
          <w:szCs w:val="24"/>
        </w:rPr>
        <w:fldChar w:fldCharType="begin"/>
      </w:r>
      <w:r w:rsidR="00642F95" w:rsidRPr="00C123C1">
        <w:rPr>
          <w:rFonts w:cs="Times New Roman"/>
          <w:szCs w:val="24"/>
        </w:rPr>
        <w:instrText xml:space="preserve"> ADDIN EN.CITE &lt;EndNote&gt;&lt;Cite&gt;&lt;Author&gt;Luther&lt;/Author&gt;&lt;Year&gt;1977&lt;/Year&gt;&lt;RecNum&gt;85&lt;/RecNum&gt;&lt;Pages&gt;55&lt;/Pages&gt;&lt;DisplayText&gt;(Luther 1977:55)&lt;/DisplayText&gt;&lt;record&gt;&lt;rec-number&gt;85&lt;/rec-number&gt;&lt;foreign-keys&gt;&lt;key app="EN" db-id="pvwvsv0fktzv2weszt4xp95xstrzawadapa0"&gt;85&lt;/key&gt;&lt;/foreign-keys&gt;&lt;ref-type name="Book"&gt;6&lt;/ref-type&gt;&lt;contributors&gt;&lt;authors&gt;&lt;author&gt;Edward T. Luther &lt;/author&gt;&lt;/authors&gt;&lt;/contributors&gt;&lt;titles&gt;&lt;title&gt;Our Restless Earth: The Geologic Regions of Tennessee.&lt;/title&gt;&lt;/titles&gt;&lt;dates&gt;&lt;year&gt;1977&lt;/year&gt;&lt;/dates&gt;&lt;pub-location&gt;Knoxville &lt;/pub-location&gt;&lt;publisher&gt;The University of Tennessee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56" w:tooltip="Luther, 1977 #85" w:history="1">
        <w:r w:rsidR="00B15FB2" w:rsidRPr="00C123C1">
          <w:rPr>
            <w:rFonts w:cs="Times New Roman"/>
            <w:noProof/>
            <w:szCs w:val="24"/>
          </w:rPr>
          <w:t>Luther 1977:55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eastern half of the plateau was bent, however, during the initial faulting, resulting in the Cumberland Mountains (ibid.). The flat table top of the western portion of the plateau has been deeply incised by </w:t>
      </w:r>
      <w:r w:rsidRPr="00C123C1">
        <w:rPr>
          <w:rFonts w:cs="Times New Roman"/>
          <w:szCs w:val="24"/>
        </w:rPr>
        <w:lastRenderedPageBreak/>
        <w:t xml:space="preserve">tributaries to the Duck, Elk and Cumberland Rivers, creating deep gorges, with steep walls. The overlying capstone of the plateau is a conglomerate of sandstone and shale, under which are hard resistant sandstones that make up the steep walls of the plateau’s gorges </w:t>
      </w:r>
      <w:r w:rsidR="00B33E6D" w:rsidRPr="00C123C1">
        <w:rPr>
          <w:rFonts w:cs="Times New Roman"/>
          <w:szCs w:val="24"/>
        </w:rPr>
        <w:fldChar w:fldCharType="begin"/>
      </w:r>
      <w:r w:rsidR="00642F95" w:rsidRPr="00C123C1">
        <w:rPr>
          <w:rFonts w:cs="Times New Roman"/>
          <w:szCs w:val="24"/>
        </w:rPr>
        <w:instrText xml:space="preserve"> ADDIN EN.CITE &lt;EndNote&gt;&lt;Cite&gt;&lt;Author&gt;Luther&lt;/Author&gt;&lt;Year&gt;1977&lt;/Year&gt;&lt;RecNum&gt;85&lt;/RecNum&gt;&lt;Pages&gt;60&lt;/Pages&gt;&lt;DisplayText&gt;(Luther 1977:60)&lt;/DisplayText&gt;&lt;record&gt;&lt;rec-number&gt;85&lt;/rec-number&gt;&lt;foreign-keys&gt;&lt;key app="EN" db-id="pvwvsv0fktzv2weszt4xp95xstrzawadapa0"&gt;85&lt;/key&gt;&lt;/foreign-keys&gt;&lt;ref-type name="Book"&gt;6&lt;/ref-type&gt;&lt;contributors&gt;&lt;authors&gt;&lt;author&gt;Edward T. Luther &lt;/author&gt;&lt;/authors&gt;&lt;/contributors&gt;&lt;titles&gt;&lt;title&gt;Our Restless Earth: The Geologic Regions of Tennessee.&lt;/title&gt;&lt;/titles&gt;&lt;dates&gt;&lt;year&gt;1977&lt;/year&gt;&lt;/dates&gt;&lt;pub-location&gt;Knoxville &lt;/pub-location&gt;&lt;publisher&gt;The University of Tennessee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56" w:tooltip="Luther, 1977 #85" w:history="1">
        <w:r w:rsidR="00B15FB2" w:rsidRPr="00C123C1">
          <w:rPr>
            <w:rFonts w:cs="Times New Roman"/>
            <w:noProof/>
            <w:szCs w:val="24"/>
          </w:rPr>
          <w:t>Luther 1977:60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Underlying this rim of sandstone are Devonian shale and Mississippian limestone deposits </w:t>
      </w:r>
      <w:r w:rsidR="00B33E6D" w:rsidRPr="00C123C1">
        <w:rPr>
          <w:rFonts w:cs="Times New Roman"/>
          <w:szCs w:val="24"/>
        </w:rPr>
        <w:fldChar w:fldCharType="begin"/>
      </w:r>
      <w:r w:rsidR="00642F95" w:rsidRPr="00C123C1">
        <w:rPr>
          <w:rFonts w:cs="Times New Roman"/>
          <w:szCs w:val="24"/>
        </w:rPr>
        <w:instrText xml:space="preserve"> ADDIN EN.CITE &lt;EndNote&gt;&lt;Cite&gt;&lt;Author&gt;Redington&lt;/Author&gt;&lt;Year&gt;1978&lt;/Year&gt;&lt;RecNum&gt;84&lt;/RecNum&gt;&lt;Pages&gt;73&lt;/Pages&gt;&lt;DisplayText&gt;(Redington 1978:73)&lt;/DisplayText&gt;&lt;record&gt;&lt;rec-number&gt;84&lt;/rec-number&gt;&lt;foreign-keys&gt;&lt;key app="EN" db-id="pvwvsv0fktzv2weszt4xp95xstrzawadapa0"&gt;84&lt;/key&gt;&lt;/foreign-keys&gt;&lt;ref-type name="Book"&gt;6&lt;/ref-type&gt;&lt;contributors&gt;&lt;authors&gt;&lt;author&gt;Robert J. Redington &lt;/author&gt;&lt;/authors&gt;&lt;/contributors&gt;&lt;titles&gt;&lt;title&gt;Survey of the Appalachias.&lt;/title&gt;&lt;/titles&gt;&lt;dates&gt;&lt;year&gt;1978&lt;/year&gt;&lt;/dates&gt;&lt;pub-location&gt;South Egremont, Massachusetts &lt;/pub-location&gt;&lt;publisher&gt;Taconic Publishers&lt;/publisher&gt;&lt;urls&gt;&lt;/urls&gt;&lt;/record&gt;&lt;/Cite&gt;&lt;/EndNote&gt;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72" w:tooltip="Redington, 1978 #84" w:history="1">
        <w:r w:rsidR="00B15FB2" w:rsidRPr="00C123C1">
          <w:rPr>
            <w:rFonts w:cs="Times New Roman"/>
            <w:noProof/>
            <w:szCs w:val="24"/>
          </w:rPr>
          <w:t>Redington 1978:73</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Rock shelters have been carved out of the sandstone rim by erosion and caves in the low in elevation limestone deposits. These features of the landscape were exploited by native peoples throughout prehistory for a variety of purposes </w:t>
      </w:r>
      <w:r w:rsidR="00B33E6D" w:rsidRPr="00C123C1">
        <w:rPr>
          <w:rFonts w:cs="Times New Roman"/>
          <w:szCs w:val="24"/>
        </w:rPr>
        <w:fldChar w:fldCharType="begin"/>
      </w:r>
      <w:r w:rsidR="00642F95"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C123C1">
      <w:pPr>
        <w:pStyle w:val="Heading2"/>
      </w:pPr>
      <w:bookmarkStart w:id="10" w:name="_Toc349507277"/>
      <w:r w:rsidRPr="00C123C1">
        <w:t>Environmental Setting</w:t>
      </w:r>
      <w:bookmarkEnd w:id="10"/>
      <w:r w:rsidRPr="00C123C1">
        <w:t xml:space="preserve"> </w:t>
      </w:r>
    </w:p>
    <w:p w:rsidR="005D1010" w:rsidRPr="00C123C1" w:rsidRDefault="005D1010" w:rsidP="005D1010">
      <w:pPr>
        <w:tabs>
          <w:tab w:val="left" w:pos="720"/>
        </w:tabs>
        <w:spacing w:after="0" w:line="480" w:lineRule="auto"/>
        <w:ind w:firstLine="720"/>
        <w:rPr>
          <w:rFonts w:cs="Times New Roman"/>
          <w:szCs w:val="24"/>
        </w:rPr>
      </w:pPr>
      <w:r w:rsidRPr="00C123C1">
        <w:rPr>
          <w:rFonts w:cs="Times New Roman"/>
          <w:szCs w:val="24"/>
        </w:rPr>
        <w:t>During the last 25,000 years B.P., the biotic communities of the Southeast have experienced major change. During the Late Wisconsin (23,000-16,500 years B.P.), the last glacial maximum, forests of the Southeast were dominated by jack pine (</w:t>
      </w:r>
      <w:r w:rsidRPr="00C123C1">
        <w:rPr>
          <w:rFonts w:cs="Times New Roman"/>
          <w:i/>
          <w:szCs w:val="24"/>
        </w:rPr>
        <w:t>Pinus banksiana</w:t>
      </w:r>
      <w:r w:rsidRPr="00C123C1">
        <w:rPr>
          <w:rFonts w:cs="Times New Roman"/>
          <w:szCs w:val="24"/>
        </w:rPr>
        <w:t>), a boreal species, along with spruce (</w:t>
      </w:r>
      <w:r w:rsidRPr="00C123C1">
        <w:rPr>
          <w:rFonts w:cs="Times New Roman"/>
          <w:i/>
          <w:szCs w:val="24"/>
        </w:rPr>
        <w:t>Picea sp.</w:t>
      </w:r>
      <w:r w:rsidRPr="00C123C1">
        <w:rPr>
          <w:rFonts w:cs="Times New Roman"/>
          <w:szCs w:val="24"/>
        </w:rPr>
        <w:t>), fir (</w:t>
      </w:r>
      <w:r w:rsidRPr="00C123C1">
        <w:rPr>
          <w:rFonts w:cs="Times New Roman"/>
          <w:i/>
          <w:szCs w:val="24"/>
        </w:rPr>
        <w:t>Abies sp.</w:t>
      </w:r>
      <w:r w:rsidRPr="00C123C1">
        <w:rPr>
          <w:rFonts w:cs="Times New Roman"/>
          <w:szCs w:val="24"/>
        </w:rPr>
        <w:t>) and larch (</w:t>
      </w:r>
      <w:r w:rsidRPr="00C123C1">
        <w:rPr>
          <w:rFonts w:cs="Times New Roman"/>
          <w:i/>
          <w:szCs w:val="24"/>
        </w:rPr>
        <w:t>Larix</w:t>
      </w:r>
      <w:r w:rsidRPr="00C123C1">
        <w:rPr>
          <w:rFonts w:cs="Times New Roman"/>
          <w:szCs w:val="24"/>
        </w:rPr>
        <w:t xml:space="preserve"> </w:t>
      </w:r>
      <w:r w:rsidRPr="00C123C1">
        <w:rPr>
          <w:rFonts w:cs="Times New Roman"/>
          <w:i/>
          <w:szCs w:val="24"/>
        </w:rPr>
        <w:t>sp</w:t>
      </w:r>
      <w:r w:rsidRPr="00C123C1">
        <w:rPr>
          <w:rFonts w:cs="Times New Roman"/>
          <w:szCs w:val="24"/>
        </w:rPr>
        <w:t xml:space="preserve">.) </w:t>
      </w:r>
      <w:r w:rsidR="00B33E6D" w:rsidRPr="00C123C1">
        <w:rPr>
          <w:rFonts w:cs="Times New Roman"/>
          <w:szCs w:val="24"/>
        </w:rPr>
        <w:fldChar w:fldCharType="begin">
          <w:fldData xml:space="preserve">PEVuZE5vdGU+PENpdGU+PEF1dGhvcj5EZWxjb3VydDwvQXV0aG9yPjxZZWFyPjE5ODU8L1llYXI+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</w:fldData>
        </w:fldChar>
      </w:r>
      <w:r w:rsidR="00642F95" w:rsidRPr="00C123C1">
        <w:rPr>
          <w:rFonts w:cs="Times New Roman"/>
          <w:szCs w:val="24"/>
        </w:rPr>
        <w:instrText xml:space="preserve"> ADDIN EN.CITE </w:instrText>
      </w:r>
      <w:r w:rsidR="00B33E6D" w:rsidRPr="00C123C1">
        <w:rPr>
          <w:rFonts w:cs="Times New Roman"/>
          <w:szCs w:val="24"/>
        </w:rPr>
        <w:fldChar w:fldCharType="begin">
          <w:fldData xml:space="preserve">PEVuZE5vdGU+PENpdGU+PEF1dGhvcj5EZWxjb3VydDwvQXV0aG9yPjxZZWFyPjE5ODU8L1llYXI+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</w:fldData>
        </w:fldChar>
      </w:r>
      <w:r w:rsidR="00642F95" w:rsidRPr="00C123C1">
        <w:rPr>
          <w:rFonts w:cs="Times New Roman"/>
          <w:szCs w:val="24"/>
        </w:rPr>
        <w:instrText xml:space="preserve"> ADDIN EN.CITE.DATA </w:instrText>
      </w:r>
      <w:r w:rsidR="00B33E6D" w:rsidRPr="00C123C1">
        <w:rPr>
          <w:rFonts w:cs="Times New Roman"/>
          <w:szCs w:val="24"/>
        </w:rPr>
      </w:r>
      <w:r w:rsidR="00B33E6D" w:rsidRPr="00C123C1">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1985:12-17</w:t>
        </w:r>
      </w:hyperlink>
      <w:r w:rsidRPr="00C123C1">
        <w:rPr>
          <w:rFonts w:cs="Times New Roman"/>
          <w:noProof/>
          <w:szCs w:val="24"/>
        </w:rPr>
        <w:t xml:space="preserve">; </w:t>
      </w:r>
      <w:hyperlink w:anchor="_ENREF_23" w:tooltip="Delcourt, 1981 #73" w:history="1">
        <w:r w:rsidR="00B15FB2" w:rsidRPr="00C123C1">
          <w:rPr>
            <w:rFonts w:cs="Times New Roman"/>
            <w:noProof/>
            <w:szCs w:val="24"/>
          </w:rPr>
          <w:t>Delcourt and Delcourt 1981:145</w:t>
        </w:r>
      </w:hyperlink>
      <w:r w:rsidRPr="00C123C1">
        <w:rPr>
          <w:rFonts w:cs="Times New Roman"/>
          <w:noProof/>
          <w:szCs w:val="24"/>
        </w:rPr>
        <w:t xml:space="preserve">; </w:t>
      </w:r>
      <w:hyperlink w:anchor="_ENREF_95" w:tooltip="Williams, 2004 #74" w:history="1">
        <w:r w:rsidR="00B15FB2" w:rsidRPr="00C123C1">
          <w:rPr>
            <w:rFonts w:cs="Times New Roman"/>
            <w:noProof/>
            <w:szCs w:val="24"/>
          </w:rPr>
          <w:t>Williams, et al. 2004:318</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These species are found today at much higher latitudes, in the Boreal forests of Central and Eastern Canada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&lt;EndNote&gt;&lt;Cite&gt;&lt;Author&gt;Delcourt&lt;/Author&gt;&lt;Year&gt;1981&lt;/Year&gt;&lt;RecNum&gt;73&lt;/RecNum&gt;&lt;Pages&gt;126&lt;/Pages&gt;&lt;DisplayText&gt;(Delcourt and Delcourt 1981:126)&lt;/DisplayText&gt;&lt;record&gt;&lt;rec-number&gt;73&lt;/rec-number&gt;&lt;foreign-keys&gt;&lt;key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3" w:tooltip="Delcourt, 1981 #73" w:history="1">
        <w:r w:rsidR="00B15FB2" w:rsidRPr="00C123C1">
          <w:rPr>
            <w:rFonts w:cs="Times New Roman"/>
            <w:noProof/>
            <w:szCs w:val="24"/>
          </w:rPr>
          <w:t>Delcourt and Delcourt 1981:126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5D1010">
      <w:pPr>
        <w:tabs>
          <w:tab w:val="left" w:pos="1890"/>
        </w:tabs>
        <w:spacing w:after="0" w:line="480" w:lineRule="auto"/>
        <w:ind w:firstLine="720"/>
        <w:rPr>
          <w:rFonts w:cs="Times New Roman"/>
          <w:szCs w:val="24"/>
        </w:rPr>
      </w:pPr>
      <w:r w:rsidRPr="00C123C1">
        <w:rPr>
          <w:rFonts w:cs="Times New Roman"/>
          <w:szCs w:val="24"/>
        </w:rPr>
        <w:t xml:space="preserve">From around 16,500-12,500 years B.P., climate became warmer and moister, as the ice sheets began to recede. Jack pine decreased in population size in the Southeast as the species spread northward, and was replaced by an expansion of spruce and fir species </w:t>
      </w:r>
      <w:r w:rsidR="00B33E6D" w:rsidRPr="00C123C1">
        <w:rPr>
          <w:rFonts w:cs="Times New Roman"/>
          <w:szCs w:val="24"/>
        </w:rPr>
        <w:fldChar w:fldCharType="begin">
          <w:fldData xml:space="preserve">PEVuZE5vdGU+PENpdGU+PEF1dGhvcj5EZWxjb3VydDwvQXV0aG9yPjxZZWFyPjE5ODU8L1llYXI+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</w:fldData>
        </w:fldChar>
      </w:r>
      <w:r w:rsidR="00642F95" w:rsidRPr="00C123C1">
        <w:rPr>
          <w:rFonts w:cs="Times New Roman"/>
          <w:szCs w:val="24"/>
        </w:rPr>
        <w:instrText xml:space="preserve"> ADDIN EN.CITE </w:instrText>
      </w:r>
      <w:r w:rsidR="00B33E6D" w:rsidRPr="00C123C1">
        <w:rPr>
          <w:rFonts w:cs="Times New Roman"/>
          <w:szCs w:val="24"/>
        </w:rPr>
        <w:fldChar w:fldCharType="begin">
          <w:fldData xml:space="preserve">PEVuZE5vdGU+PENpdGU+PEF1dGhvcj5EZWxjb3VydDwvQXV0aG9yPjxZZWFyPjE5ODU8L1llYXI+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</w:fldData>
        </w:fldChar>
      </w:r>
      <w:r w:rsidR="00642F95" w:rsidRPr="00C123C1">
        <w:rPr>
          <w:rFonts w:cs="Times New Roman"/>
          <w:szCs w:val="24"/>
        </w:rPr>
        <w:instrText xml:space="preserve"> ADDIN EN.CITE.DATA </w:instrText>
      </w:r>
      <w:r w:rsidR="00B33E6D" w:rsidRPr="00C123C1">
        <w:rPr>
          <w:rFonts w:cs="Times New Roman"/>
          <w:szCs w:val="24"/>
        </w:rPr>
      </w:r>
      <w:r w:rsidR="00B33E6D" w:rsidRPr="00C123C1">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w:t>
        </w:r>
      </w:hyperlink>
      <w:r w:rsidRPr="00C123C1">
        <w:rPr>
          <w:rFonts w:cs="Times New Roman"/>
          <w:noProof/>
          <w:szCs w:val="24"/>
        </w:rPr>
        <w:t xml:space="preserve">; </w:t>
      </w:r>
      <w:hyperlink w:anchor="_ENREF_23" w:tooltip="Delcourt, 1981 #73" w:history="1">
        <w:r w:rsidR="00B15FB2" w:rsidRPr="00C123C1">
          <w:rPr>
            <w:rFonts w:cs="Times New Roman"/>
            <w:noProof/>
            <w:szCs w:val="24"/>
          </w:rPr>
          <w:t>Delcourt and Delcourt 1981:147</w:t>
        </w:r>
      </w:hyperlink>
      <w:r w:rsidRPr="00C123C1">
        <w:rPr>
          <w:rFonts w:cs="Times New Roman"/>
          <w:noProof/>
          <w:szCs w:val="24"/>
        </w:rPr>
        <w:t xml:space="preserve">; </w:t>
      </w:r>
      <w:hyperlink w:anchor="_ENREF_95" w:tooltip="Williams, 2004 #74" w:history="1">
        <w:r w:rsidR="00B15FB2" w:rsidRPr="00C123C1">
          <w:rPr>
            <w:rFonts w:cs="Times New Roman"/>
            <w:noProof/>
            <w:szCs w:val="24"/>
          </w:rPr>
          <w:t>Williams, et al. 2004:318</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Oak (</w:t>
      </w:r>
      <w:r w:rsidRPr="00C123C1">
        <w:rPr>
          <w:rFonts w:cs="Times New Roman"/>
          <w:i/>
          <w:szCs w:val="24"/>
        </w:rPr>
        <w:t>Quercus sp.</w:t>
      </w:r>
      <w:r w:rsidRPr="00C123C1">
        <w:rPr>
          <w:rFonts w:cs="Times New Roman"/>
          <w:szCs w:val="24"/>
        </w:rPr>
        <w:t>) and hickory (</w:t>
      </w:r>
      <w:r w:rsidRPr="00C123C1">
        <w:rPr>
          <w:rFonts w:cs="Times New Roman"/>
          <w:i/>
          <w:szCs w:val="24"/>
        </w:rPr>
        <w:t>Carya sp.</w:t>
      </w:r>
      <w:r w:rsidRPr="00C123C1">
        <w:rPr>
          <w:rFonts w:cs="Times New Roman"/>
          <w:szCs w:val="24"/>
        </w:rPr>
        <w:t xml:space="preserve">) also began to spread northward into the Southeast from southern refuges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&lt;EndNote&gt;&lt;Cite&gt;&lt;Author&gt;Delcourt&lt;/Author&gt;&lt;Year&gt;1985&lt;/Year&gt;&lt;RecNum&gt;72&lt;/RecNum&gt;&lt;Pages&gt;19&lt;/Pages&gt;&lt;DisplayText&gt;(Delcourt and Delcourt 1985:19; Delcourt and Delcourt 1981:145)&lt;/DisplayText&gt;&lt;record&gt;&lt;rec-number&gt;72&lt;/rec-number&gt;&lt;foreign-keys&gt;&lt;key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Cite&gt;&lt;Author&gt;Delcourt&lt;/Author&gt;&lt;Year&gt;1981&lt;/Year&gt;&lt;RecNum&gt;73&lt;/RecNum&gt;&lt;Pages&gt;145&lt;/Pages&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1985:19</w:t>
        </w:r>
      </w:hyperlink>
      <w:r w:rsidRPr="00C123C1">
        <w:rPr>
          <w:rFonts w:cs="Times New Roman"/>
          <w:noProof/>
          <w:szCs w:val="24"/>
        </w:rPr>
        <w:t xml:space="preserve">; </w:t>
      </w:r>
      <w:hyperlink w:anchor="_ENREF_23" w:tooltip="Delcourt, 1981 #73" w:history="1">
        <w:r w:rsidR="00B15FB2" w:rsidRPr="00C123C1">
          <w:rPr>
            <w:rFonts w:cs="Times New Roman"/>
            <w:noProof/>
            <w:szCs w:val="24"/>
          </w:rPr>
          <w:t>Delcourt and Delcourt 1981:145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Around 14,000 years B.P., hemlock (</w:t>
      </w:r>
      <w:r w:rsidRPr="00C123C1">
        <w:rPr>
          <w:rFonts w:cs="Times New Roman"/>
          <w:i/>
          <w:szCs w:val="24"/>
        </w:rPr>
        <w:t>Tsunga sp.</w:t>
      </w:r>
      <w:r w:rsidRPr="00C123C1">
        <w:rPr>
          <w:rFonts w:cs="Times New Roman"/>
          <w:szCs w:val="24"/>
        </w:rPr>
        <w:t>) and chestnut (</w:t>
      </w:r>
      <w:r w:rsidRPr="00C123C1">
        <w:rPr>
          <w:rFonts w:cs="Times New Roman"/>
          <w:i/>
          <w:szCs w:val="24"/>
        </w:rPr>
        <w:t>Castenea sp.</w:t>
      </w:r>
      <w:r w:rsidRPr="00C123C1">
        <w:rPr>
          <w:rFonts w:cs="Times New Roman"/>
          <w:szCs w:val="24"/>
        </w:rPr>
        <w:t xml:space="preserve">) were present in upland regions of the Southeast </w:t>
      </w:r>
      <w:r w:rsidR="00B33E6D" w:rsidRPr="00C123C1">
        <w:rPr>
          <w:rFonts w:cs="Times New Roman"/>
          <w:szCs w:val="24"/>
        </w:rPr>
        <w:fldChar w:fldCharType="begin"/>
      </w:r>
      <w:r w:rsidR="00642F95" w:rsidRPr="00C123C1">
        <w:rPr>
          <w:rFonts w:cs="Times New Roman"/>
          <w:szCs w:val="24"/>
        </w:rPr>
        <w:instrText xml:space="preserve"> ADDIN EN.CITE &lt;EndNote&gt;&lt;Cite&gt;&lt;Author&gt;Williams&lt;/Author&gt;&lt;Year&gt;2004&lt;/Year&gt;&lt;RecNum&gt;74&lt;/RecNum&gt;&lt;Pages&gt;318&lt;/Pages&gt;&lt;DisplayText&gt;(Williams, et al. 2004:318)&lt;/DisplayText&gt;&lt;record&gt;&lt;rec-number&gt;74&lt;/rec-number&gt;&lt;foreign-keys&gt;&lt;key app="EN" db-id="pvwvsv0fktzv2weszt4xp95xstrzawadapa0"&gt;74&lt;/key&gt;&lt;/foreign-keys&gt;&lt;ref-type name="Journal Article"&gt;17&lt;/ref-type&gt;&lt;contributors&gt;&lt;authors&gt;&lt;author&gt;John W. Williams&lt;/author&gt;&lt;author&gt;Bryan N. Shuman &lt;/author&gt;&lt;author&gt;Thompson Webb III&lt;/author&gt;&lt;author&gt;Patrick J. Bartlein &lt;/author&gt;&lt;author&gt;Phillip L. Leduc &lt;/author&gt;&lt;/authors&gt;&lt;/contributors&gt;&lt;titles&gt;&lt;title&gt;Late Quaternary Vegetation Dynamics in North America: Scaling from Taxa to Biomes.&lt;/title&gt;&lt;secondary-title&gt;Ecological Monographs&lt;/secondary-title&gt;&lt;/titles&gt;&lt;periodical&gt;&lt;full-title&gt;Ecological Monographs&lt;/full-title&gt;&lt;/periodical&gt;&lt;pages&gt;309-334&lt;/pages&gt;&lt;volume&gt;7&lt;/volume&gt;&lt;keywords&gt;&lt;keyword&gt;environment&lt;/keyword&gt;&lt;keyword&gt;vegetation&lt;/keyword&gt;&lt;/keywords&gt;&lt;dates&gt;&lt;year&gt;2004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95" w:tooltip="Williams, 2004 #74" w:history="1">
        <w:r w:rsidR="00B15FB2" w:rsidRPr="00C123C1">
          <w:rPr>
            <w:rFonts w:cs="Times New Roman"/>
            <w:noProof/>
            <w:szCs w:val="24"/>
          </w:rPr>
          <w:t>Williams, et al. 2004:318</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5D1010">
      <w:pPr>
        <w:tabs>
          <w:tab w:val="left" w:pos="1890"/>
        </w:tabs>
        <w:spacing w:after="0" w:line="480" w:lineRule="auto"/>
        <w:ind w:firstLine="720"/>
        <w:rPr>
          <w:rFonts w:cs="Times New Roman"/>
          <w:szCs w:val="24"/>
        </w:rPr>
      </w:pPr>
      <w:r w:rsidRPr="00C123C1">
        <w:rPr>
          <w:rFonts w:cs="Times New Roman"/>
          <w:szCs w:val="24"/>
        </w:rPr>
        <w:lastRenderedPageBreak/>
        <w:t xml:space="preserve">The onset of the Holocene around 12,500 years B.P. created a major shift in biotic communities of the Southeast and elsewhere around the world. During the Early Holocene Interval (12,500-8,500 B.P.)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&lt;EndNote&gt;&lt;Cite&gt;&lt;Author&gt;Delcourt&lt;/Author&gt;&lt;Year&gt;1985&lt;/Year&gt;&lt;RecNum&gt;72&lt;/RecNum&gt;&lt;DisplayText&gt;(Delcourt and Delcourt 1985)&lt;/DisplayText&gt;&lt;record&gt;&lt;rec-number&gt;72&lt;/rec-number&gt;&lt;foreign-keys&gt;&lt;key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climate became much warmer and many species of mesic trees moved into the Southeast, all of which are still found in the Southeast, but in different biotic communities:  hornbeam (</w:t>
      </w:r>
      <w:r w:rsidRPr="00C123C1">
        <w:rPr>
          <w:rFonts w:cs="Times New Roman"/>
          <w:i/>
          <w:szCs w:val="24"/>
        </w:rPr>
        <w:t>Ostrya/Carpinus</w:t>
      </w:r>
      <w:r w:rsidRPr="00C123C1">
        <w:rPr>
          <w:rFonts w:cs="Times New Roman"/>
          <w:szCs w:val="24"/>
        </w:rPr>
        <w:t xml:space="preserve"> sp.), beech (</w:t>
      </w:r>
      <w:r w:rsidRPr="00C123C1">
        <w:rPr>
          <w:rFonts w:cs="Times New Roman"/>
          <w:i/>
          <w:szCs w:val="24"/>
        </w:rPr>
        <w:t>Fagus sp.</w:t>
      </w:r>
      <w:r w:rsidRPr="00C123C1">
        <w:rPr>
          <w:rFonts w:cs="Times New Roman"/>
          <w:szCs w:val="24"/>
        </w:rPr>
        <w:t>), elm (</w:t>
      </w:r>
      <w:r w:rsidRPr="00C123C1">
        <w:rPr>
          <w:rFonts w:cs="Times New Roman"/>
          <w:i/>
          <w:szCs w:val="24"/>
        </w:rPr>
        <w:t>Ulmus sp.</w:t>
      </w:r>
      <w:r w:rsidRPr="00C123C1">
        <w:rPr>
          <w:rFonts w:cs="Times New Roman"/>
          <w:szCs w:val="24"/>
        </w:rPr>
        <w:t>), and ash (</w:t>
      </w:r>
      <w:r w:rsidRPr="00C123C1">
        <w:rPr>
          <w:rFonts w:cs="Times New Roman"/>
          <w:i/>
          <w:szCs w:val="24"/>
        </w:rPr>
        <w:t>Fraxinus sp.</w:t>
      </w:r>
      <w:r w:rsidRPr="00C123C1">
        <w:rPr>
          <w:rFonts w:cs="Times New Roman"/>
          <w:szCs w:val="24"/>
        </w:rPr>
        <w:t xml:space="preserve">)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&lt;EndNote&gt;&lt;Cite&gt;&lt;Author&gt;Delcourt&lt;/Author&gt;&lt;Year&gt;1985&lt;/Year&gt;&lt;RecNum&gt;72&lt;/RecNum&gt;&lt;Pages&gt;19&lt;/Pages&gt;&lt;DisplayText&gt;(Delcourt and Delcourt 1985:19)&lt;/DisplayText&gt;&lt;record&gt;&lt;rec-number&gt;72&lt;/rec-number&gt;&lt;foreign-keys&gt;&lt;key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1985:19</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Jack Pine moved northward during this time, leaving niches in the Southeast for the aforementioned trees to fill </w:t>
      </w:r>
      <w:r w:rsidR="00B33E6D" w:rsidRPr="00C123C1">
        <w:rPr>
          <w:rFonts w:cs="Times New Roman"/>
          <w:szCs w:val="24"/>
        </w:rPr>
        <w:fldChar w:fldCharType="begin"/>
      </w:r>
      <w:r w:rsidR="00642F95" w:rsidRPr="00C123C1">
        <w:rPr>
          <w:rFonts w:cs="Times New Roman"/>
          <w:szCs w:val="24"/>
        </w:rPr>
        <w:instrText xml:space="preserve"> ADDIN EN.CITE &lt;EndNote&gt;&lt;Cite&gt;&lt;Author&gt;Williams&lt;/Author&gt;&lt;Year&gt;2004&lt;/Year&gt;&lt;RecNum&gt;74&lt;/RecNum&gt;&lt;Pages&gt;318&lt;/Pages&gt;&lt;DisplayText&gt;(Williams, et al. 2004:318)&lt;/DisplayText&gt;&lt;record&gt;&lt;rec-number&gt;74&lt;/rec-number&gt;&lt;foreign-keys&gt;&lt;key app="EN" db-id="pvwvsv0fktzv2weszt4xp95xstrzawadapa0"&gt;74&lt;/key&gt;&lt;/foreign-keys&gt;&lt;ref-type name="Journal Article"&gt;17&lt;/ref-type&gt;&lt;contributors&gt;&lt;authors&gt;&lt;author&gt;John W. Williams&lt;/author&gt;&lt;author&gt;Bryan N. Shuman &lt;/author&gt;&lt;author&gt;Thompson Webb III&lt;/author&gt;&lt;author&gt;Patrick J. Bartlein &lt;/author&gt;&lt;author&gt;Phillip L. Leduc &lt;/author&gt;&lt;/authors&gt;&lt;/contributors&gt;&lt;titles&gt;&lt;title&gt;Late Quaternary Vegetation Dynamics in North America: Scaling from Taxa to Biomes.&lt;/title&gt;&lt;secondary-title&gt;Ecological Monographs&lt;/secondary-title&gt;&lt;/titles&gt;&lt;periodical&gt;&lt;full-title&gt;Ecological Monographs&lt;/full-title&gt;&lt;/periodical&gt;&lt;pages&gt;309-334&lt;/pages&gt;&lt;volume&gt;7&lt;/volume&gt;&lt;keywords&gt;&lt;keyword&gt;environment&lt;/keyword&gt;&lt;keyword&gt;vegetation&lt;/keyword&gt;&lt;/keywords&gt;&lt;dates&gt;&lt;year&gt;2004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95" w:tooltip="Williams, 2004 #74" w:history="1">
        <w:r w:rsidR="00B15FB2" w:rsidRPr="00C123C1">
          <w:rPr>
            <w:rFonts w:cs="Times New Roman"/>
            <w:noProof/>
            <w:szCs w:val="24"/>
          </w:rPr>
          <w:t>Williams, et al. 2004:318</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5D1010">
      <w:pPr>
        <w:tabs>
          <w:tab w:val="left" w:pos="1890"/>
        </w:tabs>
        <w:spacing w:after="0" w:line="480" w:lineRule="auto"/>
        <w:ind w:firstLine="720"/>
        <w:rPr>
          <w:rFonts w:cs="Times New Roman"/>
          <w:szCs w:val="24"/>
        </w:rPr>
      </w:pPr>
      <w:r w:rsidRPr="00C123C1">
        <w:rPr>
          <w:rFonts w:cs="Times New Roman"/>
          <w:szCs w:val="24"/>
        </w:rPr>
        <w:t xml:space="preserve">The Mid-Holocene Interval, or the Hypsithermal (8,500-4,000 B.P.), was a warm and dry period that is characterized by a major change in vegetation in the Southeast. During this time there was an expansion of prairie habitat eastward and coastal plains inward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&lt;EndNote&gt;&lt;Cite&gt;&lt;Author&gt;Delcourt&lt;/Author&gt;&lt;Year&gt;1985&lt;/Year&gt;&lt;RecNum&gt;72&lt;/RecNum&gt;&lt;Pages&gt;20&lt;/Pages&gt;&lt;DisplayText&gt;(Delcourt and Delcourt 1985:20)&lt;/DisplayText&gt;&lt;record&gt;&lt;rec-number&gt;72&lt;/rec-number&gt;&lt;foreign-keys&gt;&lt;key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1985:20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and mixed hardwood forest decreased in size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&lt;EndNote&gt;&lt;Cite&gt;&lt;Author&gt;Delcourt&lt;/Author&gt;&lt;Year&gt;1981&lt;/Year&gt;&lt;RecNum&gt;73&lt;/RecNum&gt;&lt;Pages&gt;150&lt;/Pages&gt;&lt;DisplayText&gt;(Delcourt and Delcourt 1981:150)&lt;/DisplayText&gt;&lt;record&gt;&lt;rec-number&gt;73&lt;/rec-number&gt;&lt;foreign-keys&gt;&lt;key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3" w:tooltip="Delcourt, 1981 #73" w:history="1">
        <w:r w:rsidR="00B15FB2" w:rsidRPr="00C123C1">
          <w:rPr>
            <w:rFonts w:cs="Times New Roman"/>
            <w:noProof/>
            <w:szCs w:val="24"/>
          </w:rPr>
          <w:t>Delcourt and Delcourt 1981:150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Great Smokey Mountains remained a refuge habitat for boreal species that were eradicated from lowland areas during the Pleistocene/Holocene transition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&lt;EndNote&gt;&lt;Cite&gt;&lt;Author&gt;Delcourt&lt;/Author&gt;&lt;Year&gt;1981&lt;/Year&gt;&lt;RecNum&gt;73&lt;/RecNum&gt;&lt;Pages&gt;147&lt;/Pages&gt;&lt;DisplayText&gt;(Delcourt and Delcourt 1981:147)&lt;/DisplayText&gt;&lt;record&gt;&lt;rec-number&gt;73&lt;/rec-number&gt;&lt;foreign-keys&gt;&lt;key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3" w:tooltip="Delcourt, 1981 #73" w:history="1">
        <w:r w:rsidR="00B15FB2" w:rsidRPr="00C123C1">
          <w:rPr>
            <w:rFonts w:cs="Times New Roman"/>
            <w:noProof/>
            <w:szCs w:val="24"/>
          </w:rPr>
          <w:t>Delcourt and Delcourt 1981:147</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With the influence of Coastal Plains species, biotic communities of upland regions was quite diverse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&lt;EndNote&gt;&lt;Cite&gt;&lt;Author&gt;Delcourt&lt;/Author&gt;&lt;Year&gt;1985&lt;/Year&gt;&lt;RecNum&gt;72&lt;/RecNum&gt;&lt;DisplayText&gt;(Delcourt and Delcourt 1985)&lt;/DisplayText&gt;&lt;record&gt;&lt;rec-number&gt;72&lt;/rec-number&gt;&lt;foreign-keys&gt;&lt;key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Southern Pine moved into the interior portions of the Southeast during this time with the expanding coastal plains. The Cumberland Plateau was a favorable environment for mixed hardwood forests during this climatic event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&lt;EndNote&gt;&lt;Cite&gt;&lt;Author&gt;Delcourt&lt;/Author&gt;&lt;Year&gt;1981&lt;/Year&gt;&lt;RecNum&gt;73&lt;/RecNum&gt;&lt;Pages&gt;150&lt;/Pages&gt;&lt;DisplayText&gt;(Delcourt and Delcourt 1981:150)&lt;/DisplayText&gt;&lt;record&gt;&lt;rec-number&gt;73&lt;/rec-number&gt;&lt;foreign-keys&gt;&lt;key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3" w:tooltip="Delcourt, 1981 #73" w:history="1">
        <w:r w:rsidR="00B15FB2" w:rsidRPr="00C123C1">
          <w:rPr>
            <w:rFonts w:cs="Times New Roman"/>
            <w:noProof/>
            <w:szCs w:val="24"/>
          </w:rPr>
          <w:t>Delcourt and Delcourt 1981:150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5D1010">
      <w:pPr>
        <w:tabs>
          <w:tab w:val="left" w:pos="1890"/>
        </w:tabs>
        <w:spacing w:after="0" w:line="480" w:lineRule="auto"/>
        <w:ind w:firstLine="720"/>
        <w:rPr>
          <w:rFonts w:cs="Times New Roman"/>
          <w:szCs w:val="24"/>
        </w:rPr>
      </w:pPr>
      <w:r w:rsidRPr="00C123C1">
        <w:rPr>
          <w:rFonts w:cs="Times New Roman"/>
          <w:szCs w:val="24"/>
        </w:rPr>
        <w:t xml:space="preserve">The Late-Holocene Interval (4,000 B.P. – present) is characterized by biotic communities that are very similar to the present distributions </w:t>
      </w:r>
      <w:r w:rsidR="00B33E6D" w:rsidRPr="00C123C1">
        <w:rPr>
          <w:rFonts w:cs="Times New Roman"/>
          <w:szCs w:val="24"/>
        </w:rPr>
        <w:fldChar w:fldCharType="begin"/>
      </w:r>
      <w:r w:rsidR="00642F95" w:rsidRPr="00C123C1">
        <w:rPr>
          <w:rFonts w:cs="Times New Roman"/>
          <w:szCs w:val="24"/>
        </w:rPr>
        <w:instrText xml:space="preserve"> ADDIN EN.CITE &lt;EndNote&gt;&lt;Cite&gt;&lt;Author&gt;Williams&lt;/Author&gt;&lt;Year&gt;2004&lt;/Year&gt;&lt;RecNum&gt;74&lt;/RecNum&gt;&lt;DisplayText&gt;(Delcourt and Delcourt 1985; Williams, et al. 2004)&lt;/DisplayText&gt;&lt;record&gt;&lt;rec-number&gt;74&lt;/rec-number&gt;&lt;foreign-keys&gt;&lt;key app="EN" db-id="pvwvsv0fktzv2weszt4xp95xstrzawadapa0"&gt;74&lt;/key&gt;&lt;/foreign-keys&gt;&lt;ref-type name="Journal Article"&gt;17&lt;/ref-type&gt;&lt;contributors&gt;&lt;authors&gt;&lt;author&gt;John W. Williams&lt;/author&gt;&lt;author&gt;Bryan N. Shuman &lt;/author&gt;&lt;author&gt;Thompson Webb III&lt;/author&gt;&lt;author&gt;Patrick J. Bartlein &lt;/author&gt;&lt;author&gt;Phillip L. Leduc &lt;/author&gt;&lt;/authors&gt;&lt;/contributors&gt;&lt;titles&gt;&lt;title&gt;Late Quaternary Vegetation Dynamics in North America: Scaling from Taxa to Biomes.&lt;/title&gt;&lt;secondary-title&gt;Ecological Monographs&lt;/secondary-title&gt;&lt;/titles&gt;&lt;periodical&gt;&lt;full-title&gt;Ecological Monographs&lt;/full-title&gt;&lt;/periodical&gt;&lt;pages&gt;309-334&lt;/pages&gt;&lt;volume&gt;7&lt;/volume&gt;&lt;keywords&gt;&lt;keyword&gt;environment&lt;/keyword&gt;&lt;keyword&gt;vegetation&lt;/keyword&gt;&lt;/keywords&gt;&lt;dates&gt;&lt;year&gt;2004&lt;/year&gt;&lt;/dates&gt;&lt;urls&gt;&lt;/urls&gt;&lt;/record&gt;&lt;/Cite&gt;&lt;Cite&gt;&lt;Author&gt;Delcourt&lt;/Author&gt;&lt;Year&gt;1985&lt;/Year&gt;&lt;RecNum&gt;72&lt;/RecNum&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w:t>
        </w:r>
      </w:hyperlink>
      <w:r w:rsidRPr="00C123C1">
        <w:rPr>
          <w:rFonts w:cs="Times New Roman"/>
          <w:noProof/>
          <w:szCs w:val="24"/>
        </w:rPr>
        <w:t xml:space="preserve">; </w:t>
      </w:r>
      <w:hyperlink w:anchor="_ENREF_95" w:tooltip="Williams, 2004 #74" w:history="1">
        <w:r w:rsidR="00B15FB2" w:rsidRPr="00C123C1">
          <w:rPr>
            <w:rFonts w:cs="Times New Roman"/>
            <w:noProof/>
            <w:szCs w:val="24"/>
          </w:rPr>
          <w:t>Williams, et al. 2004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Today the plant vegetation of the Southeast is quite diverse in plant species and communities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&lt;EndNote&gt;&lt;Cite&gt;&lt;Author&gt;Delcourt&lt;/Author&gt;&lt;Year&gt;1985&lt;/Year&gt;&lt;RecNum&gt;72&lt;/RecNum&gt;&lt;DisplayText&gt;(Delcourt and Delcourt 1985; Williams, et al. 2004)&lt;/DisplayText&gt;&lt;record&gt;&lt;rec-number&gt;72&lt;/rec-number&gt;&lt;foreign-keys&gt;&lt;key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Foundation&lt;/publisher&gt;&lt;urls&gt;&lt;/urls&gt;&lt;/record&gt;&lt;/Cite&gt;&lt;Cite&gt;&lt;Author&gt;Williams&lt;/Author&gt;&lt;Year&gt;2004&lt;/Year&gt;&lt;RecNum&gt;74&lt;/RecNum&gt;&lt;record&gt;&lt;rec-number&gt;74&lt;/rec-number&gt;&lt;foreign-keys&gt;&lt;key app="EN" db-id="pvwvsv0fktzv2weszt4xp95xstrzawadapa0"&gt;74&lt;/key&gt;&lt;/foreign-keys&gt;&lt;ref-type name="Journal Article"&gt;17&lt;/ref-type&gt;&lt;contributors&gt;&lt;authors&gt;&lt;author&gt;John W. Williams&lt;/author&gt;&lt;author&gt;Bryan N. Shuman &lt;/author&gt;&lt;author&gt;Thompson Webb III&lt;/author&gt;&lt;author&gt;Patrick J. Bartlein &lt;/author&gt;&lt;author&gt;Phillip L. Leduc &lt;/author&gt;&lt;/authors&gt;&lt;/contributors&gt;&lt;titles&gt;&lt;title&gt;Late Quaternary Vegetation Dynamics in North America: Scaling from Taxa to Biomes.&lt;/title&gt;&lt;secondary-title&gt;Ecological Monographs&lt;/secondary-title&gt;&lt;/titles&gt;&lt;periodical&gt;&lt;full-title&gt;Ecological Monographs&lt;/full-title&gt;&lt;/periodical&gt;&lt;pages&gt;309-334&lt;/pages&gt;&lt;volume&gt;7&lt;/volume&gt;&lt;keywords&gt;&lt;keyword&gt;environment&lt;/keyword&gt;&lt;keyword&gt;vegetation&lt;/keyword&gt;&lt;/keywords&gt;&lt;dates&gt;&lt;year&gt;2004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w:t>
        </w:r>
      </w:hyperlink>
      <w:r w:rsidRPr="00C123C1">
        <w:rPr>
          <w:rFonts w:cs="Times New Roman"/>
          <w:noProof/>
          <w:szCs w:val="24"/>
        </w:rPr>
        <w:t xml:space="preserve">; </w:t>
      </w:r>
      <w:hyperlink w:anchor="_ENREF_95" w:tooltip="Williams, 2004 #74" w:history="1">
        <w:r w:rsidR="00B15FB2" w:rsidRPr="00C123C1">
          <w:rPr>
            <w:rFonts w:cs="Times New Roman"/>
            <w:noProof/>
            <w:szCs w:val="24"/>
          </w:rPr>
          <w:t>Williams, et al. 2004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however, oak is one of the </w:t>
      </w:r>
      <w:r w:rsidRPr="00C123C1">
        <w:rPr>
          <w:rFonts w:cs="Times New Roman"/>
          <w:szCs w:val="24"/>
        </w:rPr>
        <w:lastRenderedPageBreak/>
        <w:t xml:space="preserve">most dominant species throughout the Southeast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&lt;EndNote&gt;&lt;Cite&gt;&lt;Author&gt;Delcourt&lt;/Author&gt;&lt;Year&gt;1981&lt;/Year&gt;&lt;RecNum&gt;73&lt;/RecNum&gt;&lt;Pages&gt;126&lt;/Pages&gt;&lt;DisplayText&gt;(Delcourt and Delcourt 1981:126)&lt;/DisplayText&gt;&lt;record&gt;&lt;rec-number&gt;73&lt;/rec-number&gt;&lt;foreign-keys&gt;&lt;key app="EN" db-id="pvwvsv0fktzv2weszt4xp95xstrzawadapa0"&gt;73&lt;/key&gt;&lt;/foreign-keys&gt;&lt;ref-type name="Book Section"&gt;5&lt;/ref-type&gt;&lt;contributors&gt;&lt;authors&gt;&lt;author&gt;Paul A. Delcourt&lt;/author&gt;&lt;author&gt;Hazel R. Delcourt &lt;/author&gt;&lt;/authors&gt;&lt;secondary-authors&gt;&lt;author&gt;Robert C. Romans&lt;/author&gt;&lt;/secondary-authors&gt;&lt;/contributors&gt;&lt;titles&gt;&lt;title&gt;Vegetation Maps for Eastern North America.&lt;/title&gt;&lt;secondary-title&gt;Geobotany II&lt;/secondary-title&gt;&lt;/titles&gt;&lt;pages&gt;123-165&lt;/pages&gt;&lt;keywords&gt;&lt;keyword&gt;environment&lt;/keyword&gt;&lt;keyword&gt;vegetation&lt;/keyword&gt;&lt;/keywords&gt;&lt;dates&gt;&lt;year&gt;1981&lt;/year&gt;&lt;/dates&gt;&lt;publisher&gt;Plenum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3" w:tooltip="Delcourt, 1981 #73" w:history="1">
        <w:r w:rsidR="00B15FB2" w:rsidRPr="00C123C1">
          <w:rPr>
            <w:rFonts w:cs="Times New Roman"/>
            <w:noProof/>
            <w:szCs w:val="24"/>
          </w:rPr>
          <w:t>Delcourt and Delcourt 1981:126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Spruce and fir can be found at high elevations, but most forests in the central and southern Appalachians are dominated by oak and chestnut species </w:t>
      </w:r>
      <w:r w:rsidR="00B33E6D" w:rsidRPr="00C123C1">
        <w:rPr>
          <w:rFonts w:cs="Times New Roman"/>
          <w:szCs w:val="24"/>
        </w:rPr>
        <w:fldChar w:fldCharType="begin"/>
      </w:r>
      <w:r w:rsidR="00642F95" w:rsidRPr="00C123C1">
        <w:rPr>
          <w:rFonts w:cs="Times New Roman"/>
          <w:szCs w:val="24"/>
        </w:rPr>
        <w:instrText xml:space="preserve"> ADDIN EN.CITE &lt;EndNote&gt;&lt;Cite&gt;&lt;Author&gt;Delcourt&lt;/Author&gt;&lt;Year&gt;1985&lt;/Year&gt;&lt;RecNum&gt;72&lt;/RecNum&gt;&lt;Pages&gt;21&lt;/Pages&gt;&lt;DisplayText&gt;(Delcourt and Delcourt 1985:21)&lt;/DisplayText&gt;&lt;record&gt;&lt;rec-number&gt;72&lt;/rec-number&gt;&lt;foreign-keys&gt;&lt;key app="EN" db-id="pvwvsv0fktzv2weszt4xp95xstrzawadapa0"&gt;72&lt;/key&gt;&lt;/foreign-keys&gt;&lt;ref-type name="Book Section"&gt;5&lt;/ref-type&gt;&lt;contributors&gt;&lt;authors&gt;&lt;author&gt;Hazel R. Delcourt&lt;/author&gt;&lt;author&gt;Paul A. Delcourt &lt;/author&gt;&lt;/authors&gt;&lt;secondary-authors&gt;&lt;author&gt;Bryant, Jr., V.M. &lt;/author&gt;&lt;author&gt;R.G. Holloway&lt;/author&gt;&lt;/secondary-authors&gt;&lt;/contributors&gt;&lt;titles&gt;&lt;title&gt;Quaternary Palynology and Vegetational History of the Southeastern United States.&lt;/title&gt;&lt;secondary-title&gt;Pollen Records of Late-Quaternary North American Sediments&lt;/secondary-title&gt;&lt;/titles&gt;&lt;pages&gt;1-37&lt;/pages&gt;&lt;keywords&gt;&lt;keyword&gt;environment&lt;/keyword&gt;&lt;keyword&gt;vegetation&lt;/keyword&gt;&lt;/keywords&gt;&lt;dates&gt;&lt;year&gt;1985&lt;/year&gt;&lt;/dates&gt;&lt;publisher&gt;merican Association of Stratigraphic Palynologists Foundation&lt;/publisher&gt;&lt;urls&gt;&lt;/urls&gt;&lt;/record&gt;&lt;/Cite&gt;&lt;/EndNote&gt;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2" w:tooltip="Delcourt, 1985 #72" w:history="1">
        <w:r w:rsidR="00B15FB2" w:rsidRPr="00C123C1">
          <w:rPr>
            <w:rFonts w:cs="Times New Roman"/>
            <w:noProof/>
            <w:szCs w:val="24"/>
          </w:rPr>
          <w:t>Delcourt and Delcourt 1985:21</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5D1010" w:rsidRPr="00C123C1" w:rsidRDefault="005D1010" w:rsidP="005D1010">
      <w:pPr>
        <w:tabs>
          <w:tab w:val="left" w:pos="1890"/>
        </w:tabs>
        <w:spacing w:after="0" w:line="480" w:lineRule="auto"/>
        <w:ind w:firstLine="720"/>
        <w:rPr>
          <w:rFonts w:cs="Times New Roman"/>
          <w:szCs w:val="24"/>
        </w:rPr>
      </w:pPr>
      <w:r w:rsidRPr="00C123C1">
        <w:rPr>
          <w:rFonts w:cs="Times New Roman"/>
          <w:szCs w:val="24"/>
        </w:rPr>
        <w:t xml:space="preserve">The Cumberland Plateau is characterized by mixed mesophytic forests, wet forests with several dominant species (Braun 1950:39). Common tree species on the Cumberland Plateau include beech, tulip poplar, basswood, sugar maple, chestnut, sweet buckeye, red oak, white oak and hemlock (Braun 1950:40). Other species that can be found on the Cumberland Plateau, but are as prevalent include birch, black cherry, cucumber tree, white ash, red maple, sour gum, black walnut and various hickory </w:t>
      </w:r>
      <w:r w:rsidR="00CF2DBC" w:rsidRPr="00C123C1">
        <w:rPr>
          <w:rFonts w:cs="Times New Roman"/>
          <w:szCs w:val="24"/>
        </w:rPr>
        <w:t>species</w:t>
      </w:r>
      <w:r w:rsidRPr="00C123C1">
        <w:rPr>
          <w:rFonts w:cs="Times New Roman"/>
          <w:szCs w:val="24"/>
        </w:rPr>
        <w:t xml:space="preserve"> (ibid.). Sachsen Cave is located in what Braun terms the “Cliff Section” of the Cumberland Plateau (1950). This part of the plateau she characterizes as a hemlock-mixed community (Braun 1950:104). Hinkle (1989) suggests that the Plateau in Tennessee should be characterized as predominately mixed-oak forest. Regardless of either designation, the tree species remain the same with dominate tree species being oak, tulip poplar and hemlock. </w:t>
      </w:r>
    </w:p>
    <w:p w:rsidR="005D1010" w:rsidRPr="00C123C1" w:rsidRDefault="005D1010" w:rsidP="005D1010">
      <w:pPr>
        <w:tabs>
          <w:tab w:val="left" w:pos="720"/>
        </w:tabs>
        <w:spacing w:after="0" w:line="480" w:lineRule="auto"/>
        <w:rPr>
          <w:rFonts w:cs="Times New Roman"/>
          <w:szCs w:val="24"/>
        </w:rPr>
      </w:pPr>
      <w:r w:rsidRPr="00C123C1">
        <w:rPr>
          <w:rFonts w:cs="Times New Roman"/>
          <w:szCs w:val="24"/>
        </w:rPr>
        <w:tab/>
        <w:t xml:space="preserve">The type of forested environment is dependent on the types of soils that are present – the texture, moisture, composition, etc. (Braun 1950). The soils on the Upper Cumberland Plateau are most derived from weathered sandstone and shale capstone </w:t>
      </w:r>
      <w:r w:rsidR="00B33E6D" w:rsidRPr="00C123C1">
        <w:rPr>
          <w:rFonts w:cs="Times New Roman"/>
          <w:szCs w:val="24"/>
        </w:rPr>
        <w:fldChar w:fldCharType="begin"/>
      </w:r>
      <w:r w:rsidR="00642F95" w:rsidRPr="00C123C1">
        <w:rPr>
          <w:rFonts w:cs="Times New Roman"/>
          <w:szCs w:val="24"/>
        </w:rPr>
        <w:instrText xml:space="preserve"> ADDIN EN.CITE &lt;EndNote&gt;&lt;Cite&gt;&lt;Author&gt;Campbell&lt;/Author&gt;&lt;Year&gt;1995&lt;/Year&gt;&lt;RecNum&gt;75&lt;/RecNum&gt;&lt;Pages&gt;3&lt;/Pages&gt;&lt;DisplayText&gt;(Campbell and Newton 1995:3)&lt;/DisplayText&gt;&lt;record&gt;&lt;rec-number&gt;75&lt;/rec-number&gt;&lt;foreign-keys&gt;&lt;key app="EN" db-id="pvwvsv0fktzv2weszt4xp95xstrzawadapa0"&gt;75&lt;/key&gt;&lt;/foreign-keys&gt;&lt;ref-type name="Book"&gt;6&lt;/ref-type&gt;&lt;contributors&gt;&lt;authors&gt;&lt;author&gt;Campbell, Jessie F. &lt;/author&gt;&lt;author&gt;Darwin L. Newton &lt;/author&gt;&lt;/authors&gt;&lt;/contributors&gt;&lt;titles&gt;&lt;title&gt;Soil Survey of Fentress and Pickett Counties, Tennessee.&lt;/title&gt;&lt;/titles&gt;&lt;dates&gt;&lt;year&gt;1995&lt;/year&gt;&lt;/dates&gt;&lt;publisher&gt;United States Department of Agriclture, Soil Conservation Service; in cooperation with Tennessee Agricultural Experiment Station &lt;/publisher&gt;&lt;urls&gt;&lt;/urls&gt;&lt;research-notes&gt;2&amp;#xD;&amp;#xD;Physiogaphy-&amp;#xD;&amp;#xD;15% Fentress Co on Highland Rim &amp;#xD;&amp;#xD;3 &amp;#xD;&amp;#xD;Cumberland Plateau-&amp;#xD;2000 feet above sealevel &amp;#xD;highland rim - 1000 feet above sealevel &amp;#xD;underlaind by sandstone and shale - most of the soils from the plateau from these weathered materials &amp;#xD;soils are well drained, pale colored, loamy and low in natural fertility &amp;#xD;&lt;/research-notes&gt;&lt;/record&gt;&lt;/Cite&gt;&lt;/EndNote&gt;</w:instrText>
      </w:r>
      <w:r w:rsidR="00B33E6D" w:rsidRPr="00C123C1">
        <w:rPr>
          <w:rFonts w:cs="Times New Roman"/>
          <w:szCs w:val="24"/>
        </w:rPr>
        <w:fldChar w:fldCharType="separate"/>
      </w:r>
      <w:r w:rsidRPr="00C123C1">
        <w:rPr>
          <w:rFonts w:cs="Times New Roman"/>
          <w:noProof/>
          <w:szCs w:val="24"/>
        </w:rPr>
        <w:t>(</w:t>
      </w:r>
      <w:hyperlink w:anchor="_ENREF_14" w:tooltip="Campbell, 1995 #75" w:history="1">
        <w:r w:rsidR="00B15FB2" w:rsidRPr="00C123C1">
          <w:rPr>
            <w:rFonts w:cs="Times New Roman"/>
            <w:noProof/>
            <w:szCs w:val="24"/>
          </w:rPr>
          <w:t>Campbell and Newton 1995:3</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Sachsen Cave Shelter is located in what is defined as the Ramsey-Altricrest-Lily soil formation. These soils overlie the sandstone bedrock by about 40inches in some place</w:t>
      </w:r>
      <w:r w:rsidR="00CF2DBC">
        <w:rPr>
          <w:rFonts w:cs="Times New Roman"/>
          <w:szCs w:val="24"/>
        </w:rPr>
        <w:t>s</w:t>
      </w:r>
      <w:r w:rsidRPr="00C123C1">
        <w:rPr>
          <w:rFonts w:cs="Times New Roman"/>
          <w:szCs w:val="24"/>
        </w:rPr>
        <w:t xml:space="preserve"> </w:t>
      </w:r>
      <w:r w:rsidR="00B33E6D" w:rsidRPr="00C123C1">
        <w:rPr>
          <w:rFonts w:cs="Times New Roman"/>
          <w:szCs w:val="24"/>
        </w:rPr>
        <w:fldChar w:fldCharType="begin"/>
      </w:r>
      <w:r w:rsidR="00642F95" w:rsidRPr="00C123C1">
        <w:rPr>
          <w:rFonts w:cs="Times New Roman"/>
          <w:szCs w:val="24"/>
        </w:rPr>
        <w:instrText xml:space="preserve"> ADDIN EN.CITE &lt;EndNote&gt;&lt;Cite&gt;&lt;Author&gt;Campbell&lt;/Author&gt;&lt;Year&gt;1995&lt;/Year&gt;&lt;RecNum&gt;75&lt;/RecNum&gt;&lt;Pages&gt;7&lt;/Pages&gt;&lt;DisplayText&gt;(Campbell and Newton 1995:7)&lt;/DisplayText&gt;&lt;record&gt;&lt;rec-number&gt;75&lt;/rec-number&gt;&lt;foreign-keys&gt;&lt;key app="EN" db-id="pvwvsv0fktzv2weszt4xp95xstrzawadapa0"&gt;75&lt;/key&gt;&lt;/foreign-keys&gt;&lt;ref-type name="Book"&gt;6&lt;/ref-type&gt;&lt;contributors&gt;&lt;authors&gt;&lt;author&gt;Campbell, Jessie F. &lt;/author&gt;&lt;author&gt;Darwin L. Newton &lt;/author&gt;&lt;/authors&gt;&lt;/contributors&gt;&lt;titles&gt;&lt;title&gt;Soil Survey of Fentress and Pickett Counties, Tennessee.&lt;/title&gt;&lt;/titles&gt;&lt;dates&gt;&lt;year&gt;1995&lt;/year&gt;&lt;/dates&gt;&lt;publisher&gt;United States Department of Agriclture, Soil Conservation Service; in cooperation with Tennessee Agricultural Experiment Station &lt;/publisher&gt;&lt;urls&gt;&lt;/urls&gt;&lt;research-notes&gt;2&amp;#xD;&amp;#xD;Physiogaphy-&amp;#xD;&amp;#xD;15% Fentress Co on Highland Rim &amp;#xD;&amp;#xD;3 &amp;#xD;&amp;#xD;Cumberland Plateau-&amp;#xD;2000 feet above sealevel &amp;#xD;highland rim - 1000 feet above sealevel &amp;#xD;underlaind by sandstone and shale - most of the soils from the plateau from these weathered materials &amp;#xD;soils are well drained, pale colored, loamy and low in natural fertility &amp;#xD;&lt;/research-notes&gt;&lt;/record&gt;&lt;/Cite&gt;&lt;/EndNote&gt;</w:instrText>
      </w:r>
      <w:r w:rsidR="00B33E6D" w:rsidRPr="00C123C1">
        <w:rPr>
          <w:rFonts w:cs="Times New Roman"/>
          <w:szCs w:val="24"/>
        </w:rPr>
        <w:fldChar w:fldCharType="separate"/>
      </w:r>
      <w:r w:rsidRPr="00C123C1">
        <w:rPr>
          <w:rFonts w:cs="Times New Roman"/>
          <w:noProof/>
          <w:szCs w:val="24"/>
        </w:rPr>
        <w:t>(</w:t>
      </w:r>
      <w:hyperlink w:anchor="_ENREF_14" w:tooltip="Campbell, 1995 #75" w:history="1">
        <w:r w:rsidR="00B15FB2" w:rsidRPr="00C123C1">
          <w:rPr>
            <w:rFonts w:cs="Times New Roman"/>
            <w:noProof/>
            <w:szCs w:val="24"/>
          </w:rPr>
          <w:t>Campbell and Newton 1995:7</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These soils are well drained and loamy and support the type of forest vegetation previously described. These soils are considered acidic as they are weathered from acid sandstone. The acidity of the soils becomes important for bone preservation as it has been noted that bones do not tend to preserve in acidic soils (&lt; pH 7) (Buisktra). It should be noted </w:t>
      </w:r>
      <w:r w:rsidRPr="00C123C1">
        <w:rPr>
          <w:rFonts w:cs="Times New Roman"/>
          <w:szCs w:val="24"/>
        </w:rPr>
        <w:lastRenderedPageBreak/>
        <w:t>that the faunal remains discussed in this thesis were not recovered from soil, which undergoes a process of development, but rather sediment, which is deposited by colluvial or anthropogenic mechanisms. The acidity of the surrounding soil formations does become important, however, when considering the pH of the sediment inside the rock shelter, a topic that will be revisited throughout this thesis.</w:t>
      </w:r>
    </w:p>
    <w:p w:rsidR="005D1010" w:rsidRPr="00C123C1" w:rsidRDefault="005D1010">
      <w:pPr>
        <w:rPr>
          <w:rFonts w:cs="Times New Roman"/>
          <w:szCs w:val="24"/>
        </w:rPr>
      </w:pPr>
      <w:r w:rsidRPr="00C123C1">
        <w:rPr>
          <w:rFonts w:cs="Times New Roman"/>
          <w:szCs w:val="24"/>
        </w:rPr>
        <w:br w:type="page"/>
      </w:r>
    </w:p>
    <w:p w:rsidR="00C123C1" w:rsidRPr="00C123C1" w:rsidRDefault="00C123C1" w:rsidP="00C123C1">
      <w:pPr>
        <w:pStyle w:val="Heading1"/>
        <w:jc w:val="center"/>
      </w:pPr>
      <w:bookmarkStart w:id="11" w:name="_Toc342503658"/>
      <w:bookmarkStart w:id="12" w:name="_Toc349507278"/>
      <w:r w:rsidRPr="00C123C1">
        <w:lastRenderedPageBreak/>
        <w:t>Chapter 3: Culture History</w:t>
      </w:r>
      <w:bookmarkEnd w:id="11"/>
      <w:bookmarkEnd w:id="12"/>
    </w:p>
    <w:p w:rsidR="00C123C1" w:rsidRPr="00C123C1" w:rsidRDefault="00C123C1" w:rsidP="00C123C1">
      <w:pPr>
        <w:spacing w:after="0" w:line="480" w:lineRule="auto"/>
        <w:rPr>
          <w:rFonts w:cs="Times New Roman"/>
          <w:szCs w:val="24"/>
        </w:rPr>
      </w:pPr>
      <w:r w:rsidRPr="00C123C1">
        <w:rPr>
          <w:rFonts w:cs="Times New Roman"/>
          <w:szCs w:val="24"/>
        </w:rPr>
        <w:t>Prehistory of the Southeastern United States has long been explored by archaeologists and</w:t>
      </w:r>
      <w:r w:rsidR="00AF2B75">
        <w:rPr>
          <w:rFonts w:cs="Times New Roman"/>
          <w:szCs w:val="24"/>
        </w:rPr>
        <w:t>,</w:t>
      </w:r>
      <w:r w:rsidRPr="00C123C1">
        <w:rPr>
          <w:rFonts w:cs="Times New Roman"/>
          <w:szCs w:val="24"/>
        </w:rPr>
        <w:t xml:space="preserve"> at times</w:t>
      </w:r>
      <w:r w:rsidR="00AF2B75">
        <w:rPr>
          <w:rFonts w:cs="Times New Roman"/>
          <w:szCs w:val="24"/>
        </w:rPr>
        <w:t>,</w:t>
      </w:r>
      <w:r w:rsidRPr="00C123C1">
        <w:rPr>
          <w:rFonts w:cs="Times New Roman"/>
          <w:szCs w:val="24"/>
        </w:rPr>
        <w:t xml:space="preserve"> has been quite prolific (Stoltman 1973). Throughout the development of Southeastern Archaeology, cultural sequences as we know them today were developed beginning first with Griffin (1952) who laid out the Paleoindian-Archaic-Woodland-Mississippian sequence used to designate prehistoric cultures in the Southeast. Further elaboration of this sequence was outlined by </w:t>
      </w:r>
      <w:r w:rsidR="00B33E6D" w:rsidRPr="00C123C1">
        <w:rPr>
          <w:rFonts w:cs="Times New Roman"/>
          <w:szCs w:val="24"/>
        </w:rPr>
        <w:fldChar w:fldCharType="begin"/>
      </w:r>
      <w:r w:rsidRPr="00C123C1">
        <w:rPr>
          <w:rFonts w:cs="Times New Roman"/>
          <w:szCs w:val="24"/>
        </w:rPr>
        <w:instrText xml:space="preserve"> ADDIN EN.CITE &lt;EndNote&gt;&lt;Cite AuthorYear="1"&gt;&lt;Author&gt;Steponaitis&lt;/Author&gt;&lt;Year&gt;1986&lt;/Year&gt;&lt;RecNum&gt;87&lt;/RecNum&gt;&lt;DisplayText&gt;Steponaitis (1986)&lt;/DisplayText&gt;&lt;record&gt;&lt;rec-number&gt;87&lt;/rec-number&gt;&lt;foreign-keys&gt;&lt;key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hyperlink w:anchor="_ENREF_85" w:tooltip="Steponaitis, 1986 #87" w:history="1">
        <w:r w:rsidR="00B15FB2" w:rsidRPr="00C123C1">
          <w:rPr>
            <w:rFonts w:cs="Times New Roman"/>
            <w:noProof/>
            <w:szCs w:val="24"/>
          </w:rPr>
          <w:t>Steponaitis (1986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and most recently has been refined by </w:t>
      </w:r>
      <w:r w:rsidR="00B33E6D" w:rsidRPr="00C123C1">
        <w:rPr>
          <w:rFonts w:cs="Times New Roman"/>
          <w:szCs w:val="24"/>
        </w:rPr>
        <w:fldChar w:fldCharType="begin"/>
      </w:r>
      <w:r w:rsidRPr="00C123C1">
        <w:rPr>
          <w:rFonts w:cs="Times New Roman"/>
          <w:szCs w:val="24"/>
        </w:rPr>
        <w:instrText xml:space="preserve"> ADDIN EN.CITE &lt;EndNote&gt;&lt;Cite AuthorYear="1"&gt;&lt;Author&gt;Anderson&lt;/Author&gt;&lt;Year&gt;2012&lt;/Year&gt;&lt;RecNum&gt;88&lt;/RecNum&gt;&lt;DisplayText&gt;Anderson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Each prehistoric period is described below. Components important to this thesis are the Late Archaic and Woodland. </w:t>
      </w:r>
    </w:p>
    <w:p w:rsidR="00C123C1" w:rsidRPr="00856B7E" w:rsidRDefault="00C123C1" w:rsidP="00856B7E">
      <w:pPr>
        <w:pStyle w:val="Heading2"/>
        <w:rPr>
          <w:rStyle w:val="Emphasis"/>
          <w:i w:val="0"/>
          <w:iCs w:val="0"/>
          <w:szCs w:val="24"/>
        </w:rPr>
      </w:pPr>
      <w:bookmarkStart w:id="13" w:name="_Toc342503659"/>
      <w:bookmarkStart w:id="14" w:name="_Toc349507279"/>
      <w:r w:rsidRPr="00856B7E">
        <w:rPr>
          <w:rStyle w:val="Emphasis"/>
          <w:i w:val="0"/>
          <w:iCs w:val="0"/>
          <w:szCs w:val="24"/>
        </w:rPr>
        <w:t>The Paleoindian Period (14,800 – 11,500 cal. BP)</w:t>
      </w:r>
      <w:bookmarkEnd w:id="13"/>
      <w:bookmarkEnd w:id="14"/>
      <w:r w:rsidRPr="00856B7E">
        <w:rPr>
          <w:rStyle w:val="Emphasis"/>
          <w:i w:val="0"/>
          <w:iCs w:val="0"/>
          <w:szCs w:val="24"/>
        </w:rPr>
        <w:t xml:space="preserve"> </w:t>
      </w:r>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The Paleoindian Period represents the first archaeological culture found in the Southeast and in North America. Climate during this time period was significantly cooler than today. This period is characterized as full glacial, and corresponds with the Younger Dryas, a cooling period between 12</w:t>
      </w:r>
      <w:r w:rsidR="00AF2B75">
        <w:rPr>
          <w:rFonts w:cs="Times New Roman"/>
          <w:szCs w:val="24"/>
        </w:rPr>
        <w:t>,</w:t>
      </w:r>
      <w:r w:rsidRPr="00C123C1">
        <w:rPr>
          <w:rFonts w:cs="Times New Roman"/>
          <w:szCs w:val="24"/>
        </w:rPr>
        <w:t xml:space="preserve">900 – 11,600 cal. B.P. </w:t>
      </w:r>
      <w:r w:rsidR="00B33E6D">
        <w:rPr>
          <w:rFonts w:cs="Times New Roman"/>
          <w:szCs w:val="24"/>
        </w:rPr>
        <w:fldChar w:fldCharType="begin"/>
      </w:r>
      <w:r w:rsidR="00C76542">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Pr>
          <w:rFonts w:cs="Times New Roman"/>
          <w:szCs w:val="24"/>
        </w:rPr>
        <w:fldChar w:fldCharType="separate"/>
      </w:r>
      <w:r w:rsidR="00C76542">
        <w:rPr>
          <w:rFonts w:cs="Times New Roman"/>
          <w:noProof/>
          <w:szCs w:val="24"/>
        </w:rPr>
        <w:t>(</w:t>
      </w:r>
      <w:hyperlink w:anchor="_ENREF_1" w:tooltip="Anderson, 2012 #88" w:history="1">
        <w:r w:rsidR="00B15FB2">
          <w:rPr>
            <w:rFonts w:cs="Times New Roman"/>
            <w:noProof/>
            <w:szCs w:val="24"/>
          </w:rPr>
          <w:t>Anderson and Sassaman 2012</w:t>
        </w:r>
      </w:hyperlink>
      <w:r w:rsidR="00C76542">
        <w:rPr>
          <w:rFonts w:cs="Times New Roman"/>
          <w:noProof/>
          <w:szCs w:val="24"/>
        </w:rPr>
        <w:t>)</w:t>
      </w:r>
      <w:r w:rsidR="00B33E6D">
        <w:rPr>
          <w:rFonts w:cs="Times New Roman"/>
          <w:szCs w:val="24"/>
        </w:rPr>
        <w:fldChar w:fldCharType="end"/>
      </w:r>
      <w:r w:rsidR="00C76542">
        <w:rPr>
          <w:rFonts w:cs="Times New Roman"/>
          <w:szCs w:val="24"/>
        </w:rPr>
        <w:t xml:space="preserve">. </w:t>
      </w:r>
      <w:r w:rsidRPr="00C123C1">
        <w:rPr>
          <w:rFonts w:cs="Times New Roman"/>
          <w:szCs w:val="24"/>
        </w:rPr>
        <w:t>These early peoples were highly mobile hunter-gatherers who hunted large Pleistocene mammals, such as the now extinct mastodon (</w:t>
      </w:r>
      <w:r w:rsidRPr="00C123C1">
        <w:rPr>
          <w:rFonts w:cs="Times New Roman"/>
          <w:i/>
          <w:szCs w:val="24"/>
        </w:rPr>
        <w:t>Mammut americanum</w:t>
      </w:r>
      <w:r w:rsidRPr="00C123C1">
        <w:rPr>
          <w:rFonts w:cs="Times New Roman"/>
          <w:szCs w:val="24"/>
        </w:rPr>
        <w:t>) and removed bison (</w:t>
      </w:r>
      <w:r w:rsidRPr="00C123C1">
        <w:rPr>
          <w:rFonts w:cs="Times New Roman"/>
          <w:i/>
          <w:szCs w:val="24"/>
        </w:rPr>
        <w:t>Bison bison</w:t>
      </w:r>
      <w:r w:rsidRPr="00C123C1">
        <w:rPr>
          <w:rFonts w:cs="Times New Roman"/>
          <w:szCs w:val="24"/>
        </w:rPr>
        <w:t xml:space="preserve">) </w:t>
      </w:r>
      <w:r w:rsidR="00B33E6D" w:rsidRPr="00C123C1">
        <w:rPr>
          <w:rFonts w:cs="Times New Roman"/>
          <w:szCs w:val="24"/>
        </w:rPr>
        <w:fldChar w:fldCharType="begin"/>
      </w:r>
      <w:r w:rsidR="007D6E92">
        <w:rPr>
          <w:rFonts w:cs="Times New Roman"/>
          <w:szCs w:val="24"/>
        </w:rPr>
        <w:instrText xml:space="preserve"> ADDIN EN.CITE &lt;EndNote&gt;&lt;Cite&gt;&lt;Author&gt;Steponaitis&lt;/Author&gt;&lt;Year&gt;1986&lt;/Year&gt;&lt;RecNum&gt;87&lt;/RecNum&gt;&lt;Suffix&gt;:369&lt;/Suffix&gt;&lt;Pages&gt;369&lt;/Pages&gt;&lt;DisplayText&gt;(Steponaitis 1986:369:369)&lt;/DisplayText&gt;&lt;record&gt;&lt;rec-number&gt;87&lt;/rec-number&gt;&lt;foreign-keys&gt;&lt;key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85" w:tooltip="Steponaitis, 1986 #87" w:history="1">
        <w:r w:rsidR="00B15FB2">
          <w:rPr>
            <w:rFonts w:cs="Times New Roman"/>
            <w:noProof/>
            <w:szCs w:val="24"/>
          </w:rPr>
          <w:t>Steponaitis 1986:369:369</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Paleoindian stone tools are recognized by a characteristic fluted lanceolate projectile point and blade tool technology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Paleoindian artifacts have been recovered from the Upper Cumberland Plateau </w:t>
      </w:r>
      <w:r w:rsidR="00B33E6D" w:rsidRPr="00C123C1">
        <w:rPr>
          <w:rFonts w:cs="Times New Roman"/>
          <w:szCs w:val="24"/>
        </w:rPr>
        <w:fldChar w:fldCharType="begin"/>
      </w:r>
      <w:r w:rsidR="007D6E92">
        <w:rPr>
          <w:rFonts w:cs="Times New Roman"/>
          <w:szCs w:val="24"/>
        </w:rPr>
        <w:instrText xml:space="preserve"> ADDIN EN.CITE &lt;EndNote&gt;&lt;Cite&gt;&lt;Author&gt;Des Jean&lt;/Author&gt;&lt;Year&gt;1994&lt;/Year&gt;&lt;RecNum&gt;110&lt;/RecNum&gt;&lt;DisplayText&gt;(Des Jean and Benthall 1994; Franklin 2002)&lt;/DisplayText&gt;&lt;record&gt;&lt;rec-number&gt;110&lt;/rec-number&gt;&lt;foreign-keys&gt;&lt;key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Cite&gt;&lt;Author&gt;Franklin&lt;/Author&gt;&lt;Year&gt;2002&lt;/Year&gt;&lt;RecNum&gt;61&lt;/RecNum&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25" w:tooltip="Des Jean, 1994 #110" w:history="1">
        <w:r w:rsidR="00B15FB2">
          <w:rPr>
            <w:rFonts w:cs="Times New Roman"/>
            <w:noProof/>
            <w:szCs w:val="24"/>
          </w:rPr>
          <w:t>Des Jean and Benthall 1994</w:t>
        </w:r>
      </w:hyperlink>
      <w:r w:rsidR="007D6E92">
        <w:rPr>
          <w:rFonts w:cs="Times New Roman"/>
          <w:noProof/>
          <w:szCs w:val="24"/>
        </w:rPr>
        <w:t xml:space="preserve">; </w:t>
      </w:r>
      <w:hyperlink w:anchor="_ENREF_29" w:tooltip="Franklin, 2002 #61" w:history="1">
        <w:r w:rsidR="00B15FB2">
          <w:rPr>
            <w:rFonts w:cs="Times New Roman"/>
            <w:noProof/>
            <w:szCs w:val="24"/>
          </w:rPr>
          <w:t>Franklin 2002</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however, no recognizable Paleoindian artifacts have been recovered from three field seasons of excavations and countless surface collections from the site.  </w:t>
      </w:r>
    </w:p>
    <w:p w:rsidR="00C123C1" w:rsidRPr="00C123C1" w:rsidRDefault="00C123C1" w:rsidP="00C123C1">
      <w:pPr>
        <w:pStyle w:val="Heading2"/>
      </w:pPr>
      <w:bookmarkStart w:id="15" w:name="_Toc342503660"/>
      <w:bookmarkStart w:id="16" w:name="_Toc349507280"/>
      <w:r w:rsidRPr="00C123C1">
        <w:lastRenderedPageBreak/>
        <w:t>The Archaic Period (11,500 – 3,200 cal. BP)</w:t>
      </w:r>
      <w:bookmarkEnd w:id="15"/>
      <w:bookmarkEnd w:id="16"/>
      <w:r w:rsidRPr="00C123C1">
        <w:tab/>
      </w:r>
    </w:p>
    <w:p w:rsidR="00C123C1" w:rsidRPr="00C123C1" w:rsidRDefault="00C123C1" w:rsidP="00C123C1">
      <w:pPr>
        <w:pStyle w:val="NoSpacing"/>
        <w:spacing w:line="480" w:lineRule="auto"/>
        <w:ind w:firstLine="720"/>
        <w:rPr>
          <w:rFonts w:ascii="Times New Roman" w:hAnsi="Times New Roman" w:cs="Times New Roman"/>
          <w:sz w:val="24"/>
          <w:szCs w:val="24"/>
        </w:rPr>
      </w:pPr>
      <w:r w:rsidRPr="00C123C1">
        <w:rPr>
          <w:rFonts w:ascii="Times New Roman" w:hAnsi="Times New Roman" w:cs="Times New Roman"/>
          <w:sz w:val="24"/>
          <w:szCs w:val="24"/>
        </w:rPr>
        <w:t xml:space="preserve">The Archaic Period is a long archaeological cultural sequence broken up into three distinct phases – early, middle and late. This period is characterized by adaptations to a post-glacial environment, which included the diversification of plant and animal species, and corresponding diversification in settlement and subsistence strategies across the Southeast. It is seen as a long transition from initial colonization by Paleoindian people to the complex cultures and permanent settlements of Woodland and Mississippian peoples </w:t>
      </w:r>
      <w:r w:rsidR="00B33E6D" w:rsidRPr="00C123C1">
        <w:rPr>
          <w:rFonts w:ascii="Times New Roman" w:hAnsi="Times New Roman" w:cs="Times New Roman"/>
          <w:sz w:val="24"/>
          <w:szCs w:val="24"/>
        </w:rPr>
        <w:fldChar w:fldCharType="begin"/>
      </w:r>
      <w:r w:rsidR="007D6E92">
        <w:rPr>
          <w:rFonts w:ascii="Times New Roman" w:hAnsi="Times New Roman" w:cs="Times New Roman"/>
          <w:sz w:val="24"/>
          <w:szCs w:val="24"/>
        </w:rPr>
        <w:instrText xml:space="preserve"> ADDIN EN.CITE &lt;EndNote&gt;&lt;Cite&gt;&lt;Author&gt;Anderson&lt;/Author&gt;&lt;Year&gt;2012&lt;/Year&gt;&lt;RecNum&gt;88&lt;/RecNum&gt;&lt;Suffix&gt;:66&lt;/Suffix&gt;&lt;Pages&gt;66&lt;/Pages&gt;&lt;DisplayText&gt;(Anderson and Sassaman 2012:66:66)&lt;/DisplayText&gt;&lt;record&gt;&lt;rec-number&gt;88&lt;/rec-number&gt;&lt;foreign-keys&gt;&lt;key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1" w:tooltip="Anderson, 2012 #88" w:history="1">
        <w:r w:rsidR="00B15FB2">
          <w:rPr>
            <w:rFonts w:ascii="Times New Roman" w:hAnsi="Times New Roman" w:cs="Times New Roman"/>
            <w:noProof/>
            <w:sz w:val="24"/>
            <w:szCs w:val="24"/>
          </w:rPr>
          <w:t>Anderson and Sassaman 2012:66:66</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Thousands of Archaic Period sites have been recorded on the UCP, in rock shelters, caves and ridge tops </w:t>
      </w:r>
      <w:r w:rsidR="00B33E6D" w:rsidRPr="00C123C1">
        <w:rPr>
          <w:rFonts w:ascii="Times New Roman" w:hAnsi="Times New Roman" w:cs="Times New Roman"/>
          <w:sz w:val="24"/>
          <w:szCs w:val="24"/>
        </w:rPr>
        <w:fldChar w:fldCharType="begin"/>
      </w:r>
      <w:r w:rsidR="007D6E92">
        <w:rPr>
          <w:rFonts w:ascii="Times New Roman" w:hAnsi="Times New Roman" w:cs="Times New Roman"/>
          <w:sz w:val="24"/>
          <w:szCs w:val="24"/>
        </w:rPr>
        <w:instrText xml:space="preserve"> ADDIN EN.CITE &lt;EndNote&gt;&lt;Cite&gt;&lt;Author&gt;Des Jean&lt;/Author&gt;&lt;Year&gt;1994&lt;/Year&gt;&lt;RecNum&gt;110&lt;/RecNum&gt;&lt;DisplayText&gt;(Des Jean and Benthall 1994; Franklin 1999)&lt;/DisplayText&gt;&lt;record&gt;&lt;rec-number&gt;110&lt;/rec-number&gt;&lt;foreign-keys&gt;&lt;key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Cite&gt;&lt;Author&gt;Franklin&lt;/Author&gt;&lt;Year&gt;1999&lt;/Year&gt;&lt;RecNum&gt;112&lt;/RecNum&gt;&lt;record&gt;&lt;rec-number&gt;112&lt;/rec-number&gt;&lt;foreign-keys&gt;&lt;key app="EN" db-id="pvwvsv0fktzv2weszt4xp95xstrzawadapa0"&gt;112&lt;/key&gt;&lt;/foreign-keys&gt;&lt;ref-type name="Thesis"&gt;32&lt;/ref-type&gt;&lt;contributors&gt;&lt;authors&gt;&lt;author&gt;Jay D. Franklin&lt;/author&gt;&lt;/authors&gt;&lt;/contributors&gt;&lt;titles&gt;&lt;title&gt;The Rime of the Ancient Miners. &lt;/title&gt;&lt;secondary-title&gt;Department of Anthropology&lt;/secondary-title&gt;&lt;/titles&gt;&lt;volume&gt;Doctoral Dissertation&lt;/volume&gt;&lt;dates&gt;&lt;year&gt;1999&lt;/year&gt;&lt;/dates&gt;&lt;publisher&gt;University of Tennessee, Knoxville&lt;/publisher&gt;&lt;urls&gt;&lt;/urls&gt;&lt;/record&gt;&lt;/Cite&gt;&lt;/EndNote&gt;</w:instrText>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25" w:tooltip="Des Jean, 1994 #110" w:history="1">
        <w:r w:rsidR="00B15FB2">
          <w:rPr>
            <w:rFonts w:ascii="Times New Roman" w:hAnsi="Times New Roman" w:cs="Times New Roman"/>
            <w:noProof/>
            <w:sz w:val="24"/>
            <w:szCs w:val="24"/>
          </w:rPr>
          <w:t>Des Jean and Benthall 1994</w:t>
        </w:r>
      </w:hyperlink>
      <w:r w:rsidR="007D6E92">
        <w:rPr>
          <w:rFonts w:ascii="Times New Roman" w:hAnsi="Times New Roman" w:cs="Times New Roman"/>
          <w:noProof/>
          <w:sz w:val="24"/>
          <w:szCs w:val="24"/>
        </w:rPr>
        <w:t xml:space="preserve">; </w:t>
      </w:r>
      <w:hyperlink w:anchor="_ENREF_28" w:tooltip="Franklin, 1999 #112" w:history="1">
        <w:r w:rsidR="00B15FB2">
          <w:rPr>
            <w:rFonts w:ascii="Times New Roman" w:hAnsi="Times New Roman" w:cs="Times New Roman"/>
            <w:noProof/>
            <w:sz w:val="24"/>
            <w:szCs w:val="24"/>
          </w:rPr>
          <w:t>Franklin 1999</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w:t>
      </w:r>
      <w:r w:rsidRPr="00C123C1">
        <w:rPr>
          <w:rFonts w:ascii="Times New Roman" w:hAnsi="Times New Roman" w:cs="Times New Roman"/>
          <w:sz w:val="24"/>
          <w:szCs w:val="24"/>
        </w:rPr>
        <w:tab/>
        <w:t xml:space="preserve">The Early Archaic spans the first 2,000 years of the Archaic Period, 11,500-8,900 cal. BP </w:t>
      </w:r>
      <w:r w:rsidR="00B33E6D" w:rsidRPr="00C123C1">
        <w:rPr>
          <w:rFonts w:ascii="Times New Roman" w:hAnsi="Times New Roman" w:cs="Times New Roman"/>
          <w:sz w:val="24"/>
          <w:szCs w:val="24"/>
        </w:rPr>
        <w:fldChar w:fldCharType="begin"/>
      </w:r>
      <w:r w:rsidRPr="00C123C1">
        <w:rPr>
          <w:rFonts w:ascii="Times New Roman" w:hAnsi="Times New Roman" w:cs="Times New Roman"/>
          <w:sz w:val="24"/>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ascii="Times New Roman" w:hAnsi="Times New Roman" w:cs="Times New Roman"/>
          <w:sz w:val="24"/>
          <w:szCs w:val="24"/>
        </w:rPr>
        <w:fldChar w:fldCharType="separate"/>
      </w:r>
      <w:r w:rsidRPr="00C123C1">
        <w:rPr>
          <w:rFonts w:ascii="Times New Roman" w:hAnsi="Times New Roman" w:cs="Times New Roman"/>
          <w:sz w:val="24"/>
          <w:szCs w:val="24"/>
        </w:rPr>
        <w:t>(</w:t>
      </w:r>
      <w:hyperlink w:anchor="_ENREF_1" w:tooltip="Anderson, 2012 #88" w:history="1">
        <w:r w:rsidR="00B15FB2" w:rsidRPr="00C123C1">
          <w:rPr>
            <w:rFonts w:ascii="Times New Roman" w:hAnsi="Times New Roman" w:cs="Times New Roman"/>
            <w:sz w:val="24"/>
            <w:szCs w:val="24"/>
          </w:rPr>
          <w:t>Anderson and Sassaman 2012</w:t>
        </w:r>
      </w:hyperlink>
      <w:r w:rsidRPr="00C123C1">
        <w:rPr>
          <w:rFonts w:ascii="Times New Roman" w:hAnsi="Times New Roman" w:cs="Times New Roman"/>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This corresponds with the Boreal climatic period, during which time climate was generally cool and stable, and marks a transition from the glacial Younger Dryas to the warmer Atlantic Period </w:t>
      </w:r>
      <w:r w:rsidR="00B33E6D" w:rsidRPr="00C123C1">
        <w:rPr>
          <w:rFonts w:ascii="Times New Roman" w:hAnsi="Times New Roman" w:cs="Times New Roman"/>
          <w:sz w:val="24"/>
          <w:szCs w:val="24"/>
        </w:rPr>
        <w:fldChar w:fldCharType="begin"/>
      </w:r>
      <w:r w:rsidR="007D6E92">
        <w:rPr>
          <w:rFonts w:ascii="Times New Roman" w:hAnsi="Times New Roman" w:cs="Times New Roman"/>
          <w:sz w:val="24"/>
          <w:szCs w:val="24"/>
        </w:rPr>
        <w:instrText xml:space="preserve"> ADDIN EN.CITE &lt;EndNote&gt;&lt;Cite&gt;&lt;Author&gt;Anderson&lt;/Author&gt;&lt;Year&gt;2012&lt;/Year&gt;&lt;RecNum&gt;88&lt;/RecNum&gt;&lt;Suffix&gt;:39&lt;/Suffix&gt;&lt;Pages&gt;39&lt;/Pages&gt;&lt;DisplayText&gt;(Anderson and Sassaman 2012:39:39)&lt;/DisplayText&gt;&lt;record&gt;&lt;rec-number&gt;88&lt;/rec-number&gt;&lt;foreign-keys&gt;&lt;key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1" w:tooltip="Anderson, 2012 #88" w:history="1">
        <w:r w:rsidR="00B15FB2">
          <w:rPr>
            <w:rFonts w:ascii="Times New Roman" w:hAnsi="Times New Roman" w:cs="Times New Roman"/>
            <w:noProof/>
            <w:sz w:val="24"/>
            <w:szCs w:val="24"/>
          </w:rPr>
          <w:t>Anderson and Sassaman 2012:39:39</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These changes in the environment correspond with changing cultural expression. Group</w:t>
      </w:r>
      <w:r w:rsidR="004A746A">
        <w:rPr>
          <w:rFonts w:ascii="Times New Roman" w:hAnsi="Times New Roman" w:cs="Times New Roman"/>
          <w:sz w:val="24"/>
          <w:szCs w:val="24"/>
        </w:rPr>
        <w:t>s</w:t>
      </w:r>
      <w:r w:rsidRPr="00C123C1">
        <w:rPr>
          <w:rFonts w:ascii="Times New Roman" w:hAnsi="Times New Roman" w:cs="Times New Roman"/>
          <w:sz w:val="24"/>
          <w:szCs w:val="24"/>
        </w:rPr>
        <w:t xml:space="preserve"> shifted from high mobility associated with the hunting of highly mobile megafauna, to lower mobility as reflected in the appearance and frequent use of seasonal base camps </w:t>
      </w:r>
      <w:r w:rsidR="00B33E6D" w:rsidRPr="00C123C1">
        <w:rPr>
          <w:rFonts w:ascii="Times New Roman" w:hAnsi="Times New Roman" w:cs="Times New Roman"/>
          <w:sz w:val="24"/>
          <w:szCs w:val="24"/>
        </w:rPr>
        <w:fldChar w:fldCharType="begin"/>
      </w:r>
      <w:r w:rsidR="007D6E92">
        <w:rPr>
          <w:rFonts w:ascii="Times New Roman" w:hAnsi="Times New Roman" w:cs="Times New Roman"/>
          <w:sz w:val="24"/>
          <w:szCs w:val="24"/>
        </w:rPr>
        <w:instrText xml:space="preserve"> ADDIN EN.CITE &lt;EndNote&gt;&lt;Cite&gt;&lt;Author&gt;Chapman&lt;/Author&gt;&lt;Year&gt;1994&lt;/Year&gt;&lt;RecNum&gt;86&lt;/RecNum&gt;&lt;DisplayText&gt;(Anderson and Sassaman 2012; 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&lt;/publisher&gt;&lt;urls&gt;&lt;/urls&gt;&lt;/record&gt;&lt;/Cite&gt;&lt;Cite&gt;&lt;Author&gt;Anderson&lt;/Author&gt;&lt;Year&gt;2012&lt;/Year&gt;&lt;RecNum&gt;88&lt;/RecNum&gt;&lt;record&gt;&lt;rec-number&gt;88&lt;/rec-number&gt;&lt;foreign-keys&gt;&lt;key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1" w:tooltip="Anderson, 2012 #88" w:history="1">
        <w:r w:rsidR="00B15FB2">
          <w:rPr>
            <w:rFonts w:ascii="Times New Roman" w:hAnsi="Times New Roman" w:cs="Times New Roman"/>
            <w:noProof/>
            <w:sz w:val="24"/>
            <w:szCs w:val="24"/>
          </w:rPr>
          <w:t>Anderson and Sassaman 2012</w:t>
        </w:r>
      </w:hyperlink>
      <w:r w:rsidR="007D6E92">
        <w:rPr>
          <w:rFonts w:ascii="Times New Roman" w:hAnsi="Times New Roman" w:cs="Times New Roman"/>
          <w:noProof/>
          <w:sz w:val="24"/>
          <w:szCs w:val="24"/>
        </w:rPr>
        <w:t xml:space="preserve">; </w:t>
      </w:r>
      <w:hyperlink w:anchor="_ENREF_17" w:tooltip="Chapman, 1994 #86" w:history="1">
        <w:r w:rsidR="00B15FB2">
          <w:rPr>
            <w:rFonts w:ascii="Times New Roman" w:hAnsi="Times New Roman" w:cs="Times New Roman"/>
            <w:noProof/>
            <w:sz w:val="24"/>
            <w:szCs w:val="24"/>
          </w:rPr>
          <w:t>Chapman 1994</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Mobility throughout the Archaic was likely a mix of foraging and collecting </w:t>
      </w:r>
      <w:r w:rsidR="00B33E6D" w:rsidRPr="00C123C1">
        <w:rPr>
          <w:rFonts w:ascii="Times New Roman" w:hAnsi="Times New Roman" w:cs="Times New Roman"/>
          <w:sz w:val="24"/>
          <w:szCs w:val="24"/>
        </w:rPr>
        <w:fldChar w:fldCharType="begin"/>
      </w:r>
      <w:r w:rsidR="007D6E92">
        <w:rPr>
          <w:rFonts w:ascii="Times New Roman" w:hAnsi="Times New Roman" w:cs="Times New Roman"/>
          <w:sz w:val="24"/>
          <w:szCs w:val="24"/>
        </w:rPr>
        <w:instrText xml:space="preserve"> ADDIN EN.CITE &lt;EndNote&gt;&lt;Cite&gt;&lt;Author&gt;Chapman&lt;/Author&gt;&lt;Year&gt;1994&lt;/Year&gt;&lt;RecNum&gt;86&lt;/RecNum&gt;&lt;DisplayText&gt;(Chapman 1994; Steponaitis 1986)&lt;/DisplayText&gt;&lt;record&gt;&lt;rec-number&gt;86&lt;/rec-number&gt;&lt;foreign-keys&gt;&lt;key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&lt;/publisher&gt;&lt;urls&gt;&lt;/urls&gt;&lt;/record&gt;&lt;/Cite&gt;&lt;Cite&gt;&lt;Author&gt;Steponaitis&lt;/Author&gt;&lt;Year&gt;1986&lt;/Year&gt;&lt;RecNum&gt;87&lt;/RecNum&gt;&lt;record&gt;&lt;rec-number&gt;87&lt;/rec-number&gt;&lt;foreign-keys&gt;&lt;key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17" w:tooltip="Chapman, 1994 #86" w:history="1">
        <w:r w:rsidR="00B15FB2">
          <w:rPr>
            <w:rFonts w:ascii="Times New Roman" w:hAnsi="Times New Roman" w:cs="Times New Roman"/>
            <w:noProof/>
            <w:sz w:val="24"/>
            <w:szCs w:val="24"/>
          </w:rPr>
          <w:t>Chapman 1994</w:t>
        </w:r>
      </w:hyperlink>
      <w:r w:rsidR="007D6E92">
        <w:rPr>
          <w:rFonts w:ascii="Times New Roman" w:hAnsi="Times New Roman" w:cs="Times New Roman"/>
          <w:noProof/>
          <w:sz w:val="24"/>
          <w:szCs w:val="24"/>
        </w:rPr>
        <w:t xml:space="preserve">; </w:t>
      </w:r>
      <w:hyperlink w:anchor="_ENREF_85" w:tooltip="Steponaitis, 1986 #87" w:history="1">
        <w:r w:rsidR="00B15FB2">
          <w:rPr>
            <w:rFonts w:ascii="Times New Roman" w:hAnsi="Times New Roman" w:cs="Times New Roman"/>
            <w:noProof/>
            <w:sz w:val="24"/>
            <w:szCs w:val="24"/>
          </w:rPr>
          <w:t>Steponaitis 1986</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New technologies appear during the Early Archaic, including the atlatl, or </w:t>
      </w:r>
      <w:r w:rsidR="00AF2B75" w:rsidRPr="00C123C1">
        <w:rPr>
          <w:rFonts w:ascii="Times New Roman" w:hAnsi="Times New Roman" w:cs="Times New Roman"/>
          <w:sz w:val="24"/>
          <w:szCs w:val="24"/>
        </w:rPr>
        <w:t>spear thrower</w:t>
      </w:r>
      <w:r w:rsidRPr="00C123C1">
        <w:rPr>
          <w:rFonts w:ascii="Times New Roman" w:hAnsi="Times New Roman" w:cs="Times New Roman"/>
          <w:sz w:val="24"/>
          <w:szCs w:val="24"/>
        </w:rPr>
        <w:t xml:space="preserve">, ground stone tools, and a diverse array of notched and stemmed projectile points </w:t>
      </w:r>
      <w:r w:rsidR="00B33E6D" w:rsidRPr="00C123C1">
        <w:rPr>
          <w:rFonts w:ascii="Times New Roman" w:hAnsi="Times New Roman" w:cs="Times New Roman"/>
          <w:sz w:val="24"/>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YXRlcz48dXJscz48L3VybHM+PC9yZWNvcmQ+PC9DaXRlPjxDaXRlPjxBdXRob3I+Q2hhcG1hbjwv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ascii="Times New Roman" w:hAnsi="Times New Roman" w:cs="Times New Roman"/>
          <w:sz w:val="24"/>
          <w:szCs w:val="24"/>
        </w:rPr>
        <w:instrText xml:space="preserve"> ADDIN EN.CITE </w:instrText>
      </w:r>
      <w:r w:rsidR="00B33E6D">
        <w:rPr>
          <w:rFonts w:ascii="Times New Roman" w:hAnsi="Times New Roman" w:cs="Times New Roman"/>
          <w:sz w:val="24"/>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YXRlcz48dXJscz48L3VybHM+PC9yZWNvcmQ+PC9DaXRlPjxDaXRlPjxBdXRob3I+Q2hhcG1hbjwv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ascii="Times New Roman" w:hAnsi="Times New Roman" w:cs="Times New Roman"/>
          <w:sz w:val="24"/>
          <w:szCs w:val="24"/>
        </w:rPr>
        <w:instrText xml:space="preserve"> ADDIN EN.CITE.DATA </w:instrText>
      </w:r>
      <w:r w:rsidR="00B33E6D">
        <w:rPr>
          <w:rFonts w:ascii="Times New Roman" w:hAnsi="Times New Roman" w:cs="Times New Roman"/>
          <w:sz w:val="24"/>
          <w:szCs w:val="24"/>
        </w:rPr>
      </w:r>
      <w:r w:rsidR="00B33E6D">
        <w:rPr>
          <w:rFonts w:ascii="Times New Roman" w:hAnsi="Times New Roman" w:cs="Times New Roman"/>
          <w:sz w:val="24"/>
          <w:szCs w:val="24"/>
        </w:rPr>
        <w:fldChar w:fldCharType="end"/>
      </w:r>
      <w:r w:rsidR="00B33E6D" w:rsidRPr="00C123C1">
        <w:rPr>
          <w:rFonts w:ascii="Times New Roman" w:hAnsi="Times New Roman" w:cs="Times New Roman"/>
          <w:sz w:val="24"/>
          <w:szCs w:val="24"/>
        </w:rPr>
      </w:r>
      <w:r w:rsidR="00B33E6D" w:rsidRPr="00C123C1">
        <w:rPr>
          <w:rFonts w:ascii="Times New Roman" w:hAnsi="Times New Roman" w:cs="Times New Roman"/>
          <w:sz w:val="24"/>
          <w:szCs w:val="24"/>
        </w:rPr>
        <w:fldChar w:fldCharType="separate"/>
      </w:r>
      <w:r w:rsidR="007D6E92">
        <w:rPr>
          <w:rFonts w:ascii="Times New Roman" w:hAnsi="Times New Roman" w:cs="Times New Roman"/>
          <w:noProof/>
          <w:sz w:val="24"/>
          <w:szCs w:val="24"/>
        </w:rPr>
        <w:t>(</w:t>
      </w:r>
      <w:hyperlink w:anchor="_ENREF_1" w:tooltip="Anderson, 2012 #88" w:history="1">
        <w:r w:rsidR="00B15FB2">
          <w:rPr>
            <w:rFonts w:ascii="Times New Roman" w:hAnsi="Times New Roman" w:cs="Times New Roman"/>
            <w:noProof/>
            <w:sz w:val="24"/>
            <w:szCs w:val="24"/>
          </w:rPr>
          <w:t>Anderson and Sassaman 2012</w:t>
        </w:r>
      </w:hyperlink>
      <w:r w:rsidR="007D6E92">
        <w:rPr>
          <w:rFonts w:ascii="Times New Roman" w:hAnsi="Times New Roman" w:cs="Times New Roman"/>
          <w:noProof/>
          <w:sz w:val="24"/>
          <w:szCs w:val="24"/>
        </w:rPr>
        <w:t xml:space="preserve">; </w:t>
      </w:r>
      <w:hyperlink w:anchor="_ENREF_17" w:tooltip="Chapman, 1994 #86" w:history="1">
        <w:r w:rsidR="00B15FB2">
          <w:rPr>
            <w:rFonts w:ascii="Times New Roman" w:hAnsi="Times New Roman" w:cs="Times New Roman"/>
            <w:noProof/>
            <w:sz w:val="24"/>
            <w:szCs w:val="24"/>
          </w:rPr>
          <w:t>Chapman 1994</w:t>
        </w:r>
      </w:hyperlink>
      <w:r w:rsidR="007D6E92">
        <w:rPr>
          <w:rFonts w:ascii="Times New Roman" w:hAnsi="Times New Roman" w:cs="Times New Roman"/>
          <w:noProof/>
          <w:sz w:val="24"/>
          <w:szCs w:val="24"/>
        </w:rPr>
        <w:t xml:space="preserve">; </w:t>
      </w:r>
      <w:hyperlink w:anchor="_ENREF_85" w:tooltip="Steponaitis, 1986 #87" w:history="1">
        <w:r w:rsidR="00B15FB2">
          <w:rPr>
            <w:rFonts w:ascii="Times New Roman" w:hAnsi="Times New Roman" w:cs="Times New Roman"/>
            <w:noProof/>
            <w:sz w:val="24"/>
            <w:szCs w:val="24"/>
          </w:rPr>
          <w:t>Steponaitis 1986</w:t>
        </w:r>
      </w:hyperlink>
      <w:r w:rsidR="007D6E92">
        <w:rPr>
          <w:rFonts w:ascii="Times New Roman" w:hAnsi="Times New Roman" w:cs="Times New Roman"/>
          <w:noProof/>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Kirk and Bifurcate projectile points are common on the UCP </w:t>
      </w:r>
      <w:r w:rsidR="00B33E6D" w:rsidRPr="00C123C1">
        <w:rPr>
          <w:rFonts w:ascii="Times New Roman" w:hAnsi="Times New Roman" w:cs="Times New Roman"/>
          <w:sz w:val="24"/>
          <w:szCs w:val="24"/>
        </w:rPr>
        <w:fldChar w:fldCharType="begin"/>
      </w:r>
      <w:r w:rsidRPr="00C123C1">
        <w:rPr>
          <w:rFonts w:ascii="Times New Roman" w:hAnsi="Times New Roman" w:cs="Times New Roman"/>
          <w:sz w:val="24"/>
          <w:szCs w:val="24"/>
        </w:rPr>
        <w:instrText xml:space="preserve"> ADDIN EN.CITE &lt;EndNote&gt;&lt;Cite&gt;&lt;Author&gt;Des Jean&lt;/Author&gt;&lt;Year&gt;1994&lt;/Year&gt;&lt;RecNum&gt;110&lt;/RecNum&gt;&lt;Suffix&gt;:120&lt;/Suffix&gt;&lt;DisplayText&gt;(Des Jean and Benthall 1994:120)&lt;/DisplayText&gt;&lt;record&gt;&lt;rec-number&gt;110&lt;/rec-number&gt;&lt;foreign-keys&gt;&lt;key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Anthropologist&lt;/full-title&gt;&lt;/periodical&gt;&lt;pages&gt;114-139&lt;/pages&gt;&lt;volume&gt;19&lt;/volume&gt;&lt;number&gt;2&lt;/number&gt;&lt;dates&gt;&lt;year&gt;1994&lt;/year&gt;&lt;/dates&gt;&lt;urls&gt;&lt;/urls&gt;&lt;/record&gt;&lt;/Cite&gt;&lt;/EndNote&gt;</w:instrText>
      </w:r>
      <w:r w:rsidR="00B33E6D" w:rsidRPr="00C123C1">
        <w:rPr>
          <w:rFonts w:ascii="Times New Roman" w:hAnsi="Times New Roman" w:cs="Times New Roman"/>
          <w:sz w:val="24"/>
          <w:szCs w:val="24"/>
        </w:rPr>
        <w:fldChar w:fldCharType="separate"/>
      </w:r>
      <w:r w:rsidRPr="00C123C1">
        <w:rPr>
          <w:rFonts w:ascii="Times New Roman" w:hAnsi="Times New Roman" w:cs="Times New Roman"/>
          <w:sz w:val="24"/>
          <w:szCs w:val="24"/>
        </w:rPr>
        <w:t>(</w:t>
      </w:r>
      <w:hyperlink w:anchor="_ENREF_25" w:tooltip="Des Jean, 1994 #110" w:history="1">
        <w:r w:rsidR="00B15FB2" w:rsidRPr="00C123C1">
          <w:rPr>
            <w:rFonts w:ascii="Times New Roman" w:hAnsi="Times New Roman" w:cs="Times New Roman"/>
            <w:sz w:val="24"/>
            <w:szCs w:val="24"/>
          </w:rPr>
          <w:t>Des Jean and Benthall 1994:120</w:t>
        </w:r>
      </w:hyperlink>
      <w:r w:rsidRPr="00C123C1">
        <w:rPr>
          <w:rFonts w:ascii="Times New Roman" w:hAnsi="Times New Roman" w:cs="Times New Roman"/>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as they are in the adjacent Ridge and Valley </w:t>
      </w:r>
      <w:r w:rsidR="00B33E6D" w:rsidRPr="00C123C1">
        <w:rPr>
          <w:rFonts w:ascii="Times New Roman" w:hAnsi="Times New Roman" w:cs="Times New Roman"/>
          <w:sz w:val="24"/>
          <w:szCs w:val="24"/>
        </w:rPr>
        <w:fldChar w:fldCharType="begin"/>
      </w:r>
      <w:r w:rsidRPr="00C123C1">
        <w:rPr>
          <w:rFonts w:ascii="Times New Roman" w:hAnsi="Times New Roman" w:cs="Times New Roman"/>
          <w:sz w:val="24"/>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ascii="Times New Roman" w:hAnsi="Times New Roman" w:cs="Times New Roman"/>
          <w:sz w:val="24"/>
          <w:szCs w:val="24"/>
        </w:rPr>
        <w:fldChar w:fldCharType="separate"/>
      </w:r>
      <w:r w:rsidRPr="00C123C1">
        <w:rPr>
          <w:rFonts w:ascii="Times New Roman" w:hAnsi="Times New Roman" w:cs="Times New Roman"/>
          <w:sz w:val="24"/>
          <w:szCs w:val="24"/>
        </w:rPr>
        <w:t>(</w:t>
      </w:r>
      <w:hyperlink w:anchor="_ENREF_17" w:tooltip="Chapman, 1994 #86" w:history="1">
        <w:r w:rsidR="00B15FB2" w:rsidRPr="00C123C1">
          <w:rPr>
            <w:rFonts w:ascii="Times New Roman" w:hAnsi="Times New Roman" w:cs="Times New Roman"/>
            <w:sz w:val="24"/>
            <w:szCs w:val="24"/>
          </w:rPr>
          <w:t>Chapman 1994</w:t>
        </w:r>
      </w:hyperlink>
      <w:r w:rsidRPr="00C123C1">
        <w:rPr>
          <w:rFonts w:ascii="Times New Roman" w:hAnsi="Times New Roman" w:cs="Times New Roman"/>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In a large scale survey conducted on the UCP, </w:t>
      </w:r>
      <w:r w:rsidR="00B33E6D" w:rsidRPr="00C123C1">
        <w:rPr>
          <w:rFonts w:ascii="Times New Roman" w:hAnsi="Times New Roman" w:cs="Times New Roman"/>
          <w:sz w:val="24"/>
          <w:szCs w:val="24"/>
        </w:rPr>
        <w:fldChar w:fldCharType="begin"/>
      </w:r>
      <w:r w:rsidRPr="00C123C1">
        <w:rPr>
          <w:rFonts w:ascii="Times New Roman" w:hAnsi="Times New Roman" w:cs="Times New Roman"/>
          <w:sz w:val="24"/>
          <w:szCs w:val="24"/>
        </w:rPr>
        <w:instrText xml:space="preserve"> ADDIN EN.CITE &lt;EndNote&gt;&lt;Cite AuthorYear="1"&gt;&lt;Author&gt;Franklin&lt;/Author&gt;&lt;Year&gt;2002&lt;/Year&gt;&lt;RecNum&gt;61&lt;/RecNum&gt;&lt;DisplayText&gt;Franklin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ascii="Times New Roman" w:hAnsi="Times New Roman" w:cs="Times New Roman"/>
          <w:sz w:val="24"/>
          <w:szCs w:val="24"/>
        </w:rPr>
        <w:fldChar w:fldCharType="separate"/>
      </w:r>
      <w:hyperlink w:anchor="_ENREF_29" w:tooltip="Franklin, 2002 #61" w:history="1">
        <w:r w:rsidR="00B15FB2" w:rsidRPr="00C123C1">
          <w:rPr>
            <w:rFonts w:ascii="Times New Roman" w:hAnsi="Times New Roman" w:cs="Times New Roman"/>
            <w:sz w:val="24"/>
            <w:szCs w:val="24"/>
          </w:rPr>
          <w:t>Franklin (2002</w:t>
        </w:r>
      </w:hyperlink>
      <w:r w:rsidRPr="00C123C1">
        <w:rPr>
          <w:rFonts w:ascii="Times New Roman" w:hAnsi="Times New Roman" w:cs="Times New Roman"/>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recorded 23 rock shelter sites with an Early Archaic cultural component </w:t>
      </w:r>
      <w:r w:rsidR="00B33E6D" w:rsidRPr="00C123C1">
        <w:rPr>
          <w:rFonts w:ascii="Times New Roman" w:hAnsi="Times New Roman" w:cs="Times New Roman"/>
          <w:sz w:val="24"/>
          <w:szCs w:val="24"/>
        </w:rPr>
        <w:fldChar w:fldCharType="begin"/>
      </w:r>
      <w:r w:rsidRPr="00C123C1">
        <w:rPr>
          <w:rFonts w:ascii="Times New Roman" w:hAnsi="Times New Roman" w:cs="Times New Roman"/>
          <w:sz w:val="24"/>
          <w:szCs w:val="24"/>
        </w:rPr>
        <w:instrText xml:space="preserve"> ADDIN EN.CITE &lt;EndNote&gt;&lt;Cite ExcludeAuth="1"&gt;&lt;Author&gt;Franklin&lt;/Author&gt;&lt;Year&gt;2002&lt;/Year&gt;&lt;RecNum&gt;61&lt;/RecNum&gt;&lt;Suffix&gt;:202&lt;/Suffix&gt;&lt;DisplayText&gt;(2002:202)&lt;/DisplayText&gt;&lt;record&gt;&lt;rec-number&gt;61&lt;/rec-number&gt;&lt;foreign-keys&gt;&lt;key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ascii="Times New Roman" w:hAnsi="Times New Roman" w:cs="Times New Roman"/>
          <w:sz w:val="24"/>
          <w:szCs w:val="24"/>
        </w:rPr>
        <w:fldChar w:fldCharType="separate"/>
      </w:r>
      <w:r w:rsidRPr="00C123C1">
        <w:rPr>
          <w:rFonts w:ascii="Times New Roman" w:hAnsi="Times New Roman" w:cs="Times New Roman"/>
          <w:sz w:val="24"/>
          <w:szCs w:val="24"/>
        </w:rPr>
        <w:t>(</w:t>
      </w:r>
      <w:hyperlink w:anchor="_ENREF_29" w:tooltip="Franklin, 2002 #61" w:history="1">
        <w:r w:rsidR="00B15FB2" w:rsidRPr="00C123C1">
          <w:rPr>
            <w:rFonts w:ascii="Times New Roman" w:hAnsi="Times New Roman" w:cs="Times New Roman"/>
            <w:sz w:val="24"/>
            <w:szCs w:val="24"/>
          </w:rPr>
          <w:t>2002:202</w:t>
        </w:r>
      </w:hyperlink>
      <w:r w:rsidRPr="00C123C1">
        <w:rPr>
          <w:rFonts w:ascii="Times New Roman" w:hAnsi="Times New Roman" w:cs="Times New Roman"/>
          <w:sz w:val="24"/>
          <w:szCs w:val="24"/>
        </w:rPr>
        <w:t>)</w:t>
      </w:r>
      <w:r w:rsidR="00B33E6D" w:rsidRPr="00C123C1">
        <w:rPr>
          <w:rFonts w:ascii="Times New Roman" w:hAnsi="Times New Roman" w:cs="Times New Roman"/>
          <w:sz w:val="24"/>
          <w:szCs w:val="24"/>
        </w:rPr>
        <w:fldChar w:fldCharType="end"/>
      </w:r>
      <w:r w:rsidRPr="00C123C1">
        <w:rPr>
          <w:rFonts w:ascii="Times New Roman" w:hAnsi="Times New Roman" w:cs="Times New Roman"/>
          <w:sz w:val="24"/>
          <w:szCs w:val="24"/>
        </w:rPr>
        <w:t xml:space="preserve">, and concluded that the “Early </w:t>
      </w:r>
      <w:r w:rsidRPr="00C123C1">
        <w:rPr>
          <w:rFonts w:ascii="Times New Roman" w:hAnsi="Times New Roman" w:cs="Times New Roman"/>
          <w:sz w:val="24"/>
          <w:szCs w:val="24"/>
        </w:rPr>
        <w:lastRenderedPageBreak/>
        <w:t xml:space="preserve">Archaic is well represented on the UCP”. No Early Archaic artifacts were recovered from excavations at Sachsen Cave Shelter. </w:t>
      </w:r>
    </w:p>
    <w:p w:rsidR="00C123C1" w:rsidRPr="00C123C1" w:rsidRDefault="00C123C1" w:rsidP="00C123C1">
      <w:pPr>
        <w:tabs>
          <w:tab w:val="left" w:pos="720"/>
        </w:tabs>
        <w:spacing w:after="0" w:line="480" w:lineRule="auto"/>
        <w:rPr>
          <w:rFonts w:cs="Times New Roman"/>
          <w:szCs w:val="24"/>
        </w:rPr>
      </w:pPr>
      <w:r w:rsidRPr="00C123C1">
        <w:rPr>
          <w:rFonts w:cs="Times New Roman"/>
          <w:i/>
          <w:szCs w:val="24"/>
        </w:rPr>
        <w:tab/>
      </w:r>
      <w:r w:rsidRPr="00C123C1">
        <w:rPr>
          <w:rFonts w:cs="Times New Roman"/>
          <w:szCs w:val="24"/>
        </w:rPr>
        <w:t xml:space="preserve">The Middle Archaic (8,900-5,800 cal. B.P.) is primarily characterized by changes associated with the onset of the Hpsythermal/Altithermal/Mid-Holocene Climatic Optimum (Anderson and Sassaman 2012, Chapman 1994). This period of warm and dry conditions was the peak of a steady warming trend since the end of the Pleistocene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These conditions caused a shift in vegetation during this time. Grasslands moved eastward, rivers became slow and sluggish and the uplands possibly saw a marked deterioration </w:t>
      </w:r>
      <w:r w:rsidR="00B33E6D" w:rsidRPr="00C123C1">
        <w:rPr>
          <w:rFonts w:cs="Times New Roman"/>
          <w:szCs w:val="24"/>
        </w:rPr>
        <w:fldChar w:fldCharType="begin"/>
      </w:r>
      <w:r w:rsidRPr="00C123C1">
        <w:rPr>
          <w:rFonts w:cs="Times New Roman"/>
          <w:szCs w:val="24"/>
        </w:rPr>
        <w:instrText xml:space="preserve"> ADDIN EN.CITE &lt;EndNote&gt;&lt;Cite&gt;&lt;Author&gt;Steponaitis&lt;/Author&gt;&lt;Year&gt;1986&lt;/Year&gt;&lt;RecNum&gt;87&lt;/RecNum&gt;&lt;DisplayText&gt;(Steponaitis 1986)&lt;/DisplayText&gt;&lt;record&gt;&lt;rec-number&gt;87&lt;/rec-number&gt;&lt;foreign-keys&gt;&lt;key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85" w:tooltip="Steponaitis, 1986 #87" w:history="1">
        <w:r w:rsidR="00B15FB2" w:rsidRPr="00C123C1">
          <w:rPr>
            <w:rFonts w:cs="Times New Roman"/>
            <w:noProof/>
            <w:szCs w:val="24"/>
          </w:rPr>
          <w:t>Steponaitis 1986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Shellfish began being exploited to a great extent during this time and this is especially evident at shell midden sites along rivers in Kentucky, Tennessee and Alabama. These shell middens were repositories for cultural refuse, as well as deceased humans and dogs, both of which were often intentionally buried in these shell middens </w:t>
      </w:r>
      <w:r w:rsidR="00B33E6D" w:rsidRPr="00C123C1">
        <w:rPr>
          <w:rFonts w:cs="Times New Roman"/>
          <w:szCs w:val="24"/>
        </w:rPr>
        <w:fldChar w:fldCharType="begin"/>
      </w:r>
      <w:r w:rsidRPr="00C123C1">
        <w:rPr>
          <w:rFonts w:cs="Times New Roman"/>
          <w:szCs w:val="24"/>
        </w:rPr>
        <w:instrText xml:space="preserve"> ADDIN EN.CITE &lt;EndNote&gt;&lt;Cite&gt;&lt;Author&gt;Sassaman&lt;/Author&gt;&lt;Year&gt;2010&lt;/Year&gt;&lt;RecNum&gt;111&lt;/RecNum&gt;&lt;DisplayText&gt;(Sassaman 2010)&lt;/DisplayText&gt;&lt;record&gt;&lt;rec-number&gt;111&lt;/rec-number&gt;&lt;foreign-keys&gt;&lt;key app="EN" db-id="pvwvsv0fktzv2weszt4xp95xstrzawadapa0"&gt;111&lt;/key&gt;&lt;/foreign-keys&gt;&lt;ref-type name="Book"&gt;6&lt;/ref-type&gt;&lt;contributors&gt;&lt;authors&gt;&lt;author&gt;Kenneth E. Sassaman&lt;/author&gt;&lt;/authors&gt;&lt;/contributors&gt;&lt;titles&gt;&lt;title&gt;The Eastern Archaic, Historicized.&lt;/title&gt;&lt;/titles&gt;&lt;dates&gt;&lt;year&gt;2010&lt;/year&gt;&lt;/dates&gt;&lt;pub-location&gt;Lanham, Maryland &lt;/pub-location&gt;&lt;publisher&gt;AltaMira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75" w:tooltip="Sassaman, 2010 #111" w:history="1">
        <w:r w:rsidR="00B15FB2" w:rsidRPr="00C123C1">
          <w:rPr>
            <w:rFonts w:cs="Times New Roman"/>
            <w:noProof/>
            <w:szCs w:val="24"/>
          </w:rPr>
          <w:t>Sassaman 2010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Middle Archaic projectile points continued to consist of stemmed and notched varieties and notched pebbles and atlatl weights (or bannerstones) become common in Middle Archaic context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.Very few Middle Archaic components have been identified on the UCP and it is suggested that occupational intensity was low during this time period </w:t>
      </w:r>
      <w:r w:rsidR="00B33E6D" w:rsidRPr="00C123C1">
        <w:rPr>
          <w:rFonts w:cs="Times New Roman"/>
          <w:szCs w:val="24"/>
        </w:rPr>
        <w:fldChar w:fldCharType="begin"/>
      </w:r>
      <w:r w:rsidR="007D6E92">
        <w:rPr>
          <w:rFonts w:cs="Times New Roman"/>
          <w:szCs w:val="24"/>
        </w:rPr>
        <w:instrText xml:space="preserve"> ADDIN EN.CITE &lt;EndNote&gt;&lt;Cite&gt;&lt;Author&gt;Franklin&lt;/Author&gt;&lt;Year&gt;2002&lt;/Year&gt;&lt;RecNum&gt;61&lt;/RecNum&gt;&lt;Suffix&gt;:202-203&lt;/Suffix&gt;&lt;DisplayText&gt;(Des Jean and Benthall 1994:120; Franklin 2002:202-203)&lt;/DisplayText&gt;&lt;record&gt;&lt;rec-number&gt;61&lt;/rec-number&gt;&lt;foreign-keys&gt;&lt;key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Tennessee&lt;/publisher&gt;&lt;urls&gt;&lt;/urls&gt;&lt;/record&gt;&lt;/Cite&gt;&lt;Cite&gt;&lt;Author&gt;Des Jean&lt;/Author&gt;&lt;Year&gt;1994&lt;/Year&gt;&lt;RecNum&gt;110&lt;/RecNum&gt;&lt;Suffix&gt;:120&lt;/Suffix&gt;&lt;record&gt;&lt;rec-number&gt;110&lt;/rec-number&gt;&lt;foreign-keys&gt;&lt;key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25" w:tooltip="Des Jean, 1994 #110" w:history="1">
        <w:r w:rsidR="00B15FB2">
          <w:rPr>
            <w:rFonts w:cs="Times New Roman"/>
            <w:noProof/>
            <w:szCs w:val="24"/>
          </w:rPr>
          <w:t>Des Jean and Benthall 1994:120</w:t>
        </w:r>
      </w:hyperlink>
      <w:r w:rsidR="007D6E92">
        <w:rPr>
          <w:rFonts w:cs="Times New Roman"/>
          <w:noProof/>
          <w:szCs w:val="24"/>
        </w:rPr>
        <w:t xml:space="preserve">; </w:t>
      </w:r>
      <w:hyperlink w:anchor="_ENREF_29" w:tooltip="Franklin, 2002 #61" w:history="1">
        <w:r w:rsidR="00B15FB2">
          <w:rPr>
            <w:rFonts w:cs="Times New Roman"/>
            <w:noProof/>
            <w:szCs w:val="24"/>
          </w:rPr>
          <w:t>Franklin 2002:202-203</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The earliest dates from Sachsen Cave Shelter are technically late Middle Archaic </w:t>
      </w:r>
      <w:r w:rsidR="00B24EF3">
        <w:rPr>
          <w:rFonts w:cs="Times New Roman"/>
          <w:szCs w:val="24"/>
        </w:rPr>
        <w:t xml:space="preserve">(see Table X) </w:t>
      </w:r>
      <w:r w:rsidR="00B33E6D" w:rsidRPr="00C123C1">
        <w:rPr>
          <w:rFonts w:cs="Times New Roman"/>
          <w:szCs w:val="24"/>
        </w:rPr>
        <w:fldChar w:fldCharType="begin"/>
      </w:r>
      <w:r w:rsidR="007D6E92">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30" w:tooltip="Franklin, 2010 #67" w:history="1">
        <w:r w:rsidR="00B15FB2">
          <w:rPr>
            <w:rFonts w:cs="Times New Roman"/>
            <w:noProof/>
            <w:szCs w:val="24"/>
          </w:rPr>
          <w:t>Franklin, et al. 2010</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 xml:space="preserve">The end of the Archaic, known as the Late Archaic Period (5,800-3,200 cal. BP), is a time period characterized by climatic conditions similar to those of today and four major changes to previous settlement/subsistence patterns </w:t>
      </w:r>
      <w:r w:rsidR="00B33E6D" w:rsidRPr="00C123C1">
        <w:rPr>
          <w:rFonts w:cs="Times New Roman"/>
          <w:szCs w:val="24"/>
        </w:rPr>
        <w:fldChar w:fldCharType="begin"/>
      </w:r>
      <w:r w:rsidR="007D6E92">
        <w:rPr>
          <w:rFonts w:cs="Times New Roman"/>
          <w:szCs w:val="24"/>
        </w:rPr>
        <w:instrText xml:space="preserve"> ADDIN EN.CITE &lt;EndNote&gt;&lt;Cite&gt;&lt;Author&gt;Steponaitis&lt;/Author&gt;&lt;Year&gt;1986&lt;/Year&gt;&lt;RecNum&gt;87&lt;/RecNum&gt;&lt;Suffix&gt;:373-374&lt;/Suffix&gt;&lt;DisplayText&gt;(Anderson and Sassaman 2012; Steponaitis 1986:373-374)&lt;/DisplayText&gt;&lt;record&gt;&lt;rec-number&gt;87&lt;/rec-number&gt;&lt;foreign-keys&gt;&lt;key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Cite&gt;&lt;Author&gt;Anderson&lt;/Author&gt;&lt;Year&gt;2012&lt;/Year&gt;&lt;RecNum&gt;88&lt;/RecNum&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1986:373-374</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First, the adoption of cultivated plants, such as squash, gourds, sunflower, goosefoot, maygrass and knotweed occurs during the Late Archaic Period. These cultivated </w:t>
      </w:r>
      <w:r w:rsidRPr="00C123C1">
        <w:rPr>
          <w:rFonts w:cs="Times New Roman"/>
          <w:szCs w:val="24"/>
        </w:rPr>
        <w:lastRenderedPageBreak/>
        <w:t xml:space="preserve">plants supplemented the still mainly wild diet of Late </w:t>
      </w:r>
      <w:r w:rsidR="00205AD2" w:rsidRPr="00C123C1">
        <w:rPr>
          <w:rFonts w:cs="Times New Roman"/>
          <w:szCs w:val="24"/>
        </w:rPr>
        <w:t>Archaic</w:t>
      </w:r>
      <w:r w:rsidRPr="00C123C1">
        <w:rPr>
          <w:rFonts w:cs="Times New Roman"/>
          <w:szCs w:val="24"/>
        </w:rPr>
        <w:t xml:space="preserve"> peoples. Second, large dense midden accumulations are common at Late Archaic sites, corresponding with an interpretation of long-term/more frequent use </w:t>
      </w:r>
      <w:r w:rsidR="00B33E6D" w:rsidRPr="00C123C1">
        <w:rPr>
          <w:rFonts w:cs="Times New Roman"/>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YXRlcz48dXJscz48L3VybHM+PC9yZWNvcmQ+PC9DaXRlPjxDaXRlPjxBdXRob3I+Q2hhcG1hbjwv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cs="Times New Roman"/>
          <w:szCs w:val="24"/>
        </w:rPr>
        <w:instrText xml:space="preserve"> ADDIN EN.CITE </w:instrText>
      </w:r>
      <w:r w:rsidR="00B33E6D">
        <w:rPr>
          <w:rFonts w:cs="Times New Roman"/>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YXRlcz48dXJscz48L3VybHM+PC9yZWNvcmQ+PC9DaXRlPjxDaXRlPjxBdXRob3I+Q2hhcG1hbjwv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cs="Times New Roman"/>
          <w:szCs w:val="24"/>
        </w:rPr>
        <w:instrText xml:space="preserve"> ADDIN EN.CITE.DATA </w:instrText>
      </w:r>
      <w:r w:rsidR="00B33E6D">
        <w:rPr>
          <w:rFonts w:cs="Times New Roman"/>
          <w:szCs w:val="24"/>
        </w:rPr>
      </w:r>
      <w:r w:rsidR="00B33E6D">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17" w:tooltip="Chapman, 1994 #86" w:history="1">
        <w:r w:rsidR="00B15FB2">
          <w:rPr>
            <w:rFonts w:cs="Times New Roman"/>
            <w:noProof/>
            <w:szCs w:val="24"/>
          </w:rPr>
          <w:t>Chapman 1994</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Third, the Late Archaic Period is known as the ‘container revolution,’ as the first pottery was introduced around 5000 cal. BP, and other containers, such as steatite bowls and large storage pits are commonalities at Late Archaic sites </w:t>
      </w:r>
      <w:r w:rsidR="00B33E6D" w:rsidRPr="00C123C1">
        <w:rPr>
          <w:rFonts w:cs="Times New Roman"/>
          <w:szCs w:val="24"/>
        </w:rPr>
        <w:fldChar w:fldCharType="begin">
          <w:fldData xml:space="preserve">PEVuZE5vdGU+PENpdGU+PEF1dGhvcj5DaGFwbWFuPC9BdXRob3I+PFllYXI+MTk5NDwvWWVhcj48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cs="Times New Roman"/>
          <w:szCs w:val="24"/>
        </w:rPr>
        <w:instrText xml:space="preserve"> ADDIN EN.CITE </w:instrText>
      </w:r>
      <w:r w:rsidR="00B33E6D">
        <w:rPr>
          <w:rFonts w:cs="Times New Roman"/>
          <w:szCs w:val="24"/>
        </w:rPr>
        <w:fldChar w:fldCharType="begin">
          <w:fldData xml:space="preserve">PEVuZE5vdGU+PENpdGU+PEF1dGhvcj5DaGFwbWFuPC9BdXRob3I+PFllYXI+MTk5NDwvWWVhcj48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</w:fldData>
        </w:fldChar>
      </w:r>
      <w:r w:rsidR="007D6E92">
        <w:rPr>
          <w:rFonts w:cs="Times New Roman"/>
          <w:szCs w:val="24"/>
        </w:rPr>
        <w:instrText xml:space="preserve"> ADDIN EN.CITE.DATA </w:instrText>
      </w:r>
      <w:r w:rsidR="00B33E6D">
        <w:rPr>
          <w:rFonts w:cs="Times New Roman"/>
          <w:szCs w:val="24"/>
        </w:rPr>
      </w:r>
      <w:r w:rsidR="00B33E6D">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17" w:tooltip="Chapman, 1994 #86" w:history="1">
        <w:r w:rsidR="00B15FB2">
          <w:rPr>
            <w:rFonts w:cs="Times New Roman"/>
            <w:noProof/>
            <w:szCs w:val="24"/>
          </w:rPr>
          <w:t>Chapman 1994</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Lastly, the Late Archaic Period witnesses the first widespread trade networks across the Southeast of items such as marine shell, copper, steatite, greenstone, slate and diverse cherts </w:t>
      </w:r>
      <w:r w:rsidR="00B33E6D" w:rsidRPr="00C123C1">
        <w:rPr>
          <w:rFonts w:cs="Times New Roman"/>
          <w:szCs w:val="24"/>
        </w:rPr>
        <w:fldChar w:fldCharType="begin"/>
      </w:r>
      <w:r w:rsidRPr="00C123C1">
        <w:rPr>
          <w:rFonts w:cs="Times New Roman"/>
          <w:szCs w:val="24"/>
        </w:rPr>
        <w:instrText xml:space="preserve"> ADDIN EN.CITE &lt;EndNote&gt;&lt;Cite&gt;&lt;Author&gt;Steponaitis&lt;/Author&gt;&lt;Year&gt;1986&lt;/Year&gt;&lt;RecNum&gt;87&lt;/RecNum&gt;&lt;Suffix&gt;:373&lt;/Suffix&gt;&lt;DisplayText&gt;(Steponaitis 1986:373)&lt;/DisplayText&gt;&lt;record&gt;&lt;rec-number&gt;87&lt;/rec-number&gt;&lt;foreign-keys&gt;&lt;key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85" w:tooltip="Steponaitis, 1986 #87" w:history="1">
        <w:r w:rsidR="00B15FB2" w:rsidRPr="00C123C1">
          <w:rPr>
            <w:rFonts w:cs="Times New Roman"/>
            <w:noProof/>
            <w:szCs w:val="24"/>
          </w:rPr>
          <w:t>Steponaitis 1986:373</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 xml:space="preserve">It is likely that populations increased during the Late Archaic Period, corresponding with the cultivation of plants, more and varied site types, dense midden accumulations and long-distance trade networks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In general, people became more settled during this time period, likely employing more of a collector mobility strategy, rather than forager. On the UCP, many more Late Archaic sites have been identified than Paleoindian, Early Archaic and Middle Archaic sites combined; however, the first intensive use of the region occurred during the Woodland Period (see below). Nonetheless, Late Archaic peoples utilized the UCP to a great extent </w:t>
      </w:r>
      <w:r w:rsidR="00B33E6D"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&lt;EndNote&gt;&lt;Cite&gt;&lt;Author&gt;Franklin&lt;/Author&gt;&lt;Year&gt;2002&lt;/Year&gt;&lt;RecNum&gt;61&lt;/RecNum&gt;&lt;Suffix&gt;:219&lt;/Suffix&gt;&lt;DisplayText&gt;(Franklin 2002:219)&lt;/DisplayText&gt;&lt;record&gt;&lt;rec-number&gt;61&lt;/rec-number&gt;&lt;foreign-keys&gt;&lt;key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2002:219</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and it is hypothesized that some Late Archaic peoples lived year-round on the UCP </w:t>
      </w:r>
      <w:r w:rsidR="00B33E6D" w:rsidRPr="00C123C1">
        <w:rPr>
          <w:rFonts w:cs="Times New Roman"/>
          <w:szCs w:val="24"/>
        </w:rPr>
        <w:fldChar w:fldCharType="begin"/>
      </w:r>
      <w:r w:rsidR="007D6E92">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30" w:tooltip="Franklin, 2010 #67" w:history="1">
        <w:r w:rsidR="00B15FB2">
          <w:rPr>
            <w:rFonts w:cs="Times New Roman"/>
            <w:noProof/>
            <w:szCs w:val="24"/>
          </w:rPr>
          <w:t>Franklin, et al. 2010</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 xml:space="preserve">The major cultural component at Sachsen Cave Shelter is Late Archaic. This is based primarily on the radiocarbon dates from the site (see Chapter 4), </w:t>
      </w:r>
      <w:r w:rsidR="00205AD2">
        <w:rPr>
          <w:rFonts w:cs="Times New Roman"/>
          <w:szCs w:val="24"/>
        </w:rPr>
        <w:t xml:space="preserve">and </w:t>
      </w:r>
      <w:r w:rsidRPr="00C123C1">
        <w:rPr>
          <w:rFonts w:cs="Times New Roman"/>
          <w:szCs w:val="24"/>
        </w:rPr>
        <w:t xml:space="preserve">also the projectile point assemblage (mostly Wade, Matanza and Merom bifaces) </w:t>
      </w:r>
      <w:r w:rsidR="00B33E6D" w:rsidRPr="00C123C1">
        <w:rPr>
          <w:rFonts w:cs="Times New Roman"/>
          <w:szCs w:val="24"/>
        </w:rPr>
        <w:fldChar w:fldCharType="begin"/>
      </w:r>
      <w:r w:rsidR="007D6E92">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30" w:tooltip="Franklin, 2010 #67" w:history="1">
        <w:r w:rsidR="00B15FB2">
          <w:rPr>
            <w:rFonts w:cs="Times New Roman"/>
            <w:noProof/>
            <w:szCs w:val="24"/>
          </w:rPr>
          <w:t>Franklin, et al. 2010</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Other characteristics of Late Archaic culture are represented in other aspects of the site, including a large midden deposit, steatite stone bowl fragments, indirect evidence of storage given the </w:t>
      </w:r>
      <w:r w:rsidRPr="00C123C1">
        <w:rPr>
          <w:rFonts w:cs="Times New Roman"/>
          <w:szCs w:val="24"/>
        </w:rPr>
        <w:lastRenderedPageBreak/>
        <w:t xml:space="preserve">seemingly intensive processing of nut mast. These features will be discussed further in Chapter 4. </w:t>
      </w:r>
    </w:p>
    <w:p w:rsidR="00C123C1" w:rsidRPr="00C123C1" w:rsidRDefault="00C123C1" w:rsidP="00C123C1">
      <w:pPr>
        <w:pStyle w:val="Heading2"/>
      </w:pPr>
      <w:bookmarkStart w:id="17" w:name="_Toc342503661"/>
      <w:bookmarkStart w:id="18" w:name="_Toc349507281"/>
      <w:r w:rsidRPr="00C123C1">
        <w:t>The Woodland Period</w:t>
      </w:r>
      <w:bookmarkEnd w:id="17"/>
      <w:r w:rsidRPr="00C123C1">
        <w:t xml:space="preserve"> (3,200 – 1,000 cal. BP)</w:t>
      </w:r>
      <w:bookmarkEnd w:id="18"/>
    </w:p>
    <w:p w:rsidR="00C123C1" w:rsidRPr="00C123C1" w:rsidRDefault="00C123C1" w:rsidP="00C123C1">
      <w:pPr>
        <w:spacing w:after="0" w:line="480" w:lineRule="auto"/>
        <w:rPr>
          <w:rFonts w:cs="Times New Roman"/>
          <w:szCs w:val="24"/>
        </w:rPr>
      </w:pPr>
      <w:r w:rsidRPr="00C123C1">
        <w:rPr>
          <w:rFonts w:cs="Times New Roman"/>
          <w:szCs w:val="24"/>
        </w:rPr>
        <w:tab/>
        <w:t xml:space="preserve">The Woodland Period is a relatively short time period compared to the Archaic, but is characterized by many changes that build on those in the early stages of development in the Archaic. Similar to the Archaic Period, the Woodland is separated into Early, Middle and Late phases, each defined by its own set of parameters. The Woodland Period is characterized by marked regionalism apparent in the material culture of Woodland peoples of the Southeast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&lt;EndNote&gt;&lt;Cite&gt;&lt;Author&gt;Anderson&lt;/Author&gt;&lt;Year&gt;2012&lt;/Year&gt;&lt;RecNum&gt;88&lt;/RecNum&gt;&lt;Suffix&gt;:112&lt;/Suffix&gt;&lt;DisplayText&gt;(Anderson and Sassaman 2012:112)&lt;/DisplayText&gt;&lt;record&gt;&lt;rec-number&gt;88&lt;/rec-number&gt;&lt;foreign-keys&gt;&lt;key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This is largely connected to the widespread distribution of various pottery vessels tethered to specific areas and times. The Woodland is also characterized by an increased reliance on seeds, increased sedentism, and elaborate mortuary practices during the Middle Woodland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&lt;EndNote&gt;&lt;Cite&gt;&lt;Author&gt;Anderson&lt;/Author&gt;&lt;Year&gt;2012&lt;/Year&gt;&lt;RecNum&gt;88&lt;/RecNum&gt;&lt;Suffix&gt;:114&lt;/Suffix&gt;&lt;DisplayText&gt;(Anderson and Sassaman 2012:114)&lt;/DisplayText&gt;&lt;record&gt;&lt;rec-number&gt;88&lt;/rec-number&gt;&lt;foreign-keys&gt;&lt;key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2012:114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Woodland, like the Archaic is as a transitional period that sets the stage for the later Mississippian cultural developments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first intensive use of the UCP begins during the Woodland Period </w:t>
      </w:r>
      <w:r w:rsidR="00B33E6D"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spacing w:after="0" w:line="480" w:lineRule="auto"/>
        <w:rPr>
          <w:rFonts w:cs="Times New Roman"/>
          <w:szCs w:val="24"/>
        </w:rPr>
      </w:pPr>
      <w:r w:rsidRPr="00C123C1">
        <w:rPr>
          <w:rFonts w:cs="Times New Roman"/>
          <w:szCs w:val="24"/>
        </w:rPr>
        <w:tab/>
        <w:t>The Early Woodland Period (1,200-100 BC) is characterized by the dispersed, small and semi-permanent communities no longer tethered by the Late Archaic exchange networks</w:t>
      </w:r>
      <w:r w:rsidR="00994744">
        <w:rPr>
          <w:rFonts w:cs="Times New Roman"/>
          <w:szCs w:val="24"/>
        </w:rPr>
        <w:t xml:space="preserve"> </w:t>
      </w:r>
      <w:r w:rsidR="00B33E6D" w:rsidRPr="00C123C1">
        <w:rPr>
          <w:rFonts w:cs="Times New Roman"/>
          <w:szCs w:val="24"/>
        </w:rPr>
        <w:fldChar w:fldCharType="begin"/>
      </w:r>
      <w:r w:rsidR="007D6E92">
        <w:rPr>
          <w:rFonts w:cs="Times New Roman"/>
          <w:szCs w:val="24"/>
        </w:rPr>
        <w:instrText xml:space="preserve"> ADDIN EN.CITE &lt;EndNote&gt;&lt;Cite&gt;&lt;Author&gt;Anderson&lt;/Author&gt;&lt;Year&gt;2012&lt;/Year&gt;&lt;RecNum&gt;88&lt;/RecNum&gt;&lt;Suffix&gt;:114&lt;/Suffix&gt;&lt;DisplayText&gt;(Anderson and Sassaman 2012:114; Chapman 1994:63)&lt;/DisplayText&gt;&lt;record&gt;&lt;rec-number&gt;88&lt;/rec-number&gt;&lt;foreign-keys&gt;&lt;key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Cite&gt;&lt;Author&gt;Chapman&lt;/Author&gt;&lt;Year&gt;1994&lt;/Year&gt;&lt;RecNum&gt;86&lt;/RecNum&gt;&lt;Suffix&gt;:63&lt;/Suffix&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2012:114</w:t>
        </w:r>
      </w:hyperlink>
      <w:r w:rsidR="007D6E92">
        <w:rPr>
          <w:rFonts w:cs="Times New Roman"/>
          <w:noProof/>
          <w:szCs w:val="24"/>
        </w:rPr>
        <w:t xml:space="preserve">; </w:t>
      </w:r>
      <w:hyperlink w:anchor="_ENREF_17" w:tooltip="Chapman, 1994 #86" w:history="1">
        <w:r w:rsidR="00B15FB2">
          <w:rPr>
            <w:rFonts w:cs="Times New Roman"/>
            <w:noProof/>
            <w:szCs w:val="24"/>
          </w:rPr>
          <w:t>Chapman 1994:63</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There is limited archaeological visibility of the Early Woodland Period – many formerly utilized sites are abandoned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&lt;EndNote&gt;&lt;Cite&gt;&lt;Author&gt;Anderson&lt;/Author&gt;&lt;Year&gt;2012&lt;/Year&gt;&lt;RecNum&gt;88&lt;/RecNum&gt;&lt;Suffix&gt;:115&lt;/Suffix&gt;&lt;DisplayText&gt;(Anderson and Sassaman 2012:115)&lt;/DisplayText&gt;&lt;record&gt;&lt;rec-number&gt;88&lt;/rec-number&gt;&lt;foreign-keys&gt;&lt;key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2012:115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However, the first widespread use of pottery occurs during the Early Woodland Period. </w:t>
      </w:r>
      <w:r w:rsidR="00B33E6D" w:rsidRPr="00C123C1">
        <w:rPr>
          <w:rFonts w:cs="Times New Roman"/>
          <w:szCs w:val="24"/>
        </w:rPr>
        <w:fldChar w:fldCharType="begin"/>
      </w:r>
      <w:r w:rsidRPr="00C123C1">
        <w:rPr>
          <w:rFonts w:cs="Times New Roman"/>
          <w:szCs w:val="24"/>
        </w:rPr>
        <w:instrText xml:space="preserve"> ADDIN EN.CITE &lt;EndNote&gt;&lt;Cite AuthorYear="1"&gt;&lt;Author&gt;Anderson&lt;/Author&gt;&lt;Year&gt;2012&lt;/Year&gt;&lt;RecNum&gt;88&lt;/RecNum&gt;&lt;DisplayText&gt;Anderson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suggest the changes in settlement are associated with the widespread use of pottery. Pottery would have aided in storage of seeds, especially of the Late Archaic cultigens maygrass and knotweed and the now domesticated </w:t>
      </w:r>
      <w:r w:rsidRPr="00C123C1">
        <w:rPr>
          <w:rFonts w:cs="Times New Roman"/>
          <w:szCs w:val="24"/>
        </w:rPr>
        <w:lastRenderedPageBreak/>
        <w:t xml:space="preserve">sunflower and goosefoot </w:t>
      </w:r>
      <w:r w:rsidR="00B33E6D" w:rsidRPr="00C123C1">
        <w:rPr>
          <w:rFonts w:cs="Times New Roman"/>
          <w:szCs w:val="24"/>
        </w:rPr>
        <w:fldChar w:fldCharType="begin"/>
      </w:r>
      <w:r w:rsidRPr="00C123C1">
        <w:rPr>
          <w:rFonts w:cs="Times New Roman"/>
          <w:szCs w:val="24"/>
        </w:rPr>
        <w:instrText xml:space="preserve"> ADDIN EN.CITE &lt;EndNote&gt;&lt;Cite&gt;&lt;Author&gt;Steponaitis&lt;/Author&gt;&lt;Year&gt;1986&lt;/Year&gt;&lt;RecNum&gt;87&lt;/RecNum&gt;&lt;Suffix&gt;:379&lt;/Suffix&gt;&lt;DisplayText&gt;(Steponaitis 1986:379)&lt;/DisplayText&gt;&lt;record&gt;&lt;rec-number&gt;87&lt;/rec-number&gt;&lt;foreign-keys&gt;&lt;key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85" w:tooltip="Steponaitis, 1986 #87" w:history="1">
        <w:r w:rsidR="00B15FB2" w:rsidRPr="00C123C1">
          <w:rPr>
            <w:rFonts w:cs="Times New Roman"/>
            <w:noProof/>
            <w:szCs w:val="24"/>
          </w:rPr>
          <w:t>Steponaitis 1986:379</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Early Woodland people lived in more permanent communities than earlier Archaic peoples. This is evidenced in the widespread use of pottery, the construction of small conical burial mounds, which began around 700 B.C.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&lt;EndNote&gt;&lt;Cite&gt;&lt;Author&gt;Anderson&lt;/Author&gt;&lt;Year&gt;2012&lt;/Year&gt;&lt;RecNum&gt;88&lt;/RecNum&gt;&lt;Suffix&gt;:116&lt;/Suffix&gt;&lt;DisplayText&gt;(Anderson and Sassaman 2012:116)&lt;/DisplayText&gt;&lt;record&gt;&lt;rec-number&gt;88&lt;/rec-number&gt;&lt;foreign-keys&gt;&lt;key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2012:116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and evidence of structures at some sites in the Little Tennessee River Valley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&lt;EndNote&gt;&lt;Cite&gt;&lt;Author&gt;Chapman&lt;/Author&gt;&lt;Year&gt;1994&lt;/Year&gt;&lt;RecNum&gt;86&lt;/RecNum&gt;&lt;Suffix&gt;:65&lt;/Suffix&gt;&lt;DisplayText&gt;(Chapman 1994:65)&lt;/DisplayText&gt;&lt;record&gt;&lt;rec-number&gt;86&lt;/rec-number&gt;&lt;foreign-keys&gt;&lt;key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1994:65</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Hopewell mortuary tradition of the Middle Woodland, discussed below, is an elaboration on these conical burial mounds, and has roots in the Early Woodland Period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&lt;EndNote&gt;&lt;Cite&gt;&lt;Author&gt;Anderson&lt;/Author&gt;&lt;Year&gt;2012&lt;/Year&gt;&lt;RecNum&gt;88&lt;/RecNum&gt;&lt;Suffix&gt;:117&lt;/Suffix&gt;&lt;DisplayText&gt;(Anderson and Sassaman 2012:117)&lt;/DisplayText&gt;&lt;record&gt;&lt;rec-number&gt;88&lt;/rec-number&gt;&lt;foreign-keys&gt;&lt;key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2012:117</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spacing w:after="0" w:line="480" w:lineRule="auto"/>
        <w:ind w:firstLine="720"/>
        <w:rPr>
          <w:rFonts w:cs="Times New Roman"/>
          <w:szCs w:val="24"/>
        </w:rPr>
      </w:pPr>
      <w:r w:rsidRPr="00C123C1">
        <w:rPr>
          <w:rFonts w:cs="Times New Roman"/>
          <w:szCs w:val="24"/>
        </w:rPr>
        <w:t xml:space="preserve">Ceramic vessels can vary in form, temper and surface treatment; the latter two are generally used to define specific cultural areas during specific times throughout the Woodland Period. In the adjacent Ridge and Valley, Early Woodland ceramics are quartz or grit tempered and are either fabric-impressed or cord-marked with a wooden paddle. Similar ceramics are found on the UCP </w:t>
      </w:r>
      <w:r w:rsidR="00B33E6D"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&lt;EndNote&gt;&lt;Cite&gt;&lt;Author&gt;Franklin&lt;/Author&gt;&lt;Year&gt;2002&lt;/Year&gt;&lt;RecNum&gt;61&lt;/RecNum&gt;&lt;Suffix&gt;:222&lt;/Suffix&gt;&lt;DisplayText&gt;(Franklin 2002:222)&lt;/DisplayText&gt;&lt;record&gt;&lt;rec-number&gt;61&lt;/rec-number&gt;&lt;foreign-keys&gt;&lt;key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2002:222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although limestone is used as tempering agent quite frequently on the UCP, during the Early Woodland, as is cord-marking. </w:t>
      </w:r>
      <w:r w:rsidR="00B33E6D" w:rsidRPr="00C123C1">
        <w:rPr>
          <w:rFonts w:cs="Times New Roman"/>
          <w:szCs w:val="24"/>
        </w:rPr>
        <w:fldChar w:fldCharType="begin"/>
      </w:r>
      <w:r w:rsidRPr="00C123C1">
        <w:rPr>
          <w:rFonts w:cs="Times New Roman"/>
          <w:szCs w:val="24"/>
        </w:rPr>
        <w:instrText xml:space="preserve"> ADDIN EN.CITE &lt;EndNote&gt;&lt;Cite AuthorYear="1"&gt;&lt;Author&gt;Franklin&lt;/Author&gt;&lt;Year&gt;2002&lt;/Year&gt;&lt;RecNum&gt;61&lt;/RecNum&gt;&lt;DisplayText&gt;Franklin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points out that cord-marking is much more prevalent on the UCP than the adjacent Ridge and Valley during the Early Woodland. Cord-marked ceramics were recovered from Sachsen Cave Shelter; however, as will be discussed below, limestone-tempered, cord-marked ceramics occur throughout the Woodland Period on the UCP. </w:t>
      </w:r>
    </w:p>
    <w:p w:rsidR="00C123C1" w:rsidRPr="00C123C1" w:rsidRDefault="00C123C1" w:rsidP="00C123C1">
      <w:pPr>
        <w:spacing w:after="0" w:line="480" w:lineRule="auto"/>
        <w:rPr>
          <w:rFonts w:cs="Times New Roman"/>
          <w:szCs w:val="24"/>
        </w:rPr>
      </w:pPr>
      <w:r w:rsidRPr="00C123C1">
        <w:rPr>
          <w:rFonts w:cs="Times New Roman"/>
          <w:szCs w:val="24"/>
        </w:rPr>
        <w:tab/>
        <w:t>The Middle Woodland (100 B.C. – A.D. 500) is mainly characterized by the widespread distribution of the Hopewell mortuary practices, originating in the Ohio River Valley. These mortuary practices include burial</w:t>
      </w:r>
      <w:r w:rsidR="00E66C14">
        <w:rPr>
          <w:rFonts w:cs="Times New Roman"/>
          <w:szCs w:val="24"/>
        </w:rPr>
        <w:t>s</w:t>
      </w:r>
      <w:r w:rsidRPr="00C123C1">
        <w:rPr>
          <w:rFonts w:cs="Times New Roman"/>
          <w:szCs w:val="24"/>
        </w:rPr>
        <w:t xml:space="preserve"> in small conical mounds and the inclusion of elaborate and exotic objects included in some interments – which may indicate status differentiation </w:t>
      </w:r>
      <w:r w:rsidR="00B33E6D" w:rsidRPr="00C123C1">
        <w:rPr>
          <w:rFonts w:cs="Times New Roman"/>
          <w:szCs w:val="24"/>
        </w:rPr>
        <w:fldChar w:fldCharType="begin"/>
      </w:r>
      <w:r w:rsidR="007D6E92">
        <w:rPr>
          <w:rFonts w:cs="Times New Roman"/>
          <w:szCs w:val="24"/>
        </w:rPr>
        <w:instrText xml:space="preserve"> ADDIN EN.CITE &lt;EndNote&gt;&lt;Cite&gt;&lt;Author&gt;Steponaitis&lt;/Author&gt;&lt;Year&gt;1986&lt;/Year&gt;&lt;RecNum&gt;87&lt;/RecNum&gt;&lt;Suffix&gt;:382&lt;/Suffix&gt;&lt;DisplayText&gt;(Anderson and Sassaman 2012; Steponaitis 1986:382)&lt;/DisplayText&gt;&lt;record&gt;&lt;rec-number&gt;87&lt;/rec-number&gt;&lt;foreign-keys&gt;&lt;key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Cite&gt;&lt;Author&gt;Anderson&lt;/Author&gt;&lt;Year&gt;2012&lt;/Year&gt;&lt;RecNum&gt;88&lt;/RecNum&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1986:382</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Mounds occur associated with habitation, as  well as single multimound mortuary centers and earthworks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Ceramic </w:t>
      </w:r>
      <w:r w:rsidRPr="00C123C1">
        <w:rPr>
          <w:rFonts w:cs="Times New Roman"/>
          <w:szCs w:val="24"/>
        </w:rPr>
        <w:lastRenderedPageBreak/>
        <w:t xml:space="preserve">traditions continued to be quite variable during this time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and some new forms of surface treatment, stamping and incising, appear in different areas across the Southeast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&lt;EndNote&gt;&lt;Cite&gt;&lt;Author&gt;Anderson&lt;/Author&gt;&lt;Year&gt;2012&lt;/Year&gt;&lt;RecNum&gt;88&lt;/RecNum&gt;&lt;Suffix&gt;:124&lt;/Suffix&gt;&lt;DisplayText&gt;(Anderson and Sassaman 2012:124)&lt;/DisplayText&gt;&lt;record&gt;&lt;rec-number&gt;88&lt;/rec-number&gt;&lt;foreign-keys&gt;&lt;key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2012:124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 Middle Woodland is also heavily represented on the UCP by cord-marked limestone ceramics and triangular projectile points with straight bases </w:t>
      </w:r>
      <w:r w:rsidR="00B33E6D" w:rsidRPr="00C123C1">
        <w:rPr>
          <w:rFonts w:cs="Times New Roman"/>
          <w:szCs w:val="24"/>
        </w:rPr>
        <w:fldChar w:fldCharType="begin"/>
      </w:r>
      <w:r w:rsidRPr="00C123C1">
        <w:rPr>
          <w:rFonts w:cs="Times New Roman"/>
          <w:szCs w:val="24"/>
        </w:rPr>
        <w:instrText xml:space="preserve"> ADDIN EN.CITE &lt;EndNote&gt;&lt;Cite&gt;&lt;Author&gt;Des Jean&lt;/Author&gt;&lt;Year&gt;1994&lt;/Year&gt;&lt;RecNum&gt;110&lt;/RecNum&gt;&lt;DisplayText&gt;(Des Jean and Benthall 1994)&lt;/DisplayText&gt;&lt;record&gt;&lt;rec-number&gt;110&lt;/rec-number&gt;&lt;foreign-keys&gt;&lt;key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5" w:tooltip="Des Jean, 1994 #110" w:history="1">
        <w:r w:rsidR="00B15FB2" w:rsidRPr="00C123C1">
          <w:rPr>
            <w:rFonts w:cs="Times New Roman"/>
            <w:noProof/>
            <w:szCs w:val="24"/>
          </w:rPr>
          <w:t>Des Jean and Benthall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however, not by exotic trade items, mounds or earthworks. Cord-marked pottery became common during the Middle Woodland Period in the Ridge and Valley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however, Franklin (2002) suggests that cord-marked pottery became common on the UCP early on during the Early Woodland Period and persisted through the Late Woodland Period. </w:t>
      </w:r>
    </w:p>
    <w:p w:rsidR="00C123C1" w:rsidRPr="00C123C1" w:rsidRDefault="00C123C1" w:rsidP="00C123C1">
      <w:pPr>
        <w:spacing w:after="0" w:line="480" w:lineRule="auto"/>
        <w:rPr>
          <w:rFonts w:cs="Times New Roman"/>
          <w:szCs w:val="24"/>
        </w:rPr>
      </w:pPr>
      <w:r w:rsidRPr="00C123C1">
        <w:rPr>
          <w:rFonts w:cs="Times New Roman"/>
          <w:szCs w:val="24"/>
        </w:rPr>
        <w:tab/>
        <w:t xml:space="preserve">The Late Woodland Period is similar to the preceding Middle Woodland, except that the elaborate mortuary practices cease to be seen archaeologically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This is likely due to a break down in long distance trade and interaction that existed between Middle Woodland populations, much like the disruption at the end of the Archaic Period. Late Woodland populations were consolidated into larger communities and experienced increased population size </w:t>
      </w:r>
      <w:r w:rsidR="00B33E6D" w:rsidRPr="00C123C1">
        <w:rPr>
          <w:rFonts w:cs="Times New Roman"/>
          <w:szCs w:val="24"/>
        </w:rPr>
        <w:fldChar w:fldCharType="begin"/>
      </w:r>
      <w:r w:rsidRPr="00C123C1">
        <w:rPr>
          <w:rFonts w:cs="Times New Roman"/>
          <w:szCs w:val="24"/>
        </w:rPr>
        <w:instrText xml:space="preserve"> ADDIN EN.CITE &lt;EndNote&gt;&lt;Cite&gt;&lt;Author&gt;Steponaitis&lt;/Author&gt;&lt;Year&gt;1986&lt;/Year&gt;&lt;RecNum&gt;87&lt;/RecNum&gt;&lt;Suffix&gt;:384&lt;/Suffix&gt;&lt;DisplayText&gt;(Steponaitis 1986:384)&lt;/DisplayText&gt;&lt;record&gt;&lt;rec-number&gt;87&lt;/rec-number&gt;&lt;foreign-keys&gt;&lt;key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85" w:tooltip="Steponaitis, 1986 #87" w:history="1">
        <w:r w:rsidR="00B15FB2" w:rsidRPr="00C123C1">
          <w:rPr>
            <w:rFonts w:cs="Times New Roman"/>
            <w:noProof/>
            <w:szCs w:val="24"/>
          </w:rPr>
          <w:t>Steponaitis 1986:384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Some of these communities were associated with mounds, no longer used for mortuary practices, but rather as civic centers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&lt;EndNote&gt;&lt;Cite&gt;&lt;Author&gt;Anderson&lt;/Author&gt;&lt;Year&gt;2012&lt;/Year&gt;&lt;RecNum&gt;88&lt;/RecNum&gt;&lt;Suffix&gt;:126&lt;/Suffix&gt;&lt;DisplayText&gt;(Anderson and Sassaman 2012:126)&lt;/DisplayText&gt;&lt;record&gt;&lt;rec-number&gt;88&lt;/rec-number&gt;&lt;foreign-keys&gt;&lt;key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2012:126</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Additionally, maize agriculture is introduced to the Southeast during this time, while Southeastern cultigens and domesticates continued to be exploited.  Projectile points during this time became more arrowhead like, however, box technology is not thought to have developed until the Mississippian Period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&lt;EndNote&gt;&lt;Cite&gt;&lt;Author&gt;Chapman&lt;/Author&gt;&lt;Year&gt;1994&lt;/Year&gt;&lt;RecNum&gt;86&lt;/RecNum&gt;&lt;DisplayText&gt;(Chapman 1994)&lt;/DisplayText&gt;&lt;record&gt;&lt;rec-number&gt;86&lt;/rec-number&gt;&lt;foreign-keys&gt;&lt;key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spacing w:after="0" w:line="480" w:lineRule="auto"/>
        <w:rPr>
          <w:rFonts w:cs="Times New Roman"/>
          <w:szCs w:val="24"/>
        </w:rPr>
      </w:pPr>
      <w:r w:rsidRPr="00C123C1">
        <w:rPr>
          <w:rFonts w:cs="Times New Roman"/>
          <w:szCs w:val="24"/>
        </w:rPr>
        <w:tab/>
        <w:t xml:space="preserve">Late Woodland sites are common on the UCP </w:t>
      </w:r>
      <w:r w:rsidR="00B33E6D"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It is hard to say whether the Woodland deposits at Sachsen Cave Shelter are Early, Middle or Late, as this context was heavily disturbed by looting activities and no radiocarbon dates were obtained. Very few </w:t>
      </w:r>
      <w:r w:rsidRPr="00C123C1">
        <w:rPr>
          <w:rFonts w:cs="Times New Roman"/>
          <w:szCs w:val="24"/>
        </w:rPr>
        <w:lastRenderedPageBreak/>
        <w:t xml:space="preserve">Woodland projectile points and ceramics were recovered, likely as the result of looting activities as well. </w:t>
      </w:r>
    </w:p>
    <w:p w:rsidR="00C123C1" w:rsidRPr="00C123C1" w:rsidRDefault="00C123C1" w:rsidP="00C123C1">
      <w:pPr>
        <w:pStyle w:val="Heading2"/>
      </w:pPr>
      <w:bookmarkStart w:id="19" w:name="_Toc342503662"/>
      <w:bookmarkStart w:id="20" w:name="_Toc349507282"/>
      <w:r w:rsidRPr="00C123C1">
        <w:t>The Mississippian Period</w:t>
      </w:r>
      <w:bookmarkEnd w:id="19"/>
      <w:r w:rsidRPr="00C123C1">
        <w:t xml:space="preserve"> (A.D. 1000 – 1500)</w:t>
      </w:r>
      <w:bookmarkEnd w:id="20"/>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The final prehistoric cultural period is the Mississippian, which lasted from about A.D. 1000 through the 16</w:t>
      </w:r>
      <w:r w:rsidRPr="00C123C1">
        <w:rPr>
          <w:rFonts w:cs="Times New Roman"/>
          <w:szCs w:val="24"/>
          <w:vertAlign w:val="superscript"/>
        </w:rPr>
        <w:t>th</w:t>
      </w:r>
      <w:r w:rsidRPr="00C123C1">
        <w:rPr>
          <w:rFonts w:cs="Times New Roman"/>
          <w:szCs w:val="24"/>
        </w:rPr>
        <w:t xml:space="preserve"> century, when the effects of European contact began to be felt throughout the Southeast. The Mississippian Period is easily recognized in the archaeological record through several unique aspects of material culture and social organization, both linked to the wholesale adoption of maize agriculture </w:t>
      </w:r>
      <w:r w:rsidR="00B33E6D" w:rsidRPr="00C123C1">
        <w:rPr>
          <w:rFonts w:cs="Times New Roman"/>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YXRlcz48dXJscz48L3VybHM+PC9yZWNvcmQ+PC9DaXRlPjxDaXRlPjxBdXRob3I+QW5kZXJzb248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</w:fldData>
        </w:fldChar>
      </w:r>
      <w:r w:rsidR="007D6E92">
        <w:rPr>
          <w:rFonts w:cs="Times New Roman"/>
          <w:szCs w:val="24"/>
        </w:rPr>
        <w:instrText xml:space="preserve"> ADDIN EN.CITE </w:instrText>
      </w:r>
      <w:r w:rsidR="00B33E6D">
        <w:rPr>
          <w:rFonts w:cs="Times New Roman"/>
          <w:szCs w:val="24"/>
        </w:rPr>
        <w:fldChar w:fldCharType="begin">
          <w:fldData xml:space="preserve">PEVuZE5vdGU+PENpdGU+PEF1dGhvcj5TdGVwb25haXRpczwvQXV0aG9yPjxZZWFyPjE5ODY8L1ll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</w:fldData>
        </w:fldChar>
      </w:r>
      <w:r w:rsidR="007D6E92">
        <w:rPr>
          <w:rFonts w:cs="Times New Roman"/>
          <w:szCs w:val="24"/>
        </w:rPr>
        <w:instrText xml:space="preserve"> ADDIN EN.CITE.DATA </w:instrText>
      </w:r>
      <w:r w:rsidR="00B33E6D">
        <w:rPr>
          <w:rFonts w:cs="Times New Roman"/>
          <w:szCs w:val="24"/>
        </w:rPr>
      </w:r>
      <w:r w:rsidR="00B33E6D">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17" w:tooltip="Chapman, 1994 #86" w:history="1">
        <w:r w:rsidR="00B15FB2">
          <w:rPr>
            <w:rFonts w:cs="Times New Roman"/>
            <w:noProof/>
            <w:szCs w:val="24"/>
          </w:rPr>
          <w:t>Chapman 1994</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One of the most widespread and easily recognized artifacts of the Mississippian Period is shell-tempered pottery </w:t>
      </w:r>
      <w:r w:rsidR="00B33E6D" w:rsidRPr="00C123C1">
        <w:rPr>
          <w:rFonts w:cs="Times New Roman"/>
          <w:szCs w:val="24"/>
        </w:rPr>
        <w:fldChar w:fldCharType="begin">
          <w:fldData xml:space="preserve">PEVuZE5vdGU+PENpdGU+PEF1dGhvcj5BbmRlcnNvbjwvQXV0aG9yPjxZZWFyPjIwMTI8L1llYXI+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</w:fldData>
        </w:fldChar>
      </w:r>
      <w:r w:rsidR="007D6E92">
        <w:rPr>
          <w:rFonts w:cs="Times New Roman"/>
          <w:szCs w:val="24"/>
        </w:rPr>
        <w:instrText xml:space="preserve"> ADDIN EN.CITE </w:instrText>
      </w:r>
      <w:r w:rsidR="00B33E6D">
        <w:rPr>
          <w:rFonts w:cs="Times New Roman"/>
          <w:szCs w:val="24"/>
        </w:rPr>
        <w:fldChar w:fldCharType="begin">
          <w:fldData xml:space="preserve">PEVuZE5vdGU+PENpdGU+PEF1dGhvcj5BbmRlcnNvbjwvQXV0aG9yPjxZZWFyPjIwMTI8L1llYXI+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</w:fldData>
        </w:fldChar>
      </w:r>
      <w:r w:rsidR="007D6E92">
        <w:rPr>
          <w:rFonts w:cs="Times New Roman"/>
          <w:szCs w:val="24"/>
        </w:rPr>
        <w:instrText xml:space="preserve"> ADDIN EN.CITE.DATA </w:instrText>
      </w:r>
      <w:r w:rsidR="00B33E6D">
        <w:rPr>
          <w:rFonts w:cs="Times New Roman"/>
          <w:szCs w:val="24"/>
        </w:rPr>
      </w:r>
      <w:r w:rsidR="00B33E6D">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17" w:tooltip="Chapman, 1994 #86" w:history="1">
        <w:r w:rsidR="00B15FB2">
          <w:rPr>
            <w:rFonts w:cs="Times New Roman"/>
            <w:noProof/>
            <w:szCs w:val="24"/>
          </w:rPr>
          <w:t>Chapman 1994</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although sand and limestone are frequently used as tempering agents as well </w:t>
      </w:r>
      <w:r w:rsidR="00B33E6D" w:rsidRPr="00C123C1">
        <w:rPr>
          <w:rFonts w:cs="Times New Roman"/>
          <w:szCs w:val="24"/>
        </w:rPr>
        <w:fldChar w:fldCharType="begin"/>
      </w:r>
      <w:r w:rsidR="007D6E92">
        <w:rPr>
          <w:rFonts w:cs="Times New Roman"/>
          <w:szCs w:val="24"/>
        </w:rPr>
        <w:instrText xml:space="preserve"> ADDIN EN.CITE &lt;EndNote&gt;&lt;Cite&gt;&lt;Author&gt;Chapman&lt;/Author&gt;&lt;Year&gt;1994&lt;/Year&gt;&lt;RecNum&gt;86&lt;/RecNum&gt;&lt;DisplayText&gt;(Chapman 1994; Hally and Robert C. Mainfort 2004)&lt;/DisplayText&gt;&lt;record&gt;&lt;rec-number&gt;86&lt;/rec-number&gt;&lt;foreign-keys&gt;&lt;key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&lt;/publisher&gt;&lt;urls&gt;&lt;/urls&gt;&lt;/record&gt;&lt;/Cite&gt;&lt;Cite&gt;&lt;Author&gt;Hally&lt;/Author&gt;&lt;Year&gt;2004&lt;/Year&gt;&lt;RecNum&gt;114&lt;/RecNum&gt;&lt;record&gt;&lt;rec-number&gt;114&lt;/rec-number&gt;&lt;foreign-keys&gt;&lt;key app="EN" db-id="pvwvsv0fktzv2weszt4xp95xstrzawadapa0"&gt;114&lt;/key&gt;&lt;/foreign-keys&gt;&lt;ref-type name="Book Section"&gt;5&lt;/ref-type&gt;&lt;contributors&gt;&lt;authors&gt;&lt;author&gt;David J. Hally &lt;/author&gt;&lt;author&gt;Robert C. Mainfort, Jr. &lt;/author&gt;&lt;/authors&gt;&lt;secondary-authors&gt;&lt;author&gt;Raymond D. Fogelson&lt;/author&gt;&lt;/secondary-authors&gt;&lt;/contributors&gt;&lt;titles&gt;&lt;title&gt;Prehistory of the Eastern Interior After 500 B.C. &lt;/title&gt;&lt;secondary-title&gt;Handbook of North American Indians, Volume 14, Southeast&lt;/secondary-title&gt;&lt;/titles&gt;&lt;pages&gt;265-285&lt;/pages&gt;&lt;dates&gt;&lt;year&gt;2004&lt;/year&gt;&lt;/dates&gt;&lt;publisher&gt;Smithsonian Institution&lt;/publisher&gt;&lt;urls&gt;&lt;/urls&gt;&lt;/record&gt;&lt;/Cite&gt;&lt;/EndNote&gt;</w:instrText>
      </w:r>
      <w:r w:rsidR="00B33E6D" w:rsidRPr="00C123C1">
        <w:rPr>
          <w:rFonts w:cs="Times New Roman"/>
          <w:szCs w:val="24"/>
        </w:rPr>
        <w:fldChar w:fldCharType="separate"/>
      </w:r>
      <w:r w:rsidR="007D6E92">
        <w:rPr>
          <w:rFonts w:cs="Times New Roman"/>
          <w:noProof/>
          <w:szCs w:val="24"/>
        </w:rPr>
        <w:t>(</w:t>
      </w:r>
      <w:hyperlink w:anchor="_ENREF_17" w:tooltip="Chapman, 1994 #86" w:history="1">
        <w:r w:rsidR="00B15FB2">
          <w:rPr>
            <w:rFonts w:cs="Times New Roman"/>
            <w:noProof/>
            <w:szCs w:val="24"/>
          </w:rPr>
          <w:t>Chapman 1994</w:t>
        </w:r>
      </w:hyperlink>
      <w:r w:rsidR="007D6E92">
        <w:rPr>
          <w:rFonts w:cs="Times New Roman"/>
          <w:noProof/>
          <w:szCs w:val="24"/>
        </w:rPr>
        <w:t xml:space="preserve">; </w:t>
      </w:r>
      <w:hyperlink w:anchor="_ENREF_36" w:tooltip="Hally, 2004 #114" w:history="1">
        <w:r w:rsidR="00B15FB2">
          <w:rPr>
            <w:rFonts w:cs="Times New Roman"/>
            <w:noProof/>
            <w:szCs w:val="24"/>
          </w:rPr>
          <w:t>Hally and Robert C. Mainfort 2004</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Mississippian peoples lived in characteristic wall-trenched houses, arranged either in large permanent settlements, often fortified, or in dispersed farmsteads </w:t>
      </w:r>
      <w:r w:rsidR="00B33E6D" w:rsidRPr="00C123C1">
        <w:rPr>
          <w:rFonts w:cs="Times New Roman"/>
          <w:szCs w:val="24"/>
        </w:rPr>
        <w:fldChar w:fldCharType="begin"/>
      </w:r>
      <w:r w:rsidRPr="00C123C1">
        <w:rPr>
          <w:rFonts w:cs="Times New Roman"/>
          <w:szCs w:val="24"/>
        </w:rPr>
        <w:instrText xml:space="preserve"> ADDIN EN.CITE &lt;EndNote&gt;&lt;Cite&gt;&lt;Author&gt;Hally&lt;/Author&gt;&lt;Year&gt;2004&lt;/Year&gt;&lt;RecNum&gt;114&lt;/RecNum&gt;&lt;Suffix&gt;:279&lt;/Suffix&gt;&lt;DisplayText&gt;(Hally and Robert C. Mainfort 2004:279)&lt;/DisplayText&gt;&lt;record&gt;&lt;rec-number&gt;114&lt;/rec-number&gt;&lt;foreign-keys&gt;&lt;key app="EN" db-id="pvwvsv0fktzv2weszt4xp95xstrzawadapa0"&gt;114&lt;/key&gt;&lt;/foreign-keys&gt;&lt;ref-type name="Book Section"&gt;5&lt;/ref-type&gt;&lt;contributors&gt;&lt;authors&gt;&lt;author&gt;David J. Hally &lt;/author&gt;&lt;author&gt;Robert C. Mainfort, Jr. &lt;/author&gt;&lt;/authors&gt;&lt;secondary-authors&gt;&lt;author&gt;Raymond D. Fogelson&lt;/author&gt;&lt;/secondary-authors&gt;&lt;/contributors&gt;&lt;titles&gt;&lt;title&gt;Prehistory of the Eastern Interior After 500 B.C. &lt;/title&gt;&lt;secondary-title&gt;Handbook of North American Indians, Volume 14, Southeast&lt;/secondary-title&gt;&lt;/titles&gt;&lt;pages&gt;265-285&lt;/pages&gt;&lt;dates&gt;&lt;year&gt;2004&lt;/year&gt;&lt;/dates&gt;&lt;publisher&gt;Smithsonian Institution&lt;/publisher&gt;&lt;urls&gt;&lt;/urls&gt;&lt;/record&gt;&lt;/Cite&gt;&lt;/EndNote&gt;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36" w:tooltip="Hally, 2004 #114" w:history="1">
        <w:r w:rsidR="00B15FB2" w:rsidRPr="00C123C1">
          <w:rPr>
            <w:rFonts w:cs="Times New Roman"/>
            <w:noProof/>
            <w:szCs w:val="24"/>
          </w:rPr>
          <w:t>Hally and Robert C. Mainfort 2004:279</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While Woodland peoples lived in large communities, these were not likely to be year-round habitation areas, such as these Mississippian settlements, and seasonal movements would have still been necessary. During the Mississippian Period, mobility decreased, but hunting parties were still necessary to supplement the mainly maize-derived diet. Faunal assemblage diversity increased during this time as people no longer moved across the landscape in pursuit of specific game, but rather seemed to have shifted to more of encounter strategies </w:t>
      </w:r>
      <w:r w:rsidR="00B33E6D" w:rsidRPr="00C123C1">
        <w:rPr>
          <w:rFonts w:cs="Times New Roman"/>
          <w:szCs w:val="24"/>
        </w:rPr>
        <w:fldChar w:fldCharType="begin"/>
      </w:r>
      <w:r w:rsidRPr="00C123C1">
        <w:rPr>
          <w:rFonts w:cs="Times New Roman"/>
          <w:szCs w:val="24"/>
        </w:rPr>
        <w:instrText xml:space="preserve"> ADDIN EN.CITE &lt;EndNote&gt;&lt;Cite&gt;&lt;Author&gt;Bogan&lt;/Author&gt;&lt;Year&gt;1982&lt;/Year&gt;&lt;RecNum&gt;113&lt;/RecNum&gt;&lt;Prefix&gt;sensu &lt;/Prefix&gt;&lt;DisplayText&gt;(sensu Bogan 1982)&lt;/DisplayText&gt;&lt;record&gt;&lt;rec-number&gt;113&lt;/rec-number&gt;&lt;foreign-keys&gt;&lt;key app="EN" db-id="pvwvsv0fktzv2weszt4xp95xstrzawadapa0"&gt;113&lt;/key&gt;&lt;/foreign-keys&gt;&lt;ref-type name="Journal Article"&gt;17&lt;/ref-type&gt;&lt;contributors&gt;&lt;authors&gt;&lt;author&gt;Arthur E. Bogan&lt;/author&gt;&lt;/authors&gt;&lt;/contributors&gt;&lt;titles&gt;&lt;title&gt;Archaeological Evidence of Subsistence Patterns in the Little Tennessee River Valley.&lt;/title&gt;&lt;secondary-title&gt;Tennessee Anthropologist&lt;/secondary-title&gt;&lt;/titles&gt;&lt;periodical&gt;&lt;full-title&gt;Tennessee Anthropologist&lt;/full-title&gt;&lt;/periodical&gt;&lt;pages&gt;38-50&lt;/pages&gt;&lt;volume&gt;8&lt;/volume&gt;&lt;number&gt;1&lt;/number&gt;&lt;dates&gt;&lt;year&gt;1982&lt;/year&gt;&lt;/dates&gt;&lt;urls&gt;&lt;/urls&gt;&lt;/record&gt;&lt;/Cite&gt;&lt;/EndNote&gt;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1" w:tooltip="Bogan, 1982 #113" w:history="1">
        <w:r w:rsidR="00B15FB2" w:rsidRPr="00C123C1">
          <w:rPr>
            <w:rFonts w:cs="Times New Roman"/>
            <w:i/>
            <w:noProof/>
            <w:szCs w:val="24"/>
          </w:rPr>
          <w:t>sensu</w:t>
        </w:r>
        <w:r w:rsidR="00B15FB2" w:rsidRPr="00C123C1">
          <w:rPr>
            <w:rFonts w:cs="Times New Roman"/>
            <w:noProof/>
            <w:szCs w:val="24"/>
          </w:rPr>
          <w:t xml:space="preserve"> Bogan 1982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tabs>
          <w:tab w:val="left" w:pos="720"/>
        </w:tabs>
        <w:spacing w:after="0" w:line="480" w:lineRule="auto"/>
        <w:rPr>
          <w:rFonts w:cs="Times New Roman"/>
          <w:szCs w:val="24"/>
        </w:rPr>
      </w:pPr>
      <w:r w:rsidRPr="00C123C1">
        <w:rPr>
          <w:rFonts w:cs="Times New Roman"/>
          <w:szCs w:val="24"/>
        </w:rPr>
        <w:tab/>
        <w:t xml:space="preserve">Mississippian villages were accompanied by an open plaza and at least 1 mound, but in some cases, such as Moundville, could have up to 26 mounds in association </w:t>
      </w:r>
      <w:r w:rsidR="00B33E6D" w:rsidRPr="00C123C1">
        <w:rPr>
          <w:rFonts w:cs="Times New Roman"/>
          <w:szCs w:val="24"/>
        </w:rPr>
        <w:fldChar w:fldCharType="begin"/>
      </w:r>
      <w:r w:rsidRPr="00C123C1">
        <w:rPr>
          <w:rFonts w:cs="Times New Roman"/>
          <w:szCs w:val="24"/>
        </w:rPr>
        <w:instrText xml:space="preserve"> ADDIN EN.CITE &lt;EndNote&gt;&lt;Cite&gt;&lt;Author&gt;Hally&lt;/Author&gt;&lt;Year&gt;2004&lt;/Year&gt;&lt;RecNum&gt;114&lt;/RecNum&gt;&lt;DisplayText&gt;(Hally and Robert C. Mainfort 2004)&lt;/DisplayText&gt;&lt;record&gt;&lt;rec-number&gt;114&lt;/rec-number&gt;&lt;foreign-keys&gt;&lt;key app="EN" db-id="pvwvsv0fktzv2weszt4xp95xstrzawadapa0"&gt;114&lt;/key&gt;&lt;/foreign-keys&gt;&lt;ref-type name="Book Section"&gt;5&lt;/ref-type&gt;&lt;contributors&gt;&lt;authors&gt;&lt;author&gt;David J. Hally &lt;/author&gt;&lt;author&gt;Robert C. Mainfort, Jr. &lt;/author&gt;&lt;/authors&gt;&lt;secondary-authors&gt;&lt;author&gt;Raymond D. Fogelson&lt;/author&gt;&lt;/secondary-authors&gt;&lt;/contributors&gt;&lt;titles&gt;&lt;title&gt;Prehistory of the Eastern Interior After 500 B.C. &lt;/title&gt;&lt;secondary-title&gt;Handbook of North American Indians, Volume 14, Southeast&lt;/secondary-title&gt;&lt;/titles&gt;&lt;pages&gt;265-285&lt;/pages&gt;&lt;dates&gt;&lt;year&gt;2004&lt;/year&gt;&lt;/dates&gt;&lt;publisher&gt;Smithsonian Institution&lt;/publisher&gt;&lt;urls&gt;&lt;/urls&gt;&lt;/record&gt;&lt;/Cite&gt;&lt;/EndNote&gt;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36" w:tooltip="Hally, 2004 #114" w:history="1">
        <w:r w:rsidR="00B15FB2" w:rsidRPr="00C123C1">
          <w:rPr>
            <w:rFonts w:cs="Times New Roman"/>
            <w:noProof/>
            <w:szCs w:val="24"/>
          </w:rPr>
          <w:t>Hally and Robert C. Mainfort 2004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Mississippian mounds are characteristically pyramidal and flat-topped </w:t>
      </w:r>
      <w:r w:rsidR="00B33E6D" w:rsidRPr="00C123C1">
        <w:rPr>
          <w:rFonts w:cs="Times New Roman"/>
          <w:szCs w:val="24"/>
        </w:rPr>
        <w:lastRenderedPageBreak/>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They supported council houses, elite residences and/or religious structures </w:t>
      </w:r>
      <w:r w:rsidR="00B33E6D" w:rsidRPr="00C123C1">
        <w:rPr>
          <w:rFonts w:cs="Times New Roman"/>
          <w:szCs w:val="24"/>
        </w:rPr>
        <w:fldChar w:fldCharType="begin"/>
      </w:r>
      <w:r w:rsidRPr="00C123C1">
        <w:rPr>
          <w:rFonts w:cs="Times New Roman"/>
          <w:szCs w:val="24"/>
        </w:rPr>
        <w:instrText xml:space="preserve"> ADDIN EN.CITE &lt;EndNote&gt;&lt;Cite&gt;&lt;Author&gt;Chapman&lt;/Author&gt;&lt;Year&gt;1994&lt;/Year&gt;&lt;RecNum&gt;86&lt;/RecNum&gt;&lt;Suffix&gt;:74&lt;/Suffix&gt;&lt;DisplayText&gt;(Chapman 1994:74)&lt;/DisplayText&gt;&lt;record&gt;&lt;rec-number&gt;86&lt;/rec-number&gt;&lt;foreign-keys&gt;&lt;key app="EN" db-id="pvwvsv0fktzv2weszt4xp95xstrzawadapa0"&gt;86&lt;/key&gt;&lt;/foreign-keys&gt;&lt;ref-type name="Book"&gt;6&lt;/ref-type&gt;&lt;contributors&gt;&lt;authors&gt;&lt;author&gt;Jefferson Chapman &lt;/author&gt;&lt;/authors&gt;&lt;/contributors&gt;&lt;titles&gt;&lt;title&gt;Tellico Archaeology, 12,000 years of Native American History (Revised Edition).&lt;/title&gt;&lt;/titles&gt;&lt;dates&gt;&lt;year&gt;1994&lt;/year&gt;&lt;/dates&gt;&lt;publisher&gt;Report of Investigation No. 43, Department of Anthropology, University of Tennessee, Knoxville. Occasoinal Paper No. 5, Frank H. McClung Museum, University of Tennessee, Knoxville. Publications in Anthropology No. 41, Tennessee Valley Authority &lt;/publisher&gt;&lt;urls&gt;&lt;/urls&gt;&lt;/record&gt;&lt;/Cite&gt;&lt;/EndNote&gt;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7" w:tooltip="Chapman, 1994 #86" w:history="1">
        <w:r w:rsidR="00B15FB2" w:rsidRPr="00C123C1">
          <w:rPr>
            <w:rFonts w:cs="Times New Roman"/>
            <w:noProof/>
            <w:szCs w:val="24"/>
          </w:rPr>
          <w:t>Chapman 1994:74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These mounds with their associated elite dwellings and burials with elaborate grave goods, indicates Mississippians lived in hierarchical societies, and these hierarchies are interpreted to be hereditary </w:t>
      </w:r>
      <w:r w:rsidR="00B33E6D" w:rsidRPr="00C123C1">
        <w:rPr>
          <w:rFonts w:cs="Times New Roman"/>
          <w:szCs w:val="24"/>
        </w:rPr>
        <w:fldChar w:fldCharType="begin"/>
      </w:r>
      <w:r w:rsidRPr="00C123C1">
        <w:rPr>
          <w:rFonts w:cs="Times New Roman"/>
          <w:szCs w:val="24"/>
        </w:rPr>
        <w:instrText xml:space="preserve"> ADDIN EN.CITE &lt;EndNote&gt;&lt;Cite&gt;&lt;Author&gt;Hally&lt;/Author&gt;&lt;Year&gt;2004&lt;/Year&gt;&lt;RecNum&gt;114&lt;/RecNum&gt;&lt;DisplayText&gt;(Hally and Robert C. Mainfort 2004)&lt;/DisplayText&gt;&lt;record&gt;&lt;rec-number&gt;114&lt;/rec-number&gt;&lt;foreign-keys&gt;&lt;key app="EN" db-id="pvwvsv0fktzv2weszt4xp95xstrzawadapa0"&gt;114&lt;/key&gt;&lt;/foreign-keys&gt;&lt;ref-type name="Book Section"&gt;5&lt;/ref-type&gt;&lt;contributors&gt;&lt;authors&gt;&lt;author&gt;David J. Hally &lt;/author&gt;&lt;author&gt;Robert C. Mainfort, Jr. &lt;/author&gt;&lt;/authors&gt;&lt;secondary-authors&gt;&lt;author&gt;Raymond D. Fogelson&lt;/author&gt;&lt;/secondary-authors&gt;&lt;/contributors&gt;&lt;titles&gt;&lt;title&gt;Prehistory of the Eastern Interior After 500 B.C. &lt;/title&gt;&lt;secondary-title&gt;Handbook of North American Indians, Volume 14, Southeast&lt;/secondary-title&gt;&lt;/titles&gt;&lt;pages&gt;265-285&lt;/pages&gt;&lt;dates&gt;&lt;year&gt;2004&lt;/year&gt;&lt;/dates&gt;&lt;publisher&gt;Smithsonian Institution&lt;/publisher&gt;&lt;urls&gt;&lt;/urls&gt;&lt;/record&gt;&lt;/Cite&gt;&lt;/EndNote&gt;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36" w:tooltip="Hally, 2004 #114" w:history="1">
        <w:r w:rsidR="00B15FB2" w:rsidRPr="00C123C1">
          <w:rPr>
            <w:rFonts w:cs="Times New Roman"/>
            <w:noProof/>
            <w:szCs w:val="24"/>
          </w:rPr>
          <w:t>Hally and Robert C. Mainfort 2004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Furthermore, faunal assemblages from elite context indicate that elites had access to the meatier portions of white-tailed deer and other large game animals </w:t>
      </w:r>
      <w:r w:rsidR="00B33E6D" w:rsidRPr="00C123C1">
        <w:rPr>
          <w:rFonts w:cs="Times New Roman"/>
          <w:szCs w:val="24"/>
        </w:rPr>
        <w:fldChar w:fldCharType="begin"/>
      </w:r>
      <w:r w:rsidRPr="00C123C1">
        <w:rPr>
          <w:rFonts w:cs="Times New Roman"/>
          <w:szCs w:val="24"/>
        </w:rPr>
        <w:instrText xml:space="preserve"> ADDIN EN.CITE &lt;EndNote&gt;&lt;Cite&gt;&lt;Author&gt;Steponaitis&lt;/Author&gt;&lt;Year&gt;1986&lt;/Year&gt;&lt;RecNum&gt;87&lt;/RecNum&gt;&lt;Suffix&gt;:390&lt;/Suffix&gt;&lt;DisplayText&gt;(Steponaitis 1986:390)&lt;/DisplayText&gt;&lt;record&gt;&lt;rec-number&gt;87&lt;/rec-number&gt;&lt;foreign-keys&gt;&lt;key app="EN" db-id="pvwvsv0fktzv2weszt4xp95xstrzawadapa0"&gt;87&lt;/key&gt;&lt;/foreign-keys&gt;&lt;ref-type name="Journal Article"&gt;17&lt;/ref-type&gt;&lt;contributors&gt;&lt;authors&gt;&lt;author&gt;Vincas P. Steponaitis &lt;/author&gt;&lt;/authors&gt;&lt;/contributors&gt;&lt;titles&gt;&lt;title&gt;Prehistoric Archaeology in the Southeastern United States, 1970-1985.&lt;/title&gt;&lt;secondary-title&gt;Annual Review of Athropology &lt;/secondary-title&gt;&lt;/titles&gt;&lt;periodical&gt;&lt;full-title&gt;Annual Review of Athropology&lt;/full-title&gt;&lt;/periodical&gt;&lt;pages&gt;363-404&lt;/pages&gt;&lt;volume&gt;15&lt;/volume&gt;&lt;dates&gt;&lt;year&gt;1986&lt;/year&gt;&lt;/dates&gt;&lt;urls&gt;&lt;/urls&gt;&lt;/record&gt;&lt;/Cite&gt;&lt;/EndNote&gt;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85" w:tooltip="Steponaitis, 1986 #87" w:history="1">
        <w:r w:rsidR="00B15FB2" w:rsidRPr="00C123C1">
          <w:rPr>
            <w:rFonts w:cs="Times New Roman"/>
            <w:noProof/>
            <w:szCs w:val="24"/>
          </w:rPr>
          <w:t>Steponaitis 1986:390</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Mississippian populations were in poor health – skeletons exhibit signs of iron-deficiency anemia and many war related traumas </w:t>
      </w:r>
      <w:r w:rsidR="00B33E6D" w:rsidRPr="00C123C1">
        <w:rPr>
          <w:rFonts w:cs="Times New Roman"/>
          <w:szCs w:val="24"/>
        </w:rPr>
        <w:fldChar w:fldCharType="begin"/>
      </w:r>
      <w:r w:rsidRPr="00C123C1">
        <w:rPr>
          <w:rFonts w:cs="Times New Roman"/>
          <w:szCs w:val="24"/>
        </w:rPr>
        <w:instrText xml:space="preserve"> ADDIN EN.CITE &lt;EndNote&gt;&lt;Cite&gt;&lt;Author&gt;Anderson&lt;/Author&gt;&lt;Year&gt;2012&lt;/Year&gt;&lt;RecNum&gt;88&lt;/RecNum&gt;&lt;DisplayText&gt;(Anderson and Sassaman 2012)&lt;/DisplayText&gt;&lt;record&gt;&lt;rec-number&gt;88&lt;/rec-number&gt;&lt;foreign-keys&gt;&lt;key app="EN" db-id="pvwvsv0fktzv2weszt4xp95xstrzawadapa0"&gt;88&lt;/key&gt;&lt;/foreign-keys&gt;&lt;ref-type name="Book"&gt;6&lt;/ref-type&gt;&lt;contributors&gt;&lt;authors&gt;&lt;author&gt;David G. Anderson&lt;/author&gt;&lt;author&gt;Kenneth E. Sassaman&lt;/author&gt;&lt;/authors&gt;&lt;/contributors&gt;&lt;titles&gt;&lt;title&gt;Recent Developments in Southeastern Archaeology.&lt;/title&gt;&lt;/titles&gt;&lt;dates&gt;&lt;year&gt;2012&lt;/year&gt;&lt;/dates&gt;&lt;pub-location&gt;Washington, D.C.&lt;/pub-location&gt;&lt;publisher&gt;Society for American Archaeology Press&lt;/publisher&gt;&lt;urls&gt;&lt;/urls&gt;&lt;/record&gt;&lt;/Cite&gt;&lt;/EndNote&gt;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1" w:tooltip="Anderson, 2012 #88" w:history="1">
        <w:r w:rsidR="00B15FB2" w:rsidRPr="00C123C1">
          <w:rPr>
            <w:rFonts w:cs="Times New Roman"/>
            <w:noProof/>
            <w:szCs w:val="24"/>
          </w:rPr>
          <w:t>Anderson and Sassaman 2012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Lastly, Mississippian cultures produced elaborate artwork in the form of iconographic representations of figures associated with the Southeastern Ceremonial Complex, depicted on medium of marine shell, ceramic vessels and cave art </w:t>
      </w:r>
      <w:r w:rsidR="00B33E6D" w:rsidRPr="00C123C1">
        <w:rPr>
          <w:rFonts w:cs="Times New Roman"/>
          <w:szCs w:val="24"/>
        </w:rPr>
        <w:fldChar w:fldCharType="begin">
          <w:fldData xml:space="preserve">PEVuZE5vdGU+PENpdGU+PEF1dGhvcj5TdGVwb25haXRpczwvQXV0aG9yPjxZZWFyPjE5ODY8L1ll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</w:fldData>
        </w:fldChar>
      </w:r>
      <w:r w:rsidR="007D6E92">
        <w:rPr>
          <w:rFonts w:cs="Times New Roman"/>
          <w:szCs w:val="24"/>
        </w:rPr>
        <w:instrText xml:space="preserve"> ADDIN EN.CITE </w:instrText>
      </w:r>
      <w:r w:rsidR="00B33E6D">
        <w:rPr>
          <w:rFonts w:cs="Times New Roman"/>
          <w:szCs w:val="24"/>
        </w:rPr>
        <w:fldChar w:fldCharType="begin">
          <w:fldData xml:space="preserve">PEVuZE5vdGU+PENpdGU+PEF1dGhvcj5TdGVwb25haXRpczwvQXV0aG9yPjxZZWFyPjE5ODY8L1ll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</w:fldData>
        </w:fldChar>
      </w:r>
      <w:r w:rsidR="007D6E92">
        <w:rPr>
          <w:rFonts w:cs="Times New Roman"/>
          <w:szCs w:val="24"/>
        </w:rPr>
        <w:instrText xml:space="preserve"> ADDIN EN.CITE.DATA </w:instrText>
      </w:r>
      <w:r w:rsidR="00B33E6D">
        <w:rPr>
          <w:rFonts w:cs="Times New Roman"/>
          <w:szCs w:val="24"/>
        </w:rPr>
      </w:r>
      <w:r w:rsidR="00B33E6D">
        <w:rPr>
          <w:rFonts w:cs="Times New Roman"/>
          <w:szCs w:val="24"/>
        </w:rPr>
        <w:fldChar w:fldCharType="end"/>
      </w:r>
      <w:r w:rsidR="00B33E6D" w:rsidRPr="00C123C1">
        <w:rPr>
          <w:rFonts w:cs="Times New Roman"/>
          <w:szCs w:val="24"/>
        </w:rPr>
      </w:r>
      <w:r w:rsidR="00B33E6D" w:rsidRPr="00C123C1">
        <w:rPr>
          <w:rFonts w:cs="Times New Roman"/>
          <w:szCs w:val="24"/>
        </w:rPr>
        <w:fldChar w:fldCharType="separate"/>
      </w:r>
      <w:r w:rsidR="007D6E92">
        <w:rPr>
          <w:rFonts w:cs="Times New Roman"/>
          <w:noProof/>
          <w:szCs w:val="24"/>
        </w:rPr>
        <w:t>(</w:t>
      </w:r>
      <w:hyperlink w:anchor="_ENREF_1" w:tooltip="Anderson, 2012 #88" w:history="1">
        <w:r w:rsidR="00B15FB2">
          <w:rPr>
            <w:rFonts w:cs="Times New Roman"/>
            <w:noProof/>
            <w:szCs w:val="24"/>
          </w:rPr>
          <w:t>Anderson and Sassaman 2012</w:t>
        </w:r>
      </w:hyperlink>
      <w:r w:rsidR="007D6E92">
        <w:rPr>
          <w:rFonts w:cs="Times New Roman"/>
          <w:noProof/>
          <w:szCs w:val="24"/>
        </w:rPr>
        <w:t xml:space="preserve">; </w:t>
      </w:r>
      <w:hyperlink w:anchor="_ENREF_26" w:tooltip="Faulkner, 1996 #116" w:history="1">
        <w:r w:rsidR="00B15FB2">
          <w:rPr>
            <w:rFonts w:cs="Times New Roman"/>
            <w:noProof/>
            <w:szCs w:val="24"/>
          </w:rPr>
          <w:t>Faulkner and Simek 1996</w:t>
        </w:r>
      </w:hyperlink>
      <w:r w:rsidR="007D6E92">
        <w:rPr>
          <w:rFonts w:cs="Times New Roman"/>
          <w:noProof/>
          <w:szCs w:val="24"/>
        </w:rPr>
        <w:t xml:space="preserve">; </w:t>
      </w:r>
      <w:hyperlink w:anchor="_ENREF_85" w:tooltip="Steponaitis, 1986 #87" w:history="1">
        <w:r w:rsidR="00B15FB2">
          <w:rPr>
            <w:rFonts w:cs="Times New Roman"/>
            <w:noProof/>
            <w:szCs w:val="24"/>
          </w:rPr>
          <w:t>Steponaitis 1986</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w:t>
      </w:r>
    </w:p>
    <w:p w:rsidR="00C123C1" w:rsidRPr="00C123C1" w:rsidRDefault="00C123C1" w:rsidP="00C123C1">
      <w:pPr>
        <w:tabs>
          <w:tab w:val="left" w:pos="630"/>
        </w:tabs>
        <w:spacing w:after="0" w:line="480" w:lineRule="auto"/>
        <w:rPr>
          <w:rFonts w:cs="Times New Roman"/>
          <w:szCs w:val="24"/>
        </w:rPr>
      </w:pPr>
      <w:r w:rsidRPr="00C123C1">
        <w:rPr>
          <w:rFonts w:cs="Times New Roman"/>
          <w:szCs w:val="24"/>
        </w:rPr>
        <w:tab/>
        <w:t xml:space="preserve">Few Mississippian sites have been recorded on the UCP, and are generally characterized by the presence of shell-tempered ceramics, although limestone-tempered, cord-marked pottery does persist on the UCP into the Mississippian Period </w:t>
      </w:r>
      <w:r w:rsidR="00B33E6D"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No Mississippian villages or farmsteads have been recorded on the Cumberland Plateau </w:t>
      </w:r>
      <w:r w:rsidR="00B33E6D" w:rsidRPr="00C123C1">
        <w:rPr>
          <w:rFonts w:cs="Times New Roman"/>
          <w:szCs w:val="24"/>
        </w:rPr>
        <w:fldChar w:fldCharType="begin"/>
      </w:r>
      <w:r w:rsidRPr="00C123C1">
        <w:rPr>
          <w:rFonts w:cs="Times New Roman"/>
          <w:szCs w:val="24"/>
        </w:rPr>
        <w:instrText xml:space="preserve"> ADDIN EN.CITE &lt;EndNote&gt;&lt;Cite&gt;&lt;Author&gt;Des Jean&lt;/Author&gt;&lt;Year&gt;1994&lt;/Year&gt;&lt;RecNum&gt;110&lt;/RecNum&gt;&lt;DisplayText&gt;(Des Jean and Benthall 1994)&lt;/DisplayText&gt;&lt;record&gt;&lt;rec-number&gt;110&lt;/rec-number&gt;&lt;foreign-keys&gt;&lt;key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5" w:tooltip="Des Jean, 1994 #110" w:history="1">
        <w:r w:rsidR="00B15FB2" w:rsidRPr="00C123C1">
          <w:rPr>
            <w:rFonts w:cs="Times New Roman"/>
            <w:noProof/>
            <w:szCs w:val="24"/>
          </w:rPr>
          <w:t>Des Jean and Benthall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Rock art depicting Mississippian iconography has been documented on the UCP </w:t>
      </w:r>
      <w:r w:rsidR="00B33E6D" w:rsidRPr="00C123C1">
        <w:rPr>
          <w:rFonts w:cs="Times New Roman"/>
          <w:szCs w:val="24"/>
        </w:rPr>
        <w:fldChar w:fldCharType="begin"/>
      </w:r>
      <w:r w:rsidR="007D6E92">
        <w:rPr>
          <w:rFonts w:cs="Times New Roman"/>
          <w:szCs w:val="24"/>
        </w:rPr>
        <w:instrText xml:space="preserve"> ADDIN EN.CITE &lt;EndNote&gt;&lt;Cite&gt;&lt;Author&gt;Simek&lt;/Author&gt;&lt;Year&gt;1998&lt;/Year&gt;&lt;RecNum&gt;117&lt;/RecNum&gt;&lt;DisplayText&gt;(Simek, et al. 1998)&lt;/DisplayText&gt;&lt;record&gt;&lt;rec-number&gt;117&lt;/rec-number&gt;&lt;foreign-keys&gt;&lt;key app="EN" db-id="pvwvsv0fktzv2weszt4xp95xstrzawadapa0"&gt;117&lt;/key&gt;&lt;/foreign-keys&gt;&lt;ref-type name="Journal Article"&gt;17&lt;/ref-type&gt;&lt;contributors&gt;&lt;authors&gt;&lt;author&gt;Simek, Jan F.&lt;/author&gt;&lt;author&gt;Franklin, Jay D.&lt;/author&gt;&lt;author&gt;Sherwood, Sarah C.&lt;/author&gt;&lt;/authors&gt;&lt;/contributors&gt;&lt;titles&gt;&lt;title&gt;The Context of Early Southeastern Prehistoric Cave Art: A Report on the Archaeology of 3rd Unnamed Cave&lt;/title&gt;&lt;secondary-title&gt;American Antiquity&lt;/secondary-title&gt;&lt;/titles&gt;&lt;periodical&gt;&lt;full-title&gt;American Antiquity&lt;/full-title&gt;&lt;/periodical&gt;&lt;pages&gt;663-677&lt;/pages&gt;&lt;volume&gt;63&lt;/volume&gt;&lt;number&gt;4&lt;/number&gt;&lt;dates&gt;&lt;year&gt;1998&lt;/year&gt;&lt;/dates&gt;&lt;publisher&gt;Society for American Archaeology&lt;/publisher&gt;&lt;isbn&gt;00027316&lt;/isbn&gt;&lt;urls&gt;&lt;related-urls&gt;&lt;url&gt;http://www.jstor.org/stable/2694114&lt;/url&gt;&lt;/related-urls&gt;&lt;/urls&gt;&lt;electronic-resource-num&gt;10.2307/2694114&lt;/electronic-resource-num&gt;&lt;/record&gt;&lt;/Cite&gt;&lt;/EndNote&gt;</w:instrText>
      </w:r>
      <w:r w:rsidR="00B33E6D" w:rsidRPr="00C123C1">
        <w:rPr>
          <w:rFonts w:cs="Times New Roman"/>
          <w:szCs w:val="24"/>
        </w:rPr>
        <w:fldChar w:fldCharType="separate"/>
      </w:r>
      <w:r w:rsidR="007D6E92">
        <w:rPr>
          <w:rFonts w:cs="Times New Roman"/>
          <w:noProof/>
          <w:szCs w:val="24"/>
        </w:rPr>
        <w:t>(</w:t>
      </w:r>
      <w:hyperlink w:anchor="_ENREF_82" w:tooltip="Simek, 1998 #117" w:history="1">
        <w:r w:rsidR="00B15FB2">
          <w:rPr>
            <w:rFonts w:cs="Times New Roman"/>
            <w:noProof/>
            <w:szCs w:val="24"/>
          </w:rPr>
          <w:t>Simek, et al. 1998</w:t>
        </w:r>
      </w:hyperlink>
      <w:r w:rsidR="007D6E92">
        <w:rPr>
          <w:rFonts w:cs="Times New Roman"/>
          <w:noProof/>
          <w:szCs w:val="24"/>
        </w:rPr>
        <w:t>)</w:t>
      </w:r>
      <w:r w:rsidR="00B33E6D" w:rsidRPr="00C123C1">
        <w:rPr>
          <w:rFonts w:cs="Times New Roman"/>
          <w:szCs w:val="24"/>
        </w:rPr>
        <w:fldChar w:fldCharType="end"/>
      </w:r>
      <w:r w:rsidRPr="00C123C1">
        <w:rPr>
          <w:rFonts w:cs="Times New Roman"/>
          <w:szCs w:val="24"/>
        </w:rPr>
        <w:t xml:space="preserve"> as well as the southern Cumberland Plateau, and the presence of small Mississippian projectile points and shell tempered pottery </w:t>
      </w:r>
      <w:r w:rsidR="00B33E6D" w:rsidRPr="00C123C1">
        <w:rPr>
          <w:rFonts w:cs="Times New Roman"/>
          <w:szCs w:val="24"/>
        </w:rPr>
        <w:fldChar w:fldCharType="begin"/>
      </w:r>
      <w:r w:rsidRPr="00C123C1">
        <w:rPr>
          <w:rFonts w:cs="Times New Roman"/>
          <w:szCs w:val="24"/>
        </w:rPr>
        <w:instrText xml:space="preserve"> ADDIN EN.CITE &lt;EndNote&gt;&lt;Cite&gt;&lt;Author&gt;Des Jean&lt;/Author&gt;&lt;Year&gt;1994&lt;/Year&gt;&lt;RecNum&gt;110&lt;/RecNum&gt;&lt;DisplayText&gt;(Des Jean and Benthall 1994)&lt;/DisplayText&gt;&lt;record&gt;&lt;rec-number&gt;110&lt;/rec-number&gt;&lt;foreign-keys&gt;&lt;key app="EN" db-id="pvwvsv0fktzv2weszt4xp95xstrzawadapa0"&gt;110&lt;/key&gt;&lt;/foreign-keys&gt;&lt;ref-type name="Journal Article"&gt;17&lt;/ref-type&gt;&lt;contributors&gt;&lt;authors&gt;&lt;author&gt;Des Jean, Tom&lt;/author&gt;&lt;author&gt;Joseph L. Benthall&lt;/author&gt;&lt;/authors&gt;&lt;/contributors&gt;&lt;titles&gt;&lt;title&gt;A Lithic Based Cultural Chronology of the Upper Cumberland Plateau.&lt;/title&gt;&lt;secondary-title&gt;Tennessee Anthropologist&lt;/secondary-title&gt;&lt;/titles&gt;&lt;periodical&gt;&lt;full-title&gt;Tennessee Anthropologist&lt;/full-title&gt;&lt;/periodical&gt;&lt;pages&gt;114-139&lt;/pages&gt;&lt;volume&gt;19&lt;/volume&gt;&lt;number&gt;2&lt;/number&gt;&lt;dates&gt;&lt;year&gt;1994&lt;/year&gt;&lt;/dates&gt;&lt;urls&gt;&lt;/urls&gt;&lt;/record&gt;&lt;/Cite&gt;&lt;/EndNote&gt;</w:instrText>
      </w:r>
      <w:r w:rsidR="00B33E6D" w:rsidRPr="00C123C1">
        <w:rPr>
          <w:rFonts w:cs="Times New Roman"/>
          <w:szCs w:val="24"/>
        </w:rPr>
        <w:fldChar w:fldCharType="separate"/>
      </w:r>
      <w:r w:rsidRPr="00C123C1">
        <w:rPr>
          <w:rFonts w:cs="Times New Roman"/>
          <w:noProof/>
          <w:szCs w:val="24"/>
        </w:rPr>
        <w:t>(</w:t>
      </w:r>
      <w:hyperlink w:anchor="_ENREF_25" w:tooltip="Des Jean, 1994 #110" w:history="1">
        <w:r w:rsidR="00B15FB2" w:rsidRPr="00C123C1">
          <w:rPr>
            <w:rFonts w:cs="Times New Roman"/>
            <w:noProof/>
            <w:szCs w:val="24"/>
          </w:rPr>
          <w:t>Des Jean and Benthall 1994</w:t>
        </w:r>
      </w:hyperlink>
      <w:r w:rsidRPr="00C123C1">
        <w:rPr>
          <w:rFonts w:cs="Times New Roman"/>
          <w:noProof/>
          <w:szCs w:val="24"/>
        </w:rPr>
        <w:t>)</w:t>
      </w:r>
      <w:r w:rsidR="00B33E6D" w:rsidRPr="00C123C1">
        <w:rPr>
          <w:rFonts w:cs="Times New Roman"/>
          <w:szCs w:val="24"/>
        </w:rPr>
        <w:fldChar w:fldCharType="end"/>
      </w:r>
      <w:r w:rsidRPr="00C123C1">
        <w:rPr>
          <w:rFonts w:cs="Times New Roman"/>
          <w:szCs w:val="24"/>
        </w:rPr>
        <w:t xml:space="preserve">; indicate that Mississippian people continued to utilize the UCP for wild resources as well as religious purposes. No Mississippian artifacts have been recovered from Sachsen Cave Shelter. </w:t>
      </w:r>
    </w:p>
    <w:p w:rsidR="00C123C1" w:rsidRPr="00C123C1" w:rsidRDefault="00C123C1">
      <w:pPr>
        <w:rPr>
          <w:rFonts w:cs="Times New Roman"/>
          <w:szCs w:val="24"/>
        </w:rPr>
      </w:pPr>
      <w:r w:rsidRPr="00C123C1">
        <w:rPr>
          <w:rFonts w:cs="Times New Roman"/>
          <w:szCs w:val="24"/>
        </w:rPr>
        <w:br w:type="page"/>
      </w:r>
    </w:p>
    <w:p w:rsidR="00AA0671" w:rsidRPr="00223810" w:rsidRDefault="00AA0671" w:rsidP="00E36BC3">
      <w:pPr>
        <w:pStyle w:val="Heading1"/>
      </w:pPr>
      <w:bookmarkStart w:id="21" w:name="_Toc349507283"/>
      <w:r w:rsidRPr="00223810">
        <w:lastRenderedPageBreak/>
        <w:t>Chapter 4: Sachsen Cave Shelter</w:t>
      </w:r>
      <w:bookmarkEnd w:id="21"/>
    </w:p>
    <w:p w:rsidR="00AA0671" w:rsidRPr="00C123C1" w:rsidRDefault="00AA0671" w:rsidP="00AA0671">
      <w:pPr>
        <w:rPr>
          <w:rFonts w:cs="Times New Roman"/>
          <w:szCs w:val="24"/>
        </w:rPr>
      </w:pPr>
    </w:p>
    <w:p w:rsidR="00832A87" w:rsidRDefault="00613960" w:rsidP="00832A87">
      <w:pPr>
        <w:spacing w:after="0" w:line="480" w:lineRule="auto"/>
        <w:ind w:firstLine="720"/>
        <w:rPr>
          <w:rFonts w:cs="Times New Roman"/>
          <w:noProof/>
          <w:szCs w:val="24"/>
        </w:rPr>
      </w:pPr>
      <w:r w:rsidRPr="00C123C1">
        <w:rPr>
          <w:rFonts w:cs="Times New Roman"/>
          <w:szCs w:val="24"/>
        </w:rPr>
        <w:t>Sachsen Cave Shelter is a large, san</w:t>
      </w:r>
      <w:r>
        <w:rPr>
          <w:rFonts w:cs="Times New Roman"/>
          <w:szCs w:val="24"/>
        </w:rPr>
        <w:t xml:space="preserve">dstone rock house type shelter, </w:t>
      </w:r>
      <w:r w:rsidRPr="00C123C1">
        <w:rPr>
          <w:rFonts w:cs="Times New Roman"/>
          <w:szCs w:val="24"/>
        </w:rPr>
        <w:t xml:space="preserve">although it is technically a cave </w:t>
      </w:r>
      <w:r>
        <w:rPr>
          <w:rFonts w:cs="Times New Roman"/>
          <w:szCs w:val="24"/>
        </w:rPr>
        <w:t xml:space="preserve">by the Tennessee Cave Survey survey </w:t>
      </w:r>
      <w:r w:rsidRPr="00C123C1">
        <w:rPr>
          <w:rFonts w:cs="Times New Roman"/>
          <w:szCs w:val="24"/>
        </w:rPr>
        <w:t>as the dripline is more than 50 feet from the back wall</w:t>
      </w:r>
      <w:r w:rsidR="00832A87">
        <w:rPr>
          <w:rFonts w:cs="Times New Roman"/>
          <w:szCs w:val="24"/>
        </w:rPr>
        <w:t xml:space="preserve"> (see </w:t>
      </w:r>
      <w:r w:rsidR="00832A87">
        <w:rPr>
          <w:rFonts w:cs="Times New Roman"/>
          <w:szCs w:val="24"/>
        </w:rPr>
        <w:fldChar w:fldCharType="begin"/>
      </w:r>
      <w:r w:rsidR="00832A87">
        <w:rPr>
          <w:rFonts w:cs="Times New Roman"/>
          <w:szCs w:val="24"/>
        </w:rPr>
        <w:instrText xml:space="preserve"> REF _Ref349496380 \h  \* MERGEFORMAT </w:instrText>
      </w:r>
      <w:r w:rsidR="00832A87">
        <w:rPr>
          <w:rFonts w:cs="Times New Roman"/>
          <w:szCs w:val="24"/>
        </w:rPr>
      </w:r>
      <w:r w:rsidR="00832A87">
        <w:rPr>
          <w:rFonts w:cs="Times New Roman"/>
          <w:szCs w:val="24"/>
        </w:rPr>
        <w:fldChar w:fldCharType="separate"/>
      </w:r>
      <w:r w:rsidR="00832A87" w:rsidRPr="00C64AA8">
        <w:t xml:space="preserve">Figure </w:t>
      </w:r>
      <w:r w:rsidR="00832A87">
        <w:rPr>
          <w:noProof/>
        </w:rPr>
        <w:t>1</w:t>
      </w:r>
      <w:r w:rsidR="00832A87">
        <w:rPr>
          <w:rFonts w:cs="Times New Roman"/>
          <w:szCs w:val="24"/>
        </w:rPr>
        <w:fldChar w:fldCharType="end"/>
      </w:r>
      <w:r>
        <w:rPr>
          <w:rFonts w:cs="Times New Roman"/>
          <w:szCs w:val="24"/>
        </w:rPr>
        <w:t>). It is located</w:t>
      </w:r>
      <w:r w:rsidRPr="00C123C1">
        <w:rPr>
          <w:rFonts w:cs="Times New Roman"/>
          <w:szCs w:val="24"/>
        </w:rPr>
        <w:t xml:space="preserve"> very near modern houses and roads, and the shelter has received a fair amount of attention from local relic hunters, although it has been protected from looting since the 1970s. The shelter was noted for archaeological significance by UT and ETSU archaeologists in 2007. Surface collections</w:t>
      </w:r>
      <w:r>
        <w:rPr>
          <w:rFonts w:cs="Times New Roman"/>
          <w:szCs w:val="24"/>
        </w:rPr>
        <w:t xml:space="preserve"> at this time</w:t>
      </w:r>
      <w:r w:rsidRPr="00C123C1">
        <w:rPr>
          <w:rFonts w:cs="Times New Roman"/>
          <w:szCs w:val="24"/>
        </w:rPr>
        <w:t xml:space="preserve"> included Woodland ceramics, Archaic bifaces and animal bone. Although clear evidence of disturbance was noted, the site did not appear to be extensively looted, as are many rock shelter sites in the area with dense archaeological deposits.</w:t>
      </w:r>
      <w:r w:rsidRPr="00DF0E71">
        <w:rPr>
          <w:rFonts w:cs="Times New Roman"/>
          <w:noProof/>
          <w:szCs w:val="24"/>
        </w:rPr>
        <w:t xml:space="preserve"> </w:t>
      </w:r>
      <w:r w:rsidR="00832A87" w:rsidRPr="00C64AA8">
        <w:rPr>
          <w:rFonts w:cs="Times New Roman"/>
          <w:noProof/>
          <w:sz w:val="36"/>
          <w:szCs w:val="24"/>
        </w:rPr>
        <w:drawing>
          <wp:inline distT="0" distB="0" distL="0" distR="0" wp14:anchorId="5F2846EC" wp14:editId="2735ADE4">
            <wp:extent cx="5943600" cy="3335020"/>
            <wp:effectExtent l="0" t="0" r="0" b="0"/>
            <wp:docPr id="4" name="Picture 1" descr="C:\Users\Meagan\Desktop\Thesis\Photos\Sachsen 7-28-12\2010-08-06 12.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gan\Desktop\Thesis\Photos\Sachsen 7-28-12\2010-08-06 12.19.40.jpg"/>
                    <pic:cNvPicPr>
                      <a:picLocks noChangeAspect="1" noChangeArrowheads="1"/>
                    </pic:cNvPicPr>
                  </pic:nvPicPr>
                  <pic:blipFill>
                    <a:blip r:embed="rId10" cstate="print"/>
                    <a:srcRect/>
                    <a:stretch>
                      <a:fillRect/>
                    </a:stretch>
                  </pic:blipFill>
                  <pic:spPr bwMode="auto">
                    <a:xfrm>
                      <a:off x="0" y="0"/>
                      <a:ext cx="5943600" cy="3335020"/>
                    </a:xfrm>
                    <a:prstGeom prst="rect">
                      <a:avLst/>
                    </a:prstGeom>
                    <a:noFill/>
                    <a:ln w="9525">
                      <a:noFill/>
                      <a:miter lim="800000"/>
                      <a:headEnd/>
                      <a:tailEnd/>
                    </a:ln>
                  </pic:spPr>
                </pic:pic>
              </a:graphicData>
            </a:graphic>
          </wp:inline>
        </w:drawing>
      </w:r>
      <w:bookmarkStart w:id="22" w:name="_Ref349496380"/>
      <w:bookmarkStart w:id="23" w:name="_Ref349496367"/>
    </w:p>
    <w:p w:rsidR="00832A87" w:rsidRDefault="00832A87" w:rsidP="00832A87">
      <w:pPr>
        <w:spacing w:after="0" w:line="480" w:lineRule="auto"/>
        <w:ind w:firstLine="720"/>
        <w:jc w:val="center"/>
        <w:rPr>
          <w:rFonts w:cs="Times New Roman"/>
          <w:noProof/>
          <w:szCs w:val="24"/>
        </w:rPr>
      </w:pPr>
      <w:bookmarkStart w:id="24" w:name="_Toc349505218"/>
      <w:r w:rsidRPr="00C64AA8">
        <w:t xml:space="preserve">Figure </w:t>
      </w:r>
      <w:fldSimple w:instr=" SEQ Figure \* ARABIC ">
        <w:r w:rsidR="00E07BC4">
          <w:rPr>
            <w:noProof/>
          </w:rPr>
          <w:t>1</w:t>
        </w:r>
      </w:fldSimple>
      <w:bookmarkEnd w:id="22"/>
      <w:r w:rsidRPr="00C64AA8">
        <w:t>: Sachsen Cave Shelter, facing North. July 2012</w:t>
      </w:r>
      <w:bookmarkEnd w:id="23"/>
      <w:bookmarkEnd w:id="24"/>
    </w:p>
    <w:p w:rsidR="00613960" w:rsidRDefault="00613960" w:rsidP="00832A87">
      <w:pPr>
        <w:spacing w:after="0" w:line="480" w:lineRule="auto"/>
        <w:ind w:firstLine="720"/>
        <w:jc w:val="center"/>
        <w:rPr>
          <w:rFonts w:cs="Times New Roman"/>
          <w:noProof/>
          <w:szCs w:val="24"/>
        </w:rPr>
      </w:pPr>
      <w:r w:rsidRPr="00C123C1">
        <w:rPr>
          <w:rFonts w:cs="Times New Roman"/>
          <w:szCs w:val="24"/>
        </w:rPr>
        <w:lastRenderedPageBreak/>
        <w:t xml:space="preserve"> Excavations began at the site in the summer of 2008 as part of an ETSU archaeological field school directed by Jay Franklin. </w:t>
      </w:r>
      <w:r>
        <w:rPr>
          <w:rFonts w:cs="Times New Roman"/>
          <w:szCs w:val="24"/>
        </w:rPr>
        <w:t>Three</w:t>
      </w:r>
      <w:r w:rsidRPr="00C123C1">
        <w:rPr>
          <w:rFonts w:cs="Times New Roman"/>
          <w:szCs w:val="24"/>
        </w:rPr>
        <w:t xml:space="preserve"> </w:t>
      </w:r>
      <w:r>
        <w:rPr>
          <w:rFonts w:cs="Times New Roman"/>
          <w:szCs w:val="24"/>
        </w:rPr>
        <w:t>additional</w:t>
      </w:r>
      <w:r w:rsidRPr="00C123C1">
        <w:rPr>
          <w:rFonts w:cs="Times New Roman"/>
          <w:szCs w:val="24"/>
        </w:rPr>
        <w:t xml:space="preserve"> seasons of excavations have been carried out at the site, and a small connected site (Sachsen Cave Shelter, North) from 2009-2011. </w:t>
      </w:r>
      <w:r>
        <w:rPr>
          <w:rFonts w:cs="Times New Roman"/>
          <w:szCs w:val="24"/>
        </w:rPr>
        <w:t>S32 North lacked stratified cultural deposits and few artifacts and very few faunal remains were recovered from this context. This part area of the site is therefore excluded from further discussions here. Presented in this chapter are the e</w:t>
      </w:r>
      <w:r w:rsidRPr="00C123C1">
        <w:rPr>
          <w:rFonts w:cs="Times New Roman"/>
          <w:szCs w:val="24"/>
        </w:rPr>
        <w:t>xcavation methods, results and inte</w:t>
      </w:r>
      <w:r>
        <w:rPr>
          <w:rFonts w:cs="Times New Roman"/>
          <w:szCs w:val="24"/>
        </w:rPr>
        <w:t xml:space="preserve">rpretations from 3 field seasons of excavations at Sachsen Cave Shelter.  </w:t>
      </w:r>
    </w:p>
    <w:p w:rsidR="00613960" w:rsidRDefault="00613960" w:rsidP="00613960">
      <w:pPr>
        <w:spacing w:after="0" w:line="480" w:lineRule="auto"/>
        <w:ind w:firstLine="720"/>
        <w:rPr>
          <w:rFonts w:cs="Times New Roman"/>
          <w:szCs w:val="24"/>
        </w:rPr>
      </w:pPr>
      <w:r>
        <w:rPr>
          <w:rFonts w:cs="Times New Roman"/>
          <w:szCs w:val="24"/>
        </w:rPr>
        <w:t xml:space="preserve">The site is located very near a semi-permanent water source. Only a few feet below the northern most edge of the shelter is a small stream that runs for most of the year. This stream likely empties into the larger Mill Creek located only a few miles east of the shelter. Small tributaries to the Cumberland River and Dale Hollow Lake are located to the west, south and north of the shelter all at a distance of at least 10 miles or more; however there are many smaller creeks located nearby. There are also many more rock shelter sites nearby, including one directly below S32 and S32N where a large nutting stone was recorded, and still remains. </w:t>
      </w:r>
    </w:p>
    <w:p w:rsidR="00613960" w:rsidRDefault="00613960" w:rsidP="00613960">
      <w:pPr>
        <w:spacing w:after="0" w:line="480" w:lineRule="auto"/>
        <w:ind w:firstLine="720"/>
        <w:rPr>
          <w:rFonts w:cs="Times New Roman"/>
          <w:szCs w:val="24"/>
        </w:rPr>
      </w:pPr>
      <w:r>
        <w:rPr>
          <w:rFonts w:cs="Times New Roman"/>
          <w:szCs w:val="24"/>
        </w:rPr>
        <w:t>The she</w:t>
      </w:r>
      <w:r w:rsidR="00C64AA8">
        <w:rPr>
          <w:rFonts w:cs="Times New Roman"/>
          <w:szCs w:val="24"/>
        </w:rPr>
        <w:t>lter itself is quite extensive (</w:t>
      </w:r>
      <w:r w:rsidR="00832A87">
        <w:rPr>
          <w:rFonts w:cs="Times New Roman"/>
          <w:szCs w:val="24"/>
        </w:rPr>
        <w:fldChar w:fldCharType="begin"/>
      </w:r>
      <w:r w:rsidR="00832A87">
        <w:rPr>
          <w:rFonts w:cs="Times New Roman"/>
          <w:szCs w:val="24"/>
        </w:rPr>
        <w:instrText xml:space="preserve"> REF _Ref349496589 \h </w:instrText>
      </w:r>
      <w:r w:rsidR="00832A87">
        <w:rPr>
          <w:rFonts w:cs="Times New Roman"/>
          <w:szCs w:val="24"/>
        </w:rPr>
      </w:r>
      <w:r w:rsidR="00832A87">
        <w:rPr>
          <w:rFonts w:cs="Times New Roman"/>
          <w:szCs w:val="24"/>
        </w:rPr>
        <w:fldChar w:fldCharType="separate"/>
      </w:r>
      <w:r w:rsidR="00832A87" w:rsidRPr="00C64AA8">
        <w:rPr>
          <w:szCs w:val="24"/>
        </w:rPr>
        <w:t xml:space="preserve">Figure </w:t>
      </w:r>
      <w:r w:rsidR="00832A87" w:rsidRPr="00C64AA8">
        <w:rPr>
          <w:noProof/>
          <w:szCs w:val="24"/>
        </w:rPr>
        <w:t>2</w:t>
      </w:r>
      <w:r w:rsidR="00832A87">
        <w:rPr>
          <w:rFonts w:cs="Times New Roman"/>
          <w:szCs w:val="24"/>
        </w:rPr>
        <w:fldChar w:fldCharType="end"/>
      </w:r>
      <w:r w:rsidR="00C64AA8">
        <w:rPr>
          <w:rFonts w:cs="Times New Roman"/>
          <w:szCs w:val="24"/>
        </w:rPr>
        <w:t>)</w:t>
      </w:r>
      <w:r>
        <w:rPr>
          <w:rFonts w:cs="Times New Roman"/>
          <w:szCs w:val="24"/>
        </w:rPr>
        <w:t>. The width of the shelter is about 20m with a height of about 2-3m in the interior portion. The interior back of the shelter is only about 15m from the dirp line, but the north and south sides of the shelter extend back about 15-20 addition meters where ceiling height only permits crouching or crawling to reach the furthest corners. Deposition was not observed in these areas. The shelter is both wet and dry, depending on the time of year and weather conditions. When it is dry, areas where water has moved throu</w:t>
      </w:r>
      <w:r w:rsidR="00C64AA8">
        <w:rPr>
          <w:rFonts w:cs="Times New Roman"/>
          <w:szCs w:val="24"/>
        </w:rPr>
        <w:t>gh the shelter can be observed</w:t>
      </w:r>
      <w:r w:rsidR="00832A87">
        <w:rPr>
          <w:rFonts w:cs="Times New Roman"/>
          <w:szCs w:val="24"/>
        </w:rPr>
        <w:t xml:space="preserve"> (</w:t>
      </w:r>
      <w:r w:rsidR="00832A87">
        <w:rPr>
          <w:rFonts w:cs="Times New Roman"/>
          <w:szCs w:val="24"/>
        </w:rPr>
        <w:fldChar w:fldCharType="begin"/>
      </w:r>
      <w:r w:rsidR="00832A87">
        <w:rPr>
          <w:rFonts w:cs="Times New Roman"/>
          <w:szCs w:val="24"/>
        </w:rPr>
        <w:instrText xml:space="preserve"> REF _Ref349501450 \h </w:instrText>
      </w:r>
      <w:r w:rsidR="00832A87">
        <w:rPr>
          <w:rFonts w:cs="Times New Roman"/>
          <w:szCs w:val="24"/>
        </w:rPr>
      </w:r>
      <w:r w:rsidR="00832A87">
        <w:rPr>
          <w:rFonts w:cs="Times New Roman"/>
          <w:szCs w:val="24"/>
        </w:rPr>
        <w:fldChar w:fldCharType="separate"/>
      </w:r>
      <w:r w:rsidR="00832A87" w:rsidRPr="00832A87">
        <w:rPr>
          <w:szCs w:val="24"/>
        </w:rPr>
        <w:t xml:space="preserve">Figure </w:t>
      </w:r>
      <w:r w:rsidR="00832A87" w:rsidRPr="00832A87">
        <w:rPr>
          <w:noProof/>
          <w:szCs w:val="24"/>
        </w:rPr>
        <w:t>3</w:t>
      </w:r>
      <w:r w:rsidR="00832A87">
        <w:rPr>
          <w:rFonts w:cs="Times New Roman"/>
          <w:szCs w:val="24"/>
        </w:rPr>
        <w:fldChar w:fldCharType="end"/>
      </w:r>
      <w:r w:rsidR="00C64AA8">
        <w:rPr>
          <w:rFonts w:cs="Times New Roman"/>
          <w:szCs w:val="24"/>
        </w:rPr>
        <w:t>)</w:t>
      </w:r>
      <w:r>
        <w:rPr>
          <w:rFonts w:cs="Times New Roman"/>
          <w:szCs w:val="24"/>
        </w:rPr>
        <w:t xml:space="preserve">. </w:t>
      </w:r>
    </w:p>
    <w:p w:rsidR="00C64AA8" w:rsidRDefault="00C64AA8" w:rsidP="00613960">
      <w:pPr>
        <w:spacing w:after="0" w:line="480" w:lineRule="auto"/>
        <w:ind w:firstLine="720"/>
        <w:rPr>
          <w:rFonts w:cs="Times New Roman"/>
          <w:szCs w:val="24"/>
        </w:rPr>
      </w:pPr>
    </w:p>
    <w:p w:rsidR="00C64AA8" w:rsidRPr="00C64AA8" w:rsidRDefault="00C64AA8" w:rsidP="00606507">
      <w:pPr>
        <w:keepNext/>
        <w:spacing w:after="0" w:line="240" w:lineRule="auto"/>
        <w:ind w:firstLine="720"/>
        <w:jc w:val="center"/>
        <w:rPr>
          <w:sz w:val="36"/>
        </w:rPr>
      </w:pPr>
    </w:p>
    <w:p w:rsidR="00C64AA8" w:rsidRDefault="00C64AA8" w:rsidP="00C64AA8">
      <w:pPr>
        <w:pStyle w:val="Caption"/>
        <w:spacing w:after="0"/>
        <w:jc w:val="center"/>
        <w:rPr>
          <w:color w:val="auto"/>
          <w:sz w:val="24"/>
        </w:rPr>
      </w:pPr>
    </w:p>
    <w:p w:rsidR="00C64AA8" w:rsidRDefault="00C64AA8" w:rsidP="00C64AA8"/>
    <w:p w:rsidR="00C64AA8" w:rsidRPr="00C64AA8" w:rsidRDefault="00C64AA8" w:rsidP="00C64AA8">
      <w:pPr>
        <w:keepNext/>
        <w:spacing w:after="0" w:line="240" w:lineRule="auto"/>
        <w:jc w:val="center"/>
        <w:rPr>
          <w:szCs w:val="24"/>
        </w:rPr>
      </w:pPr>
      <w:r w:rsidRPr="00C64AA8">
        <w:rPr>
          <w:rFonts w:cs="Times New Roman"/>
          <w:noProof/>
          <w:szCs w:val="24"/>
        </w:rPr>
        <w:drawing>
          <wp:inline distT="0" distB="0" distL="0" distR="0" wp14:anchorId="0CA95C19" wp14:editId="583EE107">
            <wp:extent cx="5943600" cy="3961130"/>
            <wp:effectExtent l="0" t="0" r="0" b="1270"/>
            <wp:docPr id="5" name="Picture 1" descr="C:\Users\Meagan\Desktop\Thesis\Photos\Site\S32 06.18.08 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gan\Desktop\Thesis\Photos\Site\S32 06.18.08 045.jpg"/>
                    <pic:cNvPicPr>
                      <a:picLocks noChangeAspect="1" noChangeArrowheads="1"/>
                    </pic:cNvPicPr>
                  </pic:nvPicPr>
                  <pic:blipFill>
                    <a:blip r:embed="rId11" cstate="print"/>
                    <a:srcRect/>
                    <a:stretch>
                      <a:fillRect/>
                    </a:stretch>
                  </pic:blipFill>
                  <pic:spPr bwMode="auto">
                    <a:xfrm>
                      <a:off x="0" y="0"/>
                      <a:ext cx="5943600" cy="3961130"/>
                    </a:xfrm>
                    <a:prstGeom prst="rect">
                      <a:avLst/>
                    </a:prstGeom>
                    <a:noFill/>
                    <a:ln w="9525">
                      <a:noFill/>
                      <a:miter lim="800000"/>
                      <a:headEnd/>
                      <a:tailEnd/>
                    </a:ln>
                  </pic:spPr>
                </pic:pic>
              </a:graphicData>
            </a:graphic>
          </wp:inline>
        </w:drawing>
      </w:r>
    </w:p>
    <w:p w:rsidR="00832A87" w:rsidRPr="00832A87" w:rsidRDefault="00C64AA8" w:rsidP="00832A87">
      <w:pPr>
        <w:pStyle w:val="Caption"/>
        <w:spacing w:after="0"/>
        <w:jc w:val="center"/>
        <w:rPr>
          <w:b w:val="0"/>
          <w:color w:val="auto"/>
          <w:sz w:val="24"/>
          <w:szCs w:val="24"/>
        </w:rPr>
      </w:pPr>
      <w:bookmarkStart w:id="25" w:name="_Ref349496589"/>
      <w:bookmarkStart w:id="26" w:name="_Toc349505219"/>
      <w:r w:rsidRPr="00832A87">
        <w:rPr>
          <w:b w:val="0"/>
          <w:color w:val="auto"/>
          <w:sz w:val="24"/>
          <w:szCs w:val="24"/>
        </w:rPr>
        <w:t xml:space="preserve">Figure </w:t>
      </w:r>
      <w:r w:rsidR="00E07BC4">
        <w:rPr>
          <w:b w:val="0"/>
          <w:color w:val="auto"/>
          <w:sz w:val="24"/>
          <w:szCs w:val="24"/>
        </w:rPr>
        <w:fldChar w:fldCharType="begin"/>
      </w:r>
      <w:r w:rsidR="00E07BC4">
        <w:rPr>
          <w:b w:val="0"/>
          <w:color w:val="auto"/>
          <w:sz w:val="24"/>
          <w:szCs w:val="24"/>
        </w:rPr>
        <w:instrText xml:space="preserve"> SEQ Figure \* ARABIC </w:instrText>
      </w:r>
      <w:r w:rsidR="00E07BC4">
        <w:rPr>
          <w:b w:val="0"/>
          <w:color w:val="auto"/>
          <w:sz w:val="24"/>
          <w:szCs w:val="24"/>
        </w:rPr>
        <w:fldChar w:fldCharType="separate"/>
      </w:r>
      <w:r w:rsidR="00E07BC4">
        <w:rPr>
          <w:b w:val="0"/>
          <w:noProof/>
          <w:color w:val="auto"/>
          <w:sz w:val="24"/>
          <w:szCs w:val="24"/>
        </w:rPr>
        <w:t>2</w:t>
      </w:r>
      <w:r w:rsidR="00E07BC4">
        <w:rPr>
          <w:b w:val="0"/>
          <w:color w:val="auto"/>
          <w:sz w:val="24"/>
          <w:szCs w:val="24"/>
        </w:rPr>
        <w:fldChar w:fldCharType="end"/>
      </w:r>
      <w:bookmarkEnd w:id="25"/>
      <w:r w:rsidRPr="00832A87">
        <w:rPr>
          <w:b w:val="0"/>
          <w:color w:val="auto"/>
          <w:sz w:val="24"/>
          <w:szCs w:val="24"/>
        </w:rPr>
        <w:t>: Central portion and excavations at Sachsen Cave Shelter</w:t>
      </w:r>
      <w:bookmarkEnd w:id="26"/>
    </w:p>
    <w:p w:rsidR="00832A87" w:rsidRPr="00832A87" w:rsidRDefault="00832A87" w:rsidP="00832A87">
      <w:pPr>
        <w:keepNext/>
        <w:spacing w:after="0" w:line="240" w:lineRule="auto"/>
        <w:jc w:val="center"/>
        <w:rPr>
          <w:szCs w:val="24"/>
        </w:rPr>
      </w:pPr>
      <w:r w:rsidRPr="00832A87">
        <w:rPr>
          <w:rFonts w:cs="Times New Roman"/>
          <w:noProof/>
          <w:szCs w:val="24"/>
        </w:rPr>
        <w:drawing>
          <wp:inline distT="0" distB="0" distL="0" distR="0" wp14:anchorId="7F4BC15A" wp14:editId="1845848C">
            <wp:extent cx="5943600" cy="3335020"/>
            <wp:effectExtent l="0" t="0" r="0" b="0"/>
            <wp:docPr id="6" name="Picture 2" descr="C:\Users\Meagan\Desktop\Thesis\Photos\Sachsen 7-28-12\2010-08-06 11.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agan\Desktop\Thesis\Photos\Sachsen 7-28-12\2010-08-06 11.53.53.jpg"/>
                    <pic:cNvPicPr>
                      <a:picLocks noChangeAspect="1" noChangeArrowheads="1"/>
                    </pic:cNvPicPr>
                  </pic:nvPicPr>
                  <pic:blipFill>
                    <a:blip r:embed="rId12" cstate="print"/>
                    <a:srcRect/>
                    <a:stretch>
                      <a:fillRect/>
                    </a:stretch>
                  </pic:blipFill>
                  <pic:spPr bwMode="auto">
                    <a:xfrm>
                      <a:off x="0" y="0"/>
                      <a:ext cx="5943600" cy="3335020"/>
                    </a:xfrm>
                    <a:prstGeom prst="rect">
                      <a:avLst/>
                    </a:prstGeom>
                    <a:noFill/>
                    <a:ln w="9525">
                      <a:noFill/>
                      <a:miter lim="800000"/>
                      <a:headEnd/>
                      <a:tailEnd/>
                    </a:ln>
                  </pic:spPr>
                </pic:pic>
              </a:graphicData>
            </a:graphic>
          </wp:inline>
        </w:drawing>
      </w:r>
    </w:p>
    <w:p w:rsidR="00832A87" w:rsidRPr="00832A87" w:rsidRDefault="00832A87" w:rsidP="00832A87">
      <w:pPr>
        <w:pStyle w:val="Caption"/>
        <w:spacing w:after="0"/>
        <w:jc w:val="center"/>
      </w:pPr>
      <w:bookmarkStart w:id="27" w:name="_Ref349501450"/>
      <w:bookmarkStart w:id="28" w:name="_Toc349505220"/>
      <w:r w:rsidRPr="00832A87">
        <w:rPr>
          <w:b w:val="0"/>
          <w:color w:val="auto"/>
          <w:sz w:val="24"/>
          <w:szCs w:val="24"/>
        </w:rPr>
        <w:t xml:space="preserve">Figure </w:t>
      </w:r>
      <w:r w:rsidR="00E07BC4">
        <w:rPr>
          <w:b w:val="0"/>
          <w:color w:val="auto"/>
          <w:sz w:val="24"/>
          <w:szCs w:val="24"/>
        </w:rPr>
        <w:fldChar w:fldCharType="begin"/>
      </w:r>
      <w:r w:rsidR="00E07BC4">
        <w:rPr>
          <w:b w:val="0"/>
          <w:color w:val="auto"/>
          <w:sz w:val="24"/>
          <w:szCs w:val="24"/>
        </w:rPr>
        <w:instrText xml:space="preserve"> SEQ Figure \* ARABIC </w:instrText>
      </w:r>
      <w:r w:rsidR="00E07BC4">
        <w:rPr>
          <w:b w:val="0"/>
          <w:color w:val="auto"/>
          <w:sz w:val="24"/>
          <w:szCs w:val="24"/>
        </w:rPr>
        <w:fldChar w:fldCharType="separate"/>
      </w:r>
      <w:r w:rsidR="00E07BC4">
        <w:rPr>
          <w:b w:val="0"/>
          <w:noProof/>
          <w:color w:val="auto"/>
          <w:sz w:val="24"/>
          <w:szCs w:val="24"/>
        </w:rPr>
        <w:t>3</w:t>
      </w:r>
      <w:r w:rsidR="00E07BC4">
        <w:rPr>
          <w:b w:val="0"/>
          <w:color w:val="auto"/>
          <w:sz w:val="24"/>
          <w:szCs w:val="24"/>
        </w:rPr>
        <w:fldChar w:fldCharType="end"/>
      </w:r>
      <w:bookmarkEnd w:id="27"/>
      <w:r w:rsidRPr="00832A87">
        <w:rPr>
          <w:b w:val="0"/>
          <w:color w:val="auto"/>
          <w:sz w:val="24"/>
          <w:szCs w:val="24"/>
        </w:rPr>
        <w:t>:Evidence of water flow – looking south toward the back corner of the shelter, water flows north. July 2012</w:t>
      </w:r>
      <w:bookmarkStart w:id="29" w:name="_Ref349502053"/>
      <w:bookmarkEnd w:id="28"/>
    </w:p>
    <w:p w:rsidR="00613960" w:rsidRPr="00C123C1" w:rsidRDefault="00613960" w:rsidP="00613960">
      <w:pPr>
        <w:pStyle w:val="Heading2"/>
      </w:pPr>
      <w:bookmarkStart w:id="30" w:name="_Toc343820347"/>
      <w:bookmarkStart w:id="31" w:name="_Toc349507284"/>
      <w:r w:rsidRPr="00C123C1">
        <w:lastRenderedPageBreak/>
        <w:t>2008 Excavations</w:t>
      </w:r>
      <w:bookmarkEnd w:id="30"/>
      <w:bookmarkEnd w:id="31"/>
      <w:r w:rsidRPr="00C123C1">
        <w:t xml:space="preserve"> </w:t>
      </w:r>
    </w:p>
    <w:p w:rsidR="0069587F" w:rsidRDefault="00613960" w:rsidP="00613960">
      <w:pPr>
        <w:spacing w:after="0" w:line="480" w:lineRule="auto"/>
        <w:ind w:firstLine="720"/>
        <w:rPr>
          <w:rFonts w:cs="Times New Roman"/>
          <w:szCs w:val="24"/>
        </w:rPr>
      </w:pPr>
      <w:r w:rsidRPr="00C123C1">
        <w:rPr>
          <w:rFonts w:cs="Times New Roman"/>
          <w:szCs w:val="24"/>
        </w:rPr>
        <w:t>A crew of field school students, including the author, began the first archaeological investigations at the shelter in early June of 2008. A datum was placed just inside the dripline near the center of the shelter (</w:t>
      </w:r>
      <w:r w:rsidR="0069587F" w:rsidRPr="0069587F">
        <w:rPr>
          <w:rFonts w:cs="Times New Roman"/>
          <w:color w:val="FF0000"/>
          <w:szCs w:val="24"/>
        </w:rPr>
        <w:fldChar w:fldCharType="begin"/>
      </w:r>
      <w:r w:rsidR="0069587F" w:rsidRPr="0069587F">
        <w:rPr>
          <w:rFonts w:cs="Times New Roman"/>
          <w:szCs w:val="24"/>
        </w:rPr>
        <w:instrText xml:space="preserve"> REF _Ref349502053 \h </w:instrText>
      </w:r>
      <w:r w:rsidR="0069587F" w:rsidRPr="0069587F">
        <w:rPr>
          <w:rFonts w:cs="Times New Roman"/>
          <w:color w:val="FF0000"/>
          <w:szCs w:val="24"/>
        </w:rPr>
        <w:instrText xml:space="preserve"> \* MERGEFORMAT </w:instrText>
      </w:r>
      <w:r w:rsidR="0069587F" w:rsidRPr="0069587F">
        <w:rPr>
          <w:rFonts w:cs="Times New Roman"/>
          <w:color w:val="FF0000"/>
          <w:szCs w:val="24"/>
        </w:rPr>
      </w:r>
      <w:r w:rsidR="0069587F" w:rsidRPr="0069587F">
        <w:rPr>
          <w:rFonts w:cs="Times New Roman"/>
          <w:color w:val="FF0000"/>
          <w:szCs w:val="24"/>
        </w:rPr>
        <w:fldChar w:fldCharType="separate"/>
      </w:r>
      <w:r w:rsidR="0069587F" w:rsidRPr="0069587F">
        <w:t xml:space="preserve">Figure </w:t>
      </w:r>
      <w:r w:rsidR="0069587F" w:rsidRPr="0069587F">
        <w:rPr>
          <w:noProof/>
        </w:rPr>
        <w:t>4</w:t>
      </w:r>
      <w:r w:rsidR="0069587F" w:rsidRPr="0069587F">
        <w:rPr>
          <w:rFonts w:cs="Times New Roman"/>
          <w:color w:val="FF0000"/>
          <w:szCs w:val="24"/>
        </w:rPr>
        <w:fldChar w:fldCharType="end"/>
      </w:r>
      <w:r w:rsidRPr="00C123C1">
        <w:rPr>
          <w:rFonts w:cs="Times New Roman"/>
          <w:szCs w:val="24"/>
        </w:rPr>
        <w:t>), and a grid was established for the site. The first test units were then placed at 1 meter intervals along the north-south and east-west axes of the grid.</w:t>
      </w:r>
      <w:r>
        <w:rPr>
          <w:rFonts w:cs="Times New Roman"/>
          <w:szCs w:val="24"/>
        </w:rPr>
        <w:t xml:space="preserve"> </w:t>
      </w:r>
    </w:p>
    <w:p w:rsidR="0069587F" w:rsidRDefault="0069587F" w:rsidP="00613960">
      <w:pPr>
        <w:spacing w:after="0" w:line="480" w:lineRule="auto"/>
        <w:ind w:firstLine="720"/>
        <w:rPr>
          <w:rFonts w:cs="Times New Roman"/>
          <w:szCs w:val="24"/>
        </w:rPr>
      </w:pPr>
      <w:r>
        <w:rPr>
          <w:rFonts w:cs="Times New Roman"/>
          <w:noProof/>
          <w:szCs w:val="24"/>
        </w:rPr>
        <w:drawing>
          <wp:anchor distT="0" distB="0" distL="114300" distR="114300" simplePos="0" relativeHeight="251660288" behindDoc="0" locked="0" layoutInCell="1" allowOverlap="1" wp14:anchorId="7BB44AB0" wp14:editId="4EA23733">
            <wp:simplePos x="0" y="0"/>
            <wp:positionH relativeFrom="column">
              <wp:posOffset>0</wp:posOffset>
            </wp:positionH>
            <wp:positionV relativeFrom="line">
              <wp:posOffset>344170</wp:posOffset>
            </wp:positionV>
            <wp:extent cx="5943600" cy="459295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2sheltermap.tif"/>
                    <pic:cNvPicPr/>
                  </pic:nvPicPr>
                  <pic:blipFill>
                    <a:blip r:embed="rId1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anchor>
        </w:drawing>
      </w:r>
    </w:p>
    <w:p w:rsidR="0069587F" w:rsidRDefault="0069587F" w:rsidP="0069587F">
      <w:pPr>
        <w:spacing w:after="0" w:line="480" w:lineRule="auto"/>
        <w:rPr>
          <w:rFonts w:cs="Times New Roman"/>
          <w:szCs w:val="24"/>
        </w:rPr>
      </w:pPr>
      <w:r>
        <w:rPr>
          <w:noProof/>
        </w:rPr>
        <mc:AlternateContent>
          <mc:Choice Requires="wps">
            <w:drawing>
              <wp:anchor distT="0" distB="0" distL="114300" distR="114300" simplePos="0" relativeHeight="251662336" behindDoc="1" locked="0" layoutInCell="1" allowOverlap="1" wp14:anchorId="61CCD7BD" wp14:editId="0A7D5B82">
                <wp:simplePos x="0" y="0"/>
                <wp:positionH relativeFrom="column">
                  <wp:posOffset>108497</wp:posOffset>
                </wp:positionH>
                <wp:positionV relativeFrom="line">
                  <wp:posOffset>145666</wp:posOffset>
                </wp:positionV>
                <wp:extent cx="5943600" cy="2417275"/>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5943600" cy="2417275"/>
                        </a:xfrm>
                        <a:prstGeom prst="rect">
                          <a:avLst/>
                        </a:prstGeom>
                        <a:solidFill>
                          <a:prstClr val="white"/>
                        </a:solidFill>
                        <a:ln>
                          <a:noFill/>
                        </a:ln>
                        <a:effectLst/>
                      </wps:spPr>
                      <wps:txbx>
                        <w:txbxContent>
                          <w:p w:rsidR="00E26212" w:rsidRPr="0069587F" w:rsidRDefault="00E26212" w:rsidP="0069587F">
                            <w:pPr>
                              <w:pStyle w:val="Caption"/>
                              <w:jc w:val="center"/>
                              <w:rPr>
                                <w:rFonts w:cs="Times New Roman"/>
                                <w:b w:val="0"/>
                                <w:noProof/>
                                <w:color w:val="auto"/>
                                <w:sz w:val="36"/>
                                <w:szCs w:val="24"/>
                              </w:rPr>
                            </w:pPr>
                            <w:bookmarkStart w:id="32" w:name="_Toc349505152"/>
                            <w:bookmarkStart w:id="33" w:name="_Toc349505221"/>
                            <w:r w:rsidRPr="0069587F">
                              <w:rPr>
                                <w:b w:val="0"/>
                                <w:color w:val="auto"/>
                                <w:sz w:val="24"/>
                              </w:rPr>
                              <w:t xml:space="preserve">Figure </w:t>
                            </w:r>
                            <w:r>
                              <w:rPr>
                                <w:b w:val="0"/>
                                <w:color w:val="auto"/>
                                <w:sz w:val="24"/>
                              </w:rPr>
                              <w:fldChar w:fldCharType="begin"/>
                            </w:r>
                            <w:r>
                              <w:rPr>
                                <w:b w:val="0"/>
                                <w:color w:val="auto"/>
                                <w:sz w:val="24"/>
                              </w:rPr>
                              <w:instrText xml:space="preserve"> SEQ Figure \* ARABIC </w:instrText>
                            </w:r>
                            <w:r>
                              <w:rPr>
                                <w:b w:val="0"/>
                                <w:color w:val="auto"/>
                                <w:sz w:val="24"/>
                              </w:rPr>
                              <w:fldChar w:fldCharType="separate"/>
                            </w:r>
                            <w:r>
                              <w:rPr>
                                <w:b w:val="0"/>
                                <w:noProof/>
                                <w:color w:val="auto"/>
                                <w:sz w:val="24"/>
                              </w:rPr>
                              <w:t>4</w:t>
                            </w:r>
                            <w:r>
                              <w:rPr>
                                <w:b w:val="0"/>
                                <w:color w:val="auto"/>
                                <w:sz w:val="24"/>
                              </w:rPr>
                              <w:fldChar w:fldCharType="end"/>
                            </w:r>
                            <w:r w:rsidRPr="0069587F">
                              <w:rPr>
                                <w:b w:val="0"/>
                                <w:color w:val="auto"/>
                                <w:sz w:val="24"/>
                              </w:rPr>
                              <w:t>: Site map, Sachsen Cave Shelter, showing all years of excavation. Map produced by Lucinda Langston</w:t>
                            </w:r>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CCD7BD" id="Text Box 8" o:spid="_x0000_s1027" type="#_x0000_t202" style="position:absolute;margin-left:8.55pt;margin-top:11.45pt;width:468pt;height:190.35pt;z-index:-251654144;visibility:visible;mso-wrap-style:square;mso-height-percent:0;mso-wrap-distance-left:9pt;mso-wrap-distance-top:0;mso-wrap-distance-right:9pt;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" stroked="f">
                <v:textbox inset="0,0,0,0">
                  <w:txbxContent>
                    <w:p w:rsidR="00E26212" w:rsidRPr="0069587F" w:rsidRDefault="00E26212" w:rsidP="0069587F">
                      <w:pPr>
                        <w:pStyle w:val="Caption"/>
                        <w:jc w:val="center"/>
                        <w:rPr>
                          <w:rFonts w:cs="Times New Roman"/>
                          <w:b w:val="0"/>
                          <w:noProof/>
                          <w:color w:val="auto"/>
                          <w:sz w:val="36"/>
                          <w:szCs w:val="24"/>
                        </w:rPr>
                      </w:pPr>
                      <w:bookmarkStart w:id="33" w:name="_Toc349505152"/>
                      <w:bookmarkStart w:id="34" w:name="_Toc349505221"/>
                      <w:r w:rsidRPr="0069587F">
                        <w:rPr>
                          <w:b w:val="0"/>
                          <w:color w:val="auto"/>
                          <w:sz w:val="24"/>
                        </w:rPr>
                        <w:t xml:space="preserve">Figure </w:t>
                      </w:r>
                      <w:r>
                        <w:rPr>
                          <w:b w:val="0"/>
                          <w:color w:val="auto"/>
                          <w:sz w:val="24"/>
                        </w:rPr>
                        <w:fldChar w:fldCharType="begin"/>
                      </w:r>
                      <w:r>
                        <w:rPr>
                          <w:b w:val="0"/>
                          <w:color w:val="auto"/>
                          <w:sz w:val="24"/>
                        </w:rPr>
                        <w:instrText xml:space="preserve"> SEQ Figure \* ARABIC </w:instrText>
                      </w:r>
                      <w:r>
                        <w:rPr>
                          <w:b w:val="0"/>
                          <w:color w:val="auto"/>
                          <w:sz w:val="24"/>
                        </w:rPr>
                        <w:fldChar w:fldCharType="separate"/>
                      </w:r>
                      <w:r>
                        <w:rPr>
                          <w:b w:val="0"/>
                          <w:noProof/>
                          <w:color w:val="auto"/>
                          <w:sz w:val="24"/>
                        </w:rPr>
                        <w:t>4</w:t>
                      </w:r>
                      <w:r>
                        <w:rPr>
                          <w:b w:val="0"/>
                          <w:color w:val="auto"/>
                          <w:sz w:val="24"/>
                        </w:rPr>
                        <w:fldChar w:fldCharType="end"/>
                      </w:r>
                      <w:r w:rsidRPr="0069587F">
                        <w:rPr>
                          <w:b w:val="0"/>
                          <w:color w:val="auto"/>
                          <w:sz w:val="24"/>
                        </w:rPr>
                        <w:t>: Site map, Sachsen Cave Shelter, showing all years of excavation. Map produced by Lucinda Langston</w:t>
                      </w:r>
                      <w:bookmarkEnd w:id="33"/>
                      <w:bookmarkEnd w:id="34"/>
                    </w:p>
                  </w:txbxContent>
                </v:textbox>
                <w10:wrap anchory="line"/>
              </v:shape>
            </w:pict>
          </mc:Fallback>
        </mc:AlternateContent>
      </w:r>
    </w:p>
    <w:p w:rsidR="0069587F" w:rsidRDefault="0069587F" w:rsidP="00613960">
      <w:pPr>
        <w:spacing w:after="0" w:line="480" w:lineRule="auto"/>
        <w:ind w:firstLine="720"/>
        <w:rPr>
          <w:rFonts w:cs="Times New Roman"/>
          <w:szCs w:val="24"/>
        </w:rPr>
      </w:pPr>
    </w:p>
    <w:p w:rsidR="0069587F" w:rsidRDefault="0069587F" w:rsidP="00613960">
      <w:pPr>
        <w:spacing w:after="0" w:line="480" w:lineRule="auto"/>
        <w:ind w:firstLine="720"/>
        <w:rPr>
          <w:rFonts w:cs="Times New Roman"/>
          <w:szCs w:val="24"/>
        </w:rPr>
      </w:pPr>
    </w:p>
    <w:p w:rsidR="0069587F" w:rsidRDefault="0069587F" w:rsidP="00613960">
      <w:pPr>
        <w:spacing w:after="0" w:line="480" w:lineRule="auto"/>
        <w:ind w:firstLine="720"/>
        <w:rPr>
          <w:rFonts w:cs="Times New Roman"/>
          <w:szCs w:val="24"/>
        </w:rPr>
      </w:pPr>
    </w:p>
    <w:p w:rsidR="00613960" w:rsidRPr="00C123C1" w:rsidRDefault="00613960" w:rsidP="00613960">
      <w:pPr>
        <w:spacing w:after="0" w:line="480" w:lineRule="auto"/>
        <w:ind w:firstLine="720"/>
        <w:rPr>
          <w:rFonts w:cs="Times New Roman"/>
          <w:szCs w:val="24"/>
        </w:rPr>
      </w:pPr>
      <w:r>
        <w:rPr>
          <w:rFonts w:cs="Times New Roman"/>
          <w:szCs w:val="24"/>
        </w:rPr>
        <w:lastRenderedPageBreak/>
        <w:t>Sediments from</w:t>
      </w:r>
      <w:r w:rsidRPr="00C123C1">
        <w:rPr>
          <w:rFonts w:cs="Times New Roman"/>
          <w:szCs w:val="24"/>
        </w:rPr>
        <w:t xml:space="preserve"> </w:t>
      </w:r>
      <w:r>
        <w:rPr>
          <w:rFonts w:cs="Times New Roman"/>
          <w:szCs w:val="24"/>
        </w:rPr>
        <w:t>the upper levels of the first 9</w:t>
      </w:r>
      <w:r w:rsidRPr="00C123C1">
        <w:rPr>
          <w:rFonts w:cs="Times New Roman"/>
          <w:szCs w:val="24"/>
        </w:rPr>
        <w:t xml:space="preserve"> </w:t>
      </w:r>
      <w:r>
        <w:rPr>
          <w:rFonts w:cs="Times New Roman"/>
          <w:szCs w:val="24"/>
        </w:rPr>
        <w:t xml:space="preserve">test units </w:t>
      </w:r>
      <w:r w:rsidRPr="00C123C1">
        <w:rPr>
          <w:rFonts w:cs="Times New Roman"/>
          <w:szCs w:val="24"/>
        </w:rPr>
        <w:t>were hand excavated in arbit</w:t>
      </w:r>
      <w:r>
        <w:rPr>
          <w:rFonts w:cs="Times New Roman"/>
          <w:szCs w:val="24"/>
        </w:rPr>
        <w:t>rary 5cm levels and</w:t>
      </w:r>
      <w:r w:rsidRPr="00C123C1">
        <w:rPr>
          <w:rFonts w:cs="Times New Roman"/>
          <w:szCs w:val="24"/>
        </w:rPr>
        <w:t xml:space="preserve"> dry-screened through ¼” mesh. Test Unit 10 was designated </w:t>
      </w:r>
      <w:r>
        <w:rPr>
          <w:rFonts w:cs="Times New Roman"/>
          <w:szCs w:val="24"/>
        </w:rPr>
        <w:t xml:space="preserve">as </w:t>
      </w:r>
      <w:r w:rsidRPr="00C123C1">
        <w:rPr>
          <w:rFonts w:cs="Times New Roman"/>
          <w:szCs w:val="24"/>
        </w:rPr>
        <w:t xml:space="preserve">a sondage unit and was excavated by shovel in the upper, disturbed levels until a thick, black midden deposit was </w:t>
      </w:r>
      <w:r>
        <w:rPr>
          <w:rFonts w:cs="Times New Roman"/>
          <w:szCs w:val="24"/>
        </w:rPr>
        <w:t>encountered</w:t>
      </w:r>
      <w:r w:rsidRPr="00C123C1">
        <w:rPr>
          <w:rFonts w:cs="Times New Roman"/>
          <w:szCs w:val="24"/>
        </w:rPr>
        <w:t xml:space="preserve"> about 20cm below the surface. Further excavations in this unit continued by hand, in 5cm levels. Two Late Archaic bifaces were recovered from the top levels of the midden. As other test units were excavated, it was noted that the midden deposit seemed to </w:t>
      </w:r>
      <w:r>
        <w:rPr>
          <w:rFonts w:cs="Times New Roman"/>
          <w:szCs w:val="24"/>
        </w:rPr>
        <w:t>be restricted to the central</w:t>
      </w:r>
      <w:r w:rsidRPr="00C123C1">
        <w:rPr>
          <w:rFonts w:cs="Times New Roman"/>
          <w:szCs w:val="24"/>
        </w:rPr>
        <w:t xml:space="preserve"> portion of the shelter. As the midden was encountered in each test unit, combined 1/4” and</w:t>
      </w:r>
      <w:r>
        <w:rPr>
          <w:rFonts w:cs="Times New Roman"/>
          <w:szCs w:val="24"/>
        </w:rPr>
        <w:t xml:space="preserve"> </w:t>
      </w:r>
      <w:r w:rsidRPr="00C123C1">
        <w:rPr>
          <w:rFonts w:cs="Times New Roman"/>
          <w:szCs w:val="24"/>
        </w:rPr>
        <w:t>1/8” water screening were employed for 1/3 of the samples from every le</w:t>
      </w:r>
      <w:r>
        <w:rPr>
          <w:rFonts w:cs="Times New Roman"/>
          <w:szCs w:val="24"/>
        </w:rPr>
        <w:t>vel (every third 5</w:t>
      </w:r>
      <w:r w:rsidRPr="00C123C1">
        <w:rPr>
          <w:rFonts w:cs="Times New Roman"/>
          <w:szCs w:val="24"/>
        </w:rPr>
        <w:t xml:space="preserve"> gallon bucket of sediment). Additionally, a 1 gallon flotation sample was taken from the Southwest corner of each te</w:t>
      </w:r>
      <w:r>
        <w:rPr>
          <w:rFonts w:cs="Times New Roman"/>
          <w:szCs w:val="24"/>
        </w:rPr>
        <w:t xml:space="preserve">st unit, once within the midden. </w:t>
      </w:r>
      <w:r w:rsidR="000C1550">
        <w:rPr>
          <w:rFonts w:cs="Times New Roman"/>
          <w:szCs w:val="24"/>
        </w:rPr>
        <w:t xml:space="preserve">(see </w:t>
      </w:r>
      <w:r w:rsidR="000C1550" w:rsidRPr="000C1550">
        <w:rPr>
          <w:rFonts w:cs="Times New Roman"/>
          <w:szCs w:val="24"/>
        </w:rPr>
        <w:fldChar w:fldCharType="begin"/>
      </w:r>
      <w:r w:rsidR="000C1550" w:rsidRPr="000C1550">
        <w:rPr>
          <w:rFonts w:cs="Times New Roman"/>
          <w:szCs w:val="24"/>
        </w:rPr>
        <w:instrText xml:space="preserve"> REF _Ref349503513 \h  \* MERGEFORMAT </w:instrText>
      </w:r>
      <w:r w:rsidR="000C1550" w:rsidRPr="000C1550">
        <w:rPr>
          <w:rFonts w:cs="Times New Roman"/>
          <w:szCs w:val="24"/>
        </w:rPr>
      </w:r>
      <w:r w:rsidR="000C1550" w:rsidRPr="000C1550">
        <w:rPr>
          <w:rFonts w:cs="Times New Roman"/>
          <w:szCs w:val="24"/>
        </w:rPr>
        <w:fldChar w:fldCharType="separate"/>
      </w:r>
      <w:r w:rsidR="000C1550" w:rsidRPr="000C1550">
        <w:t xml:space="preserve">Table </w:t>
      </w:r>
      <w:r w:rsidR="000C1550" w:rsidRPr="000C1550">
        <w:rPr>
          <w:noProof/>
        </w:rPr>
        <w:t>1</w:t>
      </w:r>
      <w:r w:rsidR="000C1550" w:rsidRPr="000C1550">
        <w:rPr>
          <w:rFonts w:cs="Times New Roman"/>
          <w:szCs w:val="24"/>
        </w:rPr>
        <w:fldChar w:fldCharType="end"/>
      </w:r>
      <w:r w:rsidR="000C1550">
        <w:rPr>
          <w:rFonts w:cs="Times New Roman"/>
          <w:szCs w:val="24"/>
        </w:rPr>
        <w:t xml:space="preserve"> </w:t>
      </w:r>
      <w:r w:rsidRPr="00C5058F">
        <w:rPr>
          <w:rFonts w:cs="Times New Roman"/>
          <w:szCs w:val="24"/>
        </w:rPr>
        <w:t>for recovery methods and estimated amount of excavated sediments for each provenience).</w:t>
      </w:r>
      <w:r>
        <w:rPr>
          <w:rFonts w:cs="Times New Roman"/>
          <w:color w:val="FF0000"/>
          <w:szCs w:val="24"/>
        </w:rPr>
        <w:t xml:space="preserve"> </w:t>
      </w:r>
      <w:r w:rsidRPr="00C123C1">
        <w:rPr>
          <w:rFonts w:cs="Times New Roman"/>
          <w:szCs w:val="24"/>
        </w:rPr>
        <w:t xml:space="preserve">Levels continued to be excavated in 5cm increments, except where stratigraphic changes were noted. Once encountered, the midden </w:t>
      </w:r>
      <w:r>
        <w:rPr>
          <w:rFonts w:cs="Times New Roman"/>
          <w:szCs w:val="24"/>
        </w:rPr>
        <w:t>is</w:t>
      </w:r>
      <w:r w:rsidRPr="00C123C1">
        <w:rPr>
          <w:rFonts w:cs="Times New Roman"/>
          <w:szCs w:val="24"/>
        </w:rPr>
        <w:t xml:space="preserve"> about 30-40cm </w:t>
      </w:r>
      <w:r>
        <w:rPr>
          <w:rFonts w:cs="Times New Roman"/>
          <w:szCs w:val="24"/>
        </w:rPr>
        <w:t xml:space="preserve">thick </w:t>
      </w:r>
      <w:r w:rsidRPr="00C123C1">
        <w:rPr>
          <w:rFonts w:cs="Times New Roman"/>
          <w:szCs w:val="24"/>
        </w:rPr>
        <w:t>in all units to a sterile, Pleistocen</w:t>
      </w:r>
      <w:r>
        <w:rPr>
          <w:rFonts w:cs="Times New Roman"/>
          <w:szCs w:val="24"/>
        </w:rPr>
        <w:t>e deposit of weathered sandstone, the bottom of the rock for the shelter itself</w:t>
      </w:r>
      <w:r w:rsidRPr="00C123C1">
        <w:rPr>
          <w:rFonts w:cs="Times New Roman"/>
          <w:szCs w:val="24"/>
        </w:rPr>
        <w:t>.</w:t>
      </w:r>
      <w:r w:rsidR="0069587F">
        <w:rPr>
          <w:rFonts w:cs="Times New Roman"/>
          <w:szCs w:val="24"/>
        </w:rPr>
        <w:t xml:space="preserve"> </w:t>
      </w:r>
    </w:p>
    <w:p w:rsidR="0069587F" w:rsidRDefault="00613960" w:rsidP="00613960">
      <w:pPr>
        <w:spacing w:after="0" w:line="480" w:lineRule="auto"/>
        <w:ind w:firstLine="720"/>
        <w:rPr>
          <w:rFonts w:cs="Times New Roman"/>
          <w:szCs w:val="24"/>
        </w:rPr>
      </w:pPr>
      <w:r w:rsidRPr="00C123C1">
        <w:rPr>
          <w:rFonts w:cs="Times New Roman"/>
          <w:szCs w:val="24"/>
        </w:rPr>
        <w:t xml:space="preserve">A total of 19 1x1m test units </w:t>
      </w:r>
      <w:r>
        <w:rPr>
          <w:rFonts w:cs="Times New Roman"/>
          <w:szCs w:val="24"/>
        </w:rPr>
        <w:t>was</w:t>
      </w:r>
      <w:r w:rsidRPr="00C123C1">
        <w:rPr>
          <w:rFonts w:cs="Times New Roman"/>
          <w:szCs w:val="24"/>
        </w:rPr>
        <w:t xml:space="preserve"> excavated during this first field season</w:t>
      </w:r>
      <w:r>
        <w:rPr>
          <w:rFonts w:cs="Times New Roman"/>
          <w:szCs w:val="24"/>
        </w:rPr>
        <w:t xml:space="preserve"> – all but two (TUs 17 and 18) reached the sterile Pleistocene layer. An estimated 9635.4 liters of sediment were excavated from these 19 test units during this field season. </w:t>
      </w:r>
      <w:r w:rsidRPr="00C123C1">
        <w:rPr>
          <w:rFonts w:cs="Times New Roman"/>
          <w:szCs w:val="24"/>
        </w:rPr>
        <w:t>The majority of the archaeological materials and midden were located in the very central portion of the shelter. These deposits reached nearly 1 meter in depth near the dripline, but</w:t>
      </w:r>
      <w:r>
        <w:rPr>
          <w:rFonts w:cs="Times New Roman"/>
          <w:szCs w:val="24"/>
        </w:rPr>
        <w:t xml:space="preserve"> in most places were between 40 and </w:t>
      </w:r>
      <w:r w:rsidRPr="00C123C1">
        <w:rPr>
          <w:rFonts w:cs="Times New Roman"/>
          <w:szCs w:val="24"/>
        </w:rPr>
        <w:t>60cm</w:t>
      </w:r>
      <w:r>
        <w:rPr>
          <w:rFonts w:cs="Times New Roman"/>
          <w:szCs w:val="24"/>
        </w:rPr>
        <w:t xml:space="preserve"> depp/thick</w:t>
      </w:r>
      <w:r w:rsidRPr="00C123C1">
        <w:rPr>
          <w:rFonts w:cs="Times New Roman"/>
          <w:szCs w:val="24"/>
        </w:rPr>
        <w:t>. Four stratigraphic layers were identified</w:t>
      </w:r>
      <w:r w:rsidR="00E07BC4">
        <w:rPr>
          <w:rFonts w:cs="Times New Roman"/>
          <w:szCs w:val="24"/>
        </w:rPr>
        <w:t xml:space="preserve"> (see </w:t>
      </w:r>
      <w:r w:rsidR="00E07BC4">
        <w:rPr>
          <w:rFonts w:cs="Times New Roman"/>
          <w:szCs w:val="24"/>
        </w:rPr>
        <w:fldChar w:fldCharType="begin"/>
      </w:r>
      <w:r w:rsidR="00E07BC4">
        <w:rPr>
          <w:rFonts w:cs="Times New Roman"/>
          <w:szCs w:val="24"/>
        </w:rPr>
        <w:instrText xml:space="preserve"> REF _Ref349504177 \h </w:instrText>
      </w:r>
      <w:r w:rsidR="00E07BC4">
        <w:rPr>
          <w:rFonts w:cs="Times New Roman"/>
          <w:szCs w:val="24"/>
        </w:rPr>
      </w:r>
      <w:r w:rsidR="00E07BC4">
        <w:rPr>
          <w:rFonts w:cs="Times New Roman"/>
          <w:szCs w:val="24"/>
        </w:rPr>
        <w:fldChar w:fldCharType="separate"/>
      </w:r>
      <w:r w:rsidR="00E07BC4" w:rsidRPr="00E07BC4">
        <w:t xml:space="preserve">Figure </w:t>
      </w:r>
      <w:r w:rsidR="00E07BC4" w:rsidRPr="00E07BC4">
        <w:rPr>
          <w:noProof/>
        </w:rPr>
        <w:t>5</w:t>
      </w:r>
      <w:r w:rsidR="00E07BC4">
        <w:rPr>
          <w:rFonts w:cs="Times New Roman"/>
          <w:szCs w:val="24"/>
        </w:rPr>
        <w:fldChar w:fldCharType="end"/>
      </w:r>
      <w:r>
        <w:rPr>
          <w:rFonts w:cs="Times New Roman"/>
          <w:szCs w:val="24"/>
        </w:rPr>
        <w:t>)</w:t>
      </w:r>
      <w:r w:rsidRPr="00C123C1">
        <w:rPr>
          <w:rFonts w:cs="Times New Roman"/>
          <w:szCs w:val="24"/>
        </w:rPr>
        <w:t>. Layer I is the aforementioned Pleistocene deposit of weathered saprolite. Directly above this layer is Layer II, the Late Archaic midden deposit. This layer is approximately 40cm thick in all of the excavation units located in the interior portion of the shelter, but becomes thinner toward</w:t>
      </w:r>
    </w:p>
    <w:p w:rsidR="00EC062D" w:rsidRPr="00EC062D" w:rsidRDefault="00EC062D" w:rsidP="00A75374">
      <w:pPr>
        <w:pStyle w:val="Caption"/>
        <w:keepNext/>
        <w:spacing w:after="0"/>
        <w:jc w:val="center"/>
        <w:rPr>
          <w:b w:val="0"/>
        </w:rPr>
      </w:pPr>
      <w:bookmarkStart w:id="34" w:name="_Ref349503513"/>
      <w:bookmarkStart w:id="35" w:name="_Toc349505184"/>
      <w:r w:rsidRPr="00EC062D">
        <w:rPr>
          <w:b w:val="0"/>
          <w:color w:val="auto"/>
          <w:sz w:val="24"/>
        </w:rPr>
        <w:lastRenderedPageBreak/>
        <w:t xml:space="preserve">Table </w:t>
      </w:r>
      <w:r w:rsidRPr="00EC062D">
        <w:rPr>
          <w:b w:val="0"/>
          <w:color w:val="auto"/>
          <w:sz w:val="24"/>
        </w:rPr>
        <w:fldChar w:fldCharType="begin"/>
      </w:r>
      <w:r w:rsidRPr="00EC062D">
        <w:rPr>
          <w:b w:val="0"/>
          <w:color w:val="auto"/>
          <w:sz w:val="24"/>
        </w:rPr>
        <w:instrText xml:space="preserve"> SEQ Table \* ARABIC </w:instrText>
      </w:r>
      <w:r w:rsidRPr="00EC062D">
        <w:rPr>
          <w:b w:val="0"/>
          <w:color w:val="auto"/>
          <w:sz w:val="24"/>
        </w:rPr>
        <w:fldChar w:fldCharType="separate"/>
      </w:r>
      <w:r w:rsidR="006174EA">
        <w:rPr>
          <w:b w:val="0"/>
          <w:noProof/>
          <w:color w:val="auto"/>
          <w:sz w:val="24"/>
        </w:rPr>
        <w:t>1</w:t>
      </w:r>
      <w:r w:rsidRPr="00EC062D">
        <w:rPr>
          <w:b w:val="0"/>
          <w:color w:val="auto"/>
          <w:sz w:val="24"/>
        </w:rPr>
        <w:fldChar w:fldCharType="end"/>
      </w:r>
      <w:bookmarkEnd w:id="34"/>
      <w:r w:rsidRPr="00EC062D">
        <w:rPr>
          <w:b w:val="0"/>
          <w:color w:val="auto"/>
          <w:sz w:val="24"/>
        </w:rPr>
        <w:t>: Proveniences sampled for 1/4” and 1/8” screening and flotation and estimated amount of total sediment excavated.</w:t>
      </w:r>
      <w:bookmarkEnd w:id="35"/>
    </w:p>
    <w:tbl>
      <w:tblPr>
        <w:tblStyle w:val="ColorfulList-Accent4"/>
        <w:tblW w:w="9690" w:type="dxa"/>
        <w:tblLook w:val="04E0" w:firstRow="1" w:lastRow="1" w:firstColumn="1" w:lastColumn="0" w:noHBand="0" w:noVBand="1"/>
      </w:tblPr>
      <w:tblGrid>
        <w:gridCol w:w="1037"/>
        <w:gridCol w:w="1106"/>
        <w:gridCol w:w="1478"/>
        <w:gridCol w:w="1105"/>
        <w:gridCol w:w="1260"/>
        <w:gridCol w:w="1194"/>
        <w:gridCol w:w="1226"/>
        <w:gridCol w:w="1284"/>
      </w:tblGrid>
      <w:tr w:rsidR="00EC062D" w:rsidRPr="00501BEE" w:rsidTr="00A75374">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3621" w:type="dxa"/>
            <w:gridSpan w:val="3"/>
            <w:tcBorders>
              <w:top w:val="single" w:sz="4" w:space="0" w:color="auto"/>
              <w:left w:val="single" w:sz="4" w:space="0" w:color="auto"/>
            </w:tcBorders>
            <w:noWrap/>
            <w:vAlign w:val="center"/>
            <w:hideMark/>
          </w:tcPr>
          <w:p w:rsidR="00EC062D" w:rsidRPr="000E1C9C" w:rsidRDefault="00EC062D" w:rsidP="00A75374">
            <w:pPr>
              <w:jc w:val="center"/>
              <w:rPr>
                <w:rFonts w:eastAsia="Times New Roman" w:cs="Times New Roman"/>
                <w:szCs w:val="24"/>
                <w:vertAlign w:val="superscript"/>
              </w:rPr>
            </w:pPr>
            <w:r w:rsidRPr="000E1C9C">
              <w:rPr>
                <w:rFonts w:eastAsia="Times New Roman" w:cs="Times New Roman"/>
                <w:szCs w:val="24"/>
              </w:rPr>
              <w:t xml:space="preserve">                1/4" dry/wet</w:t>
            </w:r>
            <w:r w:rsidRPr="000E1C9C">
              <w:rPr>
                <w:rFonts w:eastAsia="Times New Roman" w:cs="Times New Roman"/>
                <w:szCs w:val="24"/>
                <w:vertAlign w:val="superscript"/>
              </w:rPr>
              <w:t>ⱡ</w:t>
            </w:r>
          </w:p>
        </w:tc>
        <w:tc>
          <w:tcPr>
            <w:tcW w:w="2365" w:type="dxa"/>
            <w:gridSpan w:val="2"/>
            <w:tcBorders>
              <w:top w:val="single" w:sz="4" w:space="0" w:color="auto"/>
            </w:tcBorders>
            <w:noWrap/>
            <w:vAlign w:val="center"/>
            <w:hideMark/>
          </w:tcPr>
          <w:p w:rsidR="00EC062D" w:rsidRPr="000E1C9C" w:rsidRDefault="00EC062D" w:rsidP="00A7537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vertAlign w:val="superscript"/>
              </w:rPr>
            </w:pPr>
            <w:r w:rsidRPr="000E1C9C">
              <w:rPr>
                <w:rFonts w:eastAsia="Times New Roman" w:cs="Times New Roman"/>
                <w:szCs w:val="24"/>
              </w:rPr>
              <w:t xml:space="preserve">       1/8" wet</w:t>
            </w:r>
            <w:r w:rsidRPr="000E1C9C">
              <w:rPr>
                <w:rFonts w:eastAsia="Times New Roman" w:cs="Times New Roman"/>
                <w:szCs w:val="24"/>
                <w:vertAlign w:val="superscript"/>
              </w:rPr>
              <w:t>*</w:t>
            </w:r>
          </w:p>
        </w:tc>
        <w:tc>
          <w:tcPr>
            <w:tcW w:w="2420" w:type="dxa"/>
            <w:gridSpan w:val="2"/>
            <w:tcBorders>
              <w:top w:val="single" w:sz="4" w:space="0" w:color="auto"/>
            </w:tcBorders>
            <w:noWrap/>
            <w:vAlign w:val="center"/>
            <w:hideMark/>
          </w:tcPr>
          <w:p w:rsidR="00EC062D" w:rsidRPr="000E1C9C" w:rsidRDefault="00EC062D" w:rsidP="00A7537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vertAlign w:val="superscript"/>
              </w:rPr>
            </w:pPr>
            <w:r w:rsidRPr="000E1C9C">
              <w:rPr>
                <w:rFonts w:eastAsia="Times New Roman" w:cs="Times New Roman"/>
                <w:szCs w:val="24"/>
              </w:rPr>
              <w:t>Flotation</w:t>
            </w:r>
            <w:r w:rsidRPr="000E1C9C">
              <w:rPr>
                <w:rFonts w:eastAsia="Times New Roman" w:cs="Times New Roman"/>
                <w:szCs w:val="24"/>
                <w:vertAlign w:val="superscript"/>
              </w:rPr>
              <w:t>*</w:t>
            </w:r>
          </w:p>
        </w:tc>
        <w:tc>
          <w:tcPr>
            <w:tcW w:w="1284" w:type="dxa"/>
            <w:tcBorders>
              <w:top w:val="single" w:sz="4" w:space="0" w:color="auto"/>
              <w:right w:val="single" w:sz="4" w:space="0" w:color="auto"/>
            </w:tcBorders>
            <w:noWrap/>
            <w:vAlign w:val="center"/>
            <w:hideMark/>
          </w:tcPr>
          <w:p w:rsidR="00EC062D" w:rsidRPr="00F73880" w:rsidRDefault="00EC062D" w:rsidP="00A7537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Test Unit</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Level(s)</w:t>
            </w:r>
          </w:p>
        </w:tc>
        <w:tc>
          <w:tcPr>
            <w:tcW w:w="1478" w:type="dxa"/>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Estimated Excavated  Sediment (liters)</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Level(s)</w:t>
            </w:r>
          </w:p>
        </w:tc>
        <w:tc>
          <w:tcPr>
            <w:tcW w:w="1260" w:type="dxa"/>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Estimated Excavated Sediment (liters)</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Level(s)</w:t>
            </w:r>
          </w:p>
        </w:tc>
        <w:tc>
          <w:tcPr>
            <w:tcW w:w="1226" w:type="dxa"/>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Estimated Excavated Sediment (liters)</w:t>
            </w:r>
          </w:p>
        </w:tc>
        <w:tc>
          <w:tcPr>
            <w:tcW w:w="1284" w:type="dxa"/>
            <w:tcBorders>
              <w:right w:val="single" w:sz="4" w:space="0" w:color="auto"/>
            </w:tcBorders>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Total excavated sediment (liters)</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1-16</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829</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8-16</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135</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8-16</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36</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865</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1-13</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632</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7-13</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105</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632</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3</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1-11</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585</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10-11</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10-11</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593</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4</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507</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15</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507</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5</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1-6</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221.4</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221.4</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6</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1-10</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520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520</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7</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432</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432</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8</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1-6</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382</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1, 2</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382</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9</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1-7</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364</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364</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10</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1-8</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630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3-4, 8</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45</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4-8</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650</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11</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1-15</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582</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6-14</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36</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618</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12</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440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4-9</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4-9</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24</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464</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13</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1-11</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556</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8-10</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45</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8-11</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16</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572</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14</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1-14</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57</w:t>
            </w:r>
            <w:r w:rsidRPr="00501BEE">
              <w:rPr>
                <w:rFonts w:eastAsia="Times New Roman" w:cs="Times New Roman"/>
                <w:color w:val="000000"/>
                <w:szCs w:val="24"/>
              </w:rPr>
              <w:t>3</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9-14</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01BEE">
              <w:rPr>
                <w:rFonts w:eastAsia="Times New Roman" w:cs="Times New Roman"/>
                <w:color w:val="000000"/>
                <w:szCs w:val="24"/>
              </w:rPr>
              <w:t>90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01BEE">
              <w:rPr>
                <w:rFonts w:eastAsia="Times New Roman" w:cs="Times New Roman"/>
                <w:color w:val="000000"/>
                <w:szCs w:val="24"/>
              </w:rPr>
              <w:t>7</w:t>
            </w:r>
            <w:r w:rsidRPr="00501BEE">
              <w:rPr>
                <w:rFonts w:eastAsia="Times New Roman" w:cs="Times New Roman"/>
                <w:color w:val="000000"/>
                <w:szCs w:val="24"/>
                <w:vertAlign w:val="superscript"/>
              </w:rPr>
              <w:t>†</w:t>
            </w:r>
            <w:r w:rsidRPr="00501BEE">
              <w:rPr>
                <w:rFonts w:eastAsia="Times New Roman" w:cs="Times New Roman"/>
                <w:color w:val="000000"/>
                <w:szCs w:val="24"/>
              </w:rPr>
              <w:t xml:space="preserve">, </w:t>
            </w:r>
            <w:r w:rsidRPr="00F73880">
              <w:rPr>
                <w:rFonts w:eastAsia="Times New Roman" w:cs="Times New Roman"/>
                <w:color w:val="000000"/>
                <w:szCs w:val="24"/>
              </w:rPr>
              <w:t>9-14</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w:t>
            </w:r>
            <w:r w:rsidRPr="00501BEE">
              <w:rPr>
                <w:rFonts w:eastAsia="Times New Roman" w:cs="Times New Roman"/>
                <w:color w:val="000000"/>
                <w:szCs w:val="24"/>
              </w:rPr>
              <w:t>8</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601</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15</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490</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490</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16</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344</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344</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17</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1-10</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1362</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5-7</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45</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w:t>
            </w:r>
            <w:r w:rsidRPr="00501BEE">
              <w:rPr>
                <w:rFonts w:eastAsia="Times New Roman" w:cs="Times New Roman"/>
                <w:color w:val="000000"/>
                <w:szCs w:val="24"/>
                <w:vertAlign w:val="superscript"/>
              </w:rPr>
              <w:t>†</w:t>
            </w:r>
            <w:r w:rsidRPr="00F73880">
              <w:rPr>
                <w:rFonts w:eastAsia="Times New Roman" w:cs="Times New Roman"/>
                <w:color w:val="000000"/>
                <w:szCs w:val="24"/>
              </w:rPr>
              <w:t>, 7</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1370</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18</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1-10</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591</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vertAlign w:val="superscript"/>
              </w:rPr>
            </w:pPr>
            <w:r w:rsidRPr="00F73880">
              <w:rPr>
                <w:rFonts w:eastAsia="Times New Roman" w:cs="Times New Roman"/>
                <w:color w:val="000000"/>
                <w:szCs w:val="24"/>
              </w:rPr>
              <w:t>8</w:t>
            </w:r>
            <w:r w:rsidRPr="00501BEE">
              <w:rPr>
                <w:rFonts w:eastAsia="Times New Roman" w:cs="Times New Roman"/>
                <w:color w:val="000000"/>
                <w:szCs w:val="24"/>
                <w:vertAlign w:val="superscript"/>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595</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19</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1-3</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170</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170</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20</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1-15</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606</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12-13</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626</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21</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1-17</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703</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w:t>
            </w:r>
            <w:r w:rsidRPr="00501BEE">
              <w:rPr>
                <w:rFonts w:eastAsia="Times New Roman" w:cs="Times New Roman"/>
                <w:color w:val="000000"/>
                <w:szCs w:val="24"/>
                <w:vertAlign w:val="superscript"/>
              </w:rPr>
              <w:t>†</w:t>
            </w:r>
            <w:r w:rsidRPr="00F73880">
              <w:rPr>
                <w:rFonts w:eastAsia="Times New Roman" w:cs="Times New Roman"/>
                <w:color w:val="000000"/>
                <w:szCs w:val="24"/>
              </w:rPr>
              <w:t>, 9</w:t>
            </w:r>
            <w:r w:rsidRPr="00501BEE">
              <w:rPr>
                <w:rFonts w:eastAsia="Times New Roman" w:cs="Times New Roman"/>
                <w:color w:val="000000"/>
                <w:szCs w:val="24"/>
                <w:vertAlign w:val="superscript"/>
              </w:rPr>
              <w:t>†</w:t>
            </w:r>
            <w:r w:rsidRPr="00F73880">
              <w:rPr>
                <w:rFonts w:eastAsia="Times New Roman" w:cs="Times New Roman"/>
                <w:color w:val="000000"/>
                <w:szCs w:val="24"/>
              </w:rPr>
              <w:t>-16</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793</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22</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1-18</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757</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14-17</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797</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23</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1-17</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734</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15</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744</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24</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1-8</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330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5-8</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370</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25</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485</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485</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26</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1-4</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198</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198</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27</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377</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377</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28</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1-17</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810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1-17</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850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6-9</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850</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29</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1-18</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900</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2-18</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850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900</w:t>
            </w:r>
          </w:p>
        </w:tc>
      </w:tr>
      <w:tr w:rsidR="00EC062D" w:rsidRPr="00501BEE" w:rsidTr="00A7537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30</w:t>
            </w:r>
          </w:p>
        </w:tc>
        <w:tc>
          <w:tcPr>
            <w:tcW w:w="110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1-13</w:t>
            </w:r>
          </w:p>
        </w:tc>
        <w:tc>
          <w:tcPr>
            <w:tcW w:w="1478"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720</w:t>
            </w:r>
          </w:p>
        </w:tc>
        <w:tc>
          <w:tcPr>
            <w:tcW w:w="1105"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2-13</w:t>
            </w:r>
          </w:p>
        </w:tc>
        <w:tc>
          <w:tcPr>
            <w:tcW w:w="1260"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600</w:t>
            </w:r>
          </w:p>
        </w:tc>
        <w:tc>
          <w:tcPr>
            <w:tcW w:w="1194"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6-13</w:t>
            </w:r>
          </w:p>
        </w:tc>
        <w:tc>
          <w:tcPr>
            <w:tcW w:w="1226" w:type="dxa"/>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80</w:t>
            </w:r>
          </w:p>
        </w:tc>
        <w:tc>
          <w:tcPr>
            <w:tcW w:w="1284" w:type="dxa"/>
            <w:tcBorders>
              <w:right w:val="single" w:sz="4" w:space="0" w:color="auto"/>
            </w:tcBorders>
            <w:noWrap/>
            <w:vAlign w:val="center"/>
            <w:hideMark/>
          </w:tcPr>
          <w:p w:rsidR="00EC062D" w:rsidRPr="00F73880" w:rsidRDefault="00EC062D" w:rsidP="00A7537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800</w:t>
            </w:r>
          </w:p>
        </w:tc>
      </w:tr>
      <w:tr w:rsidR="00EC062D" w:rsidRPr="00501BEE" w:rsidTr="00A75374">
        <w:trPr>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r w:rsidRPr="00F73880">
              <w:rPr>
                <w:rFonts w:eastAsia="Times New Roman" w:cs="Times New Roman"/>
                <w:color w:val="000000"/>
                <w:szCs w:val="24"/>
              </w:rPr>
              <w:t>31</w:t>
            </w:r>
          </w:p>
        </w:tc>
        <w:tc>
          <w:tcPr>
            <w:tcW w:w="110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478"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382</w:t>
            </w:r>
          </w:p>
        </w:tc>
        <w:tc>
          <w:tcPr>
            <w:tcW w:w="1105"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260"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450</w:t>
            </w:r>
          </w:p>
        </w:tc>
        <w:tc>
          <w:tcPr>
            <w:tcW w:w="1194"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1-9</w:t>
            </w:r>
          </w:p>
        </w:tc>
        <w:tc>
          <w:tcPr>
            <w:tcW w:w="1226" w:type="dxa"/>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90</w:t>
            </w:r>
          </w:p>
        </w:tc>
        <w:tc>
          <w:tcPr>
            <w:tcW w:w="1284" w:type="dxa"/>
            <w:tcBorders>
              <w:right w:val="single" w:sz="4" w:space="0" w:color="auto"/>
            </w:tcBorders>
            <w:noWrap/>
            <w:vAlign w:val="center"/>
            <w:hideMark/>
          </w:tcPr>
          <w:p w:rsidR="00EC062D" w:rsidRPr="00F73880" w:rsidRDefault="00EC062D" w:rsidP="00A7537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472</w:t>
            </w:r>
          </w:p>
        </w:tc>
      </w:tr>
      <w:tr w:rsidR="00EC062D" w:rsidRPr="00501BEE" w:rsidTr="00A75374">
        <w:trPr>
          <w:cnfStyle w:val="010000000000" w:firstRow="0" w:lastRow="1"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auto"/>
              <w:bottom w:val="single" w:sz="4" w:space="0" w:color="auto"/>
            </w:tcBorders>
            <w:noWrap/>
            <w:vAlign w:val="center"/>
            <w:hideMark/>
          </w:tcPr>
          <w:p w:rsidR="00EC062D" w:rsidRPr="00F73880" w:rsidRDefault="00EC062D" w:rsidP="00A75374">
            <w:pPr>
              <w:jc w:val="center"/>
              <w:rPr>
                <w:rFonts w:eastAsia="Times New Roman" w:cs="Times New Roman"/>
                <w:color w:val="000000"/>
                <w:szCs w:val="24"/>
              </w:rPr>
            </w:pPr>
          </w:p>
        </w:tc>
        <w:tc>
          <w:tcPr>
            <w:tcW w:w="1106"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78"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17216.4</w:t>
            </w:r>
          </w:p>
        </w:tc>
        <w:tc>
          <w:tcPr>
            <w:tcW w:w="1105"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260"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3395</w:t>
            </w:r>
          </w:p>
        </w:tc>
        <w:tc>
          <w:tcPr>
            <w:tcW w:w="1194"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226" w:type="dxa"/>
            <w:tcBorders>
              <w:bottom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586</w:t>
            </w:r>
          </w:p>
        </w:tc>
        <w:tc>
          <w:tcPr>
            <w:tcW w:w="1284" w:type="dxa"/>
            <w:tcBorders>
              <w:bottom w:val="single" w:sz="4" w:space="0" w:color="auto"/>
              <w:right w:val="single" w:sz="4" w:space="0" w:color="auto"/>
            </w:tcBorders>
            <w:noWrap/>
            <w:vAlign w:val="center"/>
            <w:hideMark/>
          </w:tcPr>
          <w:p w:rsidR="00EC062D" w:rsidRPr="00F73880" w:rsidRDefault="00EC062D" w:rsidP="00A75374">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4"/>
              </w:rPr>
            </w:pPr>
            <w:r w:rsidRPr="00F73880">
              <w:rPr>
                <w:rFonts w:eastAsia="Times New Roman" w:cs="Times New Roman"/>
                <w:color w:val="000000"/>
                <w:szCs w:val="24"/>
              </w:rPr>
              <w:t>17802.4</w:t>
            </w:r>
          </w:p>
        </w:tc>
      </w:tr>
    </w:tbl>
    <w:tbl>
      <w:tblPr>
        <w:tblW w:w="9690" w:type="dxa"/>
        <w:tblInd w:w="95" w:type="dxa"/>
        <w:tblLook w:val="04A0" w:firstRow="1" w:lastRow="0" w:firstColumn="1" w:lastColumn="0" w:noHBand="0" w:noVBand="1"/>
      </w:tblPr>
      <w:tblGrid>
        <w:gridCol w:w="9690"/>
      </w:tblGrid>
      <w:tr w:rsidR="00EC062D" w:rsidRPr="00F55EF2" w:rsidTr="00A75374">
        <w:trPr>
          <w:trHeight w:val="300"/>
        </w:trPr>
        <w:tc>
          <w:tcPr>
            <w:tcW w:w="9690" w:type="dxa"/>
            <w:tcBorders>
              <w:top w:val="nil"/>
              <w:left w:val="nil"/>
              <w:bottom w:val="nil"/>
              <w:right w:val="nil"/>
            </w:tcBorders>
            <w:shd w:val="clear" w:color="auto" w:fill="auto"/>
            <w:noWrap/>
            <w:vAlign w:val="bottom"/>
            <w:hideMark/>
          </w:tcPr>
          <w:p w:rsidR="00EC062D" w:rsidRPr="00F55EF2" w:rsidRDefault="00EC062D" w:rsidP="00A75374">
            <w:pPr>
              <w:spacing w:after="0" w:line="240" w:lineRule="auto"/>
              <w:ind w:right="-2671"/>
              <w:rPr>
                <w:rFonts w:eastAsia="Times New Roman" w:cs="Times New Roman"/>
                <w:color w:val="000000"/>
                <w:szCs w:val="24"/>
              </w:rPr>
            </w:pPr>
            <w:r>
              <w:br w:type="page"/>
            </w:r>
            <w:r w:rsidRPr="00501BEE">
              <w:rPr>
                <w:rFonts w:eastAsia="Times New Roman" w:cs="Times New Roman"/>
                <w:color w:val="000000"/>
                <w:szCs w:val="24"/>
              </w:rPr>
              <w:t xml:space="preserve">* </w:t>
            </w:r>
            <w:r w:rsidRPr="00F55EF2">
              <w:rPr>
                <w:rFonts w:eastAsia="Times New Roman" w:cs="Times New Roman"/>
                <w:color w:val="000000"/>
                <w:szCs w:val="24"/>
              </w:rPr>
              <w:t>TU 1-19 Flotation = 4L, 1/8" =15L ; TU 20-31 Flotation = 10L,</w:t>
            </w:r>
            <w:r w:rsidRPr="00501BEE">
              <w:rPr>
                <w:rFonts w:eastAsia="Times New Roman" w:cs="Times New Roman"/>
                <w:color w:val="000000"/>
                <w:szCs w:val="24"/>
              </w:rPr>
              <w:t>1</w:t>
            </w:r>
            <w:r w:rsidRPr="00F55EF2">
              <w:rPr>
                <w:rFonts w:eastAsia="Times New Roman" w:cs="Times New Roman"/>
                <w:color w:val="000000"/>
                <w:szCs w:val="24"/>
              </w:rPr>
              <w:t xml:space="preserve"> /8" = 50L</w:t>
            </w:r>
          </w:p>
        </w:tc>
      </w:tr>
      <w:tr w:rsidR="00EC062D" w:rsidRPr="00F55EF2" w:rsidTr="00A75374">
        <w:trPr>
          <w:trHeight w:val="300"/>
        </w:trPr>
        <w:tc>
          <w:tcPr>
            <w:tcW w:w="9690" w:type="dxa"/>
            <w:tcBorders>
              <w:top w:val="nil"/>
              <w:left w:val="nil"/>
              <w:bottom w:val="nil"/>
              <w:right w:val="nil"/>
            </w:tcBorders>
            <w:shd w:val="clear" w:color="auto" w:fill="auto"/>
            <w:noWrap/>
            <w:vAlign w:val="bottom"/>
            <w:hideMark/>
          </w:tcPr>
          <w:p w:rsidR="00EC062D" w:rsidRPr="00F55EF2" w:rsidRDefault="00EC062D" w:rsidP="00A75374">
            <w:pPr>
              <w:spacing w:after="0" w:line="240" w:lineRule="auto"/>
              <w:rPr>
                <w:rFonts w:eastAsia="Times New Roman" w:cs="Times New Roman"/>
                <w:color w:val="000000"/>
                <w:szCs w:val="24"/>
              </w:rPr>
            </w:pPr>
            <w:r w:rsidRPr="00501BEE">
              <w:rPr>
                <w:rFonts w:eastAsia="Times New Roman" w:cs="Times New Roman"/>
                <w:color w:val="000000"/>
                <w:szCs w:val="24"/>
              </w:rPr>
              <w:t xml:space="preserve">ⱡ  </w:t>
            </w:r>
            <w:r w:rsidRPr="00F55EF2">
              <w:rPr>
                <w:rFonts w:eastAsia="Times New Roman" w:cs="Times New Roman"/>
                <w:color w:val="000000"/>
                <w:szCs w:val="24"/>
              </w:rPr>
              <w:t xml:space="preserve">1/4" and 1/8" screens  nested </w:t>
            </w:r>
          </w:p>
        </w:tc>
      </w:tr>
      <w:tr w:rsidR="00EC062D" w:rsidRPr="00F55EF2" w:rsidTr="00A75374">
        <w:trPr>
          <w:trHeight w:val="300"/>
        </w:trPr>
        <w:tc>
          <w:tcPr>
            <w:tcW w:w="9690" w:type="dxa"/>
            <w:tcBorders>
              <w:top w:val="nil"/>
              <w:left w:val="nil"/>
              <w:bottom w:val="nil"/>
              <w:right w:val="nil"/>
            </w:tcBorders>
            <w:shd w:val="clear" w:color="auto" w:fill="auto"/>
            <w:noWrap/>
            <w:vAlign w:val="bottom"/>
            <w:hideMark/>
          </w:tcPr>
          <w:p w:rsidR="00EC062D" w:rsidRPr="00F55EF2" w:rsidRDefault="00EC062D" w:rsidP="00A75374">
            <w:pPr>
              <w:spacing w:after="0" w:line="240" w:lineRule="auto"/>
              <w:rPr>
                <w:rFonts w:eastAsia="Times New Roman" w:cs="Times New Roman"/>
                <w:color w:val="000000"/>
                <w:szCs w:val="24"/>
              </w:rPr>
            </w:pPr>
            <w:r w:rsidRPr="00501BEE">
              <w:rPr>
                <w:rFonts w:eastAsia="Times New Roman" w:cs="Times New Roman"/>
                <w:color w:val="000000"/>
                <w:szCs w:val="24"/>
              </w:rPr>
              <w:t xml:space="preserve">† TU14 L7 flotation for hearth, </w:t>
            </w:r>
            <w:r w:rsidRPr="00F55EF2">
              <w:rPr>
                <w:rFonts w:eastAsia="Times New Roman" w:cs="Times New Roman"/>
                <w:color w:val="000000"/>
                <w:szCs w:val="24"/>
              </w:rPr>
              <w:t>TU17 L3 historic charcoal concentration</w:t>
            </w:r>
            <w:r w:rsidRPr="00501BEE">
              <w:rPr>
                <w:rFonts w:eastAsia="Times New Roman" w:cs="Times New Roman"/>
                <w:color w:val="000000"/>
                <w:szCs w:val="24"/>
              </w:rPr>
              <w:t xml:space="preserve">, TU18 L8 under nutting stone, TU21 L6 feature, TU21 L9 feature </w:t>
            </w:r>
          </w:p>
        </w:tc>
      </w:tr>
    </w:tbl>
    <w:p w:rsidR="00E07BC4" w:rsidRPr="00E07BC4" w:rsidRDefault="00E07BC4" w:rsidP="00E07BC4">
      <w:pPr>
        <w:keepNext/>
        <w:spacing w:after="0" w:line="240" w:lineRule="auto"/>
        <w:jc w:val="center"/>
        <w:rPr>
          <w:sz w:val="36"/>
        </w:rPr>
      </w:pPr>
      <w:r w:rsidRPr="00E07BC4">
        <w:rPr>
          <w:rFonts w:eastAsia="Times New Roman" w:cs="Times New Roman"/>
          <w:noProof/>
          <w:sz w:val="36"/>
          <w:szCs w:val="24"/>
        </w:rPr>
        <w:lastRenderedPageBreak/>
        <w:drawing>
          <wp:inline distT="0" distB="0" distL="0" distR="0" wp14:anchorId="44467613" wp14:editId="5E2C9948">
            <wp:extent cx="5206706" cy="3474720"/>
            <wp:effectExtent l="19050" t="0" r="0" b="0"/>
            <wp:docPr id="9" name="Picture 7" descr="S32 06.10.08 023_TU2 N profile base L13_resiz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2 06.10.08 023_TU2 N profile base L13_resize 2.jpg"/>
                    <pic:cNvPicPr/>
                  </pic:nvPicPr>
                  <pic:blipFill>
                    <a:blip r:embed="rId14" cstate="print"/>
                    <a:stretch>
                      <a:fillRect/>
                    </a:stretch>
                  </pic:blipFill>
                  <pic:spPr>
                    <a:xfrm>
                      <a:off x="0" y="0"/>
                      <a:ext cx="5206706" cy="3474720"/>
                    </a:xfrm>
                    <a:prstGeom prst="rect">
                      <a:avLst/>
                    </a:prstGeom>
                  </pic:spPr>
                </pic:pic>
              </a:graphicData>
            </a:graphic>
          </wp:inline>
        </w:drawing>
      </w:r>
    </w:p>
    <w:p w:rsidR="00E07BC4" w:rsidRDefault="00E07BC4" w:rsidP="00E07BC4">
      <w:pPr>
        <w:pStyle w:val="Caption"/>
        <w:spacing w:after="0"/>
        <w:jc w:val="center"/>
        <w:rPr>
          <w:rFonts w:cs="Times New Roman"/>
          <w:szCs w:val="24"/>
        </w:rPr>
      </w:pPr>
      <w:bookmarkStart w:id="36" w:name="_Ref349504177"/>
      <w:bookmarkStart w:id="37" w:name="_Ref349504153"/>
      <w:bookmarkStart w:id="38" w:name="_Toc349505222"/>
      <w:r w:rsidRPr="00E07BC4">
        <w:rPr>
          <w:b w:val="0"/>
          <w:color w:val="auto"/>
          <w:sz w:val="24"/>
        </w:rPr>
        <w:t xml:space="preserve">Figure </w:t>
      </w:r>
      <w:r w:rsidRPr="00E07BC4">
        <w:rPr>
          <w:b w:val="0"/>
          <w:color w:val="auto"/>
          <w:sz w:val="24"/>
        </w:rPr>
        <w:fldChar w:fldCharType="begin"/>
      </w:r>
      <w:r w:rsidRPr="00E07BC4">
        <w:rPr>
          <w:b w:val="0"/>
          <w:color w:val="auto"/>
          <w:sz w:val="24"/>
        </w:rPr>
        <w:instrText xml:space="preserve"> SEQ Figure \* ARABIC </w:instrText>
      </w:r>
      <w:r w:rsidRPr="00E07BC4">
        <w:rPr>
          <w:b w:val="0"/>
          <w:color w:val="auto"/>
          <w:sz w:val="24"/>
        </w:rPr>
        <w:fldChar w:fldCharType="separate"/>
      </w:r>
      <w:r w:rsidRPr="00E07BC4">
        <w:rPr>
          <w:b w:val="0"/>
          <w:noProof/>
          <w:color w:val="auto"/>
          <w:sz w:val="24"/>
        </w:rPr>
        <w:t>5</w:t>
      </w:r>
      <w:r w:rsidRPr="00E07BC4">
        <w:rPr>
          <w:b w:val="0"/>
          <w:color w:val="auto"/>
          <w:sz w:val="24"/>
        </w:rPr>
        <w:fldChar w:fldCharType="end"/>
      </w:r>
      <w:bookmarkEnd w:id="36"/>
      <w:r w:rsidRPr="00E07BC4">
        <w:rPr>
          <w:b w:val="0"/>
          <w:color w:val="auto"/>
          <w:sz w:val="24"/>
        </w:rPr>
        <w:t xml:space="preserve">: </w:t>
      </w:r>
      <w:bookmarkStart w:id="39" w:name="_Ref349504161"/>
      <w:r>
        <w:rPr>
          <w:b w:val="0"/>
          <w:color w:val="auto"/>
          <w:sz w:val="24"/>
        </w:rPr>
        <w:t xml:space="preserve">S32 Stratigraphy – TU2 N Wall, </w:t>
      </w:r>
      <w:r w:rsidRPr="00E07BC4">
        <w:rPr>
          <w:b w:val="0"/>
          <w:color w:val="auto"/>
          <w:sz w:val="24"/>
        </w:rPr>
        <w:t>photo courtesy Jay Franklin</w:t>
      </w:r>
      <w:bookmarkEnd w:id="29"/>
      <w:bookmarkEnd w:id="37"/>
      <w:bookmarkEnd w:id="38"/>
      <w:bookmarkEnd w:id="39"/>
    </w:p>
    <w:p w:rsidR="00E07BC4" w:rsidRDefault="00E07BC4" w:rsidP="0069587F">
      <w:pPr>
        <w:spacing w:after="0" w:line="480" w:lineRule="auto"/>
        <w:rPr>
          <w:rFonts w:cs="Times New Roman"/>
          <w:szCs w:val="24"/>
        </w:rPr>
      </w:pPr>
    </w:p>
    <w:p w:rsidR="00613960" w:rsidRPr="00C123C1" w:rsidRDefault="00613960" w:rsidP="0069587F">
      <w:pPr>
        <w:spacing w:after="0" w:line="480" w:lineRule="auto"/>
        <w:rPr>
          <w:rFonts w:cs="Times New Roman"/>
          <w:szCs w:val="24"/>
        </w:rPr>
      </w:pPr>
      <w:r w:rsidRPr="00C123C1">
        <w:rPr>
          <w:rFonts w:cs="Times New Roman"/>
          <w:szCs w:val="24"/>
        </w:rPr>
        <w:t xml:space="preserve">the peripheries of the main portion of the shelter (Test Unit 5 and 9 – deposits about 35cm </w:t>
      </w:r>
      <w:r>
        <w:rPr>
          <w:rFonts w:cs="Times New Roman"/>
          <w:szCs w:val="24"/>
        </w:rPr>
        <w:t>below elevated datum)</w:t>
      </w:r>
      <w:r w:rsidRPr="00C123C1">
        <w:rPr>
          <w:rFonts w:cs="Times New Roman"/>
          <w:szCs w:val="24"/>
        </w:rPr>
        <w:t xml:space="preserve">. Layer III is a </w:t>
      </w:r>
      <w:r>
        <w:rPr>
          <w:rFonts w:cs="Times New Roman"/>
          <w:szCs w:val="24"/>
        </w:rPr>
        <w:t>comparatively thin</w:t>
      </w:r>
      <w:r w:rsidRPr="00C123C1">
        <w:rPr>
          <w:rFonts w:cs="Times New Roman"/>
          <w:szCs w:val="24"/>
        </w:rPr>
        <w:t xml:space="preserve"> Woodland layer (about 10-15cm thick) that was present in some, but not all test units in the interior portion of the shelter. This layer truncated the Late Archaic midden in some place</w:t>
      </w:r>
      <w:r>
        <w:rPr>
          <w:rFonts w:cs="Times New Roman"/>
          <w:szCs w:val="24"/>
        </w:rPr>
        <w:t>s</w:t>
      </w:r>
      <w:r w:rsidRPr="00C123C1">
        <w:rPr>
          <w:rFonts w:cs="Times New Roman"/>
          <w:szCs w:val="24"/>
        </w:rPr>
        <w:t xml:space="preserve">, but was largely disturbed by looting activities itself. A small assemblage of Woodland ceramics </w:t>
      </w:r>
      <w:r>
        <w:rPr>
          <w:rFonts w:cs="Times New Roman"/>
          <w:szCs w:val="24"/>
        </w:rPr>
        <w:t>was</w:t>
      </w:r>
      <w:r w:rsidRPr="00C123C1">
        <w:rPr>
          <w:rFonts w:cs="Times New Roman"/>
          <w:szCs w:val="24"/>
        </w:rPr>
        <w:t xml:space="preserve"> recovered from this layer, mostly cord-marked, limestone tempered sherds, a type that persist the entire Woodland period on the Upper Cumberland Plateau </w:t>
      </w:r>
      <w:r w:rsidRPr="00C123C1">
        <w:rPr>
          <w:rFonts w:cs="Times New Roman"/>
          <w:szCs w:val="24"/>
        </w:rPr>
        <w:fldChar w:fldCharType="begin"/>
      </w:r>
      <w:r w:rsidRPr="00C123C1">
        <w:rPr>
          <w:rFonts w:cs="Times New Roman"/>
          <w:szCs w:val="24"/>
        </w:rPr>
        <w:instrText xml:space="preserve"> ADDIN EN.CITE &lt;EndNote&gt;&lt;Cite&gt;&lt;Author&gt;Franklin&lt;/Author&gt;&lt;Year&gt;2002&lt;/Year&gt;&lt;RecNum&gt;61&lt;/RecNum&gt;&lt;DisplayText&gt;(Franklin 2002)&lt;/DisplayText&gt;&lt;record&gt;&lt;rec-number&gt;61&lt;/rec-number&gt;&lt;foreign-keys&gt;&lt;key app="EN" db-id="pvwvsv0fktzv2weszt4xp95xstrzawadapa0"&gt;61&lt;/key&gt;&lt;/foreign-keys&gt;&lt;ref-type name="Thesis"&gt;32&lt;/ref-type&gt;&lt;contributors&gt;&lt;authors&gt;&lt;author&gt;Jay D. Franklin&lt;/author&gt;&lt;/authors&gt;&lt;/contributors&gt;&lt;titles&gt;&lt;title&gt;The Prehistory of Fentress County, Tennessee: An Archaeology Survey&lt;/title&gt;&lt;secondary-title&gt;Anthropology&lt;/secondary-title&gt;&lt;/titles&gt;&lt;volume&gt;Doctoral Dissertation&lt;/volume&gt;&lt;dates&gt;&lt;year&gt;2002&lt;/year&gt;&lt;/dates&gt;&lt;pub-location&gt;Knoxville, TN&lt;/pub-location&gt;&lt;publisher&gt;University of Tennessee&lt;/publisher&gt;&lt;urls&gt;&lt;/urls&gt;&lt;/record&gt;&lt;/Cite&gt;&lt;/EndNote&gt;</w:instrText>
      </w:r>
      <w:r w:rsidRPr="00C123C1">
        <w:rPr>
          <w:rFonts w:cs="Times New Roman"/>
          <w:szCs w:val="24"/>
        </w:rPr>
        <w:fldChar w:fldCharType="separate"/>
      </w:r>
      <w:r w:rsidRPr="00C123C1">
        <w:rPr>
          <w:rFonts w:cs="Times New Roman"/>
          <w:noProof/>
          <w:szCs w:val="24"/>
        </w:rPr>
        <w:t>(</w:t>
      </w:r>
      <w:hyperlink w:anchor="_ENREF_29" w:tooltip="Franklin, 2002 #61" w:history="1">
        <w:r w:rsidR="00B15FB2" w:rsidRPr="00C123C1">
          <w:rPr>
            <w:rFonts w:cs="Times New Roman"/>
            <w:noProof/>
            <w:szCs w:val="24"/>
          </w:rPr>
          <w:t>Franklin 2002</w:t>
        </w:r>
      </w:hyperlink>
      <w:r w:rsidRPr="00C123C1">
        <w:rPr>
          <w:rFonts w:cs="Times New Roman"/>
          <w:noProof/>
          <w:szCs w:val="24"/>
        </w:rPr>
        <w:t>)</w:t>
      </w:r>
      <w:r w:rsidRPr="00C123C1">
        <w:rPr>
          <w:rFonts w:cs="Times New Roman"/>
          <w:szCs w:val="24"/>
        </w:rPr>
        <w:fldChar w:fldCharType="end"/>
      </w:r>
      <w:r w:rsidRPr="00C123C1">
        <w:rPr>
          <w:rFonts w:cs="Times New Roman"/>
          <w:szCs w:val="24"/>
        </w:rPr>
        <w:t>. This layer is about 13-15 cm thick. Layer IV is split into two section</w:t>
      </w:r>
      <w:r>
        <w:rPr>
          <w:rFonts w:cs="Times New Roman"/>
          <w:szCs w:val="24"/>
        </w:rPr>
        <w:t>s, a/b,</w:t>
      </w:r>
      <w:r w:rsidRPr="00C123C1">
        <w:rPr>
          <w:rFonts w:cs="Times New Roman"/>
          <w:szCs w:val="24"/>
        </w:rPr>
        <w:t xml:space="preserve"> for two different sediment colors, however, this </w:t>
      </w:r>
      <w:r>
        <w:rPr>
          <w:rFonts w:cs="Times New Roman"/>
          <w:szCs w:val="24"/>
        </w:rPr>
        <w:t xml:space="preserve">entire </w:t>
      </w:r>
      <w:r w:rsidRPr="00C123C1">
        <w:rPr>
          <w:rFonts w:cs="Times New Roman"/>
          <w:szCs w:val="24"/>
        </w:rPr>
        <w:t xml:space="preserve">layer is recognized as disturbed sediment. </w:t>
      </w:r>
    </w:p>
    <w:p w:rsidR="00E07BC4" w:rsidRDefault="00613960" w:rsidP="00E07BC4">
      <w:pPr>
        <w:spacing w:after="0" w:line="480" w:lineRule="auto"/>
        <w:contextualSpacing/>
        <w:jc w:val="center"/>
        <w:rPr>
          <w:rFonts w:cs="Times New Roman"/>
          <w:szCs w:val="24"/>
        </w:rPr>
      </w:pPr>
      <w:r w:rsidRPr="00C123C1">
        <w:rPr>
          <w:rFonts w:cs="Times New Roman"/>
          <w:szCs w:val="24"/>
        </w:rPr>
        <w:t>Artifacts from the midden include a large number of stemmed bifaces (Wade, Matanza</w:t>
      </w:r>
      <w:r>
        <w:rPr>
          <w:rFonts w:cs="Times New Roman"/>
          <w:szCs w:val="24"/>
        </w:rPr>
        <w:t>s,</w:t>
      </w:r>
      <w:r w:rsidRPr="00C123C1">
        <w:rPr>
          <w:rFonts w:cs="Times New Roman"/>
          <w:szCs w:val="24"/>
        </w:rPr>
        <w:t xml:space="preserve"> Merom</w:t>
      </w:r>
      <w:r>
        <w:rPr>
          <w:rFonts w:cs="Times New Roman"/>
          <w:szCs w:val="24"/>
        </w:rPr>
        <w:t xml:space="preserve"> and other asymmetrical stemmed bifaces</w:t>
      </w:r>
      <w:r w:rsidRPr="00C123C1">
        <w:rPr>
          <w:rFonts w:cs="Times New Roman"/>
          <w:szCs w:val="24"/>
        </w:rPr>
        <w:t xml:space="preserve">) and scrapers, modified bone points (likely awls), several </w:t>
      </w:r>
      <w:r w:rsidRPr="00C123C1">
        <w:rPr>
          <w:rFonts w:cs="Times New Roman"/>
          <w:i/>
          <w:szCs w:val="24"/>
        </w:rPr>
        <w:t xml:space="preserve">in situ </w:t>
      </w:r>
      <w:r w:rsidRPr="00C123C1">
        <w:rPr>
          <w:rFonts w:cs="Times New Roman"/>
          <w:szCs w:val="24"/>
        </w:rPr>
        <w:t>nutting stones,</w:t>
      </w:r>
      <w:r>
        <w:rPr>
          <w:rFonts w:cs="Times New Roman"/>
          <w:szCs w:val="24"/>
        </w:rPr>
        <w:t xml:space="preserve">  few pieces of steatite vessel sherds</w:t>
      </w:r>
      <w:r w:rsidRPr="00C123C1">
        <w:rPr>
          <w:rFonts w:cs="Times New Roman"/>
          <w:szCs w:val="24"/>
        </w:rPr>
        <w:t xml:space="preserve"> and many botanical and faunal </w:t>
      </w:r>
      <w:r w:rsidRPr="00C123C1">
        <w:rPr>
          <w:rFonts w:cs="Times New Roman"/>
          <w:szCs w:val="24"/>
        </w:rPr>
        <w:lastRenderedPageBreak/>
        <w:t xml:space="preserve">remains. The results of lithic, botanical and faunal analyses from midden deposits from </w:t>
      </w:r>
      <w:r>
        <w:rPr>
          <w:rFonts w:cs="Times New Roman"/>
          <w:szCs w:val="24"/>
        </w:rPr>
        <w:t>a sample of proveniences</w:t>
      </w:r>
      <w:r w:rsidRPr="00C123C1">
        <w:rPr>
          <w:rFonts w:cs="Times New Roman"/>
          <w:szCs w:val="24"/>
        </w:rPr>
        <w:t xml:space="preserve"> are reported in </w:t>
      </w:r>
      <w:r w:rsidRPr="00C123C1">
        <w:rPr>
          <w:rFonts w:cs="Times New Roman"/>
          <w:szCs w:val="24"/>
        </w:rPr>
        <w:fldChar w:fldCharType="begin"/>
      </w:r>
      <w:r w:rsidRPr="00C123C1">
        <w:rPr>
          <w:rFonts w:cs="Times New Roman"/>
          <w:szCs w:val="24"/>
        </w:rPr>
        <w:instrText xml:space="preserve"> ADDIN EN.CITE &lt;EndNote&gt;&lt;Cite AuthorYear="1"&gt;&lt;Author&gt;Franklin&lt;/Author&gt;&lt;Year&gt;2010&lt;/Year&gt;&lt;RecNum&gt;67&lt;/RecNum&gt;&lt;DisplayText&gt;Franklin,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Pr="00C123C1">
        <w:rPr>
          <w:rFonts w:cs="Times New Roman"/>
          <w:szCs w:val="24"/>
        </w:rPr>
        <w:fldChar w:fldCharType="separate"/>
      </w:r>
      <w:hyperlink w:anchor="_ENREF_30" w:tooltip="Franklin, 2010 #67" w:history="1">
        <w:r w:rsidR="00B15FB2" w:rsidRPr="00C123C1">
          <w:rPr>
            <w:rFonts w:cs="Times New Roman"/>
            <w:noProof/>
            <w:szCs w:val="24"/>
          </w:rPr>
          <w:t>Franklin, et al. (2010</w:t>
        </w:r>
      </w:hyperlink>
      <w:r w:rsidRPr="00C123C1">
        <w:rPr>
          <w:rFonts w:cs="Times New Roman"/>
          <w:noProof/>
          <w:szCs w:val="24"/>
        </w:rPr>
        <w:t>)</w:t>
      </w:r>
      <w:r w:rsidRPr="00C123C1">
        <w:rPr>
          <w:rFonts w:cs="Times New Roman"/>
          <w:szCs w:val="24"/>
        </w:rPr>
        <w:fldChar w:fldCharType="end"/>
      </w:r>
      <w:r w:rsidRPr="00C123C1">
        <w:rPr>
          <w:rFonts w:cs="Times New Roman"/>
          <w:szCs w:val="24"/>
        </w:rPr>
        <w:t>. Four radiocarbon dates were obtained from the midden, two near the top of the midden and two</w:t>
      </w:r>
      <w:r w:rsidR="005261C1">
        <w:rPr>
          <w:rFonts w:cs="Times New Roman"/>
          <w:szCs w:val="24"/>
        </w:rPr>
        <w:t xml:space="preserve"> near the bottom of the midden (</w:t>
      </w:r>
      <w:r w:rsidR="005261C1">
        <w:rPr>
          <w:rFonts w:cs="Times New Roman"/>
          <w:szCs w:val="24"/>
        </w:rPr>
        <w:fldChar w:fldCharType="begin"/>
      </w:r>
      <w:r w:rsidR="005261C1">
        <w:rPr>
          <w:rFonts w:cs="Times New Roman"/>
          <w:szCs w:val="24"/>
        </w:rPr>
        <w:instrText xml:space="preserve"> REF _Ref349504652 \h </w:instrText>
      </w:r>
      <w:r w:rsidR="005261C1">
        <w:rPr>
          <w:rFonts w:cs="Times New Roman"/>
          <w:szCs w:val="24"/>
        </w:rPr>
      </w:r>
      <w:r w:rsidR="005261C1">
        <w:rPr>
          <w:rFonts w:cs="Times New Roman"/>
          <w:szCs w:val="24"/>
        </w:rPr>
        <w:fldChar w:fldCharType="separate"/>
      </w:r>
      <w:r w:rsidR="005261C1" w:rsidRPr="00E07BC4">
        <w:rPr>
          <w:szCs w:val="24"/>
        </w:rPr>
        <w:t xml:space="preserve">Table </w:t>
      </w:r>
      <w:r w:rsidR="005261C1" w:rsidRPr="00E07BC4">
        <w:rPr>
          <w:noProof/>
          <w:szCs w:val="24"/>
        </w:rPr>
        <w:t>2</w:t>
      </w:r>
      <w:r w:rsidR="005261C1">
        <w:rPr>
          <w:rFonts w:cs="Times New Roman"/>
          <w:szCs w:val="24"/>
        </w:rPr>
        <w:fldChar w:fldCharType="end"/>
      </w:r>
      <w:r w:rsidRPr="00C123C1">
        <w:rPr>
          <w:rFonts w:cs="Times New Roman"/>
          <w:szCs w:val="24"/>
        </w:rPr>
        <w:t>). The dates indicate that the midden was deposited over a 3,000 year time span from late Middle Archaic – Late Archaic Period. Lithic analyses conducted include organization of technology, use-wea</w:t>
      </w:r>
      <w:r w:rsidR="00E07BC4">
        <w:rPr>
          <w:rFonts w:cs="Times New Roman"/>
          <w:szCs w:val="24"/>
        </w:rPr>
        <w:t xml:space="preserve">r and site-formation processes. </w:t>
      </w:r>
    </w:p>
    <w:p w:rsidR="00E07BC4" w:rsidRPr="00E07BC4" w:rsidRDefault="00E07BC4" w:rsidP="00E07BC4">
      <w:pPr>
        <w:pStyle w:val="Caption"/>
        <w:keepNext/>
        <w:spacing w:after="0"/>
        <w:jc w:val="center"/>
        <w:rPr>
          <w:b w:val="0"/>
          <w:color w:val="auto"/>
          <w:sz w:val="24"/>
          <w:szCs w:val="24"/>
        </w:rPr>
      </w:pPr>
      <w:bookmarkStart w:id="40" w:name="_Ref349504652"/>
      <w:bookmarkStart w:id="41" w:name="_Ref349504589"/>
      <w:bookmarkStart w:id="42" w:name="_Toc349505185"/>
      <w:r w:rsidRPr="00E07BC4">
        <w:rPr>
          <w:b w:val="0"/>
          <w:color w:val="auto"/>
          <w:sz w:val="24"/>
          <w:szCs w:val="24"/>
        </w:rPr>
        <w:t xml:space="preserve">Table </w:t>
      </w:r>
      <w:r w:rsidRPr="00E07BC4">
        <w:rPr>
          <w:b w:val="0"/>
          <w:color w:val="auto"/>
          <w:sz w:val="24"/>
          <w:szCs w:val="24"/>
        </w:rPr>
        <w:fldChar w:fldCharType="begin"/>
      </w:r>
      <w:r w:rsidRPr="00E07BC4">
        <w:rPr>
          <w:b w:val="0"/>
          <w:color w:val="auto"/>
          <w:sz w:val="24"/>
          <w:szCs w:val="24"/>
        </w:rPr>
        <w:instrText xml:space="preserve"> SEQ Table \* ARABIC </w:instrText>
      </w:r>
      <w:r w:rsidRPr="00E07BC4">
        <w:rPr>
          <w:b w:val="0"/>
          <w:color w:val="auto"/>
          <w:sz w:val="24"/>
          <w:szCs w:val="24"/>
        </w:rPr>
        <w:fldChar w:fldCharType="separate"/>
      </w:r>
      <w:r w:rsidR="006174EA">
        <w:rPr>
          <w:b w:val="0"/>
          <w:noProof/>
          <w:color w:val="auto"/>
          <w:sz w:val="24"/>
          <w:szCs w:val="24"/>
        </w:rPr>
        <w:t>2</w:t>
      </w:r>
      <w:r w:rsidRPr="00E07BC4">
        <w:rPr>
          <w:b w:val="0"/>
          <w:color w:val="auto"/>
          <w:sz w:val="24"/>
          <w:szCs w:val="24"/>
        </w:rPr>
        <w:fldChar w:fldCharType="end"/>
      </w:r>
      <w:bookmarkEnd w:id="40"/>
      <w:r w:rsidRPr="00E07BC4">
        <w:rPr>
          <w:b w:val="0"/>
          <w:color w:val="auto"/>
          <w:sz w:val="24"/>
          <w:szCs w:val="24"/>
        </w:rPr>
        <w:t>: AMS dates S32, adapted from Table 1 Franklin et al. 2010</w:t>
      </w:r>
      <w:bookmarkEnd w:id="41"/>
      <w:bookmarkEnd w:id="42"/>
    </w:p>
    <w:tbl>
      <w:tblPr>
        <w:tblStyle w:val="ColorfulList-Accent4"/>
        <w:tblW w:w="5000" w:type="pct"/>
        <w:tblLook w:val="04A0" w:firstRow="1" w:lastRow="0" w:firstColumn="1" w:lastColumn="0" w:noHBand="0" w:noVBand="1"/>
      </w:tblPr>
      <w:tblGrid>
        <w:gridCol w:w="1599"/>
        <w:gridCol w:w="1846"/>
        <w:gridCol w:w="2165"/>
        <w:gridCol w:w="1526"/>
        <w:gridCol w:w="2214"/>
      </w:tblGrid>
      <w:tr w:rsidR="00E07BC4" w:rsidRPr="00E07BC4" w:rsidTr="00E26212">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855" w:type="pct"/>
            <w:tcBorders>
              <w:top w:val="single" w:sz="4" w:space="0" w:color="auto"/>
              <w:left w:val="single" w:sz="4" w:space="0" w:color="auto"/>
            </w:tcBorders>
            <w:vAlign w:val="center"/>
          </w:tcPr>
          <w:p w:rsidR="00E07BC4" w:rsidRPr="00E07BC4" w:rsidRDefault="00E07BC4" w:rsidP="00E07BC4">
            <w:pPr>
              <w:jc w:val="center"/>
              <w:rPr>
                <w:rFonts w:cs="Times New Roman"/>
                <w:b w:val="0"/>
                <w:color w:val="auto"/>
                <w:szCs w:val="24"/>
              </w:rPr>
            </w:pPr>
            <w:r w:rsidRPr="00E07BC4">
              <w:rPr>
                <w:rFonts w:cs="Times New Roman"/>
                <w:b w:val="0"/>
                <w:color w:val="auto"/>
                <w:szCs w:val="24"/>
              </w:rPr>
              <w:t>Sample no.</w:t>
            </w:r>
          </w:p>
        </w:tc>
        <w:tc>
          <w:tcPr>
            <w:tcW w:w="987" w:type="pct"/>
            <w:tcBorders>
              <w:top w:val="single" w:sz="4" w:space="0" w:color="auto"/>
            </w:tcBorders>
            <w:vAlign w:val="center"/>
          </w:tcPr>
          <w:p w:rsidR="00E07BC4" w:rsidRPr="00E07BC4" w:rsidRDefault="00E07BC4" w:rsidP="00E07BC4">
            <w:pPr>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E07BC4">
              <w:rPr>
                <w:rFonts w:cs="Times New Roman"/>
                <w:b w:val="0"/>
                <w:color w:val="auto"/>
                <w:szCs w:val="24"/>
              </w:rPr>
              <w:t>Provenience</w:t>
            </w:r>
          </w:p>
        </w:tc>
        <w:tc>
          <w:tcPr>
            <w:tcW w:w="1158" w:type="pct"/>
            <w:tcBorders>
              <w:top w:val="single" w:sz="4" w:space="0" w:color="auto"/>
            </w:tcBorders>
            <w:vAlign w:val="center"/>
          </w:tcPr>
          <w:p w:rsidR="00E07BC4" w:rsidRPr="00E07BC4" w:rsidRDefault="00E07BC4" w:rsidP="00E07BC4">
            <w:pPr>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E07BC4">
              <w:rPr>
                <w:rFonts w:cs="Times New Roman"/>
                <w:b w:val="0"/>
                <w:color w:val="auto"/>
                <w:szCs w:val="24"/>
                <w:vertAlign w:val="superscript"/>
              </w:rPr>
              <w:t>14</w:t>
            </w:r>
            <w:r w:rsidRPr="00E07BC4">
              <w:rPr>
                <w:rFonts w:cs="Times New Roman"/>
                <w:b w:val="0"/>
                <w:color w:val="auto"/>
                <w:szCs w:val="24"/>
              </w:rPr>
              <w:t>C age assay (BP)</w:t>
            </w:r>
          </w:p>
        </w:tc>
        <w:tc>
          <w:tcPr>
            <w:tcW w:w="816" w:type="pct"/>
            <w:tcBorders>
              <w:top w:val="single" w:sz="4" w:space="0" w:color="auto"/>
            </w:tcBorders>
            <w:vAlign w:val="center"/>
          </w:tcPr>
          <w:p w:rsidR="00E07BC4" w:rsidRPr="00E07BC4" w:rsidRDefault="00E07BC4" w:rsidP="00E07BC4">
            <w:pPr>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E07BC4">
              <w:rPr>
                <w:rFonts w:cs="Times New Roman"/>
                <w:b w:val="0"/>
                <w:color w:val="auto"/>
                <w:szCs w:val="24"/>
              </w:rPr>
              <w:t>~ Mean Calibrated age (BP)</w:t>
            </w:r>
          </w:p>
        </w:tc>
        <w:tc>
          <w:tcPr>
            <w:tcW w:w="1184" w:type="pct"/>
            <w:tcBorders>
              <w:top w:val="single" w:sz="4" w:space="0" w:color="auto"/>
              <w:right w:val="single" w:sz="4" w:space="0" w:color="auto"/>
            </w:tcBorders>
            <w:vAlign w:val="center"/>
          </w:tcPr>
          <w:p w:rsidR="00E07BC4" w:rsidRPr="00E07BC4" w:rsidRDefault="00E07BC4" w:rsidP="00E07BC4">
            <w:pPr>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E07BC4">
              <w:rPr>
                <w:rFonts w:cs="Times New Roman"/>
                <w:b w:val="0"/>
                <w:color w:val="auto"/>
                <w:szCs w:val="24"/>
              </w:rPr>
              <w:t>Calibrated date range BC (2σ)</w:t>
            </w:r>
          </w:p>
        </w:tc>
      </w:tr>
      <w:tr w:rsidR="00E07BC4" w:rsidRPr="00501BEE" w:rsidTr="00E26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pct"/>
            <w:tcBorders>
              <w:left w:val="single" w:sz="4" w:space="0" w:color="auto"/>
            </w:tcBorders>
            <w:vAlign w:val="center"/>
          </w:tcPr>
          <w:p w:rsidR="00E07BC4" w:rsidRPr="00501BEE" w:rsidRDefault="00E07BC4" w:rsidP="00E26212">
            <w:pPr>
              <w:jc w:val="center"/>
              <w:rPr>
                <w:rFonts w:cs="Times New Roman"/>
                <w:szCs w:val="24"/>
              </w:rPr>
            </w:pPr>
            <w:r w:rsidRPr="00501BEE">
              <w:rPr>
                <w:rFonts w:cs="Times New Roman"/>
                <w:szCs w:val="24"/>
              </w:rPr>
              <w:t>AA82906</w:t>
            </w:r>
          </w:p>
        </w:tc>
        <w:tc>
          <w:tcPr>
            <w:tcW w:w="987"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TU2, L7, Layer II, 30-35 cm bs</w:t>
            </w:r>
          </w:p>
        </w:tc>
        <w:tc>
          <w:tcPr>
            <w:tcW w:w="1158"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3385 ± 41</w:t>
            </w:r>
          </w:p>
        </w:tc>
        <w:tc>
          <w:tcPr>
            <w:tcW w:w="816"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3638</w:t>
            </w:r>
          </w:p>
        </w:tc>
        <w:tc>
          <w:tcPr>
            <w:tcW w:w="1184" w:type="pct"/>
            <w:tcBorders>
              <w:right w:val="single" w:sz="4" w:space="0" w:color="auto"/>
            </w:tcBorders>
            <w:vAlign w:val="center"/>
          </w:tcPr>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1863-1851 (1.1%)</w:t>
            </w: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1772-1604 (88.0%)</w:t>
            </w: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1587-1534 (6.3%)</w:t>
            </w: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E07BC4" w:rsidRPr="00501BEE" w:rsidTr="00E26212">
        <w:tc>
          <w:tcPr>
            <w:cnfStyle w:val="001000000000" w:firstRow="0" w:lastRow="0" w:firstColumn="1" w:lastColumn="0" w:oddVBand="0" w:evenVBand="0" w:oddHBand="0" w:evenHBand="0" w:firstRowFirstColumn="0" w:firstRowLastColumn="0" w:lastRowFirstColumn="0" w:lastRowLastColumn="0"/>
            <w:tcW w:w="855" w:type="pct"/>
            <w:tcBorders>
              <w:left w:val="single" w:sz="4" w:space="0" w:color="auto"/>
            </w:tcBorders>
            <w:vAlign w:val="center"/>
          </w:tcPr>
          <w:p w:rsidR="00E07BC4" w:rsidRPr="00501BEE" w:rsidRDefault="00E07BC4" w:rsidP="00E26212">
            <w:pPr>
              <w:jc w:val="center"/>
              <w:rPr>
                <w:rFonts w:cs="Times New Roman"/>
                <w:szCs w:val="24"/>
              </w:rPr>
            </w:pPr>
            <w:r w:rsidRPr="00501BEE">
              <w:rPr>
                <w:rFonts w:cs="Times New Roman"/>
                <w:szCs w:val="24"/>
              </w:rPr>
              <w:t>AA82908</w:t>
            </w:r>
          </w:p>
        </w:tc>
        <w:tc>
          <w:tcPr>
            <w:tcW w:w="987" w:type="pct"/>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TU2, Layer II, 45 cm bs</w:t>
            </w:r>
          </w:p>
        </w:tc>
        <w:tc>
          <w:tcPr>
            <w:tcW w:w="1158" w:type="pct"/>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4379 ± 45</w:t>
            </w:r>
          </w:p>
        </w:tc>
        <w:tc>
          <w:tcPr>
            <w:tcW w:w="816" w:type="pct"/>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4951</w:t>
            </w:r>
          </w:p>
        </w:tc>
        <w:tc>
          <w:tcPr>
            <w:tcW w:w="1184" w:type="pct"/>
            <w:tcBorders>
              <w:right w:val="single" w:sz="4" w:space="0" w:color="auto"/>
            </w:tcBorders>
            <w:vAlign w:val="center"/>
          </w:tcPr>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3311-3296 (0.8%)</w:t>
            </w:r>
          </w:p>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3285-3275 (0.5%)</w:t>
            </w:r>
          </w:p>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3266-3239 (2.8%)</w:t>
            </w:r>
          </w:p>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3106-2896 (91.2%)</w:t>
            </w:r>
          </w:p>
          <w:p w:rsidR="00E07BC4" w:rsidRPr="00501BEE" w:rsidRDefault="00E07BC4" w:rsidP="00E2621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E07BC4" w:rsidRPr="00501BEE" w:rsidTr="00E26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pct"/>
            <w:tcBorders>
              <w:left w:val="single" w:sz="4" w:space="0" w:color="auto"/>
            </w:tcBorders>
            <w:vAlign w:val="center"/>
          </w:tcPr>
          <w:p w:rsidR="00E07BC4" w:rsidRPr="00501BEE" w:rsidRDefault="00E07BC4" w:rsidP="00E26212">
            <w:pPr>
              <w:jc w:val="center"/>
              <w:rPr>
                <w:rFonts w:cs="Times New Roman"/>
                <w:szCs w:val="24"/>
              </w:rPr>
            </w:pPr>
            <w:r w:rsidRPr="00501BEE">
              <w:rPr>
                <w:rFonts w:cs="Times New Roman"/>
                <w:szCs w:val="24"/>
              </w:rPr>
              <w:t>AA83006</w:t>
            </w:r>
          </w:p>
        </w:tc>
        <w:tc>
          <w:tcPr>
            <w:tcW w:w="987"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TU10, Layer II, 15 cm bs</w:t>
            </w:r>
          </w:p>
        </w:tc>
        <w:tc>
          <w:tcPr>
            <w:tcW w:w="1158"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3363 ± 37</w:t>
            </w:r>
          </w:p>
        </w:tc>
        <w:tc>
          <w:tcPr>
            <w:tcW w:w="816" w:type="pct"/>
            <w:vAlign w:val="center"/>
          </w:tcPr>
          <w:p w:rsidR="00E07BC4" w:rsidRPr="00501BEE" w:rsidRDefault="00E07BC4" w:rsidP="00E26212">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3623</w:t>
            </w:r>
          </w:p>
        </w:tc>
        <w:tc>
          <w:tcPr>
            <w:tcW w:w="1184" w:type="pct"/>
            <w:tcBorders>
              <w:right w:val="single" w:sz="4" w:space="0" w:color="auto"/>
            </w:tcBorders>
            <w:vAlign w:val="center"/>
          </w:tcPr>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1744-1602 (81.8%)</w:t>
            </w: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501BEE">
              <w:rPr>
                <w:rFonts w:cs="Times New Roman"/>
                <w:szCs w:val="24"/>
              </w:rPr>
              <w:t>1591-1532 (13.6%)</w:t>
            </w:r>
          </w:p>
          <w:p w:rsidR="00E07BC4" w:rsidRPr="00501BEE" w:rsidRDefault="00E07BC4" w:rsidP="00E2621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E07BC4" w:rsidRPr="00501BEE" w:rsidTr="00E26212">
        <w:tc>
          <w:tcPr>
            <w:cnfStyle w:val="001000000000" w:firstRow="0" w:lastRow="0" w:firstColumn="1" w:lastColumn="0" w:oddVBand="0" w:evenVBand="0" w:oddHBand="0" w:evenHBand="0" w:firstRowFirstColumn="0" w:firstRowLastColumn="0" w:lastRowFirstColumn="0" w:lastRowLastColumn="0"/>
            <w:tcW w:w="855" w:type="pct"/>
            <w:tcBorders>
              <w:left w:val="single" w:sz="4" w:space="0" w:color="auto"/>
              <w:bottom w:val="single" w:sz="4" w:space="0" w:color="auto"/>
            </w:tcBorders>
            <w:vAlign w:val="center"/>
          </w:tcPr>
          <w:p w:rsidR="00E07BC4" w:rsidRPr="00501BEE" w:rsidRDefault="00E07BC4" w:rsidP="00E26212">
            <w:pPr>
              <w:jc w:val="center"/>
              <w:rPr>
                <w:rFonts w:cs="Times New Roman"/>
                <w:szCs w:val="24"/>
              </w:rPr>
            </w:pPr>
            <w:r w:rsidRPr="00501BEE">
              <w:rPr>
                <w:rFonts w:cs="Times New Roman"/>
                <w:szCs w:val="24"/>
              </w:rPr>
              <w:t>AA83007</w:t>
            </w:r>
          </w:p>
        </w:tc>
        <w:tc>
          <w:tcPr>
            <w:tcW w:w="987" w:type="pct"/>
            <w:tcBorders>
              <w:bottom w:val="single" w:sz="4" w:space="0" w:color="auto"/>
            </w:tcBorders>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TU10, Layer II, 45 cm bs</w:t>
            </w:r>
          </w:p>
        </w:tc>
        <w:tc>
          <w:tcPr>
            <w:tcW w:w="1158" w:type="pct"/>
            <w:tcBorders>
              <w:bottom w:val="single" w:sz="4" w:space="0" w:color="auto"/>
            </w:tcBorders>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5995 ± 42</w:t>
            </w:r>
          </w:p>
        </w:tc>
        <w:tc>
          <w:tcPr>
            <w:tcW w:w="816" w:type="pct"/>
            <w:tcBorders>
              <w:bottom w:val="single" w:sz="4" w:space="0" w:color="auto"/>
            </w:tcBorders>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6843</w:t>
            </w:r>
          </w:p>
        </w:tc>
        <w:tc>
          <w:tcPr>
            <w:tcW w:w="1184" w:type="pct"/>
            <w:tcBorders>
              <w:bottom w:val="single" w:sz="4" w:space="0" w:color="auto"/>
              <w:right w:val="single" w:sz="4" w:space="0" w:color="auto"/>
            </w:tcBorders>
            <w:vAlign w:val="center"/>
          </w:tcPr>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01BEE">
              <w:rPr>
                <w:rFonts w:cs="Times New Roman"/>
                <w:szCs w:val="24"/>
              </w:rPr>
              <w:t>4998-4787 (95.4%)</w:t>
            </w:r>
          </w:p>
          <w:p w:rsidR="00E07BC4" w:rsidRPr="00501BEE" w:rsidRDefault="00E07BC4" w:rsidP="00E26212">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bl>
    <w:p w:rsidR="00E07BC4" w:rsidRDefault="00E07BC4" w:rsidP="00E07BC4">
      <w:pPr>
        <w:spacing w:after="0" w:line="480" w:lineRule="auto"/>
        <w:ind w:firstLine="720"/>
        <w:rPr>
          <w:rFonts w:cs="Times New Roman"/>
          <w:szCs w:val="24"/>
        </w:rPr>
      </w:pPr>
    </w:p>
    <w:p w:rsidR="00E07BC4" w:rsidRPr="00C123C1" w:rsidRDefault="00613960" w:rsidP="00E07BC4">
      <w:pPr>
        <w:spacing w:after="0" w:line="480" w:lineRule="auto"/>
        <w:ind w:firstLine="720"/>
        <w:rPr>
          <w:rFonts w:cs="Times New Roman"/>
          <w:szCs w:val="24"/>
        </w:rPr>
      </w:pPr>
      <w:r w:rsidRPr="00C123C1">
        <w:rPr>
          <w:rFonts w:cs="Times New Roman"/>
          <w:szCs w:val="24"/>
        </w:rPr>
        <w:lastRenderedPageBreak/>
        <w:t xml:space="preserve">Organization of technology and site-formation processes indicate that the majority of chert used at the site is local, and all stages of the reduction sequence are represented on site for the Late Archaic component. Butchering, hide processing and woodworking activities are reflected in use-wear analyses conducted on 94 stemmed bifaces (31 displayed evidence of use-wear) </w:t>
      </w:r>
      <w:r w:rsidRPr="00C123C1">
        <w:rPr>
          <w:rFonts w:cs="Times New Roman"/>
          <w:szCs w:val="24"/>
        </w:rPr>
        <w:fldChar w:fldCharType="begin"/>
      </w:r>
      <w:r w:rsidRPr="00C123C1">
        <w:rPr>
          <w:rFonts w:cs="Times New Roman"/>
          <w:szCs w:val="24"/>
        </w:rPr>
        <w:instrText xml:space="preserve"> ADDIN EN.CITE &lt;EndNote&gt;&lt;Cite&gt;&lt;Author&gt;Franklin&lt;/Author&gt;&lt;Year&gt;2010&lt;/Year&gt;&lt;RecNum&gt;67&lt;/RecNum&gt;&lt;Pages&gt;462&lt;/Pages&gt;&lt;DisplayText&gt;(Franklin, et al. 2010:462)&lt;/DisplayText&gt;&lt;record&gt;&lt;rec-number&gt;67&lt;/rec-number&gt;&lt;foreign-keys&gt;&lt;key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Pr="00C123C1">
        <w:rPr>
          <w:rFonts w:cs="Times New Roman"/>
          <w:szCs w:val="24"/>
        </w:rPr>
        <w:fldChar w:fldCharType="separate"/>
      </w:r>
      <w:r w:rsidRPr="00C123C1">
        <w:rPr>
          <w:rFonts w:cs="Times New Roman"/>
          <w:noProof/>
          <w:szCs w:val="24"/>
        </w:rPr>
        <w:t>(</w:t>
      </w:r>
      <w:hyperlink w:anchor="_ENREF_30" w:tooltip="Franklin, 2010 #67" w:history="1">
        <w:r w:rsidR="00B15FB2" w:rsidRPr="00C123C1">
          <w:rPr>
            <w:rFonts w:cs="Times New Roman"/>
            <w:noProof/>
            <w:szCs w:val="24"/>
          </w:rPr>
          <w:t>Franklin, et al. 2010:462</w:t>
        </w:r>
      </w:hyperlink>
      <w:r w:rsidRPr="00C123C1">
        <w:rPr>
          <w:rFonts w:cs="Times New Roman"/>
          <w:noProof/>
          <w:szCs w:val="24"/>
        </w:rPr>
        <w:t>)</w:t>
      </w:r>
      <w:r w:rsidRPr="00C123C1">
        <w:rPr>
          <w:rFonts w:cs="Times New Roman"/>
          <w:szCs w:val="24"/>
        </w:rPr>
        <w:fldChar w:fldCharType="end"/>
      </w:r>
      <w:r w:rsidRPr="00C123C1">
        <w:rPr>
          <w:rFonts w:cs="Times New Roman"/>
          <w:szCs w:val="24"/>
        </w:rPr>
        <w:t xml:space="preserve">. Furthermore, given the high number of tools and tool fragments (n=103) and low percentage of late stage tool debitage (37%), the Late Archaic component at Sachsen Cave Shelter is referred to as a “long term layer” </w:t>
      </w:r>
      <w:r w:rsidRPr="00C123C1">
        <w:rPr>
          <w:rFonts w:cs="Times New Roman"/>
          <w:szCs w:val="24"/>
        </w:rPr>
        <w:fldChar w:fldCharType="begin"/>
      </w:r>
      <w:r>
        <w:rPr>
          <w:rFonts w:cs="Times New Roman"/>
          <w:szCs w:val="24"/>
        </w:rPr>
        <w:instrText xml:space="preserve"> ADDIN EN.CITE &lt;EndNote&gt;&lt;Cite&gt;&lt;Author&gt;Franklin&lt;/Author&gt;&lt;Year&gt;2010&lt;/Year&gt;&lt;RecNum&gt;67&lt;/RecNum&gt;&lt;DisplayText&gt;(Franklin, et al. 2010; Magne 1989)&lt;/DisplayText&gt;&lt;record&gt;&lt;rec-number&gt;67&lt;/rec-number&gt;&lt;foreign-keys&gt;&lt;key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Cite&gt;&lt;Author&gt;Magne&lt;/Author&gt;&lt;Year&gt;1989&lt;/Year&gt;&lt;RecNum&gt;102&lt;/RecNum&gt;&lt;record&gt;&lt;rec-number&gt;102&lt;/rec-number&gt;&lt;foreign-keys&gt;&lt;key app="EN" db-id="pvwvsv0fktzv2weszt4xp95xstrzawadapa0"&gt;102&lt;/key&gt;&lt;/foreign-keys&gt;&lt;ref-type name="Book Section"&gt;5&lt;/ref-type&gt;&lt;contributors&gt;&lt;authors&gt;&lt;author&gt;Martin P. R. Magne&lt;/author&gt;&lt;/authors&gt;&lt;secondary-authors&gt;&lt;author&gt;Daniel S. Amick &lt;/author&gt;&lt;author&gt;Raymond P. Mauldin&lt;/author&gt;&lt;/secondary-authors&gt;&lt;/contributors&gt;&lt;titles&gt;&lt;title&gt;Lithic Reduction Stages and Assemblage Formation Processes.&lt;/title&gt;&lt;secondary-title&gt;Experiments in Lithic Technology&lt;/secondary-title&gt;&lt;/titles&gt;&lt;pages&gt;15-31&lt;/pages&gt;&lt;dates&gt;&lt;year&gt;1989&lt;/year&gt;&lt;/dates&gt;&lt;pub-location&gt;Oxford&lt;/pub-location&gt;&lt;publisher&gt;BAR International Series 528, British Archaeological Reports&lt;/publisher&gt;&lt;urls&gt;&lt;/urls&gt;&lt;/record&gt;&lt;/Cite&gt;&lt;/EndNote&gt;</w:instrText>
      </w:r>
      <w:r w:rsidRPr="00C123C1">
        <w:rPr>
          <w:rFonts w:cs="Times New Roman"/>
          <w:szCs w:val="24"/>
        </w:rPr>
        <w:fldChar w:fldCharType="separate"/>
      </w:r>
      <w:r>
        <w:rPr>
          <w:rFonts w:cs="Times New Roman"/>
          <w:noProof/>
          <w:szCs w:val="24"/>
        </w:rPr>
        <w:t>(</w:t>
      </w:r>
      <w:hyperlink w:anchor="_ENREF_30" w:tooltip="Franklin, 2010 #67" w:history="1">
        <w:r w:rsidR="00B15FB2">
          <w:rPr>
            <w:rFonts w:cs="Times New Roman"/>
            <w:noProof/>
            <w:szCs w:val="24"/>
          </w:rPr>
          <w:t>Franklin, et al. 2010</w:t>
        </w:r>
      </w:hyperlink>
      <w:r>
        <w:rPr>
          <w:rFonts w:cs="Times New Roman"/>
          <w:noProof/>
          <w:szCs w:val="24"/>
        </w:rPr>
        <w:t xml:space="preserve">; </w:t>
      </w:r>
      <w:hyperlink w:anchor="_ENREF_59" w:tooltip="Magne, 1989 #102" w:history="1">
        <w:r w:rsidR="00B15FB2">
          <w:rPr>
            <w:rFonts w:cs="Times New Roman"/>
            <w:noProof/>
            <w:szCs w:val="24"/>
          </w:rPr>
          <w:t>Magne 1989</w:t>
        </w:r>
      </w:hyperlink>
      <w:r>
        <w:rPr>
          <w:rFonts w:cs="Times New Roman"/>
          <w:noProof/>
          <w:szCs w:val="24"/>
        </w:rPr>
        <w:t>)</w:t>
      </w:r>
      <w:r w:rsidRPr="00C123C1">
        <w:rPr>
          <w:rFonts w:cs="Times New Roman"/>
          <w:szCs w:val="24"/>
        </w:rPr>
        <w:fldChar w:fldCharType="end"/>
      </w:r>
      <w:r w:rsidRPr="00C123C1">
        <w:rPr>
          <w:rFonts w:cs="Times New Roman"/>
          <w:szCs w:val="24"/>
        </w:rPr>
        <w:t xml:space="preserve">. This long term layer would have accumulated either during long stays, or repeated use over a long period of time or more likely, some combination of both. </w:t>
      </w:r>
    </w:p>
    <w:p w:rsidR="00613960" w:rsidRPr="00C123C1" w:rsidRDefault="00613960" w:rsidP="00613960">
      <w:pPr>
        <w:spacing w:after="0" w:line="480" w:lineRule="auto"/>
        <w:ind w:firstLine="720"/>
        <w:rPr>
          <w:rFonts w:cs="Times New Roman"/>
          <w:szCs w:val="24"/>
        </w:rPr>
      </w:pPr>
      <w:r w:rsidRPr="00C123C1">
        <w:rPr>
          <w:rFonts w:cs="Times New Roman"/>
          <w:szCs w:val="24"/>
        </w:rPr>
        <w:t xml:space="preserve">Botanical remains represented at the site include burned wood (oak and pine) and many carbonized nut remains (hickory, walnut and acorn)  and indicate fall occupation </w:t>
      </w:r>
      <w:r w:rsidRPr="00C123C1">
        <w:rPr>
          <w:rFonts w:cs="Times New Roman"/>
          <w:szCs w:val="24"/>
        </w:rPr>
        <w:fldChar w:fldCharType="begin"/>
      </w:r>
      <w:r w:rsidRPr="00C123C1">
        <w:rPr>
          <w:rFonts w:cs="Times New Roman"/>
          <w:szCs w:val="24"/>
        </w:rPr>
        <w:instrText xml:space="preserve"> ADDIN EN.CITE &lt;EndNote&gt;&lt;Cite&gt;&lt;Author&gt;Franklin&lt;/Author&gt;&lt;Year&gt;2010&lt;/Year&gt;&lt;RecNum&gt;67&lt;/RecNum&gt;&lt;Pages&gt;472&lt;/Pages&gt;&lt;DisplayText&gt;(Franklin, et al. 2010:472)&lt;/DisplayText&gt;&lt;record&gt;&lt;rec-number&gt;67&lt;/rec-number&gt;&lt;foreign-keys&gt;&lt;key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Pr="00C123C1">
        <w:rPr>
          <w:rFonts w:cs="Times New Roman"/>
          <w:szCs w:val="24"/>
        </w:rPr>
        <w:fldChar w:fldCharType="separate"/>
      </w:r>
      <w:r w:rsidRPr="00C123C1">
        <w:rPr>
          <w:rFonts w:cs="Times New Roman"/>
          <w:noProof/>
          <w:szCs w:val="24"/>
        </w:rPr>
        <w:t>(</w:t>
      </w:r>
      <w:hyperlink w:anchor="_ENREF_30" w:tooltip="Franklin, 2010 #67" w:history="1">
        <w:r w:rsidR="00B15FB2" w:rsidRPr="00C123C1">
          <w:rPr>
            <w:rFonts w:cs="Times New Roman"/>
            <w:noProof/>
            <w:szCs w:val="24"/>
          </w:rPr>
          <w:t>Franklin, et al. 2010:472</w:t>
        </w:r>
      </w:hyperlink>
      <w:r w:rsidRPr="00C123C1">
        <w:rPr>
          <w:rFonts w:cs="Times New Roman"/>
          <w:noProof/>
          <w:szCs w:val="24"/>
        </w:rPr>
        <w:t>)</w:t>
      </w:r>
      <w:r w:rsidRPr="00C123C1">
        <w:rPr>
          <w:rFonts w:cs="Times New Roman"/>
          <w:szCs w:val="24"/>
        </w:rPr>
        <w:fldChar w:fldCharType="end"/>
      </w:r>
      <w:r w:rsidRPr="00C123C1">
        <w:rPr>
          <w:rFonts w:cs="Times New Roman"/>
          <w:szCs w:val="24"/>
        </w:rPr>
        <w:t xml:space="preserve">. </w:t>
      </w:r>
      <w:r>
        <w:rPr>
          <w:rFonts w:cs="Times New Roman"/>
          <w:szCs w:val="24"/>
        </w:rPr>
        <w:t xml:space="preserve">So far, no early cultigens have been identified. </w:t>
      </w:r>
      <w:r w:rsidRPr="00C123C1">
        <w:rPr>
          <w:rFonts w:cs="Times New Roman"/>
          <w:szCs w:val="24"/>
        </w:rPr>
        <w:t xml:space="preserve">A portion of the faunal assemblage was analyzed by Dr. Renee Walker at S.U.N.Y. Oneonta. She analyzed 737 faunal remains from </w:t>
      </w:r>
      <w:r>
        <w:rPr>
          <w:rFonts w:cs="Times New Roman"/>
          <w:szCs w:val="24"/>
        </w:rPr>
        <w:t>from a sample of</w:t>
      </w:r>
      <w:r w:rsidRPr="00C123C1">
        <w:rPr>
          <w:rFonts w:cs="Times New Roman"/>
          <w:szCs w:val="24"/>
        </w:rPr>
        <w:t xml:space="preserve"> Late</w:t>
      </w:r>
      <w:r>
        <w:rPr>
          <w:rFonts w:cs="Times New Roman"/>
          <w:szCs w:val="24"/>
        </w:rPr>
        <w:t xml:space="preserve"> Archaic levels from Test Units 2, 3,4, 5,7, 9,10, 11, 12, 13, 16 and 17   </w:t>
      </w:r>
      <w:r w:rsidRPr="00C123C1">
        <w:rPr>
          <w:rFonts w:cs="Times New Roman"/>
          <w:szCs w:val="24"/>
        </w:rPr>
        <w:fldChar w:fldCharType="begin"/>
      </w:r>
      <w:r>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Pr="00C123C1">
        <w:rPr>
          <w:rFonts w:cs="Times New Roman"/>
          <w:szCs w:val="24"/>
        </w:rPr>
        <w:fldChar w:fldCharType="separate"/>
      </w:r>
      <w:r>
        <w:rPr>
          <w:rFonts w:cs="Times New Roman"/>
          <w:noProof/>
          <w:szCs w:val="24"/>
        </w:rPr>
        <w:t>(</w:t>
      </w:r>
      <w:hyperlink w:anchor="_ENREF_30" w:tooltip="Franklin, 2010 #67" w:history="1">
        <w:r w:rsidR="00B15FB2">
          <w:rPr>
            <w:rFonts w:cs="Times New Roman"/>
            <w:noProof/>
            <w:szCs w:val="24"/>
          </w:rPr>
          <w:t>Franklin, et al. 2010</w:t>
        </w:r>
      </w:hyperlink>
      <w:r>
        <w:rPr>
          <w:rFonts w:cs="Times New Roman"/>
          <w:noProof/>
          <w:szCs w:val="24"/>
        </w:rPr>
        <w:t>)</w:t>
      </w:r>
      <w:r w:rsidRPr="00C123C1">
        <w:rPr>
          <w:rFonts w:cs="Times New Roman"/>
          <w:szCs w:val="24"/>
        </w:rPr>
        <w:fldChar w:fldCharType="end"/>
      </w:r>
      <w:r w:rsidRPr="00C123C1">
        <w:rPr>
          <w:rFonts w:cs="Times New Roman"/>
          <w:szCs w:val="24"/>
        </w:rPr>
        <w:t xml:space="preserve">. </w:t>
      </w:r>
      <w:r>
        <w:rPr>
          <w:rFonts w:cs="Times New Roman"/>
          <w:szCs w:val="24"/>
        </w:rPr>
        <w:t>A bone awl from disturbed context was also included in this analysis.</w:t>
      </w:r>
      <w:r w:rsidRPr="00C123C1">
        <w:rPr>
          <w:rFonts w:cs="Times New Roman"/>
          <w:szCs w:val="24"/>
        </w:rPr>
        <w:t xml:space="preserve">The results of </w:t>
      </w:r>
      <w:r>
        <w:rPr>
          <w:rFonts w:cs="Times New Roman"/>
          <w:szCs w:val="24"/>
        </w:rPr>
        <w:t>Walker’s analysis are incorporated in the results presented in this thesis</w:t>
      </w:r>
      <w:r w:rsidRPr="00C123C1">
        <w:rPr>
          <w:rFonts w:cs="Times New Roman"/>
          <w:szCs w:val="24"/>
        </w:rPr>
        <w:t xml:space="preserve">. </w:t>
      </w:r>
      <w:r>
        <w:rPr>
          <w:rFonts w:cs="Times New Roman"/>
          <w:szCs w:val="24"/>
        </w:rPr>
        <w:t xml:space="preserve">Briefly, the results from Walker’s analysis suggest on site butchering of </w:t>
      </w:r>
      <w:r w:rsidRPr="00C123C1">
        <w:rPr>
          <w:rFonts w:cs="Times New Roman"/>
          <w:szCs w:val="24"/>
        </w:rPr>
        <w:t>white-tailed deer remains</w:t>
      </w:r>
      <w:r>
        <w:rPr>
          <w:rFonts w:cs="Times New Roman"/>
          <w:szCs w:val="24"/>
        </w:rPr>
        <w:t xml:space="preserve"> </w:t>
      </w:r>
      <w:r w:rsidRPr="00C123C1">
        <w:rPr>
          <w:rFonts w:cs="Times New Roman"/>
          <w:szCs w:val="24"/>
        </w:rPr>
        <w:t>with transport to another</w:t>
      </w:r>
      <w:r>
        <w:rPr>
          <w:rFonts w:cs="Times New Roman"/>
          <w:szCs w:val="24"/>
        </w:rPr>
        <w:t xml:space="preserve"> location, as many of the bones</w:t>
      </w:r>
      <w:r w:rsidRPr="00C123C1">
        <w:rPr>
          <w:rFonts w:cs="Times New Roman"/>
          <w:szCs w:val="24"/>
        </w:rPr>
        <w:t xml:space="preserve"> from this sample </w:t>
      </w:r>
      <w:r>
        <w:rPr>
          <w:rFonts w:cs="Times New Roman"/>
          <w:szCs w:val="24"/>
        </w:rPr>
        <w:t xml:space="preserve">are </w:t>
      </w:r>
      <w:r w:rsidRPr="00C123C1">
        <w:rPr>
          <w:rFonts w:cs="Times New Roman"/>
          <w:szCs w:val="24"/>
        </w:rPr>
        <w:t xml:space="preserve">head and lower leg parts. This could be interpreted as a hunting camp. It is hypothesized that with a larger sample of deer remains, this distribution may change. However, it </w:t>
      </w:r>
      <w:r>
        <w:rPr>
          <w:rFonts w:cs="Times New Roman"/>
          <w:szCs w:val="24"/>
        </w:rPr>
        <w:t xml:space="preserve">could be that white-tailed deer lower legs </w:t>
      </w:r>
      <w:r w:rsidRPr="00C123C1">
        <w:rPr>
          <w:rFonts w:cs="Times New Roman"/>
          <w:szCs w:val="24"/>
        </w:rPr>
        <w:t xml:space="preserve">were being exploited for particular purposes, such as retrieving senu, marrow or blanks for bone awls. </w:t>
      </w:r>
      <w:r>
        <w:rPr>
          <w:rFonts w:cs="Times New Roman"/>
          <w:szCs w:val="24"/>
        </w:rPr>
        <w:t xml:space="preserve">Preservation could also be a factor. </w:t>
      </w:r>
      <w:r w:rsidRPr="00C123C1">
        <w:rPr>
          <w:rFonts w:cs="Times New Roman"/>
          <w:szCs w:val="24"/>
        </w:rPr>
        <w:t xml:space="preserve">These hypotheses will be further explored in Chapter 6. </w:t>
      </w:r>
    </w:p>
    <w:p w:rsidR="00613960" w:rsidRPr="00C123C1" w:rsidRDefault="00613960" w:rsidP="00613960">
      <w:pPr>
        <w:spacing w:after="0" w:line="480" w:lineRule="auto"/>
        <w:ind w:firstLine="720"/>
        <w:rPr>
          <w:rFonts w:cs="Times New Roman"/>
          <w:szCs w:val="24"/>
        </w:rPr>
      </w:pPr>
      <w:r w:rsidRPr="00C123C1">
        <w:rPr>
          <w:rFonts w:cs="Times New Roman"/>
          <w:szCs w:val="24"/>
        </w:rPr>
        <w:lastRenderedPageBreak/>
        <w:t xml:space="preserve">In sum, the 2008 excavations at Sachsen Cave Shelter revealed a large Late Archaic midden, numerous Archaic and Woodland artifacts, a dense faunal and botanical assemblage, several </w:t>
      </w:r>
      <w:r w:rsidRPr="00C123C1">
        <w:rPr>
          <w:rFonts w:cs="Times New Roman"/>
          <w:i/>
          <w:szCs w:val="24"/>
        </w:rPr>
        <w:t xml:space="preserve">in situ </w:t>
      </w:r>
      <w:r w:rsidRPr="00C123C1">
        <w:rPr>
          <w:rFonts w:cs="Times New Roman"/>
          <w:szCs w:val="24"/>
        </w:rPr>
        <w:t xml:space="preserve">nutting stones and </w:t>
      </w:r>
      <w:r>
        <w:rPr>
          <w:rFonts w:cs="Times New Roman"/>
          <w:szCs w:val="24"/>
        </w:rPr>
        <w:t>several</w:t>
      </w:r>
      <w:r w:rsidRPr="00C123C1">
        <w:rPr>
          <w:rFonts w:cs="Times New Roman"/>
          <w:szCs w:val="24"/>
        </w:rPr>
        <w:t xml:space="preserve"> steatite stone bowl fragment</w:t>
      </w:r>
      <w:r>
        <w:rPr>
          <w:rFonts w:cs="Times New Roman"/>
          <w:szCs w:val="24"/>
        </w:rPr>
        <w:t>s</w:t>
      </w:r>
      <w:r w:rsidRPr="00C123C1">
        <w:rPr>
          <w:rFonts w:cs="Times New Roman"/>
          <w:szCs w:val="24"/>
        </w:rPr>
        <w:t xml:space="preserve"> </w:t>
      </w:r>
      <w:r w:rsidRPr="00C123C1">
        <w:rPr>
          <w:rFonts w:cs="Times New Roman"/>
          <w:szCs w:val="24"/>
        </w:rPr>
        <w:fldChar w:fldCharType="begin"/>
      </w:r>
      <w:r w:rsidRPr="00C123C1">
        <w:rPr>
          <w:rFonts w:cs="Times New Roman"/>
          <w:szCs w:val="24"/>
        </w:rP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rsidRPr="00C123C1">
        <w:rPr>
          <w:rFonts w:cs="Times New Roman"/>
          <w:szCs w:val="24"/>
        </w:rPr>
        <w:fldChar w:fldCharType="separate"/>
      </w:r>
      <w:r w:rsidRPr="00C123C1">
        <w:rPr>
          <w:rFonts w:cs="Times New Roman"/>
          <w:noProof/>
          <w:szCs w:val="24"/>
        </w:rPr>
        <w:t>(</w:t>
      </w:r>
      <w:hyperlink w:anchor="_ENREF_30" w:tooltip="Franklin, 2010 #67" w:history="1">
        <w:r w:rsidR="00B15FB2" w:rsidRPr="00C123C1">
          <w:rPr>
            <w:rFonts w:cs="Times New Roman"/>
            <w:noProof/>
            <w:szCs w:val="24"/>
          </w:rPr>
          <w:t>Franklin, et al. 2010</w:t>
        </w:r>
      </w:hyperlink>
      <w:r w:rsidRPr="00C123C1">
        <w:rPr>
          <w:rFonts w:cs="Times New Roman"/>
          <w:noProof/>
          <w:szCs w:val="24"/>
        </w:rPr>
        <w:t>)</w:t>
      </w:r>
      <w:r w:rsidRPr="00C123C1">
        <w:rPr>
          <w:rFonts w:cs="Times New Roman"/>
          <w:szCs w:val="24"/>
        </w:rPr>
        <w:fldChar w:fldCharType="end"/>
      </w:r>
      <w:r w:rsidRPr="00C123C1">
        <w:rPr>
          <w:rFonts w:cs="Times New Roman"/>
          <w:szCs w:val="24"/>
        </w:rPr>
        <w:t xml:space="preserve">. The site appears to have been used as residential base by Late Archaic peoples of the UCP. The function of the site during the Woodland Period has not yet been interpreted, largely due to poor delineations of where this layer starts as it has been truncated in many places by looting activities. A small artifact assemblage of Woodland artifacts indicates the shelter was not used as intensively during the Woodland as the Late Archaic, but this could be the result of looting. No radio-carbon dates have been attained for the Woodland layer thus far. </w:t>
      </w:r>
    </w:p>
    <w:p w:rsidR="00613960" w:rsidRPr="00C123C1" w:rsidRDefault="00613960" w:rsidP="00613960">
      <w:pPr>
        <w:pStyle w:val="Heading2"/>
      </w:pPr>
      <w:bookmarkStart w:id="43" w:name="_Toc343820348"/>
      <w:bookmarkStart w:id="44" w:name="_Toc349507285"/>
      <w:r w:rsidRPr="00C123C1">
        <w:t>2010 Excavations</w:t>
      </w:r>
      <w:bookmarkEnd w:id="43"/>
      <w:bookmarkEnd w:id="44"/>
    </w:p>
    <w:p w:rsidR="00613960" w:rsidRPr="00C123C1" w:rsidRDefault="00613960" w:rsidP="00613960">
      <w:pPr>
        <w:spacing w:after="0" w:line="480" w:lineRule="auto"/>
        <w:ind w:firstLine="720"/>
        <w:rPr>
          <w:rFonts w:cs="Times New Roman"/>
          <w:szCs w:val="24"/>
        </w:rPr>
      </w:pPr>
      <w:r w:rsidRPr="00C123C1">
        <w:rPr>
          <w:rFonts w:cs="Times New Roman"/>
          <w:szCs w:val="24"/>
        </w:rPr>
        <w:t xml:space="preserve">A second field school was conducted at Sachsen in June of 2010. The focus of this field season was to explore the Late Archaic midden in </w:t>
      </w:r>
      <w:r>
        <w:rPr>
          <w:rFonts w:cs="Times New Roman"/>
          <w:szCs w:val="24"/>
        </w:rPr>
        <w:t xml:space="preserve">the </w:t>
      </w:r>
      <w:r w:rsidRPr="00C123C1">
        <w:rPr>
          <w:rFonts w:cs="Times New Roman"/>
          <w:szCs w:val="24"/>
        </w:rPr>
        <w:t xml:space="preserve">interior portions of the shelter left unexcavated during the previous field season. Eight additional test units (20-27) were excavated during this field season. </w:t>
      </w:r>
      <w:r>
        <w:rPr>
          <w:rFonts w:cs="Times New Roman"/>
          <w:szCs w:val="24"/>
        </w:rPr>
        <w:t>Two</w:t>
      </w:r>
      <w:r w:rsidRPr="00C123C1">
        <w:rPr>
          <w:rFonts w:cs="Times New Roman"/>
          <w:szCs w:val="24"/>
        </w:rPr>
        <w:t xml:space="preserve"> test units</w:t>
      </w:r>
      <w:r>
        <w:rPr>
          <w:rFonts w:cs="Times New Roman"/>
          <w:szCs w:val="24"/>
        </w:rPr>
        <w:t xml:space="preserve"> that</w:t>
      </w:r>
      <w:r w:rsidRPr="00C123C1">
        <w:rPr>
          <w:rFonts w:cs="Times New Roman"/>
          <w:szCs w:val="24"/>
        </w:rPr>
        <w:t xml:space="preserve"> were left uncompleted previously (TU 17</w:t>
      </w:r>
      <w:r>
        <w:rPr>
          <w:rFonts w:cs="Times New Roman"/>
          <w:szCs w:val="24"/>
        </w:rPr>
        <w:t xml:space="preserve"> and 18</w:t>
      </w:r>
      <w:r w:rsidRPr="00C123C1">
        <w:rPr>
          <w:rFonts w:cs="Times New Roman"/>
          <w:szCs w:val="24"/>
        </w:rPr>
        <w:t>) were also finished this year.</w:t>
      </w:r>
      <w:r>
        <w:rPr>
          <w:rFonts w:cs="Times New Roman"/>
          <w:szCs w:val="24"/>
        </w:rPr>
        <w:t xml:space="preserve"> An estimated 5,145 liters of sediment were excavated from the shelter during this field season.</w:t>
      </w:r>
      <w:r w:rsidRPr="00C123C1">
        <w:rPr>
          <w:rFonts w:cs="Times New Roman"/>
          <w:szCs w:val="24"/>
        </w:rPr>
        <w:t xml:space="preserve"> Given that we knew where the Archaic midden began, and in some cases the midden was clearly defined in exposed profile walls, our excavation strategies remained similar to the year before, however, no 1/8” water screening</w:t>
      </w:r>
      <w:r>
        <w:rPr>
          <w:rFonts w:cs="Times New Roman"/>
          <w:szCs w:val="24"/>
        </w:rPr>
        <w:t xml:space="preserve"> was conducted on site. F</w:t>
      </w:r>
      <w:r w:rsidRPr="00C123C1">
        <w:rPr>
          <w:rFonts w:cs="Times New Roman"/>
          <w:szCs w:val="24"/>
        </w:rPr>
        <w:t xml:space="preserve">lotation samples were increased to 10L samples that were collected from the SW corner of each test unit once inside the midden deposit. The lithics, ceramics and botanical remains recovered during this field season have yet to be analyzed and only a portion of the faunal remains were analyzed here. While this excavation season was targeted toward furthering the exploration of the Late Archaic midden, the lack of analyses conducted on material recovered during this </w:t>
      </w:r>
      <w:r w:rsidRPr="00C123C1">
        <w:rPr>
          <w:rFonts w:cs="Times New Roman"/>
          <w:szCs w:val="24"/>
        </w:rPr>
        <w:lastRenderedPageBreak/>
        <w:t xml:space="preserve">season offer little more to the previous interpretations of the site. More nutting stones were, however, recovered during this field season, indicating </w:t>
      </w:r>
      <w:r>
        <w:rPr>
          <w:rFonts w:cs="Times New Roman"/>
          <w:szCs w:val="24"/>
        </w:rPr>
        <w:t xml:space="preserve">that nut processing may have been a more intensive enterprise at the shelter than originally thought. </w:t>
      </w:r>
    </w:p>
    <w:p w:rsidR="00613960" w:rsidRPr="00C123C1" w:rsidRDefault="00613960" w:rsidP="00613960">
      <w:pPr>
        <w:pStyle w:val="Heading2"/>
      </w:pPr>
      <w:bookmarkStart w:id="45" w:name="_Toc343820349"/>
      <w:bookmarkStart w:id="46" w:name="_Toc349507286"/>
      <w:r w:rsidRPr="00C123C1">
        <w:t>2011 Excavations</w:t>
      </w:r>
      <w:bookmarkEnd w:id="45"/>
      <w:bookmarkEnd w:id="46"/>
    </w:p>
    <w:p w:rsidR="00613960" w:rsidRPr="00C123C1" w:rsidRDefault="00613960" w:rsidP="00613960">
      <w:pPr>
        <w:spacing w:after="0" w:line="480" w:lineRule="auto"/>
        <w:ind w:firstLine="720"/>
        <w:rPr>
          <w:rFonts w:cs="Times New Roman"/>
          <w:szCs w:val="24"/>
        </w:rPr>
      </w:pPr>
      <w:r w:rsidRPr="00C123C1">
        <w:rPr>
          <w:rFonts w:cs="Times New Roman"/>
          <w:szCs w:val="24"/>
        </w:rPr>
        <w:t>The focus of the 2011 excavations were driven more toward specific research questions surrounding this thesis. Only four test units were excavated (28-31). Test Units</w:t>
      </w:r>
      <w:r>
        <w:rPr>
          <w:rFonts w:cs="Times New Roman"/>
          <w:szCs w:val="24"/>
        </w:rPr>
        <w:t xml:space="preserve"> 28 and 29 were initially designated</w:t>
      </w:r>
      <w:r w:rsidRPr="00C123C1">
        <w:rPr>
          <w:rFonts w:cs="Times New Roman"/>
          <w:szCs w:val="24"/>
        </w:rPr>
        <w:t xml:space="preserve"> as control</w:t>
      </w:r>
      <w:r>
        <w:rPr>
          <w:rFonts w:cs="Times New Roman"/>
          <w:szCs w:val="24"/>
        </w:rPr>
        <w:t xml:space="preserve"> units</w:t>
      </w:r>
      <w:r w:rsidRPr="00C123C1">
        <w:rPr>
          <w:rFonts w:cs="Times New Roman"/>
          <w:szCs w:val="24"/>
        </w:rPr>
        <w:t xml:space="preserve"> for faunal recovery and faunal preservation, while Test Unit 30 was excavated </w:t>
      </w:r>
      <w:r>
        <w:rPr>
          <w:rFonts w:cs="Times New Roman"/>
          <w:szCs w:val="24"/>
        </w:rPr>
        <w:t>in an uninvestigated portion of the site</w:t>
      </w:r>
      <w:r w:rsidRPr="00C123C1">
        <w:rPr>
          <w:rFonts w:cs="Times New Roman"/>
          <w:szCs w:val="24"/>
        </w:rPr>
        <w:t xml:space="preserve"> to explore the extent of midden deposits </w:t>
      </w:r>
      <w:r>
        <w:rPr>
          <w:rFonts w:cs="Times New Roman"/>
          <w:szCs w:val="24"/>
        </w:rPr>
        <w:t>(see Figure 4.4)</w:t>
      </w:r>
      <w:r w:rsidRPr="00C123C1">
        <w:rPr>
          <w:rFonts w:cs="Times New Roman"/>
          <w:szCs w:val="24"/>
        </w:rPr>
        <w:t>. All sediments from Test Unit 28 and 29 were water-screened through nested 1/4” and 1/8”</w:t>
      </w:r>
      <w:r>
        <w:rPr>
          <w:rFonts w:cs="Times New Roman"/>
          <w:szCs w:val="24"/>
        </w:rPr>
        <w:t xml:space="preserve"> mesh. Ten liter</w:t>
      </w:r>
      <w:r w:rsidRPr="00C123C1">
        <w:rPr>
          <w:rFonts w:cs="Times New Roman"/>
          <w:szCs w:val="24"/>
        </w:rPr>
        <w:t xml:space="preserve"> flotation samples were also taken from the Southwest corner of each 5cm arbitrary level. Furthermore, </w:t>
      </w:r>
      <w:r>
        <w:rPr>
          <w:rFonts w:cs="Times New Roman"/>
          <w:szCs w:val="24"/>
        </w:rPr>
        <w:t>sediment</w:t>
      </w:r>
      <w:r w:rsidRPr="00C123C1">
        <w:rPr>
          <w:rFonts w:cs="Times New Roman"/>
          <w:szCs w:val="24"/>
        </w:rPr>
        <w:t xml:space="preserve"> samples were taken in two places from each level of these two test units.  The </w:t>
      </w:r>
      <w:r>
        <w:rPr>
          <w:rFonts w:cs="Times New Roman"/>
          <w:szCs w:val="24"/>
        </w:rPr>
        <w:t>sediment</w:t>
      </w:r>
      <w:r w:rsidRPr="00C123C1">
        <w:rPr>
          <w:rFonts w:cs="Times New Roman"/>
          <w:szCs w:val="24"/>
        </w:rPr>
        <w:t xml:space="preserve"> samples were initially collected for pH testing, however, several other analyses were conducted as well and are discussed in Chapter</w:t>
      </w:r>
      <w:r>
        <w:rPr>
          <w:rFonts w:cs="Times New Roman"/>
          <w:szCs w:val="24"/>
        </w:rPr>
        <w:t>s 5 and</w:t>
      </w:r>
      <w:r w:rsidRPr="00C123C1">
        <w:rPr>
          <w:rFonts w:cs="Times New Roman"/>
          <w:szCs w:val="24"/>
        </w:rPr>
        <w:t xml:space="preserve"> 6 in the section</w:t>
      </w:r>
      <w:r>
        <w:rPr>
          <w:rFonts w:cs="Times New Roman"/>
          <w:szCs w:val="24"/>
        </w:rPr>
        <w:t>s</w:t>
      </w:r>
      <w:r w:rsidRPr="00C123C1">
        <w:rPr>
          <w:rFonts w:cs="Times New Roman"/>
          <w:szCs w:val="24"/>
        </w:rPr>
        <w:t xml:space="preserve"> concerning bone preservation</w:t>
      </w:r>
      <w:r>
        <w:rPr>
          <w:rFonts w:cs="Times New Roman"/>
          <w:szCs w:val="24"/>
        </w:rPr>
        <w:t xml:space="preserve"> and site occupation</w:t>
      </w:r>
      <w:r w:rsidRPr="00C123C1">
        <w:rPr>
          <w:rFonts w:cs="Times New Roman"/>
          <w:szCs w:val="24"/>
        </w:rPr>
        <w:t xml:space="preserve">.  </w:t>
      </w:r>
    </w:p>
    <w:p w:rsidR="00613960" w:rsidRPr="00C123C1" w:rsidRDefault="00613960" w:rsidP="00613960">
      <w:pPr>
        <w:spacing w:after="0" w:line="480" w:lineRule="auto"/>
        <w:ind w:firstLine="720"/>
        <w:rPr>
          <w:rFonts w:cs="Times New Roman"/>
          <w:szCs w:val="24"/>
        </w:rPr>
      </w:pPr>
      <w:r w:rsidRPr="00C123C1">
        <w:rPr>
          <w:rFonts w:cs="Times New Roman"/>
          <w:szCs w:val="24"/>
        </w:rPr>
        <w:t>Unfortunately, Test Unit 28 and 29 were both heavily disturbed. When this became evident, recovery strategies were switched in Test Unit 30</w:t>
      </w:r>
      <w:r>
        <w:rPr>
          <w:rFonts w:cs="Times New Roman"/>
          <w:szCs w:val="24"/>
        </w:rPr>
        <w:t xml:space="preserve"> (i.e., sediment samples, 1/8” screening and flotation).</w:t>
      </w:r>
      <w:r w:rsidRPr="00C123C1">
        <w:rPr>
          <w:rFonts w:cs="Times New Roman"/>
          <w:szCs w:val="24"/>
        </w:rPr>
        <w:t xml:space="preserve"> </w:t>
      </w:r>
      <w:r>
        <w:rPr>
          <w:rFonts w:cs="Times New Roman"/>
          <w:szCs w:val="24"/>
        </w:rPr>
        <w:t>Exposed profile walls o</w:t>
      </w:r>
      <w:r w:rsidRPr="00C123C1">
        <w:rPr>
          <w:rFonts w:cs="Times New Roman"/>
          <w:szCs w:val="24"/>
        </w:rPr>
        <w:t>f previous excavations were then revisited,</w:t>
      </w:r>
      <w:r>
        <w:rPr>
          <w:rFonts w:cs="Times New Roman"/>
          <w:szCs w:val="24"/>
        </w:rPr>
        <w:t xml:space="preserve"> as we tried to </w:t>
      </w:r>
      <w:r w:rsidRPr="00C123C1">
        <w:rPr>
          <w:rFonts w:cs="Times New Roman"/>
          <w:szCs w:val="24"/>
        </w:rPr>
        <w:t>sort out where the most undisturbed sections of the shelter may be</w:t>
      </w:r>
      <w:r>
        <w:rPr>
          <w:rFonts w:cs="Times New Roman"/>
          <w:szCs w:val="24"/>
        </w:rPr>
        <w:t xml:space="preserve"> located</w:t>
      </w:r>
      <w:r w:rsidRPr="00C123C1">
        <w:rPr>
          <w:rFonts w:cs="Times New Roman"/>
          <w:szCs w:val="24"/>
        </w:rPr>
        <w:t>. Given that Sachsen is such a deep rock shelter, light is limited near the back of the shelter and all excavations in the interior portion of the shelter had to be illuminated by standing lights and headlamps. It seems relic hunters often lacked these supplies when exploring the site</w:t>
      </w:r>
      <w:r>
        <w:rPr>
          <w:rFonts w:cs="Times New Roman"/>
          <w:szCs w:val="24"/>
        </w:rPr>
        <w:t xml:space="preserve"> themselves</w:t>
      </w:r>
      <w:r w:rsidRPr="00C123C1">
        <w:rPr>
          <w:rFonts w:cs="Times New Roman"/>
          <w:szCs w:val="24"/>
        </w:rPr>
        <w:t>, as the dark portions of the rock shelter were relatively unaffected by looting activities. After a long review of options, a</w:t>
      </w:r>
      <w:r>
        <w:rPr>
          <w:rFonts w:cs="Times New Roman"/>
          <w:szCs w:val="24"/>
        </w:rPr>
        <w:t>n</w:t>
      </w:r>
      <w:r w:rsidRPr="00C123C1">
        <w:rPr>
          <w:rFonts w:cs="Times New Roman"/>
          <w:szCs w:val="24"/>
        </w:rPr>
        <w:t xml:space="preserve"> 80cm x 1m square was outlined on the border of a long east profile wall from </w:t>
      </w:r>
      <w:r>
        <w:rPr>
          <w:rFonts w:cs="Times New Roman"/>
          <w:szCs w:val="24"/>
        </w:rPr>
        <w:t xml:space="preserve">the </w:t>
      </w:r>
      <w:r w:rsidRPr="00C123C1">
        <w:rPr>
          <w:rFonts w:cs="Times New Roman"/>
          <w:szCs w:val="24"/>
        </w:rPr>
        <w:t xml:space="preserve">2008 </w:t>
      </w:r>
      <w:r w:rsidRPr="00C123C1">
        <w:rPr>
          <w:rFonts w:cs="Times New Roman"/>
          <w:szCs w:val="24"/>
        </w:rPr>
        <w:lastRenderedPageBreak/>
        <w:t xml:space="preserve">excavations. </w:t>
      </w:r>
      <w:r>
        <w:rPr>
          <w:rFonts w:cs="Times New Roman"/>
          <w:szCs w:val="24"/>
        </w:rPr>
        <w:t>T</w:t>
      </w:r>
      <w:r w:rsidRPr="00C123C1">
        <w:rPr>
          <w:rFonts w:cs="Times New Roman"/>
          <w:szCs w:val="24"/>
        </w:rPr>
        <w:t>he undisturbed Woodland level atop the dense Late Archaic midden</w:t>
      </w:r>
      <w:r>
        <w:rPr>
          <w:rFonts w:cs="Times New Roman"/>
          <w:szCs w:val="24"/>
        </w:rPr>
        <w:t xml:space="preserve"> was clearly visible in this profile wall. About 20 cm of </w:t>
      </w:r>
      <w:r w:rsidRPr="00C123C1">
        <w:rPr>
          <w:rFonts w:cs="Times New Roman"/>
          <w:szCs w:val="24"/>
        </w:rPr>
        <w:t>th</w:t>
      </w:r>
      <w:r>
        <w:rPr>
          <w:rFonts w:cs="Times New Roman"/>
          <w:szCs w:val="24"/>
        </w:rPr>
        <w:t>e</w:t>
      </w:r>
      <w:r w:rsidRPr="00C123C1">
        <w:rPr>
          <w:rFonts w:cs="Times New Roman"/>
          <w:szCs w:val="24"/>
        </w:rPr>
        <w:t xml:space="preserve"> wall had collapsed or been damaged since initial excavations. Water runs through the back portion of the cave (a topic that will be revisited later) and dogs and coyotes frequent the rock shelter currently, all adding to the poor wall preservation with time. The walls were cut back and screened separately. Each stratigraphic layer was excavated in 5cm levels until it was necessary to dig in natural levels</w:t>
      </w:r>
      <w:r>
        <w:rPr>
          <w:rFonts w:cs="Times New Roman"/>
          <w:szCs w:val="24"/>
        </w:rPr>
        <w:t xml:space="preserve"> when changes in sediment color were encountered</w:t>
      </w:r>
      <w:r w:rsidRPr="00C123C1">
        <w:rPr>
          <w:rFonts w:cs="Times New Roman"/>
          <w:szCs w:val="24"/>
        </w:rPr>
        <w:t>.</w:t>
      </w:r>
      <w:r>
        <w:rPr>
          <w:rFonts w:cs="Times New Roman"/>
          <w:szCs w:val="24"/>
        </w:rPr>
        <w:t xml:space="preserve"> Excavated sediment from each level was screened through nested 1/4” and 1/8” mesh, and 10L flotation samples and 2 sediment samples for pH testing were taken each level. </w:t>
      </w:r>
      <w:r w:rsidRPr="00C123C1">
        <w:rPr>
          <w:rFonts w:cs="Times New Roman"/>
          <w:szCs w:val="24"/>
        </w:rPr>
        <w:t>Test Unit 31</w:t>
      </w:r>
      <w:r>
        <w:rPr>
          <w:rFonts w:cs="Times New Roman"/>
          <w:szCs w:val="24"/>
        </w:rPr>
        <w:t>thus</w:t>
      </w:r>
      <w:r w:rsidRPr="00C123C1">
        <w:rPr>
          <w:rFonts w:cs="Times New Roman"/>
          <w:szCs w:val="24"/>
        </w:rPr>
        <w:t xml:space="preserve"> represents the only test unit</w:t>
      </w:r>
      <w:r>
        <w:rPr>
          <w:rFonts w:cs="Times New Roman"/>
          <w:szCs w:val="24"/>
        </w:rPr>
        <w:t xml:space="preserve"> with an intact Woodland and Archaic level</w:t>
      </w:r>
      <w:r w:rsidRPr="00C123C1">
        <w:rPr>
          <w:rFonts w:cs="Times New Roman"/>
          <w:szCs w:val="24"/>
        </w:rPr>
        <w:t xml:space="preserve"> excavated with complete control of recovery and preservation bias. </w:t>
      </w:r>
    </w:p>
    <w:p w:rsidR="00613960" w:rsidRDefault="00613960" w:rsidP="00613960">
      <w:pPr>
        <w:spacing w:after="0" w:line="480" w:lineRule="auto"/>
        <w:ind w:firstLine="720"/>
        <w:rPr>
          <w:rFonts w:cs="Times New Roman"/>
          <w:szCs w:val="24"/>
        </w:rPr>
      </w:pPr>
      <w:r w:rsidRPr="00C123C1">
        <w:rPr>
          <w:rFonts w:cs="Times New Roman"/>
          <w:szCs w:val="24"/>
        </w:rPr>
        <w:t xml:space="preserve">The </w:t>
      </w:r>
      <w:r>
        <w:rPr>
          <w:rFonts w:cs="Times New Roman"/>
          <w:szCs w:val="24"/>
        </w:rPr>
        <w:t xml:space="preserve">1/4” </w:t>
      </w:r>
      <w:r w:rsidRPr="00C123C1">
        <w:rPr>
          <w:rFonts w:cs="Times New Roman"/>
          <w:szCs w:val="24"/>
        </w:rPr>
        <w:t>faunal materials</w:t>
      </w:r>
      <w:r>
        <w:rPr>
          <w:rFonts w:cs="Times New Roman"/>
          <w:szCs w:val="24"/>
        </w:rPr>
        <w:t xml:space="preserve">, flotation samples, sediment samples and 1/8” recovered material </w:t>
      </w:r>
      <w:r w:rsidRPr="00C123C1">
        <w:rPr>
          <w:rFonts w:cs="Times New Roman"/>
          <w:szCs w:val="24"/>
        </w:rPr>
        <w:t>from Test Unit 30 and 31 were processed and analyzed by the author in the Fall of 2011 and presented at the 2012 Current Research in Tenness</w:t>
      </w:r>
      <w:r>
        <w:rPr>
          <w:rFonts w:cs="Times New Roman"/>
          <w:szCs w:val="24"/>
        </w:rPr>
        <w:t xml:space="preserve">ee Archaeology meeting </w:t>
      </w:r>
      <w:r>
        <w:rPr>
          <w:rFonts w:cs="Times New Roman"/>
          <w:szCs w:val="24"/>
        </w:rPr>
        <w:fldChar w:fldCharType="begin"/>
      </w:r>
      <w:r>
        <w:rPr>
          <w:rFonts w:cs="Times New Roman"/>
          <w:szCs w:val="24"/>
        </w:rPr>
        <w:instrText xml:space="preserve"> ADDIN EN.CITE &lt;EndNote&gt;&lt;Cite&gt;&lt;Author&gt;Dennison&lt;/Author&gt;&lt;Year&gt;2012&lt;/Year&gt;&lt;RecNum&gt;147&lt;/RecNum&gt;&lt;DisplayText&gt;(Dennison 2012)&lt;/DisplayText&gt;&lt;record&gt;&lt;rec-number&gt;147&lt;/rec-number&gt;&lt;foreign-keys&gt;&lt;key app="EN" db-id="pvwvsv0fktzv2weszt4xp95xstrzawadapa0"&gt;147&lt;/key&gt;&lt;/foreign-keys&gt;&lt;ref-type name="Conference Paper"&gt;47&lt;/ref-type&gt;&lt;contributors&gt;&lt;authors&gt;&lt;author&gt;Meagan E. Dennison&lt;/author&gt;&lt;/authors&gt;&lt;/contributors&gt;&lt;titles&gt;&lt;title&gt;Sampling and Preservation Bias on the Upper Cumberland Plateau of Tennessee.&lt;/title&gt;&lt;secondary-title&gt;Paper presented at the Current Research in Tennessee Archaeology&lt;/secondary-title&gt;&lt;/titles&gt;&lt;dates&gt;&lt;year&gt;2012&lt;/year&gt;&lt;/dates&gt;&lt;pub-location&gt;Nashville, TN&lt;/pub-location&gt;&lt;urls&gt;&lt;/urls&gt;&lt;/record&gt;&lt;/Cite&gt;&lt;/EndNote&gt;</w:instrText>
      </w:r>
      <w:r>
        <w:rPr>
          <w:rFonts w:cs="Times New Roman"/>
          <w:szCs w:val="24"/>
        </w:rPr>
        <w:fldChar w:fldCharType="separate"/>
      </w:r>
      <w:r>
        <w:rPr>
          <w:rFonts w:cs="Times New Roman"/>
          <w:noProof/>
          <w:szCs w:val="24"/>
        </w:rPr>
        <w:t>(</w:t>
      </w:r>
      <w:hyperlink w:anchor="_ENREF_24" w:tooltip="Dennison, 2012 #147" w:history="1">
        <w:r w:rsidR="00B15FB2">
          <w:rPr>
            <w:rFonts w:cs="Times New Roman"/>
            <w:noProof/>
            <w:szCs w:val="24"/>
          </w:rPr>
          <w:t>Dennison 2012</w:t>
        </w:r>
      </w:hyperlink>
      <w:r>
        <w:rPr>
          <w:rFonts w:cs="Times New Roman"/>
          <w:noProof/>
          <w:szCs w:val="24"/>
        </w:rPr>
        <w:t>)</w:t>
      </w:r>
      <w:r>
        <w:rPr>
          <w:rFonts w:cs="Times New Roman"/>
          <w:szCs w:val="24"/>
        </w:rPr>
        <w:fldChar w:fldCharType="end"/>
      </w:r>
      <w:r>
        <w:rPr>
          <w:rFonts w:cs="Times New Roman"/>
          <w:szCs w:val="24"/>
        </w:rPr>
        <w:t xml:space="preserve"> as preliminary results to this thesis concerning sampling and preservation biases</w:t>
      </w:r>
      <w:r w:rsidRPr="00C123C1">
        <w:rPr>
          <w:rFonts w:cs="Times New Roman"/>
          <w:szCs w:val="24"/>
        </w:rPr>
        <w:t xml:space="preserve">. </w:t>
      </w:r>
      <w:r>
        <w:rPr>
          <w:rFonts w:cs="Times New Roman"/>
          <w:szCs w:val="24"/>
        </w:rPr>
        <w:t xml:space="preserve">The methods for these analyses are presented in Chapter 5 and the results in Chapter 6. </w:t>
      </w:r>
    </w:p>
    <w:p w:rsidR="00613960" w:rsidRDefault="00613960" w:rsidP="00613960">
      <w:pPr>
        <w:spacing w:after="0" w:line="480" w:lineRule="auto"/>
        <w:ind w:firstLine="720"/>
        <w:rPr>
          <w:rFonts w:cs="Times New Roman"/>
          <w:szCs w:val="24"/>
        </w:rPr>
      </w:pPr>
      <w:r>
        <w:rPr>
          <w:rFonts w:cs="Times New Roman"/>
          <w:szCs w:val="24"/>
        </w:rPr>
        <w:t xml:space="preserve">A 1 x 5 meter trench was opened in front of the dripline on the north half of the shelter also during the 2011 field season. The trench was opened to gain a better understanding of the site stratigraphy as viewed from outside the rock overhang. Few artifacts were recovered; however several of these were faunal and are included in the results of this analysis. </w:t>
      </w:r>
    </w:p>
    <w:p w:rsidR="00613960" w:rsidRPr="00894CCE" w:rsidRDefault="00613960" w:rsidP="00613960">
      <w:pPr>
        <w:spacing w:after="0" w:line="480" w:lineRule="auto"/>
        <w:rPr>
          <w:rFonts w:cs="Times New Roman"/>
          <w:b/>
          <w:szCs w:val="24"/>
        </w:rPr>
      </w:pPr>
      <w:r w:rsidRPr="00894CCE">
        <w:rPr>
          <w:rFonts w:cs="Times New Roman"/>
          <w:b/>
          <w:szCs w:val="24"/>
        </w:rPr>
        <w:t xml:space="preserve">Summary of Excavations </w:t>
      </w:r>
    </w:p>
    <w:p w:rsidR="00613960" w:rsidRPr="00D631CB" w:rsidRDefault="00613960" w:rsidP="00613960">
      <w:pPr>
        <w:spacing w:after="0" w:line="480" w:lineRule="auto"/>
        <w:ind w:firstLine="720"/>
        <w:rPr>
          <w:rFonts w:cs="Times New Roman"/>
          <w:color w:val="FF0000"/>
          <w:szCs w:val="24"/>
        </w:rPr>
      </w:pPr>
      <w:r>
        <w:rPr>
          <w:rFonts w:cs="Times New Roman"/>
          <w:szCs w:val="24"/>
        </w:rPr>
        <w:t xml:space="preserve">A total of 31 test units was excavated during three field seasons of work at Sachsen Cave Shelter. All but 2 (TUs 26 and 27) were excavated to the sterile yellow Pleistocene sand. To estimate the amount of sediment deposited, the distance in centimeters between top center </w:t>
      </w:r>
      <w:r>
        <w:rPr>
          <w:rFonts w:cs="Times New Roman"/>
          <w:szCs w:val="24"/>
        </w:rPr>
        <w:lastRenderedPageBreak/>
        <w:t>elevation and top bottom center elevation for each test unit is used as height in the volume ratio: v=length x width x height. In all cases but one, length and width are the same, 10</w:t>
      </w:r>
      <w:r w:rsidR="005261C1">
        <w:rPr>
          <w:rFonts w:cs="Times New Roman"/>
          <w:szCs w:val="24"/>
        </w:rPr>
        <w:t xml:space="preserve">0 cm. This data is presented in </w:t>
      </w:r>
      <w:r w:rsidR="005261C1" w:rsidRPr="005261C1">
        <w:rPr>
          <w:rFonts w:cs="Times New Roman"/>
          <w:szCs w:val="24"/>
        </w:rPr>
        <w:fldChar w:fldCharType="begin"/>
      </w:r>
      <w:r w:rsidR="005261C1" w:rsidRPr="005261C1">
        <w:rPr>
          <w:rFonts w:cs="Times New Roman"/>
          <w:szCs w:val="24"/>
        </w:rPr>
        <w:instrText xml:space="preserve"> REF _Ref349503513 \h  \* MERGEFORMAT </w:instrText>
      </w:r>
      <w:r w:rsidR="005261C1" w:rsidRPr="005261C1">
        <w:rPr>
          <w:rFonts w:cs="Times New Roman"/>
          <w:szCs w:val="24"/>
        </w:rPr>
      </w:r>
      <w:r w:rsidR="005261C1" w:rsidRPr="005261C1">
        <w:rPr>
          <w:rFonts w:cs="Times New Roman"/>
          <w:szCs w:val="24"/>
        </w:rPr>
        <w:fldChar w:fldCharType="separate"/>
      </w:r>
      <w:r w:rsidR="005261C1" w:rsidRPr="005261C1">
        <w:t xml:space="preserve">Table </w:t>
      </w:r>
      <w:r w:rsidR="005261C1" w:rsidRPr="005261C1">
        <w:rPr>
          <w:noProof/>
        </w:rPr>
        <w:t>1</w:t>
      </w:r>
      <w:r w:rsidR="005261C1" w:rsidRPr="005261C1">
        <w:rPr>
          <w:rFonts w:cs="Times New Roman"/>
          <w:szCs w:val="24"/>
        </w:rPr>
        <w:fldChar w:fldCharType="end"/>
      </w:r>
      <w:r w:rsidRPr="005261C1">
        <w:rPr>
          <w:rFonts w:cs="Times New Roman"/>
          <w:szCs w:val="24"/>
        </w:rPr>
        <w:t>,</w:t>
      </w:r>
      <w:r w:rsidRPr="00741F91">
        <w:rPr>
          <w:rFonts w:cs="Times New Roman"/>
          <w:szCs w:val="24"/>
        </w:rPr>
        <w:t xml:space="preserve"> which</w:t>
      </w:r>
      <w:r>
        <w:rPr>
          <w:rFonts w:cs="Times New Roman"/>
          <w:color w:val="FF0000"/>
          <w:szCs w:val="24"/>
        </w:rPr>
        <w:t xml:space="preserve"> </w:t>
      </w:r>
      <w:r w:rsidRPr="008C2513">
        <w:rPr>
          <w:rFonts w:cs="Times New Roman"/>
          <w:szCs w:val="24"/>
        </w:rPr>
        <w:t xml:space="preserve">also outlines the amount of sediment screened through </w:t>
      </w:r>
      <w:r>
        <w:rPr>
          <w:rFonts w:cs="Times New Roman"/>
          <w:szCs w:val="24"/>
        </w:rPr>
        <w:t>1/4”</w:t>
      </w:r>
      <w:r w:rsidRPr="008C2513">
        <w:rPr>
          <w:rFonts w:cs="Times New Roman"/>
          <w:szCs w:val="24"/>
        </w:rPr>
        <w:t xml:space="preserve"> 1/8” and 1/16” screen. </w:t>
      </w:r>
      <w:r>
        <w:rPr>
          <w:rFonts w:cs="Times New Roman"/>
          <w:szCs w:val="24"/>
        </w:rPr>
        <w:t xml:space="preserve">In total, 17,802.4 liters of sediment were excavated from within the rock shelter. An estimate 3,395 liters of sediment were water screened through 1/4” and 1/8” mesh, an estimated 13,821.4 liters of sediment were screened only through 1/4” and an estimated 586 liters of sediment were collected as flotation samples, ultimately to be screened through 1/16” once light fraction has been recovered. </w:t>
      </w:r>
    </w:p>
    <w:p w:rsidR="00613960" w:rsidRDefault="00613960" w:rsidP="00613960">
      <w:pPr>
        <w:spacing w:after="0" w:line="480" w:lineRule="auto"/>
        <w:rPr>
          <w:rFonts w:cs="Times New Roman"/>
          <w:szCs w:val="24"/>
        </w:rPr>
      </w:pPr>
      <w:r>
        <w:rPr>
          <w:rFonts w:cs="Times New Roman"/>
          <w:szCs w:val="24"/>
        </w:rPr>
        <w:t xml:space="preserve"> </w:t>
      </w:r>
      <w:r>
        <w:rPr>
          <w:rFonts w:cs="Times New Roman"/>
          <w:szCs w:val="24"/>
        </w:rPr>
        <w:tab/>
        <w:t xml:space="preserve">Archaeological investigation includes 359 total proveniences throughout the site (see </w:t>
      </w:r>
      <w:r w:rsidR="006174EA">
        <w:rPr>
          <w:rFonts w:cs="Times New Roman"/>
          <w:color w:val="FF0000"/>
          <w:szCs w:val="24"/>
        </w:rPr>
        <w:fldChar w:fldCharType="begin"/>
      </w:r>
      <w:r w:rsidR="006174EA">
        <w:rPr>
          <w:rFonts w:cs="Times New Roman"/>
          <w:szCs w:val="24"/>
        </w:rPr>
        <w:instrText xml:space="preserve"> REF _Ref349505027 \h </w:instrText>
      </w:r>
      <w:r w:rsidR="006174EA">
        <w:rPr>
          <w:rFonts w:cs="Times New Roman"/>
          <w:color w:val="FF0000"/>
          <w:szCs w:val="24"/>
        </w:rPr>
      </w:r>
      <w:r w:rsidR="006174EA">
        <w:rPr>
          <w:rFonts w:cs="Times New Roman"/>
          <w:color w:val="FF0000"/>
          <w:szCs w:val="24"/>
        </w:rPr>
        <w:fldChar w:fldCharType="separate"/>
      </w:r>
      <w:r w:rsidR="006174EA" w:rsidRPr="006174EA">
        <w:rPr>
          <w:b/>
        </w:rPr>
        <w:t xml:space="preserve">Table </w:t>
      </w:r>
      <w:r w:rsidR="006174EA" w:rsidRPr="006174EA">
        <w:rPr>
          <w:b/>
          <w:noProof/>
        </w:rPr>
        <w:t>3</w:t>
      </w:r>
      <w:r w:rsidR="006174EA">
        <w:rPr>
          <w:rFonts w:cs="Times New Roman"/>
          <w:color w:val="FF0000"/>
          <w:szCs w:val="24"/>
        </w:rPr>
        <w:fldChar w:fldCharType="end"/>
      </w:r>
      <w:r>
        <w:rPr>
          <w:rFonts w:cs="Times New Roman"/>
          <w:szCs w:val="24"/>
        </w:rPr>
        <w:t xml:space="preserve">). Most of these proveniences (n=346) were excavated as either natural or arbitrary 5cm levels. One provenience is a reference to a modern intrusion in the site that was collected 1 year after the 2011 excavations (TU 30, floor). The remaining 12 proveniences come from wall cleanings, general surface collection, or from a large trench excavated in the front of the shelter. These last 12 could not be assigned to any cultural affiliation. Of the 349 that could be assigned a cultural affiliation, 143 are from disturbed context (i.e. reworked by looting activity), 26 from the general Woodland context, 10 from Woodland/Archaic context, 150 from Late Archaic context and 17 from Late Archaic/sterile context. </w:t>
      </w:r>
    </w:p>
    <w:p w:rsidR="005261C1" w:rsidRDefault="00613960" w:rsidP="0069587F">
      <w:pPr>
        <w:spacing w:after="0" w:line="480" w:lineRule="auto"/>
        <w:ind w:firstLine="720"/>
        <w:rPr>
          <w:rFonts w:cs="Times New Roman"/>
          <w:szCs w:val="24"/>
        </w:rPr>
      </w:pPr>
      <w:r w:rsidRPr="00C123C1">
        <w:rPr>
          <w:rFonts w:cs="Times New Roman"/>
          <w:szCs w:val="24"/>
        </w:rPr>
        <w:t xml:space="preserve">In sum, based on all analyses conducted for this shelter, the site was </w:t>
      </w:r>
      <w:r>
        <w:rPr>
          <w:rFonts w:cs="Times New Roman"/>
          <w:szCs w:val="24"/>
        </w:rPr>
        <w:t>visited repeatedly by Late Archaic peoples over a period of 3,000 years, and the most archaeologically visible use of the shelter during this time seems to be as a residential base camp (</w:t>
      </w:r>
      <w:r>
        <w:rPr>
          <w:rFonts w:cs="Times New Roman"/>
          <w:i/>
          <w:szCs w:val="24"/>
        </w:rPr>
        <w:t xml:space="preserve">sensu </w:t>
      </w:r>
      <w:r>
        <w:rPr>
          <w:rFonts w:cs="Times New Roman"/>
          <w:szCs w:val="24"/>
        </w:rPr>
        <w:t>Binford 1978).</w:t>
      </w:r>
      <w:r w:rsidRPr="00C123C1">
        <w:rPr>
          <w:rFonts w:cs="Times New Roman"/>
          <w:szCs w:val="24"/>
        </w:rPr>
        <w:t xml:space="preserve"> Botanical assemblages indicate that the shelter was used in the fall, however, </w:t>
      </w:r>
      <w:r>
        <w:rPr>
          <w:rFonts w:cs="Times New Roman"/>
          <w:szCs w:val="24"/>
        </w:rPr>
        <w:t xml:space="preserve">it should be noted that </w:t>
      </w:r>
      <w:r w:rsidRPr="00C123C1">
        <w:rPr>
          <w:rFonts w:cs="Times New Roman"/>
          <w:szCs w:val="24"/>
        </w:rPr>
        <w:t>botanical remains can be stored, which is quite common for Late Archaic peoples in East Tennessee (Chapman 1996)</w:t>
      </w:r>
      <w:r>
        <w:rPr>
          <w:rFonts w:cs="Times New Roman"/>
          <w:szCs w:val="24"/>
        </w:rPr>
        <w:t>, and therefore do not necessarily reflect season of occupation</w:t>
      </w:r>
      <w:r w:rsidRPr="00C123C1">
        <w:rPr>
          <w:rFonts w:cs="Times New Roman"/>
          <w:szCs w:val="24"/>
        </w:rPr>
        <w:t>. Nut</w:t>
      </w:r>
    </w:p>
    <w:p w:rsidR="006174EA" w:rsidRDefault="006174EA" w:rsidP="006174EA">
      <w:pPr>
        <w:spacing w:after="0" w:line="240" w:lineRule="auto"/>
        <w:rPr>
          <w:rFonts w:cs="Times New Roman"/>
          <w:szCs w:val="24"/>
        </w:rPr>
      </w:pPr>
    </w:p>
    <w:p w:rsidR="006174EA" w:rsidRPr="006174EA" w:rsidRDefault="006174EA" w:rsidP="006174EA">
      <w:pPr>
        <w:pStyle w:val="Caption"/>
        <w:keepNext/>
        <w:spacing w:after="0"/>
        <w:jc w:val="center"/>
        <w:rPr>
          <w:b w:val="0"/>
        </w:rPr>
      </w:pPr>
      <w:bookmarkStart w:id="47" w:name="_Ref349505027"/>
      <w:bookmarkStart w:id="48" w:name="_Toc349505186"/>
      <w:r w:rsidRPr="006174EA">
        <w:rPr>
          <w:b w:val="0"/>
          <w:color w:val="auto"/>
          <w:sz w:val="24"/>
        </w:rPr>
        <w:t xml:space="preserve">Table </w:t>
      </w:r>
      <w:r w:rsidRPr="006174EA">
        <w:rPr>
          <w:b w:val="0"/>
          <w:color w:val="auto"/>
          <w:sz w:val="24"/>
        </w:rPr>
        <w:fldChar w:fldCharType="begin"/>
      </w:r>
      <w:r w:rsidRPr="006174EA">
        <w:rPr>
          <w:b w:val="0"/>
          <w:color w:val="auto"/>
          <w:sz w:val="24"/>
        </w:rPr>
        <w:instrText xml:space="preserve"> SEQ Table \* ARABIC </w:instrText>
      </w:r>
      <w:r w:rsidRPr="006174EA">
        <w:rPr>
          <w:b w:val="0"/>
          <w:color w:val="auto"/>
          <w:sz w:val="24"/>
        </w:rPr>
        <w:fldChar w:fldCharType="separate"/>
      </w:r>
      <w:r w:rsidRPr="006174EA">
        <w:rPr>
          <w:b w:val="0"/>
          <w:noProof/>
          <w:color w:val="auto"/>
          <w:sz w:val="24"/>
        </w:rPr>
        <w:t>3</w:t>
      </w:r>
      <w:r w:rsidRPr="006174EA">
        <w:rPr>
          <w:b w:val="0"/>
          <w:color w:val="auto"/>
          <w:sz w:val="24"/>
        </w:rPr>
        <w:fldChar w:fldCharType="end"/>
      </w:r>
      <w:bookmarkEnd w:id="47"/>
      <w:r w:rsidRPr="006174EA">
        <w:rPr>
          <w:b w:val="0"/>
          <w:color w:val="auto"/>
          <w:sz w:val="24"/>
        </w:rPr>
        <w:t>:  Associated context for all proveniences excavated at Sachsen Cave Shelter</w:t>
      </w:r>
      <w:bookmarkEnd w:id="48"/>
    </w:p>
    <w:tbl>
      <w:tblPr>
        <w:tblStyle w:val="ColorfulList-Accent4"/>
        <w:tblW w:w="5000" w:type="pct"/>
        <w:jc w:val="center"/>
        <w:tblLook w:val="04A0" w:firstRow="1" w:lastRow="0" w:firstColumn="1" w:lastColumn="0" w:noHBand="0" w:noVBand="1"/>
      </w:tblPr>
      <w:tblGrid>
        <w:gridCol w:w="763"/>
        <w:gridCol w:w="1060"/>
        <w:gridCol w:w="905"/>
        <w:gridCol w:w="1072"/>
        <w:gridCol w:w="1129"/>
        <w:gridCol w:w="2031"/>
        <w:gridCol w:w="894"/>
        <w:gridCol w:w="778"/>
        <w:gridCol w:w="174"/>
        <w:gridCol w:w="544"/>
      </w:tblGrid>
      <w:tr w:rsidR="006174EA" w:rsidRPr="00551B59" w:rsidTr="006174EA">
        <w:trPr>
          <w:cnfStyle w:val="100000000000" w:firstRow="1" w:lastRow="0" w:firstColumn="0" w:lastColumn="0" w:oddVBand="0" w:evenVBand="0" w:oddHBand="0"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408" w:type="pct"/>
            <w:tcBorders>
              <w:top w:val="single" w:sz="4" w:space="0" w:color="auto"/>
              <w:left w:val="single" w:sz="4" w:space="0" w:color="auto"/>
            </w:tcBorders>
            <w:vAlign w:val="center"/>
            <w:hideMark/>
          </w:tcPr>
          <w:p w:rsidR="006174EA" w:rsidRPr="000E1C9C" w:rsidRDefault="006174EA" w:rsidP="00E26212">
            <w:pPr>
              <w:jc w:val="center"/>
              <w:rPr>
                <w:rFonts w:eastAsia="Times New Roman" w:cs="Times New Roman"/>
                <w:sz w:val="20"/>
              </w:rPr>
            </w:pPr>
            <w:r w:rsidRPr="000E1C9C">
              <w:rPr>
                <w:rFonts w:eastAsia="Times New Roman" w:cs="Times New Roman"/>
                <w:sz w:val="20"/>
              </w:rPr>
              <w:t>Test Unit</w:t>
            </w:r>
          </w:p>
        </w:tc>
        <w:tc>
          <w:tcPr>
            <w:tcW w:w="567"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Unknown Context</w:t>
            </w:r>
          </w:p>
        </w:tc>
        <w:tc>
          <w:tcPr>
            <w:tcW w:w="484"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Modern Context</w:t>
            </w:r>
          </w:p>
        </w:tc>
        <w:tc>
          <w:tcPr>
            <w:tcW w:w="573"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Disturbed  Levels</w:t>
            </w:r>
          </w:p>
        </w:tc>
        <w:tc>
          <w:tcPr>
            <w:tcW w:w="604"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Woodland Levels</w:t>
            </w:r>
          </w:p>
        </w:tc>
        <w:tc>
          <w:tcPr>
            <w:tcW w:w="1086"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Woodland/Archaic Levels</w:t>
            </w:r>
          </w:p>
        </w:tc>
        <w:tc>
          <w:tcPr>
            <w:tcW w:w="478" w:type="pct"/>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Archaic Levels</w:t>
            </w:r>
          </w:p>
        </w:tc>
        <w:tc>
          <w:tcPr>
            <w:tcW w:w="509" w:type="pct"/>
            <w:gridSpan w:val="2"/>
            <w:tcBorders>
              <w:top w:val="single" w:sz="4" w:space="0" w:color="auto"/>
            </w:tcBorders>
            <w:vAlign w:val="center"/>
            <w:hideMark/>
          </w:tcPr>
          <w:p w:rsidR="006174EA" w:rsidRPr="000E1C9C"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0E1C9C">
              <w:rPr>
                <w:rFonts w:eastAsia="Times New Roman" w:cs="Times New Roman"/>
                <w:sz w:val="20"/>
              </w:rPr>
              <w:t>Archaic/ Sterile</w:t>
            </w:r>
          </w:p>
        </w:tc>
        <w:tc>
          <w:tcPr>
            <w:tcW w:w="291" w:type="pct"/>
            <w:tcBorders>
              <w:top w:val="single" w:sz="4" w:space="0" w:color="auto"/>
              <w:right w:val="single" w:sz="4" w:space="0" w:color="auto"/>
            </w:tcBorders>
            <w:vAlign w:val="center"/>
            <w:hideMark/>
          </w:tcPr>
          <w:p w:rsidR="006174EA" w:rsidRPr="00551B59" w:rsidRDefault="006174EA" w:rsidP="00E2621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GSC</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Trench</w:t>
            </w: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 Wall 22-14-21</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5</w:t>
            </w:r>
            <w:r w:rsidRPr="00551B59">
              <w:rPr>
                <w:rFonts w:eastAsia="Times New Roman" w:cs="Times New Roman"/>
                <w:color w:val="000000"/>
              </w:rPr>
              <w:t>-15</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16</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wall</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1-4</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5a</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5b</w:t>
            </w:r>
            <w:r w:rsidRPr="00551B59">
              <w:rPr>
                <w:rFonts w:eastAsia="Times New Roman" w:cs="Times New Roman"/>
                <w:color w:val="000000"/>
              </w:rPr>
              <w:t>-12</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3</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s. wall</w:t>
            </w: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1-3e, 3w</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4</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5-11</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4</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5-</w:t>
            </w:r>
            <w:r w:rsidRPr="00551B59">
              <w:rPr>
                <w:rFonts w:eastAsia="Times New Roman" w:cs="Times New Roman"/>
                <w:color w:val="000000"/>
              </w:rPr>
              <w:t>8</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5</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5</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6</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6</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wall</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4-9</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10</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7</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3-4</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5-8</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8</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1-6</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9</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5</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6-7</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10</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e. wall</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3-7</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8</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11</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e. wall and w. wall</w:t>
            </w: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3-4</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5-8, 8-14</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12</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5</w:t>
            </w:r>
            <w:r w:rsidRPr="00551B59">
              <w:rPr>
                <w:rFonts w:eastAsia="Times New Roman" w:cs="Times New Roman"/>
                <w:color w:val="000000"/>
              </w:rPr>
              <w:t>-8</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13</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floor</w:t>
            </w: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3-11</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14</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wall</w:t>
            </w: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6-7</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8-14</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15</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3-9</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16</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5</w:t>
            </w:r>
            <w:r w:rsidRPr="00551B59">
              <w:rPr>
                <w:rFonts w:eastAsia="Times New Roman" w:cs="Times New Roman"/>
                <w:color w:val="000000"/>
              </w:rPr>
              <w:t>-8</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17</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w:t>
            </w:r>
            <w:r>
              <w:rPr>
                <w:rFonts w:eastAsia="Times New Roman" w:cs="Times New Roman"/>
                <w:color w:val="000000"/>
              </w:rPr>
              <w:t>4</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5</w:t>
            </w:r>
            <w:r w:rsidRPr="00551B59">
              <w:rPr>
                <w:rFonts w:eastAsia="Times New Roman" w:cs="Times New Roman"/>
                <w:color w:val="000000"/>
              </w:rPr>
              <w:t>-9</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10</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18</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1-8</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9-10</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19</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noWrap/>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20</w:t>
            </w:r>
          </w:p>
        </w:tc>
        <w:tc>
          <w:tcPr>
            <w:tcW w:w="567"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604"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6-8</w:t>
            </w:r>
          </w:p>
        </w:tc>
        <w:tc>
          <w:tcPr>
            <w:tcW w:w="1086"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9-14</w:t>
            </w:r>
          </w:p>
        </w:tc>
        <w:tc>
          <w:tcPr>
            <w:tcW w:w="416" w:type="pct"/>
            <w:noWrap/>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21</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6-8</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9-16</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17</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22</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1-9</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10-12</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13-18</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23</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1-6</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7-8</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9-10</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11-15</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16-17</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24</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3-4</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5-7</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8</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25</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3-8</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26</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1-3</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4</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27</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1-6</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7</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8</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9</w:t>
            </w: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28</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1-17</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29</w:t>
            </w:r>
          </w:p>
        </w:tc>
        <w:tc>
          <w:tcPr>
            <w:tcW w:w="567"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1-18</w:t>
            </w:r>
          </w:p>
        </w:tc>
        <w:tc>
          <w:tcPr>
            <w:tcW w:w="604"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416" w:type="pct"/>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30</w:t>
            </w:r>
          </w:p>
        </w:tc>
        <w:tc>
          <w:tcPr>
            <w:tcW w:w="567"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48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floor</w:t>
            </w:r>
          </w:p>
        </w:tc>
        <w:tc>
          <w:tcPr>
            <w:tcW w:w="573"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1-5</w:t>
            </w:r>
          </w:p>
        </w:tc>
        <w:tc>
          <w:tcPr>
            <w:tcW w:w="604"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108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6-13</w:t>
            </w:r>
          </w:p>
        </w:tc>
        <w:tc>
          <w:tcPr>
            <w:tcW w:w="416" w:type="pct"/>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6174EA" w:rsidRPr="00551B59" w:rsidTr="006174EA">
        <w:trPr>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left w:val="single" w:sz="4" w:space="0" w:color="auto"/>
              <w:bottom w:val="single" w:sz="4" w:space="0" w:color="auto"/>
            </w:tcBorders>
            <w:vAlign w:val="center"/>
            <w:hideMark/>
          </w:tcPr>
          <w:p w:rsidR="006174EA" w:rsidRPr="00551B59" w:rsidRDefault="006174EA" w:rsidP="00E26212">
            <w:pPr>
              <w:jc w:val="center"/>
              <w:rPr>
                <w:rFonts w:eastAsia="Times New Roman" w:cs="Times New Roman"/>
                <w:color w:val="000000"/>
              </w:rPr>
            </w:pPr>
            <w:r w:rsidRPr="00551B59">
              <w:rPr>
                <w:rFonts w:eastAsia="Times New Roman" w:cs="Times New Roman"/>
                <w:color w:val="000000"/>
              </w:rPr>
              <w:t>31</w:t>
            </w:r>
          </w:p>
        </w:tc>
        <w:tc>
          <w:tcPr>
            <w:tcW w:w="567"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e. wall</w:t>
            </w:r>
          </w:p>
        </w:tc>
        <w:tc>
          <w:tcPr>
            <w:tcW w:w="484"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573"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1-2</w:t>
            </w:r>
          </w:p>
        </w:tc>
        <w:tc>
          <w:tcPr>
            <w:tcW w:w="604"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3, n wall, s wall</w:t>
            </w:r>
          </w:p>
        </w:tc>
        <w:tc>
          <w:tcPr>
            <w:tcW w:w="1086"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478"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4-9, n wall, s wall</w:t>
            </w:r>
          </w:p>
        </w:tc>
        <w:tc>
          <w:tcPr>
            <w:tcW w:w="416" w:type="pct"/>
            <w:tcBorders>
              <w:bottom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551B59">
              <w:rPr>
                <w:rFonts w:eastAsia="Times New Roman" w:cs="Times New Roman"/>
                <w:color w:val="000000"/>
              </w:rPr>
              <w:t>-</w:t>
            </w:r>
          </w:p>
        </w:tc>
        <w:tc>
          <w:tcPr>
            <w:tcW w:w="384" w:type="pct"/>
            <w:gridSpan w:val="2"/>
            <w:tcBorders>
              <w:bottom w:val="single" w:sz="4" w:space="0" w:color="auto"/>
              <w:right w:val="single" w:sz="4" w:space="0" w:color="auto"/>
            </w:tcBorders>
            <w:vAlign w:val="center"/>
            <w:hideMark/>
          </w:tcPr>
          <w:p w:rsidR="006174EA" w:rsidRPr="00551B59" w:rsidRDefault="006174EA" w:rsidP="00E2621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6174EA" w:rsidRPr="00551B59" w:rsidTr="006174E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8" w:type="pct"/>
            <w:tcBorders>
              <w:top w:val="single" w:sz="4" w:space="0" w:color="auto"/>
              <w:left w:val="single" w:sz="4" w:space="0" w:color="auto"/>
              <w:bottom w:val="single" w:sz="4" w:space="0" w:color="auto"/>
            </w:tcBorders>
            <w:vAlign w:val="center"/>
            <w:hideMark/>
          </w:tcPr>
          <w:p w:rsidR="006174EA" w:rsidRPr="00551B59" w:rsidRDefault="006174EA" w:rsidP="00E26212">
            <w:pPr>
              <w:jc w:val="center"/>
              <w:rPr>
                <w:rFonts w:eastAsia="Times New Roman" w:cs="Times New Roman"/>
                <w:b w:val="0"/>
                <w:bCs w:val="0"/>
                <w:color w:val="000000"/>
              </w:rPr>
            </w:pPr>
            <w:r w:rsidRPr="00551B59">
              <w:rPr>
                <w:rFonts w:eastAsia="Times New Roman" w:cs="Times New Roman"/>
                <w:color w:val="000000"/>
              </w:rPr>
              <w:t>Total</w:t>
            </w:r>
          </w:p>
        </w:tc>
        <w:tc>
          <w:tcPr>
            <w:tcW w:w="567"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12</w:t>
            </w:r>
          </w:p>
        </w:tc>
        <w:tc>
          <w:tcPr>
            <w:tcW w:w="484"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w:t>
            </w:r>
          </w:p>
        </w:tc>
        <w:tc>
          <w:tcPr>
            <w:tcW w:w="573"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w:t>
            </w:r>
            <w:r>
              <w:rPr>
                <w:rFonts w:eastAsia="Times New Roman" w:cs="Times New Roman"/>
                <w:b/>
                <w:color w:val="000000"/>
              </w:rPr>
              <w:t>43</w:t>
            </w:r>
          </w:p>
        </w:tc>
        <w:tc>
          <w:tcPr>
            <w:tcW w:w="604"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26</w:t>
            </w:r>
          </w:p>
        </w:tc>
        <w:tc>
          <w:tcPr>
            <w:tcW w:w="1086"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w:t>
            </w:r>
            <w:r>
              <w:rPr>
                <w:rFonts w:eastAsia="Times New Roman" w:cs="Times New Roman"/>
                <w:b/>
                <w:color w:val="000000"/>
              </w:rPr>
              <w:t>0</w:t>
            </w:r>
          </w:p>
        </w:tc>
        <w:tc>
          <w:tcPr>
            <w:tcW w:w="478"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w:t>
            </w:r>
            <w:r>
              <w:rPr>
                <w:rFonts w:eastAsia="Times New Roman" w:cs="Times New Roman"/>
                <w:b/>
                <w:color w:val="000000"/>
              </w:rPr>
              <w:t>50</w:t>
            </w:r>
          </w:p>
        </w:tc>
        <w:tc>
          <w:tcPr>
            <w:tcW w:w="416" w:type="pct"/>
            <w:tcBorders>
              <w:top w:val="single" w:sz="4" w:space="0" w:color="auto"/>
              <w:bottom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551B59">
              <w:rPr>
                <w:rFonts w:eastAsia="Times New Roman" w:cs="Times New Roman"/>
                <w:b/>
                <w:color w:val="000000"/>
              </w:rPr>
              <w:t>17</w:t>
            </w:r>
          </w:p>
        </w:tc>
        <w:tc>
          <w:tcPr>
            <w:tcW w:w="384" w:type="pct"/>
            <w:gridSpan w:val="2"/>
            <w:tcBorders>
              <w:top w:val="single" w:sz="4" w:space="0" w:color="auto"/>
              <w:bottom w:val="single" w:sz="4" w:space="0" w:color="auto"/>
              <w:right w:val="single" w:sz="4" w:space="0" w:color="auto"/>
            </w:tcBorders>
            <w:vAlign w:val="center"/>
            <w:hideMark/>
          </w:tcPr>
          <w:p w:rsidR="006174EA" w:rsidRPr="00551B59" w:rsidRDefault="006174EA" w:rsidP="00E2621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Pr>
                <w:rFonts w:eastAsia="Times New Roman" w:cs="Times New Roman"/>
                <w:b/>
                <w:color w:val="000000"/>
              </w:rPr>
              <w:t>359</w:t>
            </w:r>
          </w:p>
        </w:tc>
      </w:tr>
    </w:tbl>
    <w:p w:rsidR="006174EA" w:rsidRDefault="00613960" w:rsidP="006174EA">
      <w:pPr>
        <w:spacing w:after="0" w:line="480" w:lineRule="auto"/>
        <w:rPr>
          <w:rFonts w:cs="Times New Roman"/>
          <w:szCs w:val="24"/>
        </w:rPr>
      </w:pPr>
      <w:r w:rsidRPr="00C123C1">
        <w:rPr>
          <w:rFonts w:cs="Times New Roman"/>
          <w:szCs w:val="24"/>
        </w:rPr>
        <w:lastRenderedPageBreak/>
        <w:t xml:space="preserve"> processing appears to have been an intensive activity at the site. Use-wear on the stone tools indicates butchering and hide working were also frequently carried out on site. The site was also utilized by Woodland peoples, but presumably not as intensively as Late Archaic peoples</w:t>
      </w:r>
      <w:r>
        <w:rPr>
          <w:rFonts w:cs="Times New Roman"/>
          <w:szCs w:val="24"/>
        </w:rPr>
        <w:t>, although it is likely much of this layer has been destroyed by looting activities</w:t>
      </w:r>
      <w:r w:rsidRPr="00C123C1">
        <w:rPr>
          <w:rFonts w:cs="Times New Roman"/>
          <w:szCs w:val="24"/>
        </w:rPr>
        <w:t>. The function of the site during the Woodland Period is unknown</w:t>
      </w:r>
      <w:r>
        <w:rPr>
          <w:rFonts w:cs="Times New Roman"/>
          <w:szCs w:val="24"/>
        </w:rPr>
        <w:t>, however, the faunal analysis presented in this thesis concerning Woodland context could shed light on this function.</w:t>
      </w:r>
      <w:r w:rsidRPr="00C123C1">
        <w:rPr>
          <w:rFonts w:cs="Times New Roman"/>
          <w:szCs w:val="24"/>
        </w:rPr>
        <w:t xml:space="preserve"> </w:t>
      </w:r>
    </w:p>
    <w:p w:rsidR="006174EA" w:rsidRDefault="006174EA" w:rsidP="006174EA">
      <w:r>
        <w:br w:type="page"/>
      </w:r>
    </w:p>
    <w:p w:rsidR="00AA0671" w:rsidRPr="00C123C1" w:rsidRDefault="00AA0671" w:rsidP="00D84561">
      <w:pPr>
        <w:pStyle w:val="Heading1"/>
      </w:pPr>
      <w:bookmarkStart w:id="49" w:name="_Toc349507287"/>
      <w:r w:rsidRPr="00C123C1">
        <w:lastRenderedPageBreak/>
        <w:t xml:space="preserve">Chapter 5: </w:t>
      </w:r>
      <w:r w:rsidRPr="00D84561">
        <w:t>Methods</w:t>
      </w:r>
      <w:bookmarkEnd w:id="49"/>
    </w:p>
    <w:p w:rsidR="00AA0671" w:rsidRDefault="00AA0671" w:rsidP="00AA0671">
      <w:pPr>
        <w:spacing w:after="0" w:line="480" w:lineRule="auto"/>
        <w:ind w:firstLine="720"/>
        <w:rPr>
          <w:rFonts w:cs="Times New Roman"/>
          <w:szCs w:val="24"/>
        </w:rPr>
      </w:pPr>
      <w:bookmarkStart w:id="50" w:name="_Toc342930105"/>
    </w:p>
    <w:bookmarkEnd w:id="50"/>
    <w:p w:rsidR="00E72347" w:rsidRDefault="00E72347" w:rsidP="00E72347">
      <w:pPr>
        <w:spacing w:after="0" w:line="480" w:lineRule="auto"/>
        <w:ind w:firstLine="720"/>
        <w:rPr>
          <w:rFonts w:cs="Times New Roman"/>
          <w:szCs w:val="24"/>
        </w:rPr>
      </w:pPr>
      <w:r>
        <w:rPr>
          <w:rFonts w:cs="Times New Roman"/>
          <w:szCs w:val="24"/>
        </w:rPr>
        <w:t xml:space="preserve">The goal of this thesis is to address the site function of Sachsen Cave Shelter as used by Late Archaic and Woodland peoples through the use of faunal analysis. As outlined in the introduction, I believe this can be carried out by using a combination of analyses that aim to address these aspects of the faunal assemblage recovered from the shelter: species present/absent, species diversity, element distribution of large mammals, butchering practices, site seasonality, and age structure of target populations. Before any of these topics can be addressed adequately, however, some consideration must be given to processes that may have changed or altered the faunal remains from their moment of deposition, to recovery, or lack thereof, and ultimately to analysis.  Efforts were therefore made to understand the affects sedimentary context may have had on bone preservation or survivorship, and control for recovery techniques was attempted through using both 1/8” and 1/16” mesh to recover microfauna remains. Faunal assemblages can also be affected by natural agents, such as carnivores, raptorial birds and rodents, especially in a rock shelter location </w:t>
      </w:r>
      <w:r>
        <w:rPr>
          <w:rFonts w:cs="Times New Roman"/>
          <w:szCs w:val="24"/>
        </w:rPr>
        <w:fldChar w:fldCharType="begin"/>
      </w:r>
      <w:r>
        <w:rPr>
          <w:rFonts w:cs="Times New Roman"/>
          <w:szCs w:val="24"/>
        </w:rPr>
        <w:instrText xml:space="preserve"> ADDIN EN.CITE &lt;EndNote&gt;&lt;Cite&gt;&lt;Author&gt;Hoffman&lt;/Author&gt;&lt;Year&gt;1987&lt;/Year&gt;&lt;RecNum&gt;62&lt;/RecNum&gt;&lt;DisplayText&gt;(Hoffman 1987)&lt;/DisplayText&gt;&lt;record&gt;&lt;rec-number&gt;62&lt;/rec-number&gt;&lt;foreign-keys&gt;&lt;key app="EN" db-id="pvwvsv0fktzv2weszt4xp95xstrzawadapa0"&gt;62&lt;/key&gt;&lt;/foreign-keys&gt;&lt;ref-type name="Thesis"&gt;32&lt;/ref-type&gt;&lt;contributors&gt;&lt;authors&gt;&lt;author&gt;Hoffman, Robert W. &lt;/author&gt;&lt;/authors&gt;&lt;/contributors&gt;&lt;titles&gt;&lt;title&gt;Taphonomy and Zooarchaeology of Rockshelters of the Big South Fork Area of the Cumberland Plateau, Tennessee and Kentucky &lt;/title&gt;&lt;secondary-title&gt;Anthropology&lt;/secondary-title&gt;&lt;/titles&gt;&lt;volume&gt;Doctor of Philosophy &lt;/volume&gt;&lt;keywords&gt;&lt;keyword&gt;physiography&lt;/keyword&gt;&lt;/keywords&gt;&lt;dates&gt;&lt;year&gt;1987&lt;/year&gt;&lt;/dates&gt;&lt;pub-location&gt;Knoxville, TN&lt;/pub-location&gt;&lt;publisher&gt;University of Tennessee, Knoxville&lt;/publisher&gt;&lt;urls&gt;&lt;/urls&gt;&lt;research-notes&gt;99 &amp;#xD;&amp;#xD;highly resistant caprock of Pennsylvanian-age sandstones and conglomerates. &amp;#xD;Mississippian-age rocks - limestones and chert &amp;#xD;streams have cut deep, narrow gorges - with steep, precipitous cliff walls up to 100m in hieght &amp;#xD;rouged landscape &lt;/research-notes&gt;&lt;/record&gt;&lt;/Cite&gt;&lt;/EndNote&gt;</w:instrText>
      </w:r>
      <w:r>
        <w:rPr>
          <w:rFonts w:cs="Times New Roman"/>
          <w:szCs w:val="24"/>
        </w:rPr>
        <w:fldChar w:fldCharType="separate"/>
      </w:r>
      <w:r>
        <w:rPr>
          <w:rFonts w:cs="Times New Roman"/>
          <w:noProof/>
          <w:szCs w:val="24"/>
        </w:rPr>
        <w:t>(</w:t>
      </w:r>
      <w:hyperlink w:anchor="_ENREF_38" w:tooltip="Hoffman, 1987 #62" w:history="1">
        <w:r w:rsidR="00B15FB2">
          <w:rPr>
            <w:rFonts w:cs="Times New Roman"/>
            <w:noProof/>
            <w:szCs w:val="24"/>
          </w:rPr>
          <w:t>Hoffman 1987</w:t>
        </w:r>
      </w:hyperlink>
      <w:r>
        <w:rPr>
          <w:rFonts w:cs="Times New Roman"/>
          <w:noProof/>
          <w:szCs w:val="24"/>
        </w:rPr>
        <w:t>)</w:t>
      </w:r>
      <w:r>
        <w:rPr>
          <w:rFonts w:cs="Times New Roman"/>
          <w:szCs w:val="24"/>
        </w:rPr>
        <w:fldChar w:fldCharType="end"/>
      </w:r>
      <w:r>
        <w:rPr>
          <w:rFonts w:cs="Times New Roman"/>
          <w:szCs w:val="24"/>
        </w:rPr>
        <w:t xml:space="preserve">. Modifications such as digestion and ganwing were therefore taken into account as well.This chapter presents the methods employed to address each of these different topics. </w:t>
      </w:r>
    </w:p>
    <w:p w:rsidR="00E72347" w:rsidRPr="00733FCD" w:rsidRDefault="00E72347" w:rsidP="00D84561">
      <w:pPr>
        <w:pStyle w:val="Heading2"/>
      </w:pPr>
      <w:bookmarkStart w:id="51" w:name="_Toc349507288"/>
      <w:r w:rsidRPr="00733FCD">
        <w:t>Faunal Sampling</w:t>
      </w:r>
      <w:bookmarkEnd w:id="51"/>
    </w:p>
    <w:p w:rsidR="00E72347" w:rsidRDefault="00E72347" w:rsidP="00E72347">
      <w:pPr>
        <w:spacing w:after="0" w:line="480" w:lineRule="auto"/>
        <w:ind w:firstLine="720"/>
        <w:rPr>
          <w:rFonts w:cs="Times New Roman"/>
          <w:szCs w:val="24"/>
        </w:rPr>
      </w:pPr>
      <w:r>
        <w:rPr>
          <w:rFonts w:cs="Times New Roman"/>
          <w:szCs w:val="24"/>
        </w:rPr>
        <w:t xml:space="preserve">As outlined in Table 4.5, the majority of the excavated sediment was screened on site using 1/4” mesh (~97%). Initially, it was hoped to analyze all 1/4” recovered faunal remains for this thesis research, however, several factors influenced the ultimate sample size. First, as mentioned earlier, a portion of the 2008 material was sent to Dr. Renee Walker for analysis; her results, however, are incorporated and discussed in Chapter 6. Also, 40 proveniences from 6 test </w:t>
      </w:r>
      <w:r>
        <w:rPr>
          <w:rFonts w:cs="Times New Roman"/>
          <w:szCs w:val="24"/>
        </w:rPr>
        <w:lastRenderedPageBreak/>
        <w:t xml:space="preserve">units (TU 20, 24, 25, 26, 27, 28) are not included in these analyses, simply because these proveniences had yet to be washed and sorted when analyses for this thesis were nearing completion. Given the large sample size, it is unlikely that excluding these proveniences will greatly affect interpretations of the site. Two of these test units were not fully excavated (TU 26 and 27) and 1 test unit (TU 28) was heavily disturbed. Piece-plotted bone artifacts from these units were analyzed, however. Other than these proveniences, all 1/4” and hand recovered faunal remains are included in this analysis. This information can also be found in </w:t>
      </w:r>
      <w:r w:rsidRPr="0000689F">
        <w:rPr>
          <w:rFonts w:cs="Times New Roman"/>
          <w:color w:val="FF0000"/>
          <w:szCs w:val="24"/>
        </w:rPr>
        <w:t>Appendix 1</w:t>
      </w:r>
      <w:r>
        <w:rPr>
          <w:rFonts w:cs="Times New Roman"/>
          <w:szCs w:val="24"/>
        </w:rPr>
        <w:t xml:space="preserve">.  </w:t>
      </w:r>
    </w:p>
    <w:p w:rsidR="00E72347" w:rsidRDefault="00E72347" w:rsidP="00E72347">
      <w:pPr>
        <w:spacing w:after="0" w:line="480" w:lineRule="auto"/>
        <w:ind w:firstLine="720"/>
        <w:rPr>
          <w:rFonts w:cs="Times New Roman"/>
          <w:szCs w:val="24"/>
        </w:rPr>
      </w:pPr>
      <w:r>
        <w:rPr>
          <w:rFonts w:cs="Times New Roman"/>
          <w:szCs w:val="24"/>
        </w:rPr>
        <w:t xml:space="preserve">While 1/4” sampling is generally the norm in archaeological investigation, controlling for collection methods was also important to this research project. Small animal taxa are typically underrepresented by 1/4” screening, which can have great effects on interpretations from archaeological faunal assemblages </w:t>
      </w:r>
      <w:r>
        <w:rPr>
          <w:rFonts w:cs="Times New Roman"/>
          <w:szCs w:val="24"/>
        </w:rPr>
        <w:fldChar w:fldCharType="begin">
          <w:fldData xml:space="preserve">PEVuZE5vdGU+PENpdGU+PEF1dGhvcj5Hb3Jkb248L0F1dGhvcj48WWVhcj4xOTkzPC9ZZWFyPjxS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PEVuZE5vdGU+PENpdGU+PEF1dGhvcj5Hb3Jkb248L0F1dGhvcj48WWVhcj4xOTkzPC9ZZWFyPjxS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4" w:tooltip="Gordon, 1993 #137" w:history="1">
        <w:r w:rsidR="00B15FB2">
          <w:rPr>
            <w:rFonts w:cs="Times New Roman"/>
            <w:noProof/>
            <w:szCs w:val="24"/>
          </w:rPr>
          <w:t>Gordon 1993</w:t>
        </w:r>
      </w:hyperlink>
      <w:r>
        <w:rPr>
          <w:rFonts w:cs="Times New Roman"/>
          <w:noProof/>
          <w:szCs w:val="24"/>
        </w:rPr>
        <w:t xml:space="preserve">; </w:t>
      </w:r>
      <w:hyperlink w:anchor="_ENREF_41" w:tooltip="James, 1997 #138" w:history="1">
        <w:r w:rsidR="00B15FB2">
          <w:rPr>
            <w:rFonts w:cs="Times New Roman"/>
            <w:noProof/>
            <w:szCs w:val="24"/>
          </w:rPr>
          <w:t>James 1997</w:t>
        </w:r>
      </w:hyperlink>
      <w:r>
        <w:rPr>
          <w:rFonts w:cs="Times New Roman"/>
          <w:noProof/>
          <w:szCs w:val="24"/>
        </w:rPr>
        <w:t xml:space="preserve">; </w:t>
      </w:r>
      <w:hyperlink w:anchor="_ENREF_51" w:tooltip="Klippel, 2011 #139" w:history="1">
        <w:r w:rsidR="00B15FB2">
          <w:rPr>
            <w:rFonts w:cs="Times New Roman"/>
            <w:noProof/>
            <w:szCs w:val="24"/>
          </w:rPr>
          <w:t>Klippel, et al. 2011</w:t>
        </w:r>
      </w:hyperlink>
      <w:r>
        <w:rPr>
          <w:rFonts w:cs="Times New Roman"/>
          <w:noProof/>
          <w:szCs w:val="24"/>
        </w:rPr>
        <w:t xml:space="preserve">; </w:t>
      </w:r>
      <w:hyperlink w:anchor="_ENREF_76" w:tooltip="Schaffer, 1992 #140" w:history="1">
        <w:r w:rsidR="00B15FB2">
          <w:rPr>
            <w:rFonts w:cs="Times New Roman"/>
            <w:noProof/>
            <w:szCs w:val="24"/>
          </w:rPr>
          <w:t>Schaffer 1992</w:t>
        </w:r>
      </w:hyperlink>
      <w:r>
        <w:rPr>
          <w:rFonts w:cs="Times New Roman"/>
          <w:noProof/>
          <w:szCs w:val="24"/>
        </w:rPr>
        <w:t>)</w:t>
      </w:r>
      <w:r>
        <w:rPr>
          <w:rFonts w:cs="Times New Roman"/>
          <w:szCs w:val="24"/>
        </w:rPr>
        <w:fldChar w:fldCharType="end"/>
      </w:r>
      <w:r>
        <w:rPr>
          <w:rFonts w:cs="Times New Roman"/>
          <w:szCs w:val="24"/>
        </w:rPr>
        <w:t xml:space="preserve">; however it has been demonstrated that this is not always the case </w:t>
      </w:r>
      <w:r>
        <w:rPr>
          <w:rFonts w:cs="Times New Roman"/>
          <w:szCs w:val="24"/>
        </w:rPr>
        <w:fldChar w:fldCharType="begin"/>
      </w:r>
      <w:r>
        <w:rPr>
          <w:rFonts w:cs="Times New Roman"/>
          <w:szCs w:val="24"/>
        </w:rPr>
        <w:instrText xml:space="preserve"> ADDIN EN.CITE &lt;EndNote&gt;&lt;Cite&gt;&lt;Author&gt;Vale&lt;/Author&gt;&lt;Year&gt;2002&lt;/Year&gt;&lt;RecNum&gt;142&lt;/RecNum&gt;&lt;DisplayText&gt;(Vale and Gargett 2002)&lt;/DisplayText&gt;&lt;record&gt;&lt;rec-number&gt;142&lt;/rec-number&gt;&lt;foreign-keys&gt;&lt;key app="EN" db-id="pvwvsv0fktzv2weszt4xp95xstrzawadapa0"&gt;142&lt;/key&gt;&lt;/foreign-keys&gt;&lt;ref-type name="Journal Article"&gt;17&lt;/ref-type&gt;&lt;contributors&gt;&lt;authors&gt;&lt;author&gt;Vale, Deborah&lt;/author&gt;&lt;author&gt;Gargett, Robert H.&lt;/author&gt;&lt;/authors&gt;&lt;/contributors&gt;&lt;titles&gt;&lt;title&gt;Size Matters: 3-mm Sieves Do Not Increase Richness in a Fishbone Assemblage from Arrawarra I, an Aboriginal Australian Shell Midden on the Mid-north Coast of New South Wales, Australia&lt;/title&gt;&lt;secondary-title&gt;Journal of Archaeological Science&lt;/secondary-title&gt;&lt;/titles&gt;&lt;periodical&gt;&lt;full-title&gt;Journal of Archaeological Science&lt;/full-title&gt;&lt;/periodical&gt;&lt;pages&gt;57-63&lt;/pages&gt;&lt;volume&gt;29&lt;/volume&gt;&lt;number&gt;1&lt;/number&gt;&lt;keywords&gt;&lt;keyword&gt;TAPHONOMY, RECOVERY, ARCHAEOLOGY, MESH SIZE, FAUNAL ANALYSIS, ZOOARCHAEOLOGY, FISHBONE&lt;/keyword&gt;&lt;/keywords&gt;&lt;dates&gt;&lt;year&gt;2002&lt;/year&gt;&lt;pub-dates&gt;&lt;date&gt;1//&lt;/date&gt;&lt;/pub-dates&gt;&lt;/dates&gt;&lt;isbn&gt;0305-4403&lt;/isbn&gt;&lt;urls&gt;&lt;related-urls&gt;&lt;url&gt;http://www.sciencedirect.com/science/article/pii/S0305440301907046&lt;/url&gt;&lt;/related-urls&gt;&lt;/urls&gt;&lt;electronic-resource-num&gt;http://dx.doi.org/10.1006/jasc.2001.0704&lt;/electronic-resource-num&gt;&lt;/record&gt;&lt;/Cite&gt;&lt;/EndNote&gt;</w:instrText>
      </w:r>
      <w:r>
        <w:rPr>
          <w:rFonts w:cs="Times New Roman"/>
          <w:szCs w:val="24"/>
        </w:rPr>
        <w:fldChar w:fldCharType="separate"/>
      </w:r>
      <w:r>
        <w:rPr>
          <w:rFonts w:cs="Times New Roman"/>
          <w:noProof/>
          <w:szCs w:val="24"/>
        </w:rPr>
        <w:t>(</w:t>
      </w:r>
      <w:hyperlink w:anchor="_ENREF_90" w:tooltip="Vale, 2002 #142" w:history="1">
        <w:r w:rsidR="00B15FB2">
          <w:rPr>
            <w:rFonts w:cs="Times New Roman"/>
            <w:noProof/>
            <w:szCs w:val="24"/>
          </w:rPr>
          <w:t>Vale and Gargett 2002</w:t>
        </w:r>
      </w:hyperlink>
      <w:r>
        <w:rPr>
          <w:rFonts w:cs="Times New Roman"/>
          <w:noProof/>
          <w:szCs w:val="24"/>
        </w:rPr>
        <w:t>)</w:t>
      </w:r>
      <w:r>
        <w:rPr>
          <w:rFonts w:cs="Times New Roman"/>
          <w:szCs w:val="24"/>
        </w:rPr>
        <w:fldChar w:fldCharType="end"/>
      </w:r>
      <w:r>
        <w:rPr>
          <w:rFonts w:cs="Times New Roman"/>
          <w:szCs w:val="24"/>
        </w:rPr>
        <w:t xml:space="preserve">. It cannot be </w:t>
      </w:r>
      <w:r>
        <w:rPr>
          <w:rFonts w:cs="Times New Roman"/>
          <w:i/>
          <w:szCs w:val="24"/>
        </w:rPr>
        <w:t xml:space="preserve">a priori </w:t>
      </w:r>
      <w:r>
        <w:rPr>
          <w:rFonts w:cs="Times New Roman"/>
          <w:szCs w:val="24"/>
        </w:rPr>
        <w:t xml:space="preserve"> known whether 1/8” screening will in fact be beneficial or not; therefore, samples of 1/8” and 1/16” recovered material were selected and hand sorted to obtain faunal remains (</w:t>
      </w:r>
      <w:r w:rsidRPr="00B2290F">
        <w:rPr>
          <w:rFonts w:cs="Times New Roman"/>
          <w:color w:val="FF0000"/>
          <w:szCs w:val="24"/>
        </w:rPr>
        <w:t>see Figure 5.1</w:t>
      </w:r>
      <w:r>
        <w:rPr>
          <w:rFonts w:cs="Times New Roman"/>
          <w:szCs w:val="24"/>
        </w:rPr>
        <w:t xml:space="preserve">). It is hypothesized that small animal taxa will be recovered from these samples and will add greater support to interpretations of the faunal assemblage of Sachsen Cave Shelter presented in the conclusions, as well as potentially yield new information about the faunal assemblage in general. </w:t>
      </w:r>
    </w:p>
    <w:p w:rsidR="00E72347" w:rsidRDefault="00E72347" w:rsidP="00E72347">
      <w:pPr>
        <w:spacing w:after="0" w:line="480" w:lineRule="auto"/>
        <w:ind w:firstLine="720"/>
        <w:rPr>
          <w:rFonts w:cs="Times New Roman"/>
          <w:color w:val="FF0000"/>
          <w:szCs w:val="24"/>
        </w:rPr>
      </w:pPr>
      <w:r>
        <w:rPr>
          <w:rFonts w:cs="Times New Roman"/>
          <w:szCs w:val="24"/>
        </w:rPr>
        <w:t xml:space="preserve">As outlined in </w:t>
      </w:r>
      <w:r w:rsidRPr="00044667">
        <w:rPr>
          <w:rFonts w:cs="Times New Roman"/>
          <w:color w:val="FF0000"/>
          <w:szCs w:val="24"/>
        </w:rPr>
        <w:t>Table 5.2</w:t>
      </w:r>
      <w:r w:rsidRPr="00044667">
        <w:rPr>
          <w:rFonts w:cs="Times New Roman"/>
          <w:szCs w:val="24"/>
        </w:rPr>
        <w:t>, and before in Table 4.5</w:t>
      </w:r>
      <w:r>
        <w:rPr>
          <w:rFonts w:cs="Times New Roman"/>
          <w:szCs w:val="24"/>
        </w:rPr>
        <w:t>, approximately 19% of all excavated materials were water screened through 1/8” mesh on site and approximately 3% of all excavated material was collected for flotation, which yields light fraction, 1/4”, 1/8” and 1/16” samples sizes. Faunal material recovered using 1/8” mesh was only identified from a sample of this 19% sample, which accounts for approximately 7% of all excavated sediment at the site (</w:t>
      </w:r>
      <w:r w:rsidRPr="0021722F">
        <w:rPr>
          <w:rFonts w:cs="Times New Roman"/>
          <w:color w:val="FF0000"/>
          <w:szCs w:val="24"/>
        </w:rPr>
        <w:t>Table</w:t>
      </w:r>
      <w:r>
        <w:rPr>
          <w:rFonts w:cs="Times New Roman"/>
          <w:color w:val="FF0000"/>
          <w:szCs w:val="24"/>
        </w:rPr>
        <w:t xml:space="preserve"> 5.3</w:t>
      </w:r>
      <w:r>
        <w:rPr>
          <w:rFonts w:cs="Times New Roman"/>
          <w:szCs w:val="24"/>
        </w:rPr>
        <w:t xml:space="preserve">). </w:t>
      </w:r>
      <w:r>
        <w:rPr>
          <w:rFonts w:cs="Times New Roman"/>
          <w:szCs w:val="24"/>
        </w:rPr>
        <w:lastRenderedPageBreak/>
        <w:t>Additionally, faunal remains were sorted and identified from material recovered from 1/16” mesh from 17 flotation samples (</w:t>
      </w:r>
      <w:r w:rsidRPr="007F460F">
        <w:rPr>
          <w:rFonts w:cs="Times New Roman"/>
          <w:color w:val="FF0000"/>
          <w:szCs w:val="24"/>
        </w:rPr>
        <w:t>Table 5.</w:t>
      </w:r>
      <w:r>
        <w:rPr>
          <w:rFonts w:cs="Times New Roman"/>
          <w:color w:val="FF0000"/>
          <w:szCs w:val="24"/>
        </w:rPr>
        <w:t>4</w:t>
      </w:r>
      <w:r>
        <w:rPr>
          <w:rFonts w:cs="Times New Roman"/>
          <w:szCs w:val="24"/>
        </w:rPr>
        <w:t xml:space="preserve">). Approximately 18.8% of the total 586 liters of sediment collected for flotation were subject to this analysis; however, given the large sample sizes in each provenience and the labor investment involved in processing these samples under a microscope for the recovery and identification of faunal remains, further sampling was employed. For each of the 17 flotation samples, materials recovered between 1/16” and 1/8” mesh after flotation were passed through a riffle sorter 1 to 3 three times, depending on their volume, to obtain 50%, 25% or 12.5% samples of the original samples. As indicated in Table 5.4, both 4L and 10L flotation samples were processed. Most of the 4L samples were reduced by 75% of their original size, although two were increased to 50% when no faunal remains were encountered. All but one of the 10L samples was reduced by 87.5% of their original size. The only Woodland sample comes from TU31 L3 and was reduced only by 75% to obtain a better sample size from this context. In total, &lt;1% of the all the excavated sediment from Sachsen Cave shelter was ultimately analyzed for 1/16” recovered faunal remains.  </w:t>
      </w:r>
    </w:p>
    <w:p w:rsidR="00E72347" w:rsidRPr="005C4C88" w:rsidRDefault="00E72347" w:rsidP="00D84561">
      <w:pPr>
        <w:pStyle w:val="Heading2"/>
      </w:pPr>
      <w:bookmarkStart w:id="52" w:name="_Toc349507289"/>
      <w:r w:rsidRPr="00ED1D06">
        <w:t>Faunal Identification</w:t>
      </w:r>
      <w:r>
        <w:t xml:space="preserve"> </w:t>
      </w:r>
      <w:r w:rsidRPr="00D84561">
        <w:t>and</w:t>
      </w:r>
      <w:r>
        <w:t xml:space="preserve"> Quantification</w:t>
      </w:r>
      <w:bookmarkEnd w:id="52"/>
      <w:r>
        <w:t xml:space="preserve"> </w:t>
      </w:r>
    </w:p>
    <w:p w:rsidR="00E72347" w:rsidRPr="00ED1D06" w:rsidRDefault="00E72347" w:rsidP="00E72347">
      <w:pPr>
        <w:spacing w:after="0" w:line="480" w:lineRule="auto"/>
        <w:ind w:firstLine="720"/>
        <w:rPr>
          <w:rFonts w:cs="Times New Roman"/>
          <w:szCs w:val="24"/>
        </w:rPr>
      </w:pPr>
      <w:r w:rsidRPr="00ED1D06">
        <w:rPr>
          <w:rFonts w:cs="Times New Roman"/>
          <w:szCs w:val="24"/>
        </w:rPr>
        <w:t xml:space="preserve">All faunal remains discussed in this thesis </w:t>
      </w:r>
      <w:r>
        <w:rPr>
          <w:rFonts w:cs="Times New Roman"/>
          <w:szCs w:val="24"/>
        </w:rPr>
        <w:t xml:space="preserve">that were recovered using 1/4”, 1/8” and 1/16” mesh </w:t>
      </w:r>
      <w:r w:rsidRPr="00ED1D06">
        <w:rPr>
          <w:rFonts w:cs="Times New Roman"/>
          <w:szCs w:val="24"/>
        </w:rPr>
        <w:t xml:space="preserve">were analyzed at the University of Tennessee by the author except </w:t>
      </w:r>
      <w:r>
        <w:rPr>
          <w:rFonts w:cs="Times New Roman"/>
          <w:szCs w:val="24"/>
        </w:rPr>
        <w:t xml:space="preserve">those analyzed by Renee Walker. </w:t>
      </w:r>
      <w:r w:rsidRPr="00ED1D06">
        <w:rPr>
          <w:rFonts w:cs="Times New Roman"/>
          <w:szCs w:val="24"/>
        </w:rPr>
        <w:t>Faunal remains analyzed at the University of Tennessee were compared to specimens in the North American Vertebrate Collection housed in South Stadium Hall. Skeletal elements of potential domestic dog (</w:t>
      </w:r>
      <w:r w:rsidRPr="00ED1D06">
        <w:rPr>
          <w:rFonts w:cs="Times New Roman"/>
          <w:i/>
          <w:szCs w:val="24"/>
        </w:rPr>
        <w:t>Canis faimiliaris</w:t>
      </w:r>
      <w:r w:rsidRPr="00ED1D06">
        <w:rPr>
          <w:rFonts w:cs="Times New Roman"/>
          <w:szCs w:val="24"/>
        </w:rPr>
        <w:t xml:space="preserve">) were also compared to Archaic dogs recovered from the Eva site in Central Tennessee </w:t>
      </w:r>
      <w:r w:rsidRPr="00ED1D06">
        <w:rPr>
          <w:rFonts w:cs="Times New Roman"/>
          <w:szCs w:val="24"/>
        </w:rPr>
        <w:fldChar w:fldCharType="begin"/>
      </w:r>
      <w:r w:rsidRPr="00ED1D06">
        <w:rPr>
          <w:rFonts w:cs="Times New Roman"/>
          <w:szCs w:val="24"/>
        </w:rPr>
        <w:instrText xml:space="preserve"> ADDIN EN.CITE &lt;EndNote&gt;&lt;Cite&gt;&lt;Author&gt;Lewis&lt;/Author&gt;&lt;Year&gt;1961&lt;/Year&gt;&lt;RecNum&gt;79&lt;/RecNum&gt;&lt;DisplayText&gt;(Lewis and Lewis 1961)&lt;/DisplayText&gt;&lt;record&gt;&lt;rec-number&gt;79&lt;/rec-number&gt;&lt;foreign-keys&gt;&lt;key app="EN" db-id="pvwvsv0fktzv2weszt4xp95xstrzawadapa0"&gt;79&lt;/key&gt;&lt;/foreign-keys&gt;&lt;ref-type name="Book"&gt;6&lt;/ref-type&gt;&lt;contributors&gt;&lt;authors&gt;&lt;author&gt;Lewis, Thomas M. N. &lt;/author&gt;&lt;author&gt;Madeline Kneberg Lewis &lt;/author&gt;&lt;/authors&gt;&lt;/contributors&gt;&lt;titles&gt;&lt;title&gt;Eva: An Archaic Site &lt;/title&gt;&lt;/titles&gt;&lt;dates&gt;&lt;year&gt;1961&lt;/year&gt;&lt;/dates&gt;&lt;pub-location&gt;Knoxville&lt;/pub-location&gt;&lt;publisher&gt;University of Tennessee Press &lt;/publisher&gt;&lt;urls&gt;&lt;/urls&gt;&lt;/record&gt;&lt;/Cite&gt;&lt;/EndNote&gt;</w:instrText>
      </w:r>
      <w:r w:rsidRPr="00ED1D06">
        <w:rPr>
          <w:rFonts w:cs="Times New Roman"/>
          <w:szCs w:val="24"/>
        </w:rPr>
        <w:fldChar w:fldCharType="separate"/>
      </w:r>
      <w:r w:rsidRPr="00ED1D06">
        <w:rPr>
          <w:rFonts w:cs="Times New Roman"/>
          <w:noProof/>
          <w:szCs w:val="24"/>
        </w:rPr>
        <w:t>(</w:t>
      </w:r>
      <w:hyperlink w:anchor="_ENREF_54" w:tooltip="Lewis, 1961 #79" w:history="1">
        <w:r w:rsidR="00B15FB2" w:rsidRPr="00ED1D06">
          <w:rPr>
            <w:rFonts w:cs="Times New Roman"/>
            <w:noProof/>
            <w:szCs w:val="24"/>
          </w:rPr>
          <w:t>Lewis and Lewis 1961</w:t>
        </w:r>
      </w:hyperlink>
      <w:r w:rsidRPr="00ED1D06">
        <w:rPr>
          <w:rFonts w:cs="Times New Roman"/>
          <w:noProof/>
          <w:szCs w:val="24"/>
        </w:rPr>
        <w:t>)</w:t>
      </w:r>
      <w:r w:rsidRPr="00ED1D06">
        <w:rPr>
          <w:rFonts w:cs="Times New Roman"/>
          <w:szCs w:val="24"/>
        </w:rPr>
        <w:fldChar w:fldCharType="end"/>
      </w:r>
      <w:r w:rsidRPr="00ED1D06">
        <w:rPr>
          <w:rFonts w:cs="Times New Roman"/>
          <w:szCs w:val="24"/>
        </w:rPr>
        <w:t xml:space="preserve"> housed in the McClung Museum. This was done to ensure more accurate analysis of these remains, as dog sizes have changed through time and breeding</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&lt;EndNote&gt;&lt;Cite&gt;&lt;Author&gt;Worthington&lt;/Author&gt;&lt;Year&gt;2008&lt;/Year&gt;&lt;RecNum&gt;166&lt;/RecNum&gt;&lt;DisplayText&gt;(Worthington 2008)&lt;/DisplayText&gt;&lt;record&gt;&lt;rec-number&gt;166&lt;/rec-number&gt;&lt;foreign-keys&gt;&lt;key app="EN" db-id="pvwvsv0fktzv2weszt4xp95xstrzawadapa0"&gt;166&lt;/key&gt;&lt;/foreign-keys&gt;&lt;ref-type name="Thesis"&gt;32&lt;/ref-type&gt;&lt;contributors&gt;&lt;authors&gt;&lt;author&gt;Worthington, Brian E. &lt;/author&gt;&lt;/authors&gt;&lt;/contributors&gt;&lt;titles&gt;&lt;title&gt;An Osteometric Analysis of Southeastern Prehistoric Domestic Dogs&lt;/title&gt;&lt;secondary-title&gt;Department of Anthropology &lt;/secondary-title&gt;&lt;/titles&gt;&lt;dates&gt;&lt;year&gt;2008&lt;/year&gt;&lt;/dates&gt;&lt;publisher&gt;Florida State University &lt;/publisher&gt;&lt;urls&gt;&lt;/urls&gt;&lt;/record&gt;&lt;/Cite&gt;&lt;/EndNote&gt;</w:instrText>
      </w:r>
      <w:r>
        <w:rPr>
          <w:rFonts w:cs="Times New Roman"/>
          <w:szCs w:val="24"/>
        </w:rPr>
        <w:fldChar w:fldCharType="separate"/>
      </w:r>
      <w:r>
        <w:rPr>
          <w:rFonts w:cs="Times New Roman"/>
          <w:noProof/>
          <w:szCs w:val="24"/>
        </w:rPr>
        <w:t>(</w:t>
      </w:r>
      <w:hyperlink w:anchor="_ENREF_96" w:tooltip="Worthington, 2008 #166" w:history="1">
        <w:r w:rsidR="00B15FB2">
          <w:rPr>
            <w:rFonts w:cs="Times New Roman"/>
            <w:noProof/>
            <w:szCs w:val="24"/>
          </w:rPr>
          <w:t>Worthington 2008</w:t>
        </w:r>
      </w:hyperlink>
      <w:r>
        <w:rPr>
          <w:rFonts w:cs="Times New Roman"/>
          <w:noProof/>
          <w:szCs w:val="24"/>
        </w:rPr>
        <w:t>)</w:t>
      </w:r>
      <w:r>
        <w:rPr>
          <w:rFonts w:cs="Times New Roman"/>
          <w:szCs w:val="24"/>
        </w:rPr>
        <w:fldChar w:fldCharType="end"/>
      </w:r>
      <w:r w:rsidRPr="00ED1D06">
        <w:rPr>
          <w:rFonts w:cs="Times New Roman"/>
          <w:szCs w:val="24"/>
        </w:rPr>
        <w:t xml:space="preserve">. </w:t>
      </w:r>
    </w:p>
    <w:p w:rsidR="00E72347" w:rsidRDefault="00E72347" w:rsidP="00E72347">
      <w:pPr>
        <w:spacing w:after="0" w:line="480" w:lineRule="auto"/>
        <w:ind w:firstLine="720"/>
        <w:rPr>
          <w:rFonts w:cs="Times New Roman"/>
          <w:szCs w:val="24"/>
        </w:rPr>
      </w:pPr>
      <w:r w:rsidRPr="00ED1D06">
        <w:rPr>
          <w:rFonts w:cs="Times New Roman"/>
          <w:szCs w:val="24"/>
        </w:rPr>
        <w:lastRenderedPageBreak/>
        <w:t>Identification of faunal remains is, at its most basic level, a two-step process. Each faunal element must be grouped within a taxonomic category while simultaneously assigned a skeletal element designation, and vice versa. Taxonomic groups follow the Linnaean Taxonomic System (i.e. Class, Order, Family, Genus, Species). While species identifications are the most specific classifications, other taxonomic categories were often employed when species identifications were not possible. All high-level classifications were subdivided into size class where necessary. Remains that could not be identified to any specific Class were desi</w:t>
      </w:r>
      <w:r>
        <w:rPr>
          <w:rFonts w:cs="Times New Roman"/>
          <w:szCs w:val="24"/>
        </w:rPr>
        <w:t xml:space="preserve">gnated ‘UID’ or unidentifiable. For mammals, size class was determined by adult weight. Small mammals are those less than 10 lbs, medium mammals are between 10 – 50 lbs and large mammals are 50 lbs or more. Birds are divided into sizes of large and small.  </w:t>
      </w:r>
    </w:p>
    <w:p w:rsidR="00E72347" w:rsidRPr="00ED1D06" w:rsidRDefault="00E72347" w:rsidP="00E72347">
      <w:pPr>
        <w:spacing w:after="0" w:line="480" w:lineRule="auto"/>
        <w:ind w:firstLine="720"/>
        <w:rPr>
          <w:rFonts w:cs="Times New Roman"/>
          <w:szCs w:val="24"/>
        </w:rPr>
      </w:pPr>
      <w:r w:rsidRPr="00ED1D06">
        <w:rPr>
          <w:rFonts w:cs="Times New Roman"/>
          <w:szCs w:val="24"/>
        </w:rPr>
        <w:t>Skeletal elements were identified by comparing similarities in morphology between the archaeological specimens and specimens from the reference collections. Morphological indicators include features of bones – such as foramena, fossa, tubercles, trochanters and condyles. When possible, side (right, left or axial) was recorded. General terms for skeletal elements were also utilized, such as ‘cranium’ and ‘long bone’. UID was also assigned to skeletal elements that were too fragmentary to identify. Portion was also recorded for this analysis for both ease in determining MNI (</w:t>
      </w:r>
      <w:r>
        <w:rPr>
          <w:rFonts w:cs="Times New Roman"/>
          <w:szCs w:val="24"/>
        </w:rPr>
        <w:t>explained below</w:t>
      </w:r>
      <w:r w:rsidRPr="00ED1D06">
        <w:rPr>
          <w:rFonts w:cs="Times New Roman"/>
          <w:szCs w:val="24"/>
        </w:rPr>
        <w:t>) and discussing taphonomic processes (such as butchering, transport and scavenging animals, all discussed below). Various manual</w:t>
      </w:r>
      <w:r>
        <w:rPr>
          <w:rFonts w:cs="Times New Roman"/>
          <w:szCs w:val="24"/>
        </w:rPr>
        <w:t>s</w:t>
      </w:r>
      <w:r w:rsidRPr="00ED1D06">
        <w:rPr>
          <w:rFonts w:cs="Times New Roman"/>
          <w:szCs w:val="24"/>
        </w:rPr>
        <w:t xml:space="preserve"> were employed to aid in the identification of skeletal elements or terminology used for certain elements</w:t>
      </w:r>
      <w:r>
        <w:rPr>
          <w:rFonts w:cs="Times New Roman"/>
          <w:szCs w:val="24"/>
        </w:rPr>
        <w:t xml:space="preserve"> </w:t>
      </w:r>
      <w:r>
        <w:rPr>
          <w:rFonts w:cs="Times New Roman"/>
          <w:szCs w:val="24"/>
        </w:rPr>
        <w:fldChar w:fldCharType="begin">
          <w:fldData xml:space="preserve">PEVuZE5vdGU+PENpdGU+PEF1dGhvcj5TaXNzb248L0F1dGhvcj48WWVhcj4xOTIxPC9ZZWFyPjxS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PEVuZE5vdGU+PENpdGU+PEF1dGhvcj5TaXNzb248L0F1dGhvcj48WWVhcj4xOTIxPC9ZZWFyPjxS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2" w:tooltip="Gilbert, 1990 #145" w:history="1">
        <w:r w:rsidR="00B15FB2">
          <w:rPr>
            <w:rFonts w:cs="Times New Roman"/>
            <w:noProof/>
            <w:szCs w:val="24"/>
          </w:rPr>
          <w:t>Gilbert 1990</w:t>
        </w:r>
      </w:hyperlink>
      <w:r>
        <w:rPr>
          <w:rFonts w:cs="Times New Roman"/>
          <w:noProof/>
          <w:szCs w:val="24"/>
        </w:rPr>
        <w:t xml:space="preserve">; </w:t>
      </w:r>
      <w:hyperlink w:anchor="_ENREF_66" w:tooltip="Olsen, 1968 #146" w:history="1">
        <w:r w:rsidR="00B15FB2">
          <w:rPr>
            <w:rFonts w:cs="Times New Roman"/>
            <w:noProof/>
            <w:szCs w:val="24"/>
          </w:rPr>
          <w:t>Olsen 1968a</w:t>
        </w:r>
      </w:hyperlink>
      <w:r>
        <w:rPr>
          <w:rFonts w:cs="Times New Roman"/>
          <w:noProof/>
          <w:szCs w:val="24"/>
        </w:rPr>
        <w:t xml:space="preserve">, </w:t>
      </w:r>
      <w:hyperlink w:anchor="_ENREF_67" w:tooltip="Olsen, 1968 #144" w:history="1">
        <w:r w:rsidR="00B15FB2">
          <w:rPr>
            <w:rFonts w:cs="Times New Roman"/>
            <w:noProof/>
            <w:szCs w:val="24"/>
          </w:rPr>
          <w:t>b</w:t>
        </w:r>
      </w:hyperlink>
      <w:r>
        <w:rPr>
          <w:rFonts w:cs="Times New Roman"/>
          <w:noProof/>
          <w:szCs w:val="24"/>
        </w:rPr>
        <w:t xml:space="preserve">; </w:t>
      </w:r>
      <w:hyperlink w:anchor="_ENREF_83" w:tooltip="Sisson, 1921 #143" w:history="1">
        <w:r w:rsidR="00B15FB2">
          <w:rPr>
            <w:rFonts w:cs="Times New Roman"/>
            <w:noProof/>
            <w:szCs w:val="24"/>
          </w:rPr>
          <w:t>Sisson 1921</w:t>
        </w:r>
      </w:hyperlink>
      <w:r>
        <w:rPr>
          <w:rFonts w:cs="Times New Roman"/>
          <w:noProof/>
          <w:szCs w:val="24"/>
        </w:rPr>
        <w:t>)</w:t>
      </w:r>
      <w:r>
        <w:rPr>
          <w:rFonts w:cs="Times New Roman"/>
          <w:szCs w:val="24"/>
        </w:rPr>
        <w:fldChar w:fldCharType="end"/>
      </w:r>
      <w:r>
        <w:rPr>
          <w:rFonts w:cs="Times New Roman"/>
          <w:szCs w:val="24"/>
        </w:rPr>
        <w:t>.</w:t>
      </w:r>
      <w:r w:rsidRPr="00ED1D06">
        <w:rPr>
          <w:rFonts w:cs="Times New Roman"/>
          <w:szCs w:val="24"/>
        </w:rPr>
        <w:t xml:space="preserve"> Additionally, age and sex where recorded where possible. </w:t>
      </w:r>
    </w:p>
    <w:p w:rsidR="00E72347" w:rsidRDefault="00E72347" w:rsidP="00E72347">
      <w:pPr>
        <w:spacing w:after="0" w:line="480" w:lineRule="auto"/>
        <w:ind w:firstLine="720"/>
        <w:rPr>
          <w:rFonts w:cs="Times New Roman"/>
          <w:szCs w:val="24"/>
        </w:rPr>
      </w:pPr>
      <w:r w:rsidRPr="00ED1D06">
        <w:rPr>
          <w:rFonts w:cs="Times New Roman"/>
          <w:szCs w:val="24"/>
        </w:rPr>
        <w:t xml:space="preserve">Each faunal </w:t>
      </w:r>
      <w:r>
        <w:rPr>
          <w:rFonts w:cs="Times New Roman"/>
          <w:szCs w:val="24"/>
        </w:rPr>
        <w:t>element</w:t>
      </w:r>
      <w:r w:rsidRPr="00ED1D06">
        <w:rPr>
          <w:rFonts w:cs="Times New Roman"/>
          <w:szCs w:val="24"/>
        </w:rPr>
        <w:t xml:space="preserve"> was counted and weighed to the nearest 100</w:t>
      </w:r>
      <w:r w:rsidRPr="00ED1D06">
        <w:rPr>
          <w:rFonts w:cs="Times New Roman"/>
          <w:szCs w:val="24"/>
          <w:vertAlign w:val="superscript"/>
        </w:rPr>
        <w:t>th</w:t>
      </w:r>
      <w:r w:rsidRPr="00ED1D06">
        <w:rPr>
          <w:rFonts w:cs="Times New Roman"/>
          <w:szCs w:val="24"/>
        </w:rPr>
        <w:t xml:space="preserve"> gram. Unidentifiable remains were weighed together. Burned and calcined bone was also weighed separately from </w:t>
      </w:r>
      <w:r w:rsidRPr="00ED1D06">
        <w:rPr>
          <w:rFonts w:cs="Times New Roman"/>
          <w:szCs w:val="24"/>
        </w:rPr>
        <w:lastRenderedPageBreak/>
        <w:t xml:space="preserve">unburned specimen. Each weighed unit (whether a single faunal element or a group of unidentifiable elements) was given a Specimen Number (SP#) by combining the test unit, level and number in the sequence of identification for each provenience. For example, the third identified faunal element from Test Unit 1 Level 2 would be SP# 1-2-3. Faunal remains recovered from surface context are Test Unit 0 Level 1, and faunal remains from wall scrapings are given a letter in place of a level that indicates from which wall (North, South, East or West) the faunal element came. </w:t>
      </w:r>
      <w:r>
        <w:rPr>
          <w:rFonts w:cs="Times New Roman"/>
          <w:szCs w:val="24"/>
        </w:rPr>
        <w:t xml:space="preserve">Faunal material recovered from 1/8” and 1/16” received an extra prefix of .25 and .125, respectively. </w:t>
      </w:r>
    </w:p>
    <w:p w:rsidR="00E72347" w:rsidRDefault="00E72347" w:rsidP="00E72347">
      <w:pPr>
        <w:spacing w:after="0" w:line="480" w:lineRule="auto"/>
        <w:ind w:firstLine="720"/>
        <w:rPr>
          <w:rFonts w:cs="Times New Roman"/>
          <w:szCs w:val="24"/>
        </w:rPr>
      </w:pPr>
      <w:r>
        <w:rPr>
          <w:rFonts w:cs="Times New Roman"/>
          <w:szCs w:val="24"/>
        </w:rPr>
        <w:t xml:space="preserve">Quantifications of a faunal analysis are necessary to compare and contrast different types of animals, abundance of these animals, the different sizes of animals represented at a site and changes that occur through time. Most zooarchaeologist’s first method of quantification is NISP, which stands for Number of Individual Specimen Present  </w:t>
      </w:r>
      <w:r>
        <w:rPr>
          <w:rFonts w:cs="Times New Roman"/>
          <w:szCs w:val="24"/>
        </w:rPr>
        <w:fldChar w:fldCharType="begin"/>
      </w:r>
      <w:r>
        <w:rPr>
          <w:rFonts w:cs="Times New Roman"/>
          <w:szCs w:val="24"/>
        </w:rPr>
        <w:instrText xml:space="preserve"> ADDIN EN.CITE &lt;EndNote&gt;&lt;Cite&gt;&lt;Author&gt;Payne&lt;/Author&gt;&lt;Year&gt;1975&lt;/Year&gt;&lt;RecNum&gt;157&lt;/RecNum&gt;&lt;DisplayText&gt;(Payne 1975)&lt;/DisplayText&gt;&lt;record&gt;&lt;rec-number&gt;157&lt;/rec-number&gt;&lt;foreign-keys&gt;&lt;key app="EN" db-id="pvwvsv0fktzv2weszt4xp95xstrzawadapa0"&gt;157&lt;/key&gt;&lt;/foreign-keys&gt;&lt;ref-type name="Book Section"&gt;5&lt;/ref-type&gt;&lt;contributors&gt;&lt;authors&gt;&lt;author&gt;Payne, Sebestian P. &lt;/author&gt;&lt;/authors&gt;&lt;secondary-authors&gt;&lt;author&gt;A. T. Clason &lt;/author&gt;&lt;/secondary-authors&gt;&lt;/contributors&gt;&lt;titles&gt;&lt;title&gt;Partial Recovery and Sample Bias &lt;/title&gt;&lt;secondary-title&gt;Archaeozoological Studies &lt;/secondary-title&gt;&lt;/titles&gt;&lt;pages&gt;7-17&lt;/pages&gt;&lt;dates&gt;&lt;year&gt;1975&lt;/year&gt;&lt;/dates&gt;&lt;pub-location&gt;Amsterdam&lt;/pub-location&gt;&lt;publisher&gt;North-Holland Publishing Company &lt;/publisher&gt;&lt;urls&gt;&lt;/urls&gt;&lt;/record&gt;&lt;/Cite&gt;&lt;/EndNote&gt;</w:instrText>
      </w:r>
      <w:r>
        <w:rPr>
          <w:rFonts w:cs="Times New Roman"/>
          <w:szCs w:val="24"/>
        </w:rPr>
        <w:fldChar w:fldCharType="separate"/>
      </w:r>
      <w:r>
        <w:rPr>
          <w:rFonts w:cs="Times New Roman"/>
          <w:noProof/>
          <w:szCs w:val="24"/>
        </w:rPr>
        <w:t>(</w:t>
      </w:r>
      <w:hyperlink w:anchor="_ENREF_69" w:tooltip="Payne, 1975 #157" w:history="1">
        <w:r w:rsidR="00B15FB2">
          <w:rPr>
            <w:rFonts w:cs="Times New Roman"/>
            <w:noProof/>
            <w:szCs w:val="24"/>
          </w:rPr>
          <w:t>Payne 1975</w:t>
        </w:r>
      </w:hyperlink>
      <w:r>
        <w:rPr>
          <w:rFonts w:cs="Times New Roman"/>
          <w:noProof/>
          <w:szCs w:val="24"/>
        </w:rPr>
        <w:t>)</w:t>
      </w:r>
      <w:r>
        <w:rPr>
          <w:rFonts w:cs="Times New Roman"/>
          <w:szCs w:val="24"/>
        </w:rPr>
        <w:fldChar w:fldCharType="end"/>
      </w:r>
      <w:r>
        <w:rPr>
          <w:rFonts w:cs="Times New Roman"/>
          <w:szCs w:val="24"/>
        </w:rPr>
        <w:t xml:space="preserve">.This is literally the count of each bone in a particular taxa, for a particular context. For example, if 42 white-tailed deer elements were recovered from an Archaic context, and 105 from a Woodland context, the NISP for white-tailed deer in Archaic layer is 42 and the NISP for white-tailed deer in Woodland layer is 105. While this basic count is quite informative, it does not account for how many deer may be represented. It could be that the 42 elements in the Archaic layer represent 5 deer, while only one deer is represent by 105 elements in the Woodland layer. To account for this, another method of quantification was employed, MNI or Minimum Number of Individuals </w:t>
      </w:r>
      <w:r>
        <w:rPr>
          <w:rFonts w:cs="Times New Roman"/>
          <w:szCs w:val="24"/>
        </w:rPr>
        <w:fldChar w:fldCharType="begin"/>
      </w:r>
      <w:r>
        <w:rPr>
          <w:rFonts w:cs="Times New Roman"/>
          <w:szCs w:val="24"/>
        </w:rPr>
        <w:instrText xml:space="preserve"> ADDIN EN.CITE &lt;EndNote&gt;&lt;Cite&gt;&lt;Author&gt;White&lt;/Author&gt;&lt;Year&gt;1953&lt;/Year&gt;&lt;RecNum&gt;158&lt;/RecNum&gt;&lt;DisplayText&gt;(White 1953)&lt;/DisplayText&gt;&lt;record&gt;&lt;rec-number&gt;158&lt;/rec-number&gt;&lt;foreign-keys&gt;&lt;key app="EN" db-id="pvwvsv0fktzv2weszt4xp95xstrzawadapa0"&gt;158&lt;/key&gt;&lt;/foreign-keys&gt;&lt;ref-type name="Journal Article"&gt;17&lt;/ref-type&gt;&lt;contributors&gt;&lt;authors&gt;&lt;author&gt;White, T.E. &lt;/author&gt;&lt;/authors&gt;&lt;/contributors&gt;&lt;titles&gt;&lt;title&gt;A Method of Calculating the Dietary Percentage of Various Food Animals Utilized by Aboriginal Peoples&lt;/title&gt;&lt;secondary-title&gt;American Antiquity&lt;/secondary-title&gt;&lt;/titles&gt;&lt;periodical&gt;&lt;full-title&gt;American Antiquity&lt;/full-title&gt;&lt;/periodical&gt;&lt;pages&gt;396-398&lt;/pages&gt;&lt;volume&gt;18&lt;/volume&gt;&lt;dates&gt;&lt;year&gt;1953&lt;/year&gt;&lt;/dates&gt;&lt;urls&gt;&lt;/urls&gt;&lt;/record&gt;&lt;/Cite&gt;&lt;/EndNote&gt;</w:instrText>
      </w:r>
      <w:r>
        <w:rPr>
          <w:rFonts w:cs="Times New Roman"/>
          <w:szCs w:val="24"/>
        </w:rPr>
        <w:fldChar w:fldCharType="separate"/>
      </w:r>
      <w:r>
        <w:rPr>
          <w:rFonts w:cs="Times New Roman"/>
          <w:noProof/>
          <w:szCs w:val="24"/>
        </w:rPr>
        <w:t>(</w:t>
      </w:r>
      <w:hyperlink w:anchor="_ENREF_94" w:tooltip="White, 1953 #158" w:history="1">
        <w:r w:rsidR="00B15FB2">
          <w:rPr>
            <w:rFonts w:cs="Times New Roman"/>
            <w:noProof/>
            <w:szCs w:val="24"/>
          </w:rPr>
          <w:t>White 1953</w:t>
        </w:r>
      </w:hyperlink>
      <w:r>
        <w:rPr>
          <w:rFonts w:cs="Times New Roman"/>
          <w:noProof/>
          <w:szCs w:val="24"/>
        </w:rPr>
        <w:t>)</w:t>
      </w:r>
      <w:r>
        <w:rPr>
          <w:rFonts w:cs="Times New Roman"/>
          <w:szCs w:val="24"/>
        </w:rPr>
        <w:fldChar w:fldCharType="end"/>
      </w:r>
      <w:r>
        <w:rPr>
          <w:rFonts w:cs="Times New Roman"/>
          <w:szCs w:val="24"/>
        </w:rPr>
        <w:t xml:space="preserve">. MNI determines the lowest number of possible individuals for a given animal taxa based on the presence of same sided elements. Going back to the deer example, it was determined that a total of 5 deer (or MNI 5) were represented based on the recovery and identification of 5 right, distal humerii, while no elements were the same side and portion for the deer recovered from </w:t>
      </w:r>
      <w:r>
        <w:rPr>
          <w:rFonts w:cs="Times New Roman"/>
          <w:szCs w:val="24"/>
        </w:rPr>
        <w:lastRenderedPageBreak/>
        <w:t xml:space="preserve">Woodland context. MNI has been criticized as useful technique for understanding the extent of animal exploitation as it is highly dependent on sample size (as rare taxa are overrepresented in small sample sizes) and should take more into account that just representation of similar elements (i.e. size and age) </w:t>
      </w:r>
      <w:r>
        <w:rPr>
          <w:rFonts w:cs="Times New Roman"/>
          <w:szCs w:val="24"/>
        </w:rPr>
        <w:fldChar w:fldCharType="begin"/>
      </w:r>
      <w:r>
        <w:rPr>
          <w:rFonts w:cs="Times New Roman"/>
          <w:szCs w:val="24"/>
        </w:rPr>
        <w:instrText xml:space="preserve"> ADDIN EN.CITE &lt;EndNote&gt;&lt;Cite&gt;&lt;Author&gt;Casteel&lt;/Author&gt;&lt;Year&gt;1977&lt;/Year&gt;&lt;RecNum&gt;159&lt;/RecNum&gt;&lt;DisplayText&gt;(Casteel 1977; Grayson 1978)&lt;/DisplayText&gt;&lt;record&gt;&lt;rec-number&gt;159&lt;/rec-number&gt;&lt;foreign-keys&gt;&lt;key app="EN" db-id="pvwvsv0fktzv2weszt4xp95xstrzawadapa0"&gt;159&lt;/key&gt;&lt;/foreign-keys&gt;&lt;ref-type name="Journal Article"&gt;17&lt;/ref-type&gt;&lt;contributors&gt;&lt;authors&gt;&lt;author&gt;Richard W. Casteel&lt;/author&gt;&lt;/authors&gt;&lt;/contributors&gt;&lt;titles&gt;&lt;title&gt;Characterization of Faunal Assemblages and the Minimum Number of Individuals Determined from Paired Elements: Continuing Problems in Archaeology &lt;/title&gt;&lt;secondary-title&gt;Journal of Archaeological Science&lt;/secondary-title&gt;&lt;/titles&gt;&lt;periodical&gt;&lt;full-title&gt;Journal of Archaeological Science&lt;/full-title&gt;&lt;/periodical&gt;&lt;pages&gt;125-134&lt;/pages&gt;&lt;volume&gt;4&lt;/volume&gt;&lt;dates&gt;&lt;year&gt;1977&lt;/year&gt;&lt;/dates&gt;&lt;urls&gt;&lt;/urls&gt;&lt;/record&gt;&lt;/Cite&gt;&lt;Cite&gt;&lt;Author&gt;Grayson&lt;/Author&gt;&lt;Year&gt;1978&lt;/Year&gt;&lt;RecNum&gt;160&lt;/RecNum&gt;&lt;record&gt;&lt;rec-number&gt;160&lt;/rec-number&gt;&lt;foreign-keys&gt;&lt;key app="EN" db-id="pvwvsv0fktzv2weszt4xp95xstrzawadapa0"&gt;160&lt;/key&gt;&lt;/foreign-keys&gt;&lt;ref-type name="Journal Article"&gt;17&lt;/ref-type&gt;&lt;contributors&gt;&lt;authors&gt;&lt;author&gt;Grayson, Donald K. &lt;/author&gt;&lt;/authors&gt;&lt;/contributors&gt;&lt;titles&gt;&lt;title&gt;Minimum Numbers and Sample Size in Vertebrate Faunal Analysis &lt;/title&gt;&lt;secondary-title&gt;American Antiquity&lt;/secondary-title&gt;&lt;/titles&gt;&lt;periodical&gt;&lt;full-title&gt;American Antiquity&lt;/full-title&gt;&lt;/periodical&gt;&lt;pages&gt;53-65&lt;/pages&gt;&lt;volume&gt;43&lt;/volume&gt;&lt;number&gt;1&lt;/number&gt;&lt;dates&gt;&lt;year&gt;1978&lt;/year&gt;&lt;/dates&gt;&lt;urls&gt;&lt;/urls&gt;&lt;/record&gt;&lt;/Cite&gt;&lt;/EndNote&gt;</w:instrText>
      </w:r>
      <w:r>
        <w:rPr>
          <w:rFonts w:cs="Times New Roman"/>
          <w:szCs w:val="24"/>
        </w:rPr>
        <w:fldChar w:fldCharType="separate"/>
      </w:r>
      <w:r>
        <w:rPr>
          <w:rFonts w:cs="Times New Roman"/>
          <w:noProof/>
          <w:szCs w:val="24"/>
        </w:rPr>
        <w:t>(</w:t>
      </w:r>
      <w:hyperlink w:anchor="_ENREF_16" w:tooltip="Casteel, 1977 #159" w:history="1">
        <w:r w:rsidR="00B15FB2">
          <w:rPr>
            <w:rFonts w:cs="Times New Roman"/>
            <w:noProof/>
            <w:szCs w:val="24"/>
          </w:rPr>
          <w:t>Casteel 1977</w:t>
        </w:r>
      </w:hyperlink>
      <w:r>
        <w:rPr>
          <w:rFonts w:cs="Times New Roman"/>
          <w:noProof/>
          <w:szCs w:val="24"/>
        </w:rPr>
        <w:t xml:space="preserve">; </w:t>
      </w:r>
      <w:hyperlink w:anchor="_ENREF_35" w:tooltip="Grayson, 1978 #160" w:history="1">
        <w:r w:rsidR="00B15FB2">
          <w:rPr>
            <w:rFonts w:cs="Times New Roman"/>
            <w:noProof/>
            <w:szCs w:val="24"/>
          </w:rPr>
          <w:t>Grayson 1978</w:t>
        </w:r>
      </w:hyperlink>
      <w:r>
        <w:rPr>
          <w:rFonts w:cs="Times New Roman"/>
          <w:noProof/>
          <w:szCs w:val="24"/>
        </w:rPr>
        <w:t>)</w:t>
      </w:r>
      <w:r>
        <w:rPr>
          <w:rFonts w:cs="Times New Roman"/>
          <w:szCs w:val="24"/>
        </w:rPr>
        <w:fldChar w:fldCharType="end"/>
      </w:r>
      <w:r>
        <w:rPr>
          <w:rFonts w:cs="Times New Roman"/>
          <w:szCs w:val="24"/>
        </w:rPr>
        <w:t xml:space="preserve">. However, these analyses present NISP, MNI and weight for each animal taxa so as to demonstrate the bias one of these three methods of quantification may present. Also, as already discussed, a large sample size is expected given the extensive sampling of context from the site. </w:t>
      </w:r>
    </w:p>
    <w:p w:rsidR="00E72347" w:rsidRDefault="00E72347" w:rsidP="00E72347">
      <w:pPr>
        <w:spacing w:after="0" w:line="480" w:lineRule="auto"/>
        <w:ind w:firstLine="720"/>
        <w:rPr>
          <w:rFonts w:cs="Times New Roman"/>
          <w:szCs w:val="24"/>
        </w:rPr>
      </w:pPr>
      <w:r>
        <w:rPr>
          <w:rFonts w:cs="Times New Roman"/>
          <w:szCs w:val="24"/>
        </w:rPr>
        <w:t xml:space="preserve">Another way of quantifying faunal remains is to calculate the diversity of animal taxa represented within a context using the Shannon-Weaver Diversity index, often used in biology for exploring the diversity in biotic communities </w:t>
      </w:r>
      <w:r>
        <w:rPr>
          <w:rFonts w:cs="Times New Roman"/>
          <w:szCs w:val="24"/>
        </w:rPr>
        <w:fldChar w:fldCharType="begin"/>
      </w:r>
      <w:r>
        <w:rPr>
          <w:rFonts w:cs="Times New Roman"/>
          <w:szCs w:val="24"/>
        </w:rPr>
        <w:instrText xml:space="preserve"> ADDIN EN.CITE &lt;EndNote&gt;&lt;Cite&gt;&lt;Author&gt;Odum&lt;/Author&gt;&lt;Year&gt;1971&lt;/Year&gt;&lt;RecNum&gt;162&lt;/RecNum&gt;&lt;DisplayText&gt;(Odum 1971)&lt;/DisplayText&gt;&lt;record&gt;&lt;rec-number&gt;162&lt;/rec-number&gt;&lt;foreign-keys&gt;&lt;key app="EN" db-id="pvwvsv0fktzv2weszt4xp95xstrzawadapa0"&gt;162&lt;/key&gt;&lt;/foreign-keys&gt;&lt;ref-type name="Book"&gt;6&lt;/ref-type&gt;&lt;contributors&gt;&lt;authors&gt;&lt;author&gt;Odum, Eugene P.&lt;/author&gt;&lt;/authors&gt;&lt;secondary-authors&gt;&lt;author&gt;3rd Edition&lt;/author&gt;&lt;/secondary-authors&gt;&lt;/contributors&gt;&lt;titles&gt;&lt;title&gt;Fundamentals of Ecology&lt;/title&gt;&lt;/titles&gt;&lt;dates&gt;&lt;year&gt;1971&lt;/year&gt;&lt;/dates&gt;&lt;pub-location&gt;Philadelphia&lt;/pub-location&gt;&lt;publisher&gt;W.B. Saunders Company&lt;/publisher&gt;&lt;urls&gt;&lt;/urls&gt;&lt;/record&gt;&lt;/Cite&gt;&lt;/EndNote&gt;</w:instrText>
      </w:r>
      <w:r>
        <w:rPr>
          <w:rFonts w:cs="Times New Roman"/>
          <w:szCs w:val="24"/>
        </w:rPr>
        <w:fldChar w:fldCharType="separate"/>
      </w:r>
      <w:r>
        <w:rPr>
          <w:rFonts w:cs="Times New Roman"/>
          <w:noProof/>
          <w:szCs w:val="24"/>
        </w:rPr>
        <w:t>(</w:t>
      </w:r>
      <w:hyperlink w:anchor="_ENREF_65" w:tooltip="Odum, 1971 #162" w:history="1">
        <w:r w:rsidR="00B15FB2">
          <w:rPr>
            <w:rFonts w:cs="Times New Roman"/>
            <w:noProof/>
            <w:szCs w:val="24"/>
          </w:rPr>
          <w:t>Odum 1971</w:t>
        </w:r>
      </w:hyperlink>
      <w:r>
        <w:rPr>
          <w:rFonts w:cs="Times New Roman"/>
          <w:noProof/>
          <w:szCs w:val="24"/>
        </w:rPr>
        <w:t>)</w:t>
      </w:r>
      <w:r>
        <w:rPr>
          <w:rFonts w:cs="Times New Roman"/>
          <w:szCs w:val="24"/>
        </w:rPr>
        <w:fldChar w:fldCharType="end"/>
      </w:r>
      <w:r>
        <w:rPr>
          <w:rFonts w:cs="Times New Roman"/>
          <w:szCs w:val="24"/>
        </w:rPr>
        <w:t xml:space="preserve">. This measure has also been utilized for archaeological investigations </w:t>
      </w:r>
      <w:r>
        <w:rPr>
          <w:rFonts w:cs="Times New Roman"/>
          <w:szCs w:val="24"/>
        </w:rPr>
        <w:fldChar w:fldCharType="begin"/>
      </w:r>
      <w:r>
        <w:rPr>
          <w:rFonts w:cs="Times New Roman"/>
          <w:szCs w:val="24"/>
        </w:rPr>
        <w:instrText xml:space="preserve"> ADDIN EN.CITE &lt;EndNote&gt;&lt;Cite&gt;&lt;Author&gt;James&lt;/Author&gt;&lt;Year&gt;1990&lt;/Year&gt;&lt;RecNum&gt;163&lt;/RecNum&gt;&lt;DisplayText&gt;(Bobrowsky 1989; James 1990)&lt;/DisplayText&gt;&lt;record&gt;&lt;rec-number&gt;163&lt;/rec-number&gt;&lt;foreign-keys&gt;&lt;key app="EN" db-id="pvwvsv0fktzv2weszt4xp95xstrzawadapa0"&gt;163&lt;/key&gt;&lt;/foreign-keys&gt;&lt;ref-type name="Journal Article"&gt;17&lt;/ref-type&gt;&lt;contributors&gt;&lt;authors&gt;&lt;author&gt;James, Steven R.&lt;/author&gt;&lt;/authors&gt;&lt;/contributors&gt;&lt;titles&gt;&lt;title&gt;Monitoring Archaeofaunal Changes during the Transition to Agriculture in the American Southwest.&lt;/title&gt;&lt;secondary-title&gt;Kiva&lt;/secondary-title&gt;&lt;/titles&gt;&lt;periodical&gt;&lt;full-title&gt;Kiva&lt;/full-title&gt;&lt;/periodical&gt;&lt;pages&gt;25-43&lt;/pages&gt;&lt;volume&gt;56&lt;/volume&gt;&lt;number&gt;1&lt;/number&gt;&lt;dates&gt;&lt;year&gt;1990&lt;/year&gt;&lt;/dates&gt;&lt;urls&gt;&lt;/urls&gt;&lt;/record&gt;&lt;/Cite&gt;&lt;Cite&gt;&lt;Author&gt;Bobrowsky&lt;/Author&gt;&lt;Year&gt;1989&lt;/Year&gt;&lt;RecNum&gt;164&lt;/RecNum&gt;&lt;record&gt;&lt;rec-number&gt;164&lt;/rec-number&gt;&lt;foreign-keys&gt;&lt;key app="EN" db-id="pvwvsv0fktzv2weszt4xp95xstrzawadapa0"&gt;164&lt;/key&gt;&lt;/foreign-keys&gt;&lt;ref-type name="Book Section"&gt;5&lt;/ref-type&gt;&lt;contributors&gt;&lt;authors&gt;&lt;author&gt;Bobrowsky, Peter T. and Bruce F. Hall&lt;/author&gt;&lt;/authors&gt;&lt;secondary-authors&gt;&lt;author&gt;Robert D. Leonard and Georget T. Jones&lt;/author&gt;&lt;/secondary-authors&gt;&lt;/contributors&gt;&lt;titles&gt;&lt;title&gt;The Theory and Mechanics of Ecological Diversity in Archaeology. &lt;/title&gt;&lt;secondary-title&gt;Quantifying Diversity in Archaeology&lt;/secondary-title&gt;&lt;/titles&gt;&lt;dates&gt;&lt;year&gt;1989&lt;/year&gt;&lt;/dates&gt;&lt;pub-location&gt;Cambridge&lt;/pub-location&gt;&lt;publisher&gt;Cambrigde University Press &lt;/publisher&gt;&lt;urls&gt;&lt;/urls&gt;&lt;/record&gt;&lt;/Cite&gt;&lt;/EndNote&gt;</w:instrText>
      </w:r>
      <w:r>
        <w:rPr>
          <w:rFonts w:cs="Times New Roman"/>
          <w:szCs w:val="24"/>
        </w:rPr>
        <w:fldChar w:fldCharType="separate"/>
      </w:r>
      <w:r>
        <w:rPr>
          <w:rFonts w:cs="Times New Roman"/>
          <w:noProof/>
          <w:szCs w:val="24"/>
        </w:rPr>
        <w:t>(</w:t>
      </w:r>
      <w:hyperlink w:anchor="_ENREF_10" w:tooltip="Bobrowsky, 1989 #164" w:history="1">
        <w:r w:rsidR="00B15FB2">
          <w:rPr>
            <w:rFonts w:cs="Times New Roman"/>
            <w:noProof/>
            <w:szCs w:val="24"/>
          </w:rPr>
          <w:t>Bobrowsky 1989</w:t>
        </w:r>
      </w:hyperlink>
      <w:r>
        <w:rPr>
          <w:rFonts w:cs="Times New Roman"/>
          <w:noProof/>
          <w:szCs w:val="24"/>
        </w:rPr>
        <w:t xml:space="preserve">; </w:t>
      </w:r>
      <w:hyperlink w:anchor="_ENREF_40" w:tooltip="James, 1990 #163" w:history="1">
        <w:r w:rsidR="00B15FB2">
          <w:rPr>
            <w:rFonts w:cs="Times New Roman"/>
            <w:noProof/>
            <w:szCs w:val="24"/>
          </w:rPr>
          <w:t>James 1990</w:t>
        </w:r>
      </w:hyperlink>
      <w:r>
        <w:rPr>
          <w:rFonts w:cs="Times New Roman"/>
          <w:noProof/>
          <w:szCs w:val="24"/>
        </w:rPr>
        <w:t>)</w:t>
      </w:r>
      <w:r>
        <w:rPr>
          <w:rFonts w:cs="Times New Roman"/>
          <w:szCs w:val="24"/>
        </w:rPr>
        <w:fldChar w:fldCharType="end"/>
      </w:r>
      <w:r>
        <w:rPr>
          <w:rFonts w:cs="Times New Roman"/>
          <w:szCs w:val="24"/>
        </w:rPr>
        <w:t xml:space="preserve"> and it tends to be less prone to bias from sample size when samples are over 25 </w:t>
      </w:r>
      <w:r>
        <w:rPr>
          <w:rFonts w:cs="Times New Roman"/>
          <w:szCs w:val="24"/>
        </w:rPr>
        <w:fldChar w:fldCharType="begin"/>
      </w:r>
      <w:r>
        <w:rPr>
          <w:rFonts w:cs="Times New Roman"/>
          <w:szCs w:val="24"/>
        </w:rPr>
        <w:instrText xml:space="preserve"> ADDIN EN.CITE &lt;EndNote&gt;&lt;Cite&gt;&lt;Author&gt;Cruz-Uribe&lt;/Author&gt;&lt;Year&gt;1988&lt;/Year&gt;&lt;RecNum&gt;161&lt;/RecNum&gt;&lt;DisplayText&gt;(Cruz-Uribe 1988)&lt;/DisplayText&gt;&lt;record&gt;&lt;rec-number&gt;161&lt;/rec-number&gt;&lt;foreign-keys&gt;&lt;key app="EN" db-id="pvwvsv0fktzv2weszt4xp95xstrzawadapa0"&gt;161&lt;/key&gt;&lt;/foreign-keys&gt;&lt;ref-type name="Journal Article"&gt;17&lt;/ref-type&gt;&lt;contributors&gt;&lt;authors&gt;&lt;author&gt;Cruz-Uribe, Kathryn&lt;/author&gt;&lt;/authors&gt;&lt;/contributors&gt;&lt;titles&gt;&lt;title&gt;The Use and Meaning of Species Diversity and Richness in Archaeological Faunas &lt;/title&gt;&lt;secondary-title&gt;Journal of Archaeological Science&lt;/secondary-title&gt;&lt;/titles&gt;&lt;periodical&gt;&lt;full-title&gt;Journal of Archaeological Science&lt;/full-title&gt;&lt;/periodical&gt;&lt;volume&gt;15&lt;/volume&gt;&lt;number&gt;179-196&lt;/number&gt;&lt;dates&gt;&lt;year&gt;1988&lt;/year&gt;&lt;/dates&gt;&lt;urls&gt;&lt;/urls&gt;&lt;/record&gt;&lt;/Cite&gt;&lt;/EndNote&gt;</w:instrText>
      </w:r>
      <w:r>
        <w:rPr>
          <w:rFonts w:cs="Times New Roman"/>
          <w:szCs w:val="24"/>
        </w:rPr>
        <w:fldChar w:fldCharType="separate"/>
      </w:r>
      <w:r>
        <w:rPr>
          <w:rFonts w:cs="Times New Roman"/>
          <w:noProof/>
          <w:szCs w:val="24"/>
        </w:rPr>
        <w:t>(</w:t>
      </w:r>
      <w:hyperlink w:anchor="_ENREF_20" w:tooltip="Cruz-Uribe, 1988 #161" w:history="1">
        <w:r w:rsidR="00B15FB2">
          <w:rPr>
            <w:rFonts w:cs="Times New Roman"/>
            <w:noProof/>
            <w:szCs w:val="24"/>
          </w:rPr>
          <w:t>Cruz-Uribe 1988</w:t>
        </w:r>
      </w:hyperlink>
      <w:r>
        <w:rPr>
          <w:rFonts w:cs="Times New Roman"/>
          <w:noProof/>
          <w:szCs w:val="24"/>
        </w:rPr>
        <w:t>)</w:t>
      </w:r>
      <w:r>
        <w:rPr>
          <w:rFonts w:cs="Times New Roman"/>
          <w:szCs w:val="24"/>
        </w:rPr>
        <w:fldChar w:fldCharType="end"/>
      </w:r>
      <w:r>
        <w:rPr>
          <w:rFonts w:cs="Times New Roman"/>
          <w:szCs w:val="24"/>
        </w:rPr>
        <w:t xml:space="preserve">. Diversity is concerned with the various kinds of taxa present, usually calculated on the species or genus level, and the evenness, or frequency, of each taxa. The formula for quantification is actually quite simple: </w:t>
      </w:r>
    </w:p>
    <w:p w:rsidR="00E72347" w:rsidRDefault="00706C28" w:rsidP="00E72347">
      <w:pPr>
        <w:spacing w:after="0" w:line="480" w:lineRule="auto"/>
        <w:ind w:firstLine="720"/>
        <w:rPr>
          <w:rFonts w:eastAsiaTheme="minorEastAsia"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m:t>
              </m:r>
            </m:sup>
          </m:sSup>
          <m:r>
            <w:rPr>
              <w:rFonts w:ascii="Cambria Math" w:hAnsi="Cambria Math" w:cs="Times New Roman"/>
              <w:szCs w:val="24"/>
            </w:rPr>
            <m:t>=-</m:t>
          </m:r>
          <m:r>
            <m:rPr>
              <m:sty m:val="p"/>
            </m:rPr>
            <w:rPr>
              <w:rFonts w:ascii="Cambria Math" w:hAnsi="Cambria Math" w:cs="Times New Roman"/>
              <w:szCs w:val="24"/>
            </w:rPr>
            <m:t>Σ</m:t>
          </m:r>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N</m:t>
                  </m:r>
                </m:den>
              </m:f>
            </m:e>
          </m:d>
          <m:func>
            <m:funcPr>
              <m:ctrlPr>
                <w:rPr>
                  <w:rFonts w:ascii="Cambria Math" w:hAnsi="Cambria Math" w:cs="Times New Roman"/>
                  <w:i/>
                  <w:szCs w:val="24"/>
                </w:rPr>
              </m:ctrlPr>
            </m:funcPr>
            <m:fName>
              <m:r>
                <m:rPr>
                  <m:sty m:val="p"/>
                </m:rPr>
                <w:rPr>
                  <w:rFonts w:ascii="Cambria Math" w:hAnsi="Cambria Math" w:cs="Times New Roman"/>
                  <w:szCs w:val="24"/>
                </w:rPr>
                <m:t>log</m:t>
              </m:r>
            </m:fName>
            <m:e>
              <m:d>
                <m:dPr>
                  <m:ctrlPr>
                    <w:rPr>
                      <w:rFonts w:ascii="Cambria Math" w:hAnsi="Cambria Math" w:cs="Times New Roman"/>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i</m:t>
                          </m:r>
                        </m:sub>
                      </m:sSub>
                    </m:num>
                    <m:den>
                      <m:r>
                        <w:rPr>
                          <w:rFonts w:ascii="Cambria Math" w:hAnsi="Cambria Math" w:cs="Times New Roman"/>
                          <w:szCs w:val="24"/>
                        </w:rPr>
                        <m:t>N</m:t>
                      </m:r>
                    </m:den>
                  </m:f>
                </m:e>
              </m:d>
            </m:e>
          </m:func>
        </m:oMath>
      </m:oMathPara>
    </w:p>
    <w:p w:rsidR="00E72347" w:rsidRDefault="00E72347" w:rsidP="00E72347">
      <w:pPr>
        <w:spacing w:after="0" w:line="480" w:lineRule="auto"/>
        <w:rPr>
          <w:rFonts w:eastAsiaTheme="minorEastAsia" w:cs="Times New Roman"/>
          <w:szCs w:val="24"/>
        </w:rPr>
      </w:pPr>
      <w:r>
        <w:rPr>
          <w:rFonts w:eastAsiaTheme="minorEastAsia" w:cs="Times New Roman"/>
          <w:szCs w:val="24"/>
        </w:rPr>
        <w:t>Where n</w:t>
      </w:r>
      <w:r>
        <w:rPr>
          <w:rFonts w:eastAsiaTheme="minorEastAsia" w:cs="Times New Roman"/>
          <w:szCs w:val="24"/>
          <w:vertAlign w:val="subscript"/>
        </w:rPr>
        <w:t xml:space="preserve">i </w:t>
      </w:r>
      <w:r>
        <w:rPr>
          <w:rFonts w:eastAsiaTheme="minorEastAsia" w:cs="Times New Roman"/>
          <w:szCs w:val="24"/>
        </w:rPr>
        <w:t xml:space="preserve">is the number of specimen within an individual taxa (i.e. NISP or MNI, NISP is used here) and n is the total number of all specimen of all taxa. The only disadvantage to using diversity is that there is no set scale for what constitutes high and low diversity and is utilized more in relational terms for more than one context </w:t>
      </w:r>
      <w:r>
        <w:rPr>
          <w:rFonts w:eastAsiaTheme="minorEastAsia" w:cs="Times New Roman"/>
          <w:szCs w:val="24"/>
        </w:rPr>
        <w:fldChar w:fldCharType="begin"/>
      </w:r>
      <w:r>
        <w:rPr>
          <w:rFonts w:eastAsiaTheme="minorEastAsia" w:cs="Times New Roman"/>
          <w:szCs w:val="24"/>
        </w:rPr>
        <w:instrText xml:space="preserve"> ADDIN EN.CITE &lt;EndNote&gt;&lt;Cite&gt;&lt;Author&gt;Cruz-Uribe&lt;/Author&gt;&lt;Year&gt;1988&lt;/Year&gt;&lt;RecNum&gt;161&lt;/RecNum&gt;&lt;DisplayText&gt;(Cruz-Uribe 1988)&lt;/DisplayText&gt;&lt;record&gt;&lt;rec-number&gt;161&lt;/rec-number&gt;&lt;foreign-keys&gt;&lt;key app="EN" db-id="pvwvsv0fktzv2weszt4xp95xstrzawadapa0"&gt;161&lt;/key&gt;&lt;/foreign-keys&gt;&lt;ref-type name="Journal Article"&gt;17&lt;/ref-type&gt;&lt;contributors&gt;&lt;authors&gt;&lt;author&gt;Cruz-Uribe, Kathryn&lt;/author&gt;&lt;/authors&gt;&lt;/contributors&gt;&lt;titles&gt;&lt;title&gt;The Use and Meaning of Species Diversity and Richness in Archaeological Faunas &lt;/title&gt;&lt;secondary-title&gt;Journal of Archaeological Science&lt;/secondary-title&gt;&lt;/titles&gt;&lt;periodical&gt;&lt;full-title&gt;Journal of Archaeological Science&lt;/full-title&gt;&lt;/periodical&gt;&lt;volume&gt;15&lt;/volume&gt;&lt;number&gt;179-196&lt;/number&gt;&lt;dates&gt;&lt;year&gt;1988&lt;/year&gt;&lt;/dates&gt;&lt;urls&gt;&lt;/urls&gt;&lt;/record&gt;&lt;/Cite&gt;&lt;/EndNote&gt;</w:instrText>
      </w:r>
      <w:r>
        <w:rPr>
          <w:rFonts w:eastAsiaTheme="minorEastAsia" w:cs="Times New Roman"/>
          <w:szCs w:val="24"/>
        </w:rPr>
        <w:fldChar w:fldCharType="separate"/>
      </w:r>
      <w:r>
        <w:rPr>
          <w:rFonts w:eastAsiaTheme="minorEastAsia" w:cs="Times New Roman"/>
          <w:noProof/>
          <w:szCs w:val="24"/>
        </w:rPr>
        <w:t>(</w:t>
      </w:r>
      <w:hyperlink w:anchor="_ENREF_20" w:tooltip="Cruz-Uribe, 1988 #161" w:history="1">
        <w:r w:rsidR="00B15FB2">
          <w:rPr>
            <w:rFonts w:eastAsiaTheme="minorEastAsia" w:cs="Times New Roman"/>
            <w:noProof/>
            <w:szCs w:val="24"/>
          </w:rPr>
          <w:t>Cruz-Uribe 1988</w:t>
        </w:r>
      </w:hyperlink>
      <w:r>
        <w:rPr>
          <w:rFonts w:eastAsiaTheme="minorEastAsia" w:cs="Times New Roman"/>
          <w:noProof/>
          <w:szCs w:val="24"/>
        </w:rPr>
        <w:t>)</w:t>
      </w:r>
      <w:r>
        <w:rPr>
          <w:rFonts w:eastAsiaTheme="minorEastAsia" w:cs="Times New Roman"/>
          <w:szCs w:val="24"/>
        </w:rPr>
        <w:fldChar w:fldCharType="end"/>
      </w:r>
      <w:r>
        <w:rPr>
          <w:rFonts w:eastAsiaTheme="minorEastAsia" w:cs="Times New Roman"/>
          <w:szCs w:val="24"/>
        </w:rPr>
        <w:t xml:space="preserve">. However, higher numbers indicate higher diversity and lower numbers indicated less diversity. </w:t>
      </w:r>
    </w:p>
    <w:p w:rsidR="00E72347" w:rsidRPr="00AB1262" w:rsidRDefault="00E72347" w:rsidP="00E72347">
      <w:pPr>
        <w:spacing w:after="0" w:line="480" w:lineRule="auto"/>
        <w:rPr>
          <w:rFonts w:cs="Times New Roman"/>
          <w:szCs w:val="24"/>
        </w:rPr>
      </w:pPr>
      <w:r>
        <w:rPr>
          <w:rFonts w:eastAsiaTheme="minorEastAsia" w:cs="Times New Roman"/>
          <w:szCs w:val="24"/>
        </w:rPr>
        <w:tab/>
        <w:t xml:space="preserve">Lastly, age structure of all animals was taken into account by making note and quantifying juveniles and older individuals. Juveniles are recognized by deciduous/developing </w:t>
      </w:r>
      <w:r>
        <w:rPr>
          <w:rFonts w:eastAsiaTheme="minorEastAsia" w:cs="Times New Roman"/>
          <w:szCs w:val="24"/>
        </w:rPr>
        <w:lastRenderedPageBreak/>
        <w:t xml:space="preserve">teeth and unfused epiphyses. Older individuals were recognized by the occurrence of heavily worn occlusal surfaces of teeth, as well as age related pathologies, such as osteoarthritis. In the case of white-tailed deer, tooth development and tooth wear patterns for complete and mostly complete teeth (isolated or in mandibles/maxillae) were compared to images of known aged deer </w:t>
      </w:r>
      <w:r>
        <w:rPr>
          <w:rFonts w:eastAsiaTheme="minorEastAsia" w:cs="Times New Roman"/>
          <w:szCs w:val="24"/>
        </w:rPr>
        <w:fldChar w:fldCharType="begin"/>
      </w:r>
      <w:r>
        <w:rPr>
          <w:rFonts w:eastAsiaTheme="minorEastAsia" w:cs="Times New Roman"/>
          <w:szCs w:val="24"/>
        </w:rPr>
        <w:instrText xml:space="preserve"> ADDIN EN.CITE &lt;EndNote&gt;&lt;Cite&gt;&lt;Author&gt;Schwartz&lt;/Author&gt;&lt;Year&gt;1959&lt;/Year&gt;&lt;RecNum&gt;171&lt;/RecNum&gt;&lt;DisplayText&gt;(Schwartz and Schwartz 1959; Taber 1971)&lt;/DisplayText&gt;&lt;record&gt;&lt;rec-number&gt;171&lt;/rec-number&gt;&lt;foreign-keys&gt;&lt;key app="EN" db-id="pvwvsv0fktzv2weszt4xp95xstrzawadapa0"&gt;171&lt;/key&gt;&lt;/foreign-keys&gt;&lt;ref-type name="Book"&gt;6&lt;/ref-type&gt;&lt;contributors&gt;&lt;authors&gt;&lt;author&gt;Charles S. Schwartz &lt;/author&gt;&lt;author&gt;Elizabeth R. Schwartz&lt;/author&gt;&lt;/authors&gt;&lt;/contributors&gt;&lt;titles&gt;&lt;title&gt;The Wild Mammals of Missouri &lt;/title&gt;&lt;/titles&gt;&lt;dates&gt;&lt;year&gt;1959&lt;/year&gt;&lt;/dates&gt;&lt;pub-location&gt;Kansas City&lt;/pub-location&gt;&lt;publisher&gt;University of Missouri Press &lt;/publisher&gt;&lt;urls&gt;&lt;/urls&gt;&lt;/record&gt;&lt;/Cite&gt;&lt;Cite&gt;&lt;Author&gt;Taber&lt;/Author&gt;&lt;Year&gt;1971&lt;/Year&gt;&lt;RecNum&gt;172&lt;/RecNum&gt;&lt;record&gt;&lt;rec-number&gt;172&lt;/rec-number&gt;&lt;foreign-keys&gt;&lt;key app="EN" db-id="pvwvsv0fktzv2weszt4xp95xstrzawadapa0"&gt;172&lt;/key&gt;&lt;/foreign-keys&gt;&lt;ref-type name="Book Section"&gt;5&lt;/ref-type&gt;&lt;contributors&gt;&lt;authors&gt;&lt;author&gt;Richard R. Taber &lt;/author&gt;&lt;/authors&gt;&lt;secondary-authors&gt;&lt;author&gt;Robert H. Giles, Jr. &lt;/author&gt;&lt;/secondary-authors&gt;&lt;/contributors&gt;&lt;titles&gt;&lt;title&gt;Criteria of Sex and Age&lt;/title&gt;&lt;secondary-title&gt;Wildlife Management Techniques, 3rd Edition&lt;/secondary-title&gt;&lt;/titles&gt;&lt;pages&gt;325-401&lt;/pages&gt;&lt;dates&gt;&lt;year&gt;1971&lt;/year&gt;&lt;/dates&gt;&lt;pub-location&gt;Washington D.C. &lt;/pub-location&gt;&lt;publisher&gt;The Wildlife Society &lt;/publisher&gt;&lt;urls&gt;&lt;/urls&gt;&lt;/record&gt;&lt;/Cite&gt;&lt;/EndNote&gt;</w:instrText>
      </w:r>
      <w:r>
        <w:rPr>
          <w:rFonts w:eastAsiaTheme="minorEastAsia" w:cs="Times New Roman"/>
          <w:szCs w:val="24"/>
        </w:rPr>
        <w:fldChar w:fldCharType="separate"/>
      </w:r>
      <w:r>
        <w:rPr>
          <w:rFonts w:eastAsiaTheme="minorEastAsia" w:cs="Times New Roman"/>
          <w:noProof/>
          <w:szCs w:val="24"/>
        </w:rPr>
        <w:t>(</w:t>
      </w:r>
      <w:hyperlink w:anchor="_ENREF_79" w:tooltip="Schwartz, 1959 #171" w:history="1">
        <w:r w:rsidR="00B15FB2">
          <w:rPr>
            <w:rFonts w:eastAsiaTheme="minorEastAsia" w:cs="Times New Roman"/>
            <w:noProof/>
            <w:szCs w:val="24"/>
          </w:rPr>
          <w:t>Schwartz and Schwartz 1959</w:t>
        </w:r>
      </w:hyperlink>
      <w:r>
        <w:rPr>
          <w:rFonts w:eastAsiaTheme="minorEastAsia" w:cs="Times New Roman"/>
          <w:noProof/>
          <w:szCs w:val="24"/>
        </w:rPr>
        <w:t xml:space="preserve">; </w:t>
      </w:r>
      <w:hyperlink w:anchor="_ENREF_89" w:tooltip="Taber, 1971 #172" w:history="1">
        <w:r w:rsidR="00B15FB2">
          <w:rPr>
            <w:rFonts w:eastAsiaTheme="minorEastAsia" w:cs="Times New Roman"/>
            <w:noProof/>
            <w:szCs w:val="24"/>
          </w:rPr>
          <w:t>Taber 1971</w:t>
        </w:r>
      </w:hyperlink>
      <w:r>
        <w:rPr>
          <w:rFonts w:eastAsiaTheme="minorEastAsia" w:cs="Times New Roman"/>
          <w:noProof/>
          <w:szCs w:val="24"/>
        </w:rPr>
        <w:t>)</w:t>
      </w:r>
      <w:r>
        <w:rPr>
          <w:rFonts w:eastAsiaTheme="minorEastAsia" w:cs="Times New Roman"/>
          <w:szCs w:val="24"/>
        </w:rPr>
        <w:fldChar w:fldCharType="end"/>
      </w:r>
      <w:r>
        <w:rPr>
          <w:rFonts w:eastAsiaTheme="minorEastAsia" w:cs="Times New Roman"/>
          <w:szCs w:val="24"/>
        </w:rPr>
        <w:t xml:space="preserve"> and aged specimens in the comparative collection.</w:t>
      </w:r>
    </w:p>
    <w:p w:rsidR="00E72347" w:rsidRPr="00ED1D06" w:rsidRDefault="00E72347" w:rsidP="00E72347">
      <w:pPr>
        <w:pStyle w:val="Heading2"/>
      </w:pPr>
      <w:bookmarkStart w:id="53" w:name="_Toc342930106"/>
      <w:bookmarkStart w:id="54" w:name="_Toc343820352"/>
      <w:bookmarkStart w:id="55" w:name="_Toc349507290"/>
      <w:r w:rsidRPr="00ED1D06">
        <w:t>Faunal Modification</w:t>
      </w:r>
      <w:bookmarkEnd w:id="53"/>
      <w:bookmarkEnd w:id="54"/>
      <w:bookmarkEnd w:id="55"/>
      <w:r w:rsidRPr="00ED1D06">
        <w:t xml:space="preserve"> </w:t>
      </w:r>
    </w:p>
    <w:p w:rsidR="00E72347" w:rsidRDefault="00E72347" w:rsidP="00E72347">
      <w:pPr>
        <w:shd w:val="clear" w:color="auto" w:fill="FFFFFF" w:themeFill="background1"/>
        <w:spacing w:after="0" w:line="480" w:lineRule="auto"/>
        <w:rPr>
          <w:rFonts w:cs="Times New Roman"/>
          <w:szCs w:val="24"/>
        </w:rPr>
      </w:pPr>
      <w:r w:rsidRPr="00ED1D06">
        <w:rPr>
          <w:rFonts w:cs="Times New Roman"/>
          <w:szCs w:val="24"/>
        </w:rPr>
        <w:tab/>
        <w:t xml:space="preserve">Modifications left on bones provide direct evidence of past </w:t>
      </w:r>
      <w:r>
        <w:rPr>
          <w:rFonts w:cs="Times New Roman"/>
          <w:szCs w:val="24"/>
        </w:rPr>
        <w:t xml:space="preserve">human </w:t>
      </w:r>
      <w:r w:rsidRPr="00ED1D06">
        <w:rPr>
          <w:rFonts w:cs="Times New Roman"/>
          <w:szCs w:val="24"/>
        </w:rPr>
        <w:t>activity and the conditions of the depositional context on faunal remains from archaeological sites</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&lt;EndNote&gt;&lt;Cite&gt;&lt;Author&gt;Gifford&lt;/Author&gt;&lt;Year&gt;1981&lt;/Year&gt;&lt;RecNum&gt;132&lt;/RecNum&gt;&lt;DisplayText&gt;(Gifford 1981)&lt;/DisplayText&gt;&lt;record&gt;&lt;rec-number&gt;132&lt;/rec-number&gt;&lt;foreign-keys&gt;&lt;key app="EN" db-id="pvwvsv0fktzv2weszt4xp95xstrzawadapa0"&gt;132&lt;/key&gt;&lt;/foreign-keys&gt;&lt;ref-type name="Journal Article"&gt;17&lt;/ref-type&gt;&lt;contributors&gt;&lt;authors&gt;&lt;author&gt;Diane P. Gifford&lt;/author&gt;&lt;/authors&gt;&lt;/contributors&gt;&lt;titles&gt;&lt;title&gt;Taphonomy and Paleoecology: A Critical Review of Archaeology&amp;apos;s Sister Disciplines.&lt;/title&gt;&lt;secondary-title&gt;Advances in Archaeological Method and Theory&lt;/secondary-title&gt;&lt;/titles&gt;&lt;periodical&gt;&lt;full-title&gt;Advances in Archaeological Method and Theory&lt;/full-title&gt;&lt;/periodical&gt;&lt;pages&gt;365-438&lt;/pages&gt;&lt;volume&gt;4&lt;/volume&gt;&lt;dates&gt;&lt;year&gt;1981&lt;/year&gt;&lt;/dates&gt;&lt;urls&gt;&lt;/urls&gt;&lt;/record&gt;&lt;/Cite&gt;&lt;/EndNote&gt;</w:instrText>
      </w:r>
      <w:r>
        <w:rPr>
          <w:rFonts w:cs="Times New Roman"/>
          <w:szCs w:val="24"/>
        </w:rPr>
        <w:fldChar w:fldCharType="separate"/>
      </w:r>
      <w:r>
        <w:rPr>
          <w:rFonts w:cs="Times New Roman"/>
          <w:noProof/>
          <w:szCs w:val="24"/>
        </w:rPr>
        <w:t>(</w:t>
      </w:r>
      <w:hyperlink w:anchor="_ENREF_31" w:tooltip="Gifford, 1981 #132" w:history="1">
        <w:r w:rsidR="00B15FB2">
          <w:rPr>
            <w:rFonts w:cs="Times New Roman"/>
            <w:noProof/>
            <w:szCs w:val="24"/>
          </w:rPr>
          <w:t>Gifford 1981</w:t>
        </w:r>
      </w:hyperlink>
      <w:r>
        <w:rPr>
          <w:rFonts w:cs="Times New Roman"/>
          <w:noProof/>
          <w:szCs w:val="24"/>
        </w:rPr>
        <w:t>)</w:t>
      </w:r>
      <w:r>
        <w:rPr>
          <w:rFonts w:cs="Times New Roman"/>
          <w:szCs w:val="24"/>
        </w:rPr>
        <w:fldChar w:fldCharType="end"/>
      </w:r>
      <w:r w:rsidRPr="00ED1D06">
        <w:rPr>
          <w:rFonts w:cs="Times New Roman"/>
          <w:szCs w:val="24"/>
        </w:rPr>
        <w:t>. Each bone was examined for modifications, which we</w:t>
      </w:r>
      <w:r>
        <w:rPr>
          <w:rFonts w:cs="Times New Roman"/>
          <w:szCs w:val="24"/>
        </w:rPr>
        <w:t>re then recorded and quantified; however, not all bones and contexts were analyzed in the same fashion.</w:t>
      </w:r>
      <w:r w:rsidRPr="00ED1D06">
        <w:rPr>
          <w:rFonts w:cs="Times New Roman"/>
          <w:szCs w:val="24"/>
        </w:rPr>
        <w:t xml:space="preserve"> Below I briefly outline the characteristics of each modification</w:t>
      </w:r>
      <w:r>
        <w:rPr>
          <w:rFonts w:cs="Times New Roman"/>
          <w:szCs w:val="24"/>
        </w:rPr>
        <w:t>,</w:t>
      </w:r>
      <w:r w:rsidRPr="00ED1D06">
        <w:rPr>
          <w:rFonts w:cs="Times New Roman"/>
          <w:szCs w:val="24"/>
        </w:rPr>
        <w:t xml:space="preserve"> the implica</w:t>
      </w:r>
      <w:r>
        <w:rPr>
          <w:rFonts w:cs="Times New Roman"/>
          <w:szCs w:val="24"/>
        </w:rPr>
        <w:t xml:space="preserve">tions these modifications have and the samples used for these observations. </w:t>
      </w:r>
    </w:p>
    <w:p w:rsidR="00E72347" w:rsidRPr="00ED1D06" w:rsidRDefault="00E72347" w:rsidP="00E72347">
      <w:pPr>
        <w:shd w:val="clear" w:color="auto" w:fill="FFFFFF" w:themeFill="background1"/>
        <w:spacing w:after="0" w:line="480" w:lineRule="auto"/>
        <w:rPr>
          <w:rFonts w:cs="Times New Roman"/>
          <w:szCs w:val="24"/>
        </w:rPr>
      </w:pPr>
    </w:p>
    <w:p w:rsidR="00E72347" w:rsidRPr="00987786" w:rsidRDefault="00E72347" w:rsidP="00D84561">
      <w:pPr>
        <w:pStyle w:val="Heading3"/>
      </w:pPr>
      <w:bookmarkStart w:id="56" w:name="_Toc349507291"/>
      <w:r w:rsidRPr="00987786">
        <w:t>Heat Alteration</w:t>
      </w:r>
      <w:bookmarkEnd w:id="56"/>
      <w:r w:rsidRPr="00987786">
        <w:t xml:space="preserve"> </w:t>
      </w:r>
    </w:p>
    <w:p w:rsidR="00E72347" w:rsidRDefault="00E72347" w:rsidP="00E72347">
      <w:pPr>
        <w:spacing w:after="0" w:line="480" w:lineRule="auto"/>
        <w:rPr>
          <w:rFonts w:cs="Times New Roman"/>
          <w:szCs w:val="24"/>
        </w:rPr>
      </w:pPr>
      <w:r w:rsidRPr="00ED1D06">
        <w:rPr>
          <w:rFonts w:cs="Times New Roman"/>
          <w:szCs w:val="24"/>
        </w:rPr>
        <w:tab/>
        <w:t>Many bones in archaeological contexts display some evidence of heat modification. This modification is visibly recognized as a change in bone color. Bones that are heated between 285</w:t>
      </w:r>
      <w:r>
        <w:rPr>
          <w:rFonts w:cs="Times New Roman"/>
          <w:szCs w:val="24"/>
        </w:rPr>
        <w:t>°</w:t>
      </w:r>
      <w:r w:rsidRPr="00ED1D06">
        <w:rPr>
          <w:rFonts w:cs="Times New Roman"/>
          <w:szCs w:val="24"/>
        </w:rPr>
        <w:t xml:space="preserve">-645°C display a range of colors from reddish-brown to black to medium blue </w:t>
      </w:r>
      <w:r w:rsidRPr="00ED1D06">
        <w:rPr>
          <w:rFonts w:cs="Times New Roman"/>
          <w:szCs w:val="24"/>
        </w:rPr>
        <w:fldChar w:fldCharType="begin"/>
      </w:r>
      <w:r w:rsidRPr="00ED1D06">
        <w:rPr>
          <w:rFonts w:cs="Times New Roman"/>
          <w:szCs w:val="24"/>
        </w:rPr>
        <w:instrText xml:space="preserve"> ADDIN EN.CITE &lt;EndNote&gt;&lt;Cite&gt;&lt;Author&gt;Shipman&lt;/Author&gt;&lt;Year&gt;1984&lt;/Year&gt;&lt;RecNum&gt;80&lt;/RecNum&gt;&lt;Pages&gt;313&lt;/Pages&gt;&lt;DisplayText&gt;(Shipman, et al. 1984:313)&lt;/DisplayText&gt;&lt;record&gt;&lt;rec-number&gt;80&lt;/rec-number&gt;&lt;foreign-keys&gt;&lt;key app="EN" db-id="pvwvsv0fktzv2weszt4xp95xstrzawadapa0"&gt;80&lt;/key&gt;&lt;/foreign-keys&gt;&lt;ref-type name="Journal Article"&gt;17&lt;/ref-type&gt;&lt;contributors&gt;&lt;authors&gt;&lt;author&gt;Shipman, Pat &lt;/author&gt;&lt;author&gt;Giraud Foster &lt;/author&gt;&lt;author&gt;Margaret Schoeninger&lt;/author&gt;&lt;/authors&gt;&lt;/contributors&gt;&lt;titles&gt;&lt;title&gt;Burnt Bones and Teeth: An Experimental Study of Color, Morphology, Crystal Structure and Shrinkage&lt;/title&gt;&lt;secondary-title&gt;Journal of Archaeological Science&lt;/secondary-title&gt;&lt;/titles&gt;&lt;periodical&gt;&lt;full-title&gt;Journal of Archaeological Science&lt;/full-title&gt;&lt;/periodical&gt;&lt;pages&gt;307-325&lt;/pages&gt;&lt;volume&gt;11&lt;/volume&gt;&lt;dates&gt;&lt;year&gt;1984&lt;/year&gt;&lt;/dates&gt;&lt;urls&gt;&lt;/urls&gt;&lt;research-notes&gt;312&amp;#xD;-&amp;#x9;Stage I &amp;#xD;o&amp;#x9;20-&amp;lt;285°C &amp;#xD;o&amp;#x9;Neutral white, pale yellow and white &amp;#xD;313&amp;#xD;-&amp;#x9;Stage II&amp;#xD;o&amp;#x9;285-&amp;lt;525°C &amp;#xD;o&amp;#x9;Reddish brown,  very dark grey brown, dark grey, reddish-yellow&amp;#xD;-&amp;#x9;Stage III&amp;#xD;o&amp;#x9;525-&amp;lt;645°C&amp;#xD;o&amp;#x9;Black, medium blue, some reddish yellow &amp;#xD;-&amp;#x9;Stage IV&amp;#xD;o&amp;#x9;645-&amp;lt;940°C&amp;#xD;o&amp;#x9;Neutral white, light blue-grey and light grey &amp;#xD;-&amp;#x9;Stage V&amp;#xD;o&amp;#x9;940+°C&amp;#xD;o&amp;#x9;Neutral white with some medium and reddish-yellow&amp;#xD;322&amp;#xD;-&amp;#x9;“Stages of color, microscopic morphology and size – all bony and dental tissues undergo similar changes”&amp;#xD;323&amp;#xD;-&amp;#x9;When heating is of short duration – bones likely to survive intact &lt;/research-notes&gt;&lt;/record&gt;&lt;/Cite&gt;&lt;/EndNote&gt;</w:instrText>
      </w:r>
      <w:r w:rsidRPr="00ED1D06">
        <w:rPr>
          <w:rFonts w:cs="Times New Roman"/>
          <w:szCs w:val="24"/>
        </w:rPr>
        <w:fldChar w:fldCharType="separate"/>
      </w:r>
      <w:r w:rsidRPr="00ED1D06">
        <w:rPr>
          <w:rFonts w:cs="Times New Roman"/>
          <w:noProof/>
          <w:szCs w:val="24"/>
        </w:rPr>
        <w:t>(</w:t>
      </w:r>
      <w:hyperlink w:anchor="_ENREF_80" w:tooltip="Shipman, 1984 #80" w:history="1">
        <w:r w:rsidR="00B15FB2" w:rsidRPr="00ED1D06">
          <w:rPr>
            <w:rFonts w:cs="Times New Roman"/>
            <w:noProof/>
            <w:szCs w:val="24"/>
          </w:rPr>
          <w:t>Shipman, et al. 1984:313</w:t>
        </w:r>
      </w:hyperlink>
      <w:r w:rsidRPr="00ED1D06">
        <w:rPr>
          <w:rFonts w:cs="Times New Roman"/>
          <w:noProof/>
          <w:szCs w:val="24"/>
        </w:rPr>
        <w:t>)</w:t>
      </w:r>
      <w:r w:rsidRPr="00ED1D06">
        <w:rPr>
          <w:rFonts w:cs="Times New Roman"/>
          <w:szCs w:val="24"/>
        </w:rPr>
        <w:fldChar w:fldCharType="end"/>
      </w:r>
      <w:r w:rsidRPr="00ED1D06">
        <w:rPr>
          <w:rFonts w:cs="Times New Roman"/>
          <w:szCs w:val="24"/>
        </w:rPr>
        <w:t xml:space="preserve">. Faunal remains from Sachsen Cave Shelter that displayed these colors were designated as ‘burned’ and were weighed separately. All faunal remains recovered from Test Unit 1 were compared in color to the Munsell Soil Color Charts </w:t>
      </w:r>
      <w:r w:rsidRPr="00ED1D06">
        <w:rPr>
          <w:rFonts w:cs="Times New Roman"/>
          <w:szCs w:val="24"/>
        </w:rPr>
        <w:fldChar w:fldCharType="begin"/>
      </w:r>
      <w:r w:rsidRPr="00ED1D06">
        <w:rPr>
          <w:rFonts w:cs="Times New Roman"/>
          <w:szCs w:val="24"/>
        </w:rPr>
        <w:instrText xml:space="preserve"> ADDIN EN.CITE &lt;EndNote&gt;&lt;Cite&gt;&lt;Author&gt;Company&lt;/Author&gt;&lt;Year&gt;1954&lt;/Year&gt;&lt;RecNum&gt;81&lt;/RecNum&gt;&lt;DisplayText&gt;(Munsell 1954)&lt;/DisplayText&gt;&lt;record&gt;&lt;rec-number&gt;81&lt;/rec-number&gt;&lt;foreign-keys&gt;&lt;key app="EN" db-id="pvwvsv0fktzv2weszt4xp95xstrzawadapa0"&gt;81&lt;/key&gt;&lt;/foreign-keys&gt;&lt;ref-type name="Book"&gt;6&lt;/ref-type&gt;&lt;contributors&gt;&lt;authors&gt;&lt;author&gt;Munsell, Color Company &lt;/author&gt;&lt;/authors&gt;&lt;/contributors&gt;&lt;titles&gt;&lt;title&gt;Munsell Soil Color Charts&lt;/title&gt;&lt;/titles&gt;&lt;dates&gt;&lt;year&gt;1954&lt;/year&gt;&lt;/dates&gt;&lt;pub-location&gt;Baltimore, Maryland &lt;/pub-location&gt;&lt;urls&gt;&lt;/urls&gt;&lt;/record&gt;&lt;/Cite&gt;&lt;/EndNote&gt;</w:instrText>
      </w:r>
      <w:r w:rsidRPr="00ED1D06">
        <w:rPr>
          <w:rFonts w:cs="Times New Roman"/>
          <w:szCs w:val="24"/>
        </w:rPr>
        <w:fldChar w:fldCharType="separate"/>
      </w:r>
      <w:r w:rsidRPr="00ED1D06">
        <w:rPr>
          <w:rFonts w:cs="Times New Roman"/>
          <w:noProof/>
          <w:szCs w:val="24"/>
        </w:rPr>
        <w:t>(</w:t>
      </w:r>
      <w:hyperlink w:anchor="_ENREF_62" w:tooltip="Munsell, 1954 #81" w:history="1">
        <w:r w:rsidR="00B15FB2" w:rsidRPr="00ED1D06">
          <w:rPr>
            <w:rFonts w:cs="Times New Roman"/>
            <w:noProof/>
            <w:szCs w:val="24"/>
          </w:rPr>
          <w:t>Munsell 1954</w:t>
        </w:r>
      </w:hyperlink>
      <w:r w:rsidRPr="00ED1D06">
        <w:rPr>
          <w:rFonts w:cs="Times New Roman"/>
          <w:noProof/>
          <w:szCs w:val="24"/>
        </w:rPr>
        <w:t>)</w:t>
      </w:r>
      <w:r w:rsidRPr="00ED1D06">
        <w:rPr>
          <w:rFonts w:cs="Times New Roman"/>
          <w:szCs w:val="24"/>
        </w:rPr>
        <w:fldChar w:fldCharType="end"/>
      </w:r>
      <w:r>
        <w:rPr>
          <w:rFonts w:cs="Times New Roman"/>
          <w:szCs w:val="24"/>
        </w:rPr>
        <w:t xml:space="preserve"> to establish a base</w:t>
      </w:r>
      <w:r w:rsidRPr="00ED1D06">
        <w:rPr>
          <w:rFonts w:cs="Times New Roman"/>
          <w:szCs w:val="24"/>
        </w:rPr>
        <w:t>line for visual identifications of further analysis</w:t>
      </w:r>
      <w:r>
        <w:rPr>
          <w:rFonts w:cs="Times New Roman"/>
          <w:szCs w:val="24"/>
        </w:rPr>
        <w:t>. Bones heated over 645°C turn</w:t>
      </w:r>
      <w:r w:rsidRPr="00ED1D06">
        <w:rPr>
          <w:rFonts w:cs="Times New Roman"/>
          <w:szCs w:val="24"/>
        </w:rPr>
        <w:t xml:space="preserve"> white, grey, blue or some combination thereof </w:t>
      </w:r>
      <w:r w:rsidRPr="00ED1D06">
        <w:rPr>
          <w:rFonts w:cs="Times New Roman"/>
          <w:szCs w:val="24"/>
        </w:rPr>
        <w:fldChar w:fldCharType="begin"/>
      </w:r>
      <w:r w:rsidRPr="00ED1D06">
        <w:rPr>
          <w:rFonts w:cs="Times New Roman"/>
          <w:szCs w:val="24"/>
        </w:rPr>
        <w:instrText xml:space="preserve"> ADDIN EN.CITE &lt;EndNote&gt;&lt;Cite&gt;&lt;Author&gt;Shipman&lt;/Author&gt;&lt;Year&gt;1984&lt;/Year&gt;&lt;RecNum&gt;80&lt;/RecNum&gt;&lt;Pages&gt;313&lt;/Pages&gt;&lt;DisplayText&gt;(Shipman, et al. 1984:313)&lt;/DisplayText&gt;&lt;record&gt;&lt;rec-number&gt;80&lt;/rec-number&gt;&lt;foreign-keys&gt;&lt;key app="EN" db-id="pvwvsv0fktzv2weszt4xp95xstrzawadapa0"&gt;80&lt;/key&gt;&lt;/foreign-keys&gt;&lt;ref-type name="Journal Article"&gt;17&lt;/ref-type&gt;&lt;contributors&gt;&lt;authors&gt;&lt;author&gt;Shipman, Pat &lt;/author&gt;&lt;author&gt;Giraud Foster &lt;/author&gt;&lt;author&gt;Margaret Schoeninger&lt;/author&gt;&lt;/authors&gt;&lt;/contributors&gt;&lt;titles&gt;&lt;title&gt;Burnt Bones and Teeth: An Experimental Study of Color, Morphology, Crystal Structure and Shrinkage&lt;/title&gt;&lt;secondary-title&gt;Journal of Archaeological Science&lt;/secondary-title&gt;&lt;/titles&gt;&lt;periodical&gt;&lt;full-title&gt;Journal of Archaeological Science&lt;/full-title&gt;&lt;/periodical&gt;&lt;pages&gt;307-325&lt;/pages&gt;&lt;volume&gt;11&lt;/volume&gt;&lt;dates&gt;&lt;year&gt;1984&lt;/year&gt;&lt;/dates&gt;&lt;urls&gt;&lt;/urls&gt;&lt;research-notes&gt;312&amp;#xD;-&amp;#x9;Stage I &amp;#xD;o&amp;#x9;20-&amp;lt;285°C &amp;#xD;o&amp;#x9;Neutral white, pale yellow and white &amp;#xD;313&amp;#xD;-&amp;#x9;Stage II&amp;#xD;o&amp;#x9;285-&amp;lt;525°C &amp;#xD;o&amp;#x9;Reddish brown,  very dark grey brown, dark grey, reddish-yellow&amp;#xD;-&amp;#x9;Stage III&amp;#xD;o&amp;#x9;525-&amp;lt;645°C&amp;#xD;o&amp;#x9;Black, medium blue, some reddish yellow &amp;#xD;-&amp;#x9;Stage IV&amp;#xD;o&amp;#x9;645-&amp;lt;940°C&amp;#xD;o&amp;#x9;Neutral white, light blue-grey and light grey &amp;#xD;-&amp;#x9;Stage V&amp;#xD;o&amp;#x9;940+°C&amp;#xD;o&amp;#x9;Neutral white with some medium and reddish-yellow&amp;#xD;322&amp;#xD;-&amp;#x9;“Stages of color, microscopic morphology and size – all bony and dental tissues undergo similar changes”&amp;#xD;323&amp;#xD;-&amp;#x9;When heating is of short duration – bones likely to survive intact &lt;/research-notes&gt;&lt;/record&gt;&lt;/Cite&gt;&lt;/EndNote&gt;</w:instrText>
      </w:r>
      <w:r w:rsidRPr="00ED1D06">
        <w:rPr>
          <w:rFonts w:cs="Times New Roman"/>
          <w:szCs w:val="24"/>
        </w:rPr>
        <w:fldChar w:fldCharType="separate"/>
      </w:r>
      <w:r w:rsidRPr="00ED1D06">
        <w:rPr>
          <w:rFonts w:cs="Times New Roman"/>
          <w:noProof/>
          <w:szCs w:val="24"/>
        </w:rPr>
        <w:t>(</w:t>
      </w:r>
      <w:hyperlink w:anchor="_ENREF_80" w:tooltip="Shipman, 1984 #80" w:history="1">
        <w:r w:rsidR="00B15FB2" w:rsidRPr="00ED1D06">
          <w:rPr>
            <w:rFonts w:cs="Times New Roman"/>
            <w:noProof/>
            <w:szCs w:val="24"/>
          </w:rPr>
          <w:t>Shipman, et al. 1984:313</w:t>
        </w:r>
      </w:hyperlink>
      <w:r w:rsidRPr="00ED1D06">
        <w:rPr>
          <w:rFonts w:cs="Times New Roman"/>
          <w:noProof/>
          <w:szCs w:val="24"/>
        </w:rPr>
        <w:t>)</w:t>
      </w:r>
      <w:r w:rsidRPr="00ED1D06">
        <w:rPr>
          <w:rFonts w:cs="Times New Roman"/>
          <w:szCs w:val="24"/>
        </w:rPr>
        <w:fldChar w:fldCharType="end"/>
      </w:r>
      <w:r w:rsidRPr="00ED1D06">
        <w:rPr>
          <w:rFonts w:cs="Times New Roman"/>
          <w:szCs w:val="24"/>
        </w:rPr>
        <w:t xml:space="preserve">. When </w:t>
      </w:r>
      <w:r>
        <w:rPr>
          <w:rFonts w:cs="Times New Roman"/>
          <w:szCs w:val="24"/>
        </w:rPr>
        <w:t xml:space="preserve">a </w:t>
      </w:r>
      <w:r w:rsidRPr="00ED1D06">
        <w:rPr>
          <w:rFonts w:cs="Times New Roman"/>
          <w:szCs w:val="24"/>
        </w:rPr>
        <w:t xml:space="preserve">bone turns white from being heated to a high temperature, it is </w:t>
      </w:r>
      <w:r>
        <w:rPr>
          <w:rFonts w:cs="Times New Roman"/>
          <w:szCs w:val="24"/>
        </w:rPr>
        <w:t>termed</w:t>
      </w:r>
      <w:r w:rsidRPr="00ED1D06">
        <w:rPr>
          <w:rFonts w:cs="Times New Roman"/>
          <w:szCs w:val="24"/>
        </w:rPr>
        <w:t xml:space="preserve"> ‘calcined.’ Often bones are both burned and </w:t>
      </w:r>
      <w:r w:rsidRPr="00ED1D06">
        <w:rPr>
          <w:rFonts w:cs="Times New Roman"/>
          <w:szCs w:val="24"/>
        </w:rPr>
        <w:lastRenderedPageBreak/>
        <w:t>calcined. When</w:t>
      </w:r>
      <w:r>
        <w:rPr>
          <w:rFonts w:cs="Times New Roman"/>
          <w:szCs w:val="24"/>
        </w:rPr>
        <w:t xml:space="preserve"> this</w:t>
      </w:r>
      <w:r w:rsidRPr="00ED1D06">
        <w:rPr>
          <w:rFonts w:cs="Times New Roman"/>
          <w:szCs w:val="24"/>
        </w:rPr>
        <w:t xml:space="preserve"> </w:t>
      </w:r>
      <w:r>
        <w:rPr>
          <w:rFonts w:cs="Times New Roman"/>
          <w:szCs w:val="24"/>
        </w:rPr>
        <w:t>is encountered, the bone is</w:t>
      </w:r>
      <w:r w:rsidRPr="00ED1D06">
        <w:rPr>
          <w:rFonts w:cs="Times New Roman"/>
          <w:szCs w:val="24"/>
        </w:rPr>
        <w:t xml:space="preserve"> considered calcined and is grouped within this category. Calcined bones were weighed and recorded separately from burned and non-heated modified bones. Calcination is evidence of direct contact with a fire, while burning on bones can occur when bones are near a fire in sandy soils/sediment </w:t>
      </w:r>
      <w:r w:rsidRPr="00ED1D06">
        <w:rPr>
          <w:rFonts w:cs="Times New Roman"/>
          <w:szCs w:val="24"/>
        </w:rPr>
        <w:fldChar w:fldCharType="begin"/>
      </w:r>
      <w:r w:rsidRPr="00ED1D06">
        <w:rPr>
          <w:rFonts w:cs="Times New Roman"/>
          <w:szCs w:val="24"/>
        </w:rPr>
        <w:instrText xml:space="preserve"> ADDIN EN.CITE &lt;EndNote&gt;&lt;Cite&gt;&lt;Author&gt;Bennett&lt;/Author&gt;&lt;Year&gt;1999&lt;/Year&gt;&lt;RecNum&gt;82&lt;/RecNum&gt;&lt;DisplayText&gt;(Bennett 1999; Stiner, et al. 1995)&lt;/DisplayText&gt;&lt;record&gt;&lt;rec-number&gt;82&lt;/rec-number&gt;&lt;foreign-keys&gt;&lt;key app="EN" db-id="pvwvsv0fktzv2weszt4xp95xstrzawadapa0"&gt;82&lt;/key&gt;&lt;/foreign-keys&gt;&lt;ref-type name="Journal Article"&gt;17&lt;/ref-type&gt;&lt;contributors&gt;&lt;authors&gt;&lt;author&gt;Joanne L. Bennett &lt;/author&gt;&lt;/authors&gt;&lt;/contributors&gt;&lt;titles&gt;&lt;title&gt;Thermal Alteration of Buried Bone&lt;/title&gt;&lt;secondary-title&gt;Journal of Archaeological Science&lt;/secondary-title&gt;&lt;/titles&gt;&lt;periodical&gt;&lt;full-title&gt;Journal of Archaeological Science&lt;/full-title&gt;&lt;/periodical&gt;&lt;pages&gt;1-8&lt;/pages&gt;&lt;volume&gt;26&lt;/volume&gt;&lt;dates&gt;&lt;year&gt;1999&lt;/year&gt;&lt;/dates&gt;&lt;urls&gt;&lt;/urls&gt;&lt;/record&gt;&lt;/Cite&gt;&lt;Cite&gt;&lt;Author&gt;Stiner&lt;/Author&gt;&lt;Year&gt;1995&lt;/Year&gt;&lt;RecNum&gt;123&lt;/RecNum&gt;&lt;record&gt;&lt;rec-number&gt;123&lt;/rec-number&gt;&lt;foreign-keys&gt;&lt;key app="EN" db-id="pvwvsv0fktzv2weszt4xp95xstrzawadapa0"&gt;123&lt;/key&gt;&lt;/foreign-keys&gt;&lt;ref-type name="Journal Article"&gt;17&lt;/ref-type&gt;&lt;contributors&gt;&lt;authors&gt;&lt;author&gt;Mary C. Stiner &lt;/author&gt;&lt;author&gt;Steven L. Kuhn&lt;/author&gt;&lt;author&gt;Stephen Weiner &lt;/author&gt;&lt;author&gt;Ofer Bar-Yosef&lt;/author&gt;&lt;/authors&gt;&lt;/contributors&gt;&lt;titles&gt;&lt;title&gt;Differential Burning, Recrystallization, and Fragmentation of Archaeological Bone.&lt;/title&gt;&lt;secondary-title&gt;Journal of Archaeological Science&lt;/secondary-title&gt;&lt;/titles&gt;&lt;periodical&gt;&lt;full-title&gt;Journal of Archaeological Science&lt;/full-title&gt;&lt;/periodical&gt;&lt;pages&gt;223-237&lt;/pages&gt;&lt;volume&gt;22&lt;/volume&gt;&lt;dates&gt;&lt;year&gt;1995&lt;/year&gt;&lt;/dates&gt;&lt;urls&gt;&lt;/urls&gt;&lt;/record&gt;&lt;/Cite&gt;&lt;/EndNote&gt;</w:instrText>
      </w:r>
      <w:r w:rsidRPr="00ED1D06">
        <w:rPr>
          <w:rFonts w:cs="Times New Roman"/>
          <w:szCs w:val="24"/>
        </w:rPr>
        <w:fldChar w:fldCharType="separate"/>
      </w:r>
      <w:r w:rsidRPr="00ED1D06">
        <w:rPr>
          <w:rFonts w:cs="Times New Roman"/>
          <w:noProof/>
          <w:szCs w:val="24"/>
        </w:rPr>
        <w:t>(</w:t>
      </w:r>
      <w:hyperlink w:anchor="_ENREF_5" w:tooltip="Bennett, 1999 #82" w:history="1">
        <w:r w:rsidR="00B15FB2" w:rsidRPr="00ED1D06">
          <w:rPr>
            <w:rFonts w:cs="Times New Roman"/>
            <w:noProof/>
            <w:szCs w:val="24"/>
          </w:rPr>
          <w:t>Bennett 1999</w:t>
        </w:r>
      </w:hyperlink>
      <w:r w:rsidRPr="00ED1D06">
        <w:rPr>
          <w:rFonts w:cs="Times New Roman"/>
          <w:noProof/>
          <w:szCs w:val="24"/>
        </w:rPr>
        <w:t xml:space="preserve">; </w:t>
      </w:r>
      <w:hyperlink w:anchor="_ENREF_86" w:tooltip="Stiner, 1995 #123" w:history="1">
        <w:r w:rsidR="00B15FB2" w:rsidRPr="00ED1D06">
          <w:rPr>
            <w:rFonts w:cs="Times New Roman"/>
            <w:noProof/>
            <w:szCs w:val="24"/>
          </w:rPr>
          <w:t>Stiner, et al. 1995</w:t>
        </w:r>
      </w:hyperlink>
      <w:r w:rsidRPr="00ED1D06">
        <w:rPr>
          <w:rFonts w:cs="Times New Roman"/>
          <w:noProof/>
          <w:szCs w:val="24"/>
        </w:rPr>
        <w:t>)</w:t>
      </w:r>
      <w:r w:rsidRPr="00ED1D06">
        <w:rPr>
          <w:rFonts w:cs="Times New Roman"/>
          <w:szCs w:val="24"/>
        </w:rPr>
        <w:fldChar w:fldCharType="end"/>
      </w:r>
      <w:r w:rsidRPr="00ED1D06">
        <w:rPr>
          <w:rFonts w:cs="Times New Roman"/>
          <w:szCs w:val="24"/>
        </w:rPr>
        <w:t xml:space="preserve">. </w:t>
      </w:r>
      <w:r>
        <w:rPr>
          <w:rFonts w:cs="Times New Roman"/>
          <w:szCs w:val="24"/>
        </w:rPr>
        <w:t xml:space="preserve">Heat modifications were recorded on all faunal remains (1/4”, 1/8” and 1/16”). Burned and calcined specimens were not weighed separately in Test Units 30 and 31. </w:t>
      </w:r>
    </w:p>
    <w:p w:rsidR="00E72347" w:rsidRPr="00ED1D06" w:rsidRDefault="00E72347" w:rsidP="00E72347">
      <w:pPr>
        <w:spacing w:after="0" w:line="480" w:lineRule="auto"/>
        <w:rPr>
          <w:rFonts w:cs="Times New Roman"/>
          <w:szCs w:val="24"/>
        </w:rPr>
      </w:pPr>
    </w:p>
    <w:p w:rsidR="00E72347" w:rsidRPr="00987786" w:rsidRDefault="00E72347" w:rsidP="00D84561">
      <w:pPr>
        <w:pStyle w:val="Heading3"/>
      </w:pPr>
      <w:bookmarkStart w:id="57" w:name="_Toc349507292"/>
      <w:r w:rsidRPr="00987786">
        <w:t>Butchering</w:t>
      </w:r>
      <w:bookmarkEnd w:id="57"/>
      <w:r w:rsidRPr="00987786">
        <w:t xml:space="preserve"> </w:t>
      </w:r>
    </w:p>
    <w:p w:rsidR="00E72347" w:rsidRDefault="00E72347" w:rsidP="00E72347">
      <w:pPr>
        <w:spacing w:after="0" w:line="480" w:lineRule="auto"/>
        <w:ind w:firstLine="720"/>
        <w:rPr>
          <w:rFonts w:cs="Times New Roman"/>
          <w:szCs w:val="24"/>
        </w:rPr>
      </w:pPr>
      <w:r>
        <w:rPr>
          <w:rFonts w:cs="Times New Roman"/>
          <w:szCs w:val="24"/>
        </w:rPr>
        <w:t xml:space="preserve">Butchering practices begin with the initial kill of the animal, followed by disarticulation and skinning. </w:t>
      </w:r>
      <w:r w:rsidRPr="00ED1D06">
        <w:rPr>
          <w:rFonts w:cs="Times New Roman"/>
          <w:szCs w:val="24"/>
        </w:rPr>
        <w:t>Cut marks</w:t>
      </w:r>
      <w:r>
        <w:rPr>
          <w:rFonts w:cs="Times New Roman"/>
          <w:szCs w:val="24"/>
        </w:rPr>
        <w:t xml:space="preserve"> therefore,</w:t>
      </w:r>
      <w:r w:rsidRPr="00ED1D06">
        <w:rPr>
          <w:rFonts w:cs="Times New Roman"/>
          <w:szCs w:val="24"/>
        </w:rPr>
        <w:t xml:space="preserve"> offer the opportunity to observe direct human behavior </w:t>
      </w:r>
      <w:r>
        <w:rPr>
          <w:rFonts w:cs="Times New Roman"/>
          <w:szCs w:val="24"/>
        </w:rPr>
        <w:t>from the</w:t>
      </w:r>
      <w:r w:rsidRPr="00ED1D06">
        <w:rPr>
          <w:rFonts w:cs="Times New Roman"/>
          <w:szCs w:val="24"/>
        </w:rPr>
        <w:t xml:space="preserve"> archaeological record. </w:t>
      </w:r>
      <w:r>
        <w:rPr>
          <w:rFonts w:cs="Times New Roman"/>
          <w:szCs w:val="24"/>
        </w:rPr>
        <w:t>Lewis Binford (1981) noted several cross-cultural similarities in disarticulation practices in the 7 modern groups (5 in Africa, the Navajo and the Nunamiut). Each group separated the head, the front limbs and the back limbs from the axial body, but there was considerable variation in how the pelvis was treated and how the axial skeleton was divided up (Binford 1981:91). Binford also provides a synthesis of several author’s attention to the placement of butchering marks and skinning marks. Butchering marks are typically found around joints, while skinning marks are found in places where the skin and the underlying bone are tightly connected, like on the skull and on ends of long bones (Binford 1981:136-142). Reitz and Wing note a similar scenario (2008:127).</w:t>
      </w:r>
    </w:p>
    <w:p w:rsidR="00E72347" w:rsidRDefault="00E72347" w:rsidP="00E72347">
      <w:pPr>
        <w:spacing w:after="0" w:line="480" w:lineRule="auto"/>
        <w:ind w:firstLine="720"/>
        <w:rPr>
          <w:rFonts w:cs="Times New Roman"/>
          <w:szCs w:val="24"/>
        </w:rPr>
      </w:pPr>
      <w:r w:rsidRPr="00ED1D06">
        <w:rPr>
          <w:rFonts w:cs="Times New Roman"/>
          <w:szCs w:val="24"/>
        </w:rPr>
        <w:t>Unfortunately, cut marks are highly variable and are often difficult to distinguish from other nicks and scratches left by carnivores,</w:t>
      </w:r>
      <w:r>
        <w:rPr>
          <w:rFonts w:cs="Times New Roman"/>
          <w:szCs w:val="24"/>
        </w:rPr>
        <w:t xml:space="preserve"> abrasions</w:t>
      </w:r>
      <w:r w:rsidRPr="00ED1D06">
        <w:rPr>
          <w:rFonts w:cs="Times New Roman"/>
          <w:szCs w:val="24"/>
        </w:rPr>
        <w:t xml:space="preserve"> or perhaps modern excavation </w:t>
      </w:r>
      <w:r w:rsidRPr="00ED1D06">
        <w:rPr>
          <w:rFonts w:cs="Times New Roman"/>
          <w:szCs w:val="24"/>
        </w:rPr>
        <w:fldChar w:fldCharType="begin"/>
      </w:r>
      <w:r>
        <w:rPr>
          <w:rFonts w:cs="Times New Roman"/>
          <w:szCs w:val="24"/>
        </w:rPr>
        <w:instrText xml:space="preserve"> ADDIN EN.CITE &lt;EndNote&gt;&lt;Cite&gt;&lt;Author&gt;John W. Fisher&lt;/Author&gt;&lt;Year&gt;1995&lt;/Year&gt;&lt;RecNum&gt;124&lt;/RecNum&gt;&lt;DisplayText&gt;(John W. Fisher 1995; Lyman 2005)&lt;/DisplayText&gt;&lt;record&gt;&lt;rec-number&gt;124&lt;/rec-number&gt;&lt;foreign-keys&gt;&lt;key app="EN" db-id="pvwvsv0fktzv2weszt4xp95xstrzawadapa0"&gt;124&lt;/key&gt;&lt;/foreign-keys&gt;&lt;ref-type name="Journal Article"&gt;17&lt;/ref-type&gt;&lt;contributors&gt;&lt;authors&gt;&lt;author&gt;John W. Fisher, Jr. &lt;/author&gt;&lt;/authors&gt;&lt;/contributors&gt;&lt;titles&gt;&lt;title&gt;Bone Surface Modifications in Zooarchaeology.&lt;/title&gt;&lt;secondary-title&gt;Journal of Archaeological Method and Theory&lt;/secondary-title&gt;&lt;/titles&gt;&lt;periodical&gt;&lt;full-title&gt;Journal of Archaeological Method and Theory&lt;/full-title&gt;&lt;/periodical&gt;&lt;pages&gt;7-68&lt;/pages&gt;&lt;volume&gt;2&lt;/volume&gt;&lt;number&gt;1&lt;/number&gt;&lt;dates&gt;&lt;year&gt;1995&lt;/year&gt;&lt;/dates&gt;&lt;urls&gt;&lt;/urls&gt;&lt;/record&gt;&lt;/Cite&gt;&lt;Cite&gt;&lt;Author&gt;Lyman&lt;/Author&gt;&lt;Year&gt;2005&lt;/Year&gt;&lt;RecNum&gt;130&lt;/RecNum&gt;&lt;record&gt;&lt;rec-number&gt;130&lt;/rec-number&gt;&lt;foreign-keys&gt;&lt;key app="EN" db-id="pvwvsv0fktzv2weszt4xp95xstrzawadapa0"&gt;130&lt;/key&gt;&lt;/foreign-keys&gt;&lt;ref-type name="Journal Article"&gt;17&lt;/ref-type&gt;&lt;contributors&gt;&lt;authors&gt;&lt;author&gt;Richard L. Lyman&lt;/author&gt;&lt;/authors&gt;&lt;/contributors&gt;&lt;titles&gt;&lt;title&gt;Analyzing Cut Marks: Lessons from Artidactyl  Remains in the Northwestern United States.&lt;/title&gt;&lt;secondary-title&gt;Journal of Archaeological Science&lt;/secondary-title&gt;&lt;/titles&gt;&lt;periodical&gt;&lt;full-title&gt;Journal of Archaeological Science&lt;/full-title&gt;&lt;/periodical&gt;&lt;pages&gt;1722-1732&lt;/pages&gt;&lt;volume&gt;32&lt;/volume&gt;&lt;dates&gt;&lt;year&gt;2005&lt;/year&gt;&lt;/dates&gt;&lt;urls&gt;&lt;/urls&gt;&lt;/record&gt;&lt;/Cite&gt;&lt;/EndNote&gt;</w:instrText>
      </w:r>
      <w:r w:rsidRPr="00ED1D06">
        <w:rPr>
          <w:rFonts w:cs="Times New Roman"/>
          <w:szCs w:val="24"/>
        </w:rPr>
        <w:fldChar w:fldCharType="separate"/>
      </w:r>
      <w:r>
        <w:rPr>
          <w:rFonts w:cs="Times New Roman"/>
          <w:noProof/>
          <w:szCs w:val="24"/>
        </w:rPr>
        <w:t>(</w:t>
      </w:r>
      <w:hyperlink w:anchor="_ENREF_42" w:tooltip="John W. Fisher, 1995 #124" w:history="1">
        <w:r w:rsidR="00B15FB2">
          <w:rPr>
            <w:rFonts w:cs="Times New Roman"/>
            <w:noProof/>
            <w:szCs w:val="24"/>
          </w:rPr>
          <w:t>John W. Fisher 1995</w:t>
        </w:r>
      </w:hyperlink>
      <w:r>
        <w:rPr>
          <w:rFonts w:cs="Times New Roman"/>
          <w:noProof/>
          <w:szCs w:val="24"/>
        </w:rPr>
        <w:t xml:space="preserve">; </w:t>
      </w:r>
      <w:hyperlink w:anchor="_ENREF_58" w:tooltip="Lyman, 2005 #130" w:history="1">
        <w:r w:rsidR="00B15FB2">
          <w:rPr>
            <w:rFonts w:cs="Times New Roman"/>
            <w:noProof/>
            <w:szCs w:val="24"/>
          </w:rPr>
          <w:t>Lyman 2005</w:t>
        </w:r>
      </w:hyperlink>
      <w:r>
        <w:rPr>
          <w:rFonts w:cs="Times New Roman"/>
          <w:noProof/>
          <w:szCs w:val="24"/>
        </w:rPr>
        <w:t>)</w:t>
      </w:r>
      <w:r w:rsidRPr="00ED1D06">
        <w:rPr>
          <w:rFonts w:cs="Times New Roman"/>
          <w:szCs w:val="24"/>
        </w:rPr>
        <w:fldChar w:fldCharType="end"/>
      </w:r>
      <w:r w:rsidRPr="00ED1D06">
        <w:rPr>
          <w:rFonts w:cs="Times New Roman"/>
          <w:szCs w:val="24"/>
        </w:rPr>
        <w:t xml:space="preserve">. Cut marks themselves do not always occur on bone during the butchering process. Therefore, any study that attempts to characterize butchering patterns must </w:t>
      </w:r>
      <w:r w:rsidRPr="00ED1D06">
        <w:rPr>
          <w:rFonts w:cs="Times New Roman"/>
          <w:szCs w:val="24"/>
        </w:rPr>
        <w:lastRenderedPageBreak/>
        <w:t xml:space="preserve">take this bias into consideration – that a certain portion of an animal may have in fact been butchered, but evidence of this is not visible archaeologically. This variation is based on both the force/pressure used and the thickness of the meat, neither of which can be controlled for archaeologically. </w:t>
      </w:r>
    </w:p>
    <w:p w:rsidR="00E72347" w:rsidRDefault="00E72347" w:rsidP="00E72347">
      <w:pPr>
        <w:spacing w:after="0" w:line="480" w:lineRule="auto"/>
        <w:ind w:firstLine="720"/>
        <w:rPr>
          <w:rFonts w:cs="Times New Roman"/>
          <w:szCs w:val="24"/>
        </w:rPr>
      </w:pPr>
      <w:r w:rsidRPr="00ED1D06">
        <w:rPr>
          <w:rFonts w:cs="Times New Roman"/>
          <w:szCs w:val="24"/>
        </w:rPr>
        <w:t xml:space="preserve">When cut marks are present on bones, they are often v-shaped in cross section, with associated striations on their borders </w:t>
      </w:r>
      <w:r w:rsidRPr="00ED1D06">
        <w:rPr>
          <w:rFonts w:cs="Times New Roman"/>
          <w:szCs w:val="24"/>
        </w:rPr>
        <w:fldChar w:fldCharType="begin"/>
      </w:r>
      <w:r>
        <w:rPr>
          <w:rFonts w:cs="Times New Roman"/>
          <w:szCs w:val="24"/>
        </w:rPr>
        <w:instrText xml:space="preserve"> ADDIN EN.CITE &lt;EndNote&gt;&lt;Cite&gt;&lt;Author&gt;John W. Fisher&lt;/Author&gt;&lt;Year&gt;1995&lt;/Year&gt;&lt;RecNum&gt;124&lt;/RecNum&gt;&lt;DisplayText&gt;(John W. Fisher 1995; Walker and Long 1977)&lt;/DisplayText&gt;&lt;record&gt;&lt;rec-number&gt;124&lt;/rec-number&gt;&lt;foreign-keys&gt;&lt;key app="EN" db-id="pvwvsv0fktzv2weszt4xp95xstrzawadapa0"&gt;124&lt;/key&gt;&lt;/foreign-keys&gt;&lt;ref-type name="Journal Article"&gt;17&lt;/ref-type&gt;&lt;contributors&gt;&lt;authors&gt;&lt;author&gt;John W. Fisher, Jr. &lt;/author&gt;&lt;/authors&gt;&lt;/contributors&gt;&lt;titles&gt;&lt;title&gt;Bone Surface Modifications in Zooarchaeology.&lt;/title&gt;&lt;secondary-title&gt;Journal of Archaeological Method and Theory&lt;/secondary-title&gt;&lt;/titles&gt;&lt;periodical&gt;&lt;full-title&gt;Journal of Archaeological Method and Theory&lt;/full-title&gt;&lt;/periodical&gt;&lt;pages&gt;7-68&lt;/pages&gt;&lt;volume&gt;2&lt;/volume&gt;&lt;number&gt;1&lt;/number&gt;&lt;dates&gt;&lt;year&gt;1995&lt;/year&gt;&lt;/dates&gt;&lt;urls&gt;&lt;/urls&gt;&lt;/record&gt;&lt;/Cite&gt;&lt;Cite&gt;&lt;Author&gt;Walker&lt;/Author&gt;&lt;Year&gt;1977&lt;/Year&gt;&lt;RecNum&gt;131&lt;/RecNum&gt;&lt;record&gt;&lt;rec-number&gt;131&lt;/rec-number&gt;&lt;foreign-keys&gt;&lt;key app="EN" db-id="pvwvsv0fktzv2weszt4xp95xstrzawadapa0"&gt;131&lt;/key&gt;&lt;/foreign-keys&gt;&lt;ref-type name="Journal Article"&gt;17&lt;/ref-type&gt;&lt;contributors&gt;&lt;authors&gt;&lt;author&gt;Phillip L. Walker &lt;/author&gt;&lt;author&gt;Jeffrey C. Long&lt;/author&gt;&lt;/authors&gt;&lt;/contributors&gt;&lt;titles&gt;&lt;title&gt;An Experimental Study of the Morphological Characteristics of Tool Marks&lt;/title&gt;&lt;secondary-title&gt;American Antiquity&lt;/secondary-title&gt;&lt;/titles&gt;&lt;periodical&gt;&lt;full-title&gt;American Antiquity&lt;/full-title&gt;&lt;/periodical&gt;&lt;pages&gt;605-616&lt;/pages&gt;&lt;volume&gt;42&lt;/volume&gt;&lt;number&gt;4&lt;/number&gt;&lt;dates&gt;&lt;year&gt;1977&lt;/year&gt;&lt;/dates&gt;&lt;urls&gt;&lt;/urls&gt;&lt;/record&gt;&lt;/Cite&gt;&lt;/EndNote&gt;</w:instrText>
      </w:r>
      <w:r w:rsidRPr="00ED1D06">
        <w:rPr>
          <w:rFonts w:cs="Times New Roman"/>
          <w:szCs w:val="24"/>
        </w:rPr>
        <w:fldChar w:fldCharType="separate"/>
      </w:r>
      <w:r>
        <w:rPr>
          <w:rFonts w:cs="Times New Roman"/>
          <w:noProof/>
          <w:szCs w:val="24"/>
        </w:rPr>
        <w:t>(</w:t>
      </w:r>
      <w:hyperlink w:anchor="_ENREF_42" w:tooltip="John W. Fisher, 1995 #124" w:history="1">
        <w:r w:rsidR="00B15FB2">
          <w:rPr>
            <w:rFonts w:cs="Times New Roman"/>
            <w:noProof/>
            <w:szCs w:val="24"/>
          </w:rPr>
          <w:t>John W. Fisher 1995</w:t>
        </w:r>
      </w:hyperlink>
      <w:r>
        <w:rPr>
          <w:rFonts w:cs="Times New Roman"/>
          <w:noProof/>
          <w:szCs w:val="24"/>
        </w:rPr>
        <w:t xml:space="preserve">; </w:t>
      </w:r>
      <w:hyperlink w:anchor="_ENREF_91" w:tooltip="Walker, 1977 #131" w:history="1">
        <w:r w:rsidR="00B15FB2">
          <w:rPr>
            <w:rFonts w:cs="Times New Roman"/>
            <w:noProof/>
            <w:szCs w:val="24"/>
          </w:rPr>
          <w:t>Walker and Long 1977</w:t>
        </w:r>
      </w:hyperlink>
      <w:r>
        <w:rPr>
          <w:rFonts w:cs="Times New Roman"/>
          <w:noProof/>
          <w:szCs w:val="24"/>
        </w:rPr>
        <w:t>)</w:t>
      </w:r>
      <w:r w:rsidRPr="00ED1D06">
        <w:rPr>
          <w:rFonts w:cs="Times New Roman"/>
          <w:szCs w:val="24"/>
        </w:rPr>
        <w:fldChar w:fldCharType="end"/>
      </w:r>
      <w:r w:rsidRPr="00ED1D06">
        <w:rPr>
          <w:rFonts w:cs="Times New Roman"/>
          <w:szCs w:val="24"/>
        </w:rPr>
        <w:t>. It is often necessary to examine these under</w:t>
      </w:r>
      <w:r>
        <w:rPr>
          <w:rFonts w:cs="Times New Roman"/>
          <w:szCs w:val="24"/>
        </w:rPr>
        <w:t xml:space="preserve"> a</w:t>
      </w:r>
      <w:r w:rsidRPr="00ED1D06">
        <w:rPr>
          <w:rFonts w:cs="Times New Roman"/>
          <w:szCs w:val="24"/>
        </w:rPr>
        <w:t xml:space="preserve"> Scanning Electron Microscope; however, this approach was not utilized here</w:t>
      </w:r>
      <w:r>
        <w:rPr>
          <w:rFonts w:cs="Times New Roman"/>
          <w:szCs w:val="24"/>
        </w:rPr>
        <w:t xml:space="preserve"> to save time</w:t>
      </w:r>
      <w:r w:rsidRPr="00ED1D06">
        <w:rPr>
          <w:rFonts w:cs="Times New Roman"/>
          <w:szCs w:val="24"/>
        </w:rPr>
        <w:t xml:space="preserve">. </w:t>
      </w:r>
      <w:r>
        <w:rPr>
          <w:rFonts w:cs="Times New Roman"/>
          <w:szCs w:val="24"/>
        </w:rPr>
        <w:t xml:space="preserve">Instead, all bones were thoroughly looked over macroscopically, and identified or possibly identified cut marks were examined under a stereo microscope at 40x magnification. Cut marks were recognized from marks left by carnivores and other natural agents as these marks are generally randomly distributed across a bone, and cut marks produced by humans are generally more linear and parallel when more than one is present on a single spot of a bone </w:t>
      </w:r>
      <w:r>
        <w:rPr>
          <w:rFonts w:cs="Times New Roman"/>
          <w:szCs w:val="24"/>
        </w:rPr>
        <w:fldChar w:fldCharType="begin"/>
      </w:r>
      <w:r>
        <w:rPr>
          <w:rFonts w:cs="Times New Roman"/>
          <w:szCs w:val="24"/>
        </w:rPr>
        <w:instrText xml:space="preserve"> ADDIN EN.CITE &lt;EndNote&gt;&lt;Cite&gt;&lt;Author&gt;John W. Fisher&lt;/Author&gt;&lt;Year&gt;1995&lt;/Year&gt;&lt;RecNum&gt;124&lt;/RecNum&gt;&lt;DisplayText&gt;(John W. Fisher 1995)&lt;/DisplayText&gt;&lt;record&gt;&lt;rec-number&gt;124&lt;/rec-number&gt;&lt;foreign-keys&gt;&lt;key app="EN" db-id="pvwvsv0fktzv2weszt4xp95xstrzawadapa0"&gt;124&lt;/key&gt;&lt;/foreign-keys&gt;&lt;ref-type name="Journal Article"&gt;17&lt;/ref-type&gt;&lt;contributors&gt;&lt;authors&gt;&lt;author&gt;John W. Fisher, Jr. &lt;/author&gt;&lt;/authors&gt;&lt;/contributors&gt;&lt;titles&gt;&lt;title&gt;Bone Surface Modifications in Zooarchaeology.&lt;/title&gt;&lt;secondary-title&gt;Journal of Archaeological Method and Theory&lt;/secondary-title&gt;&lt;/titles&gt;&lt;periodical&gt;&lt;full-title&gt;Journal of Archaeological Method and Theory&lt;/full-title&gt;&lt;/periodical&gt;&lt;pages&gt;7-68&lt;/pages&gt;&lt;volume&gt;2&lt;/volume&gt;&lt;number&gt;1&lt;/number&gt;&lt;dates&gt;&lt;year&gt;1995&lt;/year&gt;&lt;/dates&gt;&lt;urls&gt;&lt;/urls&gt;&lt;/record&gt;&lt;/Cite&gt;&lt;/EndNote&gt;</w:instrText>
      </w:r>
      <w:r>
        <w:rPr>
          <w:rFonts w:cs="Times New Roman"/>
          <w:szCs w:val="24"/>
        </w:rPr>
        <w:fldChar w:fldCharType="separate"/>
      </w:r>
      <w:r>
        <w:rPr>
          <w:rFonts w:cs="Times New Roman"/>
          <w:noProof/>
          <w:szCs w:val="24"/>
        </w:rPr>
        <w:t>(</w:t>
      </w:r>
      <w:hyperlink w:anchor="_ENREF_42" w:tooltip="John W. Fisher, 1995 #124" w:history="1">
        <w:r w:rsidR="00B15FB2">
          <w:rPr>
            <w:rFonts w:cs="Times New Roman"/>
            <w:noProof/>
            <w:szCs w:val="24"/>
          </w:rPr>
          <w:t>John W. Fisher 1995</w:t>
        </w:r>
      </w:hyperlink>
      <w:r>
        <w:rPr>
          <w:rFonts w:cs="Times New Roman"/>
          <w:noProof/>
          <w:szCs w:val="24"/>
        </w:rPr>
        <w:t>)</w:t>
      </w:r>
      <w:r>
        <w:rPr>
          <w:rFonts w:cs="Times New Roman"/>
          <w:szCs w:val="24"/>
        </w:rPr>
        <w:fldChar w:fldCharType="end"/>
      </w:r>
      <w:r>
        <w:rPr>
          <w:rFonts w:cs="Times New Roman"/>
          <w:szCs w:val="24"/>
        </w:rPr>
        <w:t xml:space="preserve">. </w:t>
      </w:r>
    </w:p>
    <w:p w:rsidR="00E72347" w:rsidRDefault="00E72347" w:rsidP="00E72347">
      <w:pPr>
        <w:spacing w:after="0" w:line="480" w:lineRule="auto"/>
        <w:ind w:firstLine="720"/>
        <w:rPr>
          <w:rFonts w:cs="Times New Roman"/>
          <w:szCs w:val="24"/>
        </w:rPr>
      </w:pPr>
      <w:r w:rsidRPr="00ED1D06">
        <w:rPr>
          <w:rFonts w:cs="Times New Roman"/>
          <w:szCs w:val="24"/>
        </w:rPr>
        <w:t>Chop marks are common on archaeological bone. These modifications are somewhat easier to detect tha</w:t>
      </w:r>
      <w:r>
        <w:rPr>
          <w:rFonts w:cs="Times New Roman"/>
          <w:szCs w:val="24"/>
        </w:rPr>
        <w:t>n</w:t>
      </w:r>
      <w:r w:rsidRPr="00ED1D06">
        <w:rPr>
          <w:rFonts w:cs="Times New Roman"/>
          <w:szCs w:val="24"/>
        </w:rPr>
        <w:t xml:space="preserve"> cut</w:t>
      </w:r>
      <w:r>
        <w:rPr>
          <w:rFonts w:cs="Times New Roman"/>
          <w:szCs w:val="24"/>
        </w:rPr>
        <w:t xml:space="preserve"> </w:t>
      </w:r>
      <w:r w:rsidRPr="00ED1D06">
        <w:rPr>
          <w:rFonts w:cs="Times New Roman"/>
          <w:szCs w:val="24"/>
        </w:rPr>
        <w:t xml:space="preserve">marks as they are generally short, deep depressions in bone </w:t>
      </w:r>
      <w:r w:rsidRPr="00ED1D06">
        <w:rPr>
          <w:rFonts w:cs="Times New Roman"/>
          <w:szCs w:val="24"/>
        </w:rPr>
        <w:fldChar w:fldCharType="begin"/>
      </w:r>
      <w:r w:rsidRPr="00ED1D06">
        <w:rPr>
          <w:rFonts w:cs="Times New Roman"/>
          <w:szCs w:val="24"/>
        </w:rPr>
        <w:instrText xml:space="preserve"> ADDIN EN.CITE &lt;EndNote&gt;&lt;Cite&gt;&lt;Author&gt;John W. Fisher&lt;/Author&gt;&lt;Year&gt;1995&lt;/Year&gt;&lt;RecNum&gt;124&lt;/RecNum&gt;&lt;Pages&gt;19&lt;/Pages&gt;&lt;DisplayText&gt;(John W. Fisher 1995:19)&lt;/DisplayText&gt;&lt;record&gt;&lt;rec-number&gt;124&lt;/rec-number&gt;&lt;foreign-keys&gt;&lt;key app="EN" db-id="pvwvsv0fktzv2weszt4xp95xstrzawadapa0"&gt;124&lt;/key&gt;&lt;/foreign-keys&gt;&lt;ref-type name="Journal Article"&gt;17&lt;/ref-type&gt;&lt;contributors&gt;&lt;authors&gt;&lt;author&gt;John W. Fisher, Jr. &lt;/author&gt;&lt;/authors&gt;&lt;/contributors&gt;&lt;titles&gt;&lt;title&gt;Bone Surface Modifications in Zooarchaeology.&lt;/title&gt;&lt;secondary-title&gt;Journal of Archaeological Method and Theory&lt;/secondary-title&gt;&lt;/titles&gt;&lt;periodical&gt;&lt;full-title&gt;Journal of Archaeological Method and Theory&lt;/full-title&gt;&lt;/periodical&gt;&lt;pages&gt;7-68&lt;/pages&gt;&lt;volume&gt;2&lt;/volume&gt;&lt;number&gt;1&lt;/number&gt;&lt;dates&gt;&lt;year&gt;1995&lt;/year&gt;&lt;/dates&gt;&lt;urls&gt;&lt;/urls&gt;&lt;/record&gt;&lt;/Cite&gt;&lt;/EndNote&gt;</w:instrText>
      </w:r>
      <w:r w:rsidRPr="00ED1D06">
        <w:rPr>
          <w:rFonts w:cs="Times New Roman"/>
          <w:szCs w:val="24"/>
        </w:rPr>
        <w:fldChar w:fldCharType="separate"/>
      </w:r>
      <w:r w:rsidRPr="00ED1D06">
        <w:rPr>
          <w:rFonts w:cs="Times New Roman"/>
          <w:noProof/>
          <w:szCs w:val="24"/>
        </w:rPr>
        <w:t>(</w:t>
      </w:r>
      <w:hyperlink w:anchor="_ENREF_42" w:tooltip="John W. Fisher, 1995 #124" w:history="1">
        <w:r w:rsidR="00B15FB2" w:rsidRPr="00ED1D06">
          <w:rPr>
            <w:rFonts w:cs="Times New Roman"/>
            <w:noProof/>
            <w:szCs w:val="24"/>
          </w:rPr>
          <w:t>John W. Fisher 1995:19</w:t>
        </w:r>
      </w:hyperlink>
      <w:r w:rsidRPr="00ED1D06">
        <w:rPr>
          <w:rFonts w:cs="Times New Roman"/>
          <w:noProof/>
          <w:szCs w:val="24"/>
        </w:rPr>
        <w:t>)</w:t>
      </w:r>
      <w:r w:rsidRPr="00ED1D06">
        <w:rPr>
          <w:rFonts w:cs="Times New Roman"/>
          <w:szCs w:val="24"/>
        </w:rPr>
        <w:fldChar w:fldCharType="end"/>
      </w:r>
      <w:r w:rsidRPr="00ED1D06">
        <w:rPr>
          <w:rFonts w:cs="Times New Roman"/>
          <w:szCs w:val="24"/>
        </w:rPr>
        <w:t>.</w:t>
      </w:r>
      <w:r>
        <w:rPr>
          <w:rFonts w:cs="Times New Roman"/>
          <w:szCs w:val="24"/>
        </w:rPr>
        <w:t xml:space="preserve"> Likewise, skinning marks are easily detectable as these generally produce many short, shallow cut marks parallel to one another in a line down a bone, usually a long bone.</w:t>
      </w:r>
      <w:r w:rsidRPr="00002511">
        <w:rPr>
          <w:rFonts w:cs="Times New Roman"/>
          <w:szCs w:val="24"/>
        </w:rPr>
        <w:t xml:space="preserve"> </w:t>
      </w:r>
      <w:r>
        <w:rPr>
          <w:rFonts w:cs="Times New Roman"/>
          <w:szCs w:val="24"/>
        </w:rPr>
        <w:t xml:space="preserve">It should be noted that bone breakage patterns were not systematically recorded for these analyses. All 1/4” recovered faunal remains were examined for the presence of cut marks. </w:t>
      </w:r>
    </w:p>
    <w:p w:rsidR="00E72347" w:rsidRDefault="00E72347" w:rsidP="00E72347">
      <w:pPr>
        <w:spacing w:after="0" w:line="480" w:lineRule="auto"/>
        <w:rPr>
          <w:rFonts w:cs="Times New Roman"/>
          <w:szCs w:val="24"/>
        </w:rPr>
      </w:pPr>
    </w:p>
    <w:p w:rsidR="00E72347" w:rsidRPr="00987786" w:rsidRDefault="00E72347" w:rsidP="00D84561">
      <w:pPr>
        <w:pStyle w:val="Heading3"/>
      </w:pPr>
      <w:bookmarkStart w:id="58" w:name="_Toc349507293"/>
      <w:r w:rsidRPr="00987786">
        <w:t>Bone tools and worked bone</w:t>
      </w:r>
      <w:bookmarkEnd w:id="58"/>
      <w:r w:rsidRPr="00987786">
        <w:t xml:space="preserve">  </w:t>
      </w:r>
    </w:p>
    <w:p w:rsidR="00E72347" w:rsidRPr="00ED1D06" w:rsidRDefault="00E72347" w:rsidP="00E72347">
      <w:pPr>
        <w:spacing w:after="0" w:line="480" w:lineRule="auto"/>
        <w:ind w:firstLine="720"/>
        <w:rPr>
          <w:rFonts w:cs="Times New Roman"/>
          <w:szCs w:val="24"/>
        </w:rPr>
      </w:pPr>
      <w:r w:rsidRPr="00ED1D06">
        <w:rPr>
          <w:rFonts w:cs="Times New Roman"/>
          <w:szCs w:val="24"/>
        </w:rPr>
        <w:t>Several bone tools</w:t>
      </w:r>
      <w:r>
        <w:rPr>
          <w:rFonts w:cs="Times New Roman"/>
          <w:szCs w:val="24"/>
        </w:rPr>
        <w:t xml:space="preserve"> and worked bones</w:t>
      </w:r>
      <w:r w:rsidRPr="00ED1D06">
        <w:rPr>
          <w:rFonts w:cs="Times New Roman"/>
          <w:szCs w:val="24"/>
        </w:rPr>
        <w:t xml:space="preserve"> were identified during field excavations and later in laboratory analysis. All worked bone was bagged separately and</w:t>
      </w:r>
      <w:r>
        <w:rPr>
          <w:rFonts w:cs="Times New Roman"/>
          <w:szCs w:val="24"/>
        </w:rPr>
        <w:t xml:space="preserve"> examined under a stereo </w:t>
      </w:r>
      <w:r>
        <w:rPr>
          <w:rFonts w:cs="Times New Roman"/>
          <w:szCs w:val="24"/>
        </w:rPr>
        <w:lastRenderedPageBreak/>
        <w:t>microscope at 40x magnification</w:t>
      </w:r>
      <w:r w:rsidRPr="00ED1D06">
        <w:rPr>
          <w:rFonts w:cs="Times New Roman"/>
          <w:szCs w:val="24"/>
        </w:rPr>
        <w:t>. The microscope was used to look at use wear</w:t>
      </w:r>
      <w:r>
        <w:rPr>
          <w:rFonts w:cs="Times New Roman"/>
          <w:szCs w:val="24"/>
        </w:rPr>
        <w:t xml:space="preserve"> and/or manufacture signatures. These worked bones are not included as cut or butchered bone. </w:t>
      </w:r>
    </w:p>
    <w:p w:rsidR="00E72347" w:rsidRPr="00ED1D06" w:rsidRDefault="00E72347" w:rsidP="00E72347">
      <w:pPr>
        <w:spacing w:after="0" w:line="480" w:lineRule="auto"/>
        <w:rPr>
          <w:rFonts w:cs="Times New Roman"/>
          <w:szCs w:val="24"/>
        </w:rPr>
      </w:pPr>
    </w:p>
    <w:p w:rsidR="00E72347" w:rsidRPr="00987786" w:rsidRDefault="00E72347" w:rsidP="00D84561">
      <w:pPr>
        <w:pStyle w:val="Heading3"/>
      </w:pPr>
      <w:bookmarkStart w:id="59" w:name="_Toc349507294"/>
      <w:r w:rsidRPr="00987786">
        <w:t>Surface Degradation</w:t>
      </w:r>
      <w:bookmarkEnd w:id="59"/>
      <w:r w:rsidRPr="00987786">
        <w:t xml:space="preserve"> </w:t>
      </w:r>
    </w:p>
    <w:p w:rsidR="00E72347" w:rsidRPr="00ED1D06" w:rsidRDefault="00E72347" w:rsidP="00E72347">
      <w:pPr>
        <w:spacing w:after="0" w:line="480" w:lineRule="auto"/>
        <w:ind w:firstLine="720"/>
        <w:rPr>
          <w:rFonts w:cs="Times New Roman"/>
          <w:szCs w:val="24"/>
        </w:rPr>
      </w:pPr>
      <w:r w:rsidRPr="00ED1D06">
        <w:rPr>
          <w:rFonts w:cs="Times New Roman"/>
          <w:szCs w:val="24"/>
        </w:rPr>
        <w:t>Surface degradation is a broad term that I am using to describe bone that has been diagenically altered by chemical reactions and physical processes that took place sometime within the depositional history of the skeletal element. This encompasses subaerial and subsurface weathering</w:t>
      </w:r>
      <w:r>
        <w:rPr>
          <w:rFonts w:cs="Times New Roman"/>
          <w:szCs w:val="24"/>
        </w:rPr>
        <w:t xml:space="preserve"> and</w:t>
      </w:r>
      <w:r w:rsidRPr="00ED1D06">
        <w:rPr>
          <w:rFonts w:cs="Times New Roman"/>
          <w:szCs w:val="24"/>
        </w:rPr>
        <w:t xml:space="preserve"> root etching. </w:t>
      </w:r>
    </w:p>
    <w:p w:rsidR="00E72347" w:rsidRPr="00ED1D06" w:rsidRDefault="00E72347" w:rsidP="00E72347">
      <w:pPr>
        <w:spacing w:after="0" w:line="480" w:lineRule="auto"/>
        <w:ind w:firstLine="720"/>
        <w:rPr>
          <w:rFonts w:cs="Times New Roman"/>
          <w:szCs w:val="24"/>
        </w:rPr>
      </w:pPr>
      <w:r w:rsidRPr="00ED1D06">
        <w:rPr>
          <w:rFonts w:cs="Times New Roman"/>
          <w:szCs w:val="24"/>
        </w:rPr>
        <w:t xml:space="preserve"> Subaerial weathering occurs when bones are left exposed to sun, wind and rain for several months to several years. Characteristics of these processes include cracking, splitting, exfoliation, disintegration and decomposition </w:t>
      </w:r>
      <w:r w:rsidRPr="00ED1D06">
        <w:rPr>
          <w:rFonts w:cs="Times New Roman"/>
          <w:szCs w:val="24"/>
        </w:rPr>
        <w:fldChar w:fldCharType="begin"/>
      </w:r>
      <w:r w:rsidRPr="00ED1D06">
        <w:rPr>
          <w:rFonts w:cs="Times New Roman"/>
          <w:szCs w:val="24"/>
        </w:rPr>
        <w:instrText xml:space="preserve"> ADDIN EN.CITE &lt;EndNote&gt;&lt;Cite&gt;&lt;Author&gt;Behrensmeyer&lt;/Author&gt;&lt;Year&gt;1978&lt;/Year&gt;&lt;RecNum&gt;125&lt;/RecNum&gt;&lt;DisplayText&gt;(Behrensmeyer 1978)&lt;/DisplayText&gt;&lt;record&gt;&lt;rec-number&gt;125&lt;/rec-number&gt;&lt;foreign-keys&gt;&lt;key app="EN" db-id="pvwvsv0fktzv2weszt4xp95xstrzawadapa0"&gt;125&lt;/key&gt;&lt;/foreign-keys&gt;&lt;ref-type name="Journal Article"&gt;17&lt;/ref-type&gt;&lt;contributors&gt;&lt;authors&gt;&lt;author&gt;Anna K. Behrensmeyer&lt;/author&gt;&lt;/authors&gt;&lt;/contributors&gt;&lt;titles&gt;&lt;title&gt;Taphonomic and Ecological Information from Bone Weathering.&lt;/title&gt;&lt;secondary-title&gt;Paleobiology&lt;/secondary-title&gt;&lt;/titles&gt;&lt;periodical&gt;&lt;full-title&gt;Paleobiology&lt;/full-title&gt;&lt;/periodical&gt;&lt;pages&gt;150-162&lt;/pages&gt;&lt;volume&gt;4&lt;/volume&gt;&lt;dates&gt;&lt;year&gt;1978&lt;/year&gt;&lt;/dates&gt;&lt;urls&gt;&lt;/urls&gt;&lt;/record&gt;&lt;/Cite&gt;&lt;/EndNote&gt;</w:instrText>
      </w:r>
      <w:r w:rsidRPr="00ED1D06">
        <w:rPr>
          <w:rFonts w:cs="Times New Roman"/>
          <w:szCs w:val="24"/>
        </w:rPr>
        <w:fldChar w:fldCharType="separate"/>
      </w:r>
      <w:r w:rsidRPr="00ED1D06">
        <w:rPr>
          <w:rFonts w:cs="Times New Roman"/>
          <w:noProof/>
          <w:szCs w:val="24"/>
        </w:rPr>
        <w:t>(</w:t>
      </w:r>
      <w:hyperlink w:anchor="_ENREF_4" w:tooltip="Behrensmeyer, 1978 #125" w:history="1">
        <w:r w:rsidR="00B15FB2" w:rsidRPr="00ED1D06">
          <w:rPr>
            <w:rFonts w:cs="Times New Roman"/>
            <w:noProof/>
            <w:szCs w:val="24"/>
          </w:rPr>
          <w:t>Behrensmeyer 1978</w:t>
        </w:r>
      </w:hyperlink>
      <w:r w:rsidRPr="00ED1D06">
        <w:rPr>
          <w:rFonts w:cs="Times New Roman"/>
          <w:noProof/>
          <w:szCs w:val="24"/>
        </w:rPr>
        <w:t>)</w:t>
      </w:r>
      <w:r w:rsidRPr="00ED1D06">
        <w:rPr>
          <w:rFonts w:cs="Times New Roman"/>
          <w:szCs w:val="24"/>
        </w:rPr>
        <w:fldChar w:fldCharType="end"/>
      </w:r>
      <w:r w:rsidRPr="00ED1D06">
        <w:rPr>
          <w:rFonts w:cs="Times New Roman"/>
          <w:szCs w:val="24"/>
        </w:rPr>
        <w:t>. Subsurface weathering occurs when a bone is exposed to acidic conditions</w:t>
      </w:r>
      <w:r>
        <w:rPr>
          <w:rFonts w:cs="Times New Roman"/>
          <w:szCs w:val="24"/>
        </w:rPr>
        <w:t xml:space="preserve"> in their depositional environment</w:t>
      </w:r>
      <w:r w:rsidRPr="00ED1D06">
        <w:rPr>
          <w:rFonts w:cs="Times New Roman"/>
          <w:szCs w:val="24"/>
        </w:rPr>
        <w:t xml:space="preserve"> </w:t>
      </w:r>
      <w:r w:rsidRPr="00ED1D06">
        <w:rPr>
          <w:rFonts w:cs="Times New Roman"/>
          <w:szCs w:val="24"/>
        </w:rPr>
        <w:fldChar w:fldCharType="begin"/>
      </w:r>
      <w:r w:rsidRPr="00ED1D06">
        <w:rPr>
          <w:rFonts w:cs="Times New Roman"/>
          <w:szCs w:val="24"/>
        </w:rPr>
        <w:instrText xml:space="preserve"> ADDIN EN.CITE &lt;EndNote&gt;&lt;Cite&gt;&lt;Author&gt;Gordon&lt;/Author&gt;&lt;Year&gt;1981&lt;/Year&gt;&lt;RecNum&gt;126&lt;/RecNum&gt;&lt;DisplayText&gt;(Gordon and Buikstra 1981; Schiffer 1987:148; White 1983)&lt;/DisplayText&gt;&lt;record&gt;&lt;rec-number&gt;126&lt;/rec-number&gt;&lt;foreign-keys&gt;&lt;key app="EN" db-id="pvwvsv0fktzv2weszt4xp95xstrzawadapa0"&gt;126&lt;/key&gt;&lt;/foreign-keys&gt;&lt;ref-type name="Journal Article"&gt;17&lt;/ref-type&gt;&lt;contributors&gt;&lt;authors&gt;&lt;author&gt;C. C. Gordon&lt;/author&gt;&lt;author&gt;J. E. Buikstra&lt;/author&gt;&lt;/authors&gt;&lt;/contributors&gt;&lt;titles&gt;&lt;title&gt;Soil pH, Bone Preservation, and Sampling Bias at Mortuary Sites.&lt;/title&gt;&lt;secondary-title&gt;American Antiquity&lt;/secondary-title&gt;&lt;/titles&gt;&lt;periodical&gt;&lt;full-title&gt;American Antiquity&lt;/full-title&gt;&lt;/periodical&gt;&lt;pages&gt;566-571&lt;/pages&gt;&lt;volume&gt;46&lt;/volume&gt;&lt;dates&gt;&lt;year&gt;1981&lt;/year&gt;&lt;/dates&gt;&lt;urls&gt;&lt;/urls&gt;&lt;/record&gt;&lt;/Cite&gt;&lt;Cite&gt;&lt;Author&gt;White&lt;/Author&gt;&lt;Year&gt;1983&lt;/Year&gt;&lt;RecNum&gt;36&lt;/RecNum&gt;&lt;record&gt;&lt;rec-number&gt;36&lt;/rec-number&gt;&lt;foreign-keys&gt;&lt;key app="EN" db-id="pvwvsv0fktzv2weszt4xp95xstrzawadapa0"&gt;36&lt;/key&gt;&lt;/foreign-keys&gt;&lt;ref-type name="Journal Article"&gt;17&lt;/ref-type&gt;&lt;contributors&gt;&lt;authors&gt;&lt;author&gt;White, E.M. and L.A. Hannus &lt;/author&gt;&lt;/authors&gt;&lt;/contributors&gt;&lt;titles&gt;&lt;title&gt;Chemical Weathering of Bone from Archaeological Soils &lt;/title&gt;&lt;secondary-title&gt;American Antiquity&lt;/secondary-title&gt;&lt;/titles&gt;&lt;periodical&gt;&lt;full-title&gt;American Antiquity&lt;/full-title&gt;&lt;/periodical&gt;&lt;pages&gt;316-322&lt;/pages&gt;&lt;volume&gt;48&lt;/volume&gt;&lt;number&gt;2&lt;/number&gt;&lt;dates&gt;&lt;year&gt;1983&lt;/year&gt;&lt;/dates&gt;&lt;urls&gt;&lt;/urls&gt;&lt;/record&gt;&lt;/Cite&gt;&lt;Cite&gt;&lt;Author&gt;Schiffer&lt;/Author&gt;&lt;Year&gt;1987&lt;/Year&gt;&lt;RecNum&gt;127&lt;/RecNum&gt;&lt;Pages&gt;148&lt;/Pages&gt;&lt;record&gt;&lt;rec-number&gt;127&lt;/rec-number&gt;&lt;foreign-keys&gt;&lt;key app="EN" db-id="pvwvsv0fktzv2weszt4xp95xstrzawadapa0"&gt;127&lt;/key&gt;&lt;/foreign-keys&gt;&lt;ref-type name="Book"&gt;6&lt;/ref-type&gt;&lt;contributors&gt;&lt;authors&gt;&lt;author&gt;Michael B. Schiffer&lt;/author&gt;&lt;/authors&gt;&lt;/contributors&gt;&lt;titles&gt;&lt;title&gt;Formation Processes of the Archaeological Record&lt;/title&gt;&lt;/titles&gt;&lt;dates&gt;&lt;year&gt;1987&lt;/year&gt;&lt;/dates&gt;&lt;pub-location&gt;Albuquerque&lt;/pub-location&gt;&lt;publisher&gt;University of New Mexico Press&lt;/publisher&gt;&lt;urls&gt;&lt;/urls&gt;&lt;/record&gt;&lt;/Cite&gt;&lt;/EndNote&gt;</w:instrText>
      </w:r>
      <w:r w:rsidRPr="00ED1D06">
        <w:rPr>
          <w:rFonts w:cs="Times New Roman"/>
          <w:szCs w:val="24"/>
        </w:rPr>
        <w:fldChar w:fldCharType="separate"/>
      </w:r>
      <w:r w:rsidRPr="00ED1D06">
        <w:rPr>
          <w:rFonts w:cs="Times New Roman"/>
          <w:noProof/>
          <w:szCs w:val="24"/>
        </w:rPr>
        <w:t>(</w:t>
      </w:r>
      <w:hyperlink w:anchor="_ENREF_33" w:tooltip="Gordon, 1981 #126" w:history="1">
        <w:r w:rsidR="00B15FB2" w:rsidRPr="00ED1D06">
          <w:rPr>
            <w:rFonts w:cs="Times New Roman"/>
            <w:noProof/>
            <w:szCs w:val="24"/>
          </w:rPr>
          <w:t>Gordon and Buikstra 1981</w:t>
        </w:r>
      </w:hyperlink>
      <w:r w:rsidRPr="00ED1D06">
        <w:rPr>
          <w:rFonts w:cs="Times New Roman"/>
          <w:noProof/>
          <w:szCs w:val="24"/>
        </w:rPr>
        <w:t xml:space="preserve">; </w:t>
      </w:r>
      <w:hyperlink w:anchor="_ENREF_77" w:tooltip="Schiffer, 1987 #127" w:history="1">
        <w:r w:rsidR="00B15FB2" w:rsidRPr="00ED1D06">
          <w:rPr>
            <w:rFonts w:cs="Times New Roman"/>
            <w:noProof/>
            <w:szCs w:val="24"/>
          </w:rPr>
          <w:t>Schiffer 1987:148</w:t>
        </w:r>
      </w:hyperlink>
      <w:r w:rsidRPr="00ED1D06">
        <w:rPr>
          <w:rFonts w:cs="Times New Roman"/>
          <w:noProof/>
          <w:szCs w:val="24"/>
        </w:rPr>
        <w:t xml:space="preserve">; </w:t>
      </w:r>
      <w:hyperlink w:anchor="_ENREF_93" w:tooltip="White, 1983 #36" w:history="1">
        <w:r w:rsidR="00B15FB2" w:rsidRPr="00ED1D06">
          <w:rPr>
            <w:rFonts w:cs="Times New Roman"/>
            <w:noProof/>
            <w:szCs w:val="24"/>
          </w:rPr>
          <w:t>White 1983</w:t>
        </w:r>
      </w:hyperlink>
      <w:r w:rsidRPr="00ED1D06">
        <w:rPr>
          <w:rFonts w:cs="Times New Roman"/>
          <w:noProof/>
          <w:szCs w:val="24"/>
        </w:rPr>
        <w:t>)</w:t>
      </w:r>
      <w:r w:rsidRPr="00ED1D06">
        <w:rPr>
          <w:rFonts w:cs="Times New Roman"/>
          <w:szCs w:val="24"/>
        </w:rPr>
        <w:fldChar w:fldCharType="end"/>
      </w:r>
      <w:r w:rsidRPr="00ED1D06">
        <w:rPr>
          <w:rFonts w:cs="Times New Roman"/>
          <w:szCs w:val="24"/>
        </w:rPr>
        <w:t xml:space="preserve">. </w:t>
      </w:r>
      <w:r>
        <w:rPr>
          <w:rFonts w:cs="Times New Roman"/>
          <w:szCs w:val="24"/>
        </w:rPr>
        <w:t xml:space="preserve">These processes can leave similar modifications on bone, and can eventually lead to complete bone dissolution. Root etching occurs when plant roots come into contact with bone, leaving characteristic wavy lines and pits on bones </w:t>
      </w:r>
      <w:r>
        <w:rPr>
          <w:rFonts w:cs="Times New Roman"/>
          <w:szCs w:val="24"/>
        </w:rPr>
        <w:fldChar w:fldCharType="begin"/>
      </w:r>
      <w:r>
        <w:rPr>
          <w:rFonts w:cs="Times New Roman"/>
          <w:szCs w:val="24"/>
        </w:rPr>
        <w:instrText xml:space="preserve"> ADDIN EN.CITE &lt;EndNote&gt;&lt;Cite&gt;&lt;Author&gt;John W. Fisher&lt;/Author&gt;&lt;Year&gt;1995&lt;/Year&gt;&lt;RecNum&gt;124&lt;/RecNum&gt;&lt;DisplayText&gt;(John W. Fisher 1995; Lyman 1994)&lt;/DisplayText&gt;&lt;record&gt;&lt;rec-number&gt;124&lt;/rec-number&gt;&lt;foreign-keys&gt;&lt;key app="EN" db-id="pvwvsv0fktzv2weszt4xp95xstrzawadapa0"&gt;124&lt;/key&gt;&lt;/foreign-keys&gt;&lt;ref-type name="Journal Article"&gt;17&lt;/ref-type&gt;&lt;contributors&gt;&lt;authors&gt;&lt;author&gt;John W. Fisher, Jr. &lt;/author&gt;&lt;/authors&gt;&lt;/contributors&gt;&lt;titles&gt;&lt;title&gt;Bone Surface Modifications in Zooarchaeology.&lt;/title&gt;&lt;secondary-title&gt;Journal of Archaeological Method and Theory&lt;/secondary-title&gt;&lt;/titles&gt;&lt;periodical&gt;&lt;full-title&gt;Journal of Archaeological Method and Theory&lt;/full-title&gt;&lt;/periodical&gt;&lt;pages&gt;7-68&lt;/pages&gt;&lt;volume&gt;2&lt;/volume&gt;&lt;number&gt;1&lt;/number&gt;&lt;dates&gt;&lt;year&gt;1995&lt;/year&gt;&lt;/dates&gt;&lt;urls&gt;&lt;/urls&gt;&lt;/record&gt;&lt;/Cite&gt;&lt;Cite&gt;&lt;Author&gt;Lyman&lt;/Author&gt;&lt;Year&gt;1994&lt;/Year&gt;&lt;RecNum&gt;129&lt;/RecNum&gt;&lt;record&gt;&lt;rec-number&gt;129&lt;/rec-number&gt;&lt;foreign-keys&gt;&lt;key app="EN" db-id="pvwvsv0fktzv2weszt4xp95xstrzawadapa0"&gt;129&lt;/key&gt;&lt;/foreign-keys&gt;&lt;ref-type name="Edited Book"&gt;28&lt;/ref-type&gt;&lt;contributors&gt;&lt;authors&gt;&lt;author&gt;Richard L. Lyman&lt;/author&gt;&lt;/authors&gt;&lt;/contributors&gt;&lt;titles&gt;&lt;title&gt;Vertebrate Taphonomy&lt;/title&gt;&lt;/titles&gt;&lt;dates&gt;&lt;year&gt;1994&lt;/year&gt;&lt;/dates&gt;&lt;pub-location&gt;Cambridge&lt;/pub-location&gt;&lt;publisher&gt;Cambridge University Press&lt;/publisher&gt;&lt;urls&gt;&lt;/urls&gt;&lt;/record&gt;&lt;/Cite&gt;&lt;/EndNote&gt;</w:instrText>
      </w:r>
      <w:r>
        <w:rPr>
          <w:rFonts w:cs="Times New Roman"/>
          <w:szCs w:val="24"/>
        </w:rPr>
        <w:fldChar w:fldCharType="separate"/>
      </w:r>
      <w:r>
        <w:rPr>
          <w:rFonts w:cs="Times New Roman"/>
          <w:noProof/>
          <w:szCs w:val="24"/>
        </w:rPr>
        <w:t>(</w:t>
      </w:r>
      <w:hyperlink w:anchor="_ENREF_42" w:tooltip="John W. Fisher, 1995 #124" w:history="1">
        <w:r w:rsidR="00B15FB2">
          <w:rPr>
            <w:rFonts w:cs="Times New Roman"/>
            <w:noProof/>
            <w:szCs w:val="24"/>
          </w:rPr>
          <w:t>John W. Fisher 1995</w:t>
        </w:r>
      </w:hyperlink>
      <w:r>
        <w:rPr>
          <w:rFonts w:cs="Times New Roman"/>
          <w:noProof/>
          <w:szCs w:val="24"/>
        </w:rPr>
        <w:t xml:space="preserve">; </w:t>
      </w:r>
      <w:hyperlink w:anchor="_ENREF_57" w:tooltip="Lyman, 1994 #129" w:history="1">
        <w:r w:rsidR="00B15FB2">
          <w:rPr>
            <w:rFonts w:cs="Times New Roman"/>
            <w:noProof/>
            <w:szCs w:val="24"/>
          </w:rPr>
          <w:t>Lyman 1994</w:t>
        </w:r>
      </w:hyperlink>
      <w:r>
        <w:rPr>
          <w:rFonts w:cs="Times New Roman"/>
          <w:noProof/>
          <w:szCs w:val="24"/>
        </w:rPr>
        <w:t>)</w:t>
      </w:r>
      <w:r>
        <w:rPr>
          <w:rFonts w:cs="Times New Roman"/>
          <w:szCs w:val="24"/>
        </w:rPr>
        <w:fldChar w:fldCharType="end"/>
      </w:r>
      <w:r>
        <w:rPr>
          <w:rFonts w:cs="Times New Roman"/>
          <w:szCs w:val="24"/>
        </w:rPr>
        <w:t xml:space="preserve">. </w:t>
      </w:r>
    </w:p>
    <w:p w:rsidR="00E72347" w:rsidRDefault="00E72347" w:rsidP="00E72347">
      <w:pPr>
        <w:spacing w:after="0" w:line="480" w:lineRule="auto"/>
        <w:ind w:firstLine="720"/>
        <w:rPr>
          <w:rFonts w:cs="Times New Roman"/>
          <w:szCs w:val="24"/>
        </w:rPr>
      </w:pPr>
      <w:r w:rsidRPr="00ED1D06">
        <w:rPr>
          <w:rFonts w:cs="Times New Roman"/>
          <w:szCs w:val="24"/>
        </w:rPr>
        <w:t xml:space="preserve">Surface degradation was only recorded on elements of large mammals, as it is easier to distinguish these types of modifications on larger bones. Obviously this creates bias against small elements (i.e. small taxa) and these are generally affected to a greater degree than large elements and large mammals by preservation factors, however, it is hoped that the patterns represented on large elements will serve as a proxy for the preservation factors affecting </w:t>
      </w:r>
      <w:r>
        <w:rPr>
          <w:rFonts w:cs="Times New Roman"/>
          <w:szCs w:val="24"/>
        </w:rPr>
        <w:t xml:space="preserve">smaller bone in the same context. All large mammals analyzed by the author were subject to this investigation, except for those recovered from TU 30 and 31. These two test units were the first </w:t>
      </w:r>
      <w:r>
        <w:rPr>
          <w:rFonts w:cs="Times New Roman"/>
          <w:szCs w:val="24"/>
        </w:rPr>
        <w:lastRenderedPageBreak/>
        <w:t xml:space="preserve">to be analyzed, for preliminary results of this thesis research. It was noted during these analyses that these taphonomic processes were greatly affecting many of the bones, therefore it was decided to begin systematically recording these modifications for the remaining faunal assemblage. </w:t>
      </w:r>
    </w:p>
    <w:p w:rsidR="00E72347" w:rsidRPr="00ED1D06" w:rsidRDefault="00E72347" w:rsidP="00E72347">
      <w:pPr>
        <w:spacing w:after="0" w:line="480" w:lineRule="auto"/>
        <w:ind w:firstLine="720"/>
        <w:rPr>
          <w:rFonts w:cs="Times New Roman"/>
          <w:szCs w:val="24"/>
        </w:rPr>
      </w:pPr>
    </w:p>
    <w:p w:rsidR="00E72347" w:rsidRPr="00987786" w:rsidRDefault="00E72347" w:rsidP="00D84561">
      <w:pPr>
        <w:pStyle w:val="Heading3"/>
      </w:pPr>
      <w:bookmarkStart w:id="60" w:name="_Toc349507295"/>
      <w:r w:rsidRPr="00987786">
        <w:t>Gnaw Marks and Digestion</w:t>
      </w:r>
      <w:bookmarkEnd w:id="60"/>
      <w:r w:rsidRPr="00987786">
        <w:t xml:space="preserve"> </w:t>
      </w:r>
    </w:p>
    <w:p w:rsidR="00E72347" w:rsidRDefault="00E72347" w:rsidP="00E72347">
      <w:pPr>
        <w:spacing w:after="0" w:line="480" w:lineRule="auto"/>
        <w:rPr>
          <w:rFonts w:cs="Times New Roman"/>
          <w:szCs w:val="24"/>
        </w:rPr>
      </w:pPr>
      <w:r w:rsidRPr="00ED1D06">
        <w:rPr>
          <w:rFonts w:cs="Times New Roman"/>
          <w:szCs w:val="24"/>
        </w:rPr>
        <w:tab/>
        <w:t xml:space="preserve">Often times, faunal assemblages </w:t>
      </w:r>
      <w:r>
        <w:rPr>
          <w:rFonts w:cs="Times New Roman"/>
          <w:szCs w:val="24"/>
        </w:rPr>
        <w:t xml:space="preserve">recovered from caves and rock shelters </w:t>
      </w:r>
      <w:r w:rsidRPr="00ED1D06">
        <w:rPr>
          <w:rFonts w:cs="Times New Roman"/>
          <w:szCs w:val="24"/>
        </w:rPr>
        <w:t>are created</w:t>
      </w:r>
      <w:r>
        <w:rPr>
          <w:rFonts w:cs="Times New Roman"/>
          <w:szCs w:val="24"/>
        </w:rPr>
        <w:t xml:space="preserve"> and/or modified</w:t>
      </w:r>
      <w:r w:rsidRPr="00ED1D06">
        <w:rPr>
          <w:rFonts w:cs="Times New Roman"/>
          <w:szCs w:val="24"/>
        </w:rPr>
        <w:t xml:space="preserve"> by natural agents, such as carnivores, rodents and raptorial birds</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&lt;EndNote&gt;&lt;Cite&gt;&lt;Author&gt;Hoffman&lt;/Author&gt;&lt;Year&gt;1987&lt;/Year&gt;&lt;RecNum&gt;62&lt;/RecNum&gt;&lt;DisplayText&gt;(Hoffman 1987)&lt;/DisplayText&gt;&lt;record&gt;&lt;rec-number&gt;62&lt;/rec-number&gt;&lt;foreign-keys&gt;&lt;key app="EN" db-id="pvwvsv0fktzv2weszt4xp95xstrzawadapa0"&gt;62&lt;/key&gt;&lt;/foreign-keys&gt;&lt;ref-type name="Thesis"&gt;32&lt;/ref-type&gt;&lt;contributors&gt;&lt;authors&gt;&lt;author&gt;Hoffman, Robert W. &lt;/author&gt;&lt;/authors&gt;&lt;/contributors&gt;&lt;titles&gt;&lt;title&gt;Taphonomy and Zooarchaeology of Rockshelters of the Big South Fork Area of the Cumberland Plateau, Tennessee and Kentucky &lt;/title&gt;&lt;secondary-title&gt;Anthropology&lt;/secondary-title&gt;&lt;/titles&gt;&lt;volume&gt;Doctor of Philosophy &lt;/volume&gt;&lt;keywords&gt;&lt;keyword&gt;physiography&lt;/keyword&gt;&lt;/keywords&gt;&lt;dates&gt;&lt;year&gt;1987&lt;/year&gt;&lt;/dates&gt;&lt;pub-location&gt;Knoxville, TN&lt;/pub-location&gt;&lt;publisher&gt;University of Tennessee, Knoxville&lt;/publisher&gt;&lt;urls&gt;&lt;/urls&gt;&lt;research-notes&gt;99 &amp;#xD;&amp;#xD;highly resistant caprock of Pennsylvanian-age sandstones and conglomerates. &amp;#xD;Mississippian-age rocks - limestones and chert &amp;#xD;streams have cut deep, narrow gorges - with steep, precipitous cliff walls up to 100m in hieght &amp;#xD;rouged landscape &lt;/research-notes&gt;&lt;/record&gt;&lt;/Cite&gt;&lt;/EndNote&gt;</w:instrText>
      </w:r>
      <w:r>
        <w:rPr>
          <w:rFonts w:cs="Times New Roman"/>
          <w:szCs w:val="24"/>
        </w:rPr>
        <w:fldChar w:fldCharType="separate"/>
      </w:r>
      <w:r>
        <w:rPr>
          <w:rFonts w:cs="Times New Roman"/>
          <w:noProof/>
          <w:szCs w:val="24"/>
        </w:rPr>
        <w:t>(</w:t>
      </w:r>
      <w:hyperlink w:anchor="_ENREF_38" w:tooltip="Hoffman, 1987 #62" w:history="1">
        <w:r w:rsidR="00B15FB2">
          <w:rPr>
            <w:rFonts w:cs="Times New Roman"/>
            <w:noProof/>
            <w:szCs w:val="24"/>
          </w:rPr>
          <w:t>Hoffman 1987</w:t>
        </w:r>
      </w:hyperlink>
      <w:r>
        <w:rPr>
          <w:rFonts w:cs="Times New Roman"/>
          <w:noProof/>
          <w:szCs w:val="24"/>
        </w:rPr>
        <w:t>)</w:t>
      </w:r>
      <w:r>
        <w:rPr>
          <w:rFonts w:cs="Times New Roman"/>
          <w:szCs w:val="24"/>
        </w:rPr>
        <w:fldChar w:fldCharType="end"/>
      </w:r>
      <w:r w:rsidRPr="00ED1D06">
        <w:rPr>
          <w:rFonts w:cs="Times New Roman"/>
          <w:szCs w:val="24"/>
        </w:rPr>
        <w:t xml:space="preserve">. </w:t>
      </w:r>
      <w:r>
        <w:rPr>
          <w:rFonts w:cs="Times New Roman"/>
          <w:szCs w:val="24"/>
        </w:rPr>
        <w:t xml:space="preserve">Carnivores, such as wolves, often den in caves, creating their own faunal assemblages. Bones modified by carnivores have several characteristic features. First, the ends of long bones are usually completely destroyed, leaving only the shaft </w:t>
      </w:r>
      <w:r>
        <w:rPr>
          <w:rFonts w:cs="Times New Roman"/>
          <w:szCs w:val="24"/>
        </w:rPr>
        <w:fldChar w:fldCharType="begin">
          <w:fldData xml:space="preserve">PEVuZE5vdGU+PENpdGU+PEF1dGhvcj5IYXluZXM8L0F1dGhvcj48WWVhcj4xOTgwPC9ZZWFyPjxS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==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PEVuZE5vdGU+PENpdGU+PEF1dGhvcj5IYXluZXM8L0F1dGhvcj48WWVhcj4xOTgwPC9ZZWFyPjxS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==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37" w:tooltip="Haynes, 1980 #133" w:history="1">
        <w:r w:rsidR="00B15FB2">
          <w:rPr>
            <w:rFonts w:cs="Times New Roman"/>
            <w:noProof/>
            <w:szCs w:val="24"/>
          </w:rPr>
          <w:t>Haynes 1980</w:t>
        </w:r>
      </w:hyperlink>
      <w:r>
        <w:rPr>
          <w:rFonts w:cs="Times New Roman"/>
          <w:noProof/>
          <w:szCs w:val="24"/>
        </w:rPr>
        <w:t xml:space="preserve">; </w:t>
      </w:r>
      <w:hyperlink w:anchor="_ENREF_49" w:tooltip="Klippel, 1991 #156" w:history="1">
        <w:r w:rsidR="00B15FB2">
          <w:rPr>
            <w:rFonts w:cs="Times New Roman"/>
            <w:noProof/>
            <w:szCs w:val="24"/>
          </w:rPr>
          <w:t>Klippel and Morey 1991</w:t>
        </w:r>
      </w:hyperlink>
      <w:r>
        <w:rPr>
          <w:rFonts w:cs="Times New Roman"/>
          <w:noProof/>
          <w:szCs w:val="24"/>
        </w:rPr>
        <w:t xml:space="preserve">; </w:t>
      </w:r>
      <w:hyperlink w:anchor="_ENREF_50" w:tooltip="Klippel, 1987 #135" w:history="1">
        <w:r w:rsidR="00B15FB2">
          <w:rPr>
            <w:rFonts w:cs="Times New Roman"/>
            <w:noProof/>
            <w:szCs w:val="24"/>
          </w:rPr>
          <w:t>Klippel, et al. 1987</w:t>
        </w:r>
      </w:hyperlink>
      <w:r>
        <w:rPr>
          <w:rFonts w:cs="Times New Roman"/>
          <w:noProof/>
          <w:szCs w:val="24"/>
        </w:rPr>
        <w:t>)</w:t>
      </w:r>
      <w:r>
        <w:rPr>
          <w:rFonts w:cs="Times New Roman"/>
          <w:szCs w:val="24"/>
        </w:rPr>
        <w:fldChar w:fldCharType="end"/>
      </w:r>
      <w:r>
        <w:rPr>
          <w:rFonts w:cs="Times New Roman"/>
          <w:szCs w:val="24"/>
        </w:rPr>
        <w:t xml:space="preserve">. These remaining pieces of long bone shaft fragments bear marks from gnawing – including deep pits and randomly distributed scratches. Rodents, such as the Eastern wood rat, may affect culturally and naturally accumulated bone lying on the surface of a sheltered site </w:t>
      </w:r>
      <w:r>
        <w:rPr>
          <w:rFonts w:cs="Times New Roman"/>
          <w:szCs w:val="24"/>
        </w:rPr>
        <w:fldChar w:fldCharType="begin"/>
      </w:r>
      <w:r>
        <w:rPr>
          <w:rFonts w:cs="Times New Roman"/>
          <w:szCs w:val="24"/>
        </w:rPr>
        <w:instrText xml:space="preserve"> ADDIN EN.CITE &lt;EndNote&gt;&lt;Cite&gt;&lt;Author&gt;Hoffman&lt;/Author&gt;&lt;Year&gt;1987&lt;/Year&gt;&lt;RecNum&gt;134&lt;/RecNum&gt;&lt;DisplayText&gt;(Hoffman and Hays 1987)&lt;/DisplayText&gt;&lt;record&gt;&lt;rec-number&gt;134&lt;/rec-number&gt;&lt;foreign-keys&gt;&lt;key app="EN" db-id="pvwvsv0fktzv2weszt4xp95xstrzawadapa0"&gt;134&lt;/key&gt;&lt;/foreign-keys&gt;&lt;ref-type name="Journal Article"&gt;17&lt;/ref-type&gt;&lt;contributors&gt;&lt;authors&gt;&lt;author&gt;Hoffman, Robert W.&lt;/author&gt;&lt;author&gt;Christopher Hays&lt;/author&gt;&lt;/authors&gt;&lt;/contributors&gt;&lt;titles&gt;&lt;title&gt;The Eastern Wood Rat (Neotoma floridana) as a Taphonomic Factor in Archaeological Sites.&lt;/title&gt;&lt;secondary-title&gt;Journal of Archaeological Science&lt;/secondary-title&gt;&lt;/titles&gt;&lt;periodical&gt;&lt;full-title&gt;Journal of Archaeological Science&lt;/full-title&gt;&lt;/periodical&gt;&lt;pages&gt;325-337&lt;/pages&gt;&lt;volume&gt;14&lt;/volume&gt;&lt;dates&gt;&lt;year&gt;1987&lt;/year&gt;&lt;/dates&gt;&lt;urls&gt;&lt;/urls&gt;&lt;/record&gt;&lt;/Cite&gt;&lt;/EndNote&gt;</w:instrText>
      </w:r>
      <w:r>
        <w:rPr>
          <w:rFonts w:cs="Times New Roman"/>
          <w:szCs w:val="24"/>
        </w:rPr>
        <w:fldChar w:fldCharType="separate"/>
      </w:r>
      <w:r>
        <w:rPr>
          <w:rFonts w:cs="Times New Roman"/>
          <w:noProof/>
          <w:szCs w:val="24"/>
        </w:rPr>
        <w:t>(</w:t>
      </w:r>
      <w:hyperlink w:anchor="_ENREF_39" w:tooltip="Hoffman, 1987 #134" w:history="1">
        <w:r w:rsidR="00B15FB2">
          <w:rPr>
            <w:rFonts w:cs="Times New Roman"/>
            <w:noProof/>
            <w:szCs w:val="24"/>
          </w:rPr>
          <w:t>Hoffman and Hays 1987</w:t>
        </w:r>
      </w:hyperlink>
      <w:r>
        <w:rPr>
          <w:rFonts w:cs="Times New Roman"/>
          <w:noProof/>
          <w:szCs w:val="24"/>
        </w:rPr>
        <w:t>)</w:t>
      </w:r>
      <w:r>
        <w:rPr>
          <w:rFonts w:cs="Times New Roman"/>
          <w:szCs w:val="24"/>
        </w:rPr>
        <w:fldChar w:fldCharType="end"/>
      </w:r>
      <w:r>
        <w:rPr>
          <w:rFonts w:cs="Times New Roman"/>
          <w:szCs w:val="24"/>
        </w:rPr>
        <w:t xml:space="preserve">. Rodent gnaw marks on bone are characterized by deep parallel scopes of removed bone that leave smooth and polished surfaces. They often occur in a series along the edge of a bone. Digestion from raptorial birds occurs infrequently on small mammal remains, however, when present, these characteristics include jagged holes, usually near areas of high concentrations of trabecular bone </w:t>
      </w:r>
      <w:r>
        <w:rPr>
          <w:rFonts w:cs="Times New Roman"/>
          <w:szCs w:val="24"/>
        </w:rPr>
        <w:fldChar w:fldCharType="begin"/>
      </w:r>
      <w:r>
        <w:rPr>
          <w:rFonts w:cs="Times New Roman"/>
          <w:szCs w:val="24"/>
        </w:rPr>
        <w:instrText xml:space="preserve"> ADDIN EN.CITE &lt;EndNote&gt;&lt;Cite&gt;&lt;Author&gt;Andrews&lt;/Author&gt;&lt;Year&gt;1990&lt;/Year&gt;&lt;RecNum&gt;128&lt;/RecNum&gt;&lt;DisplayText&gt;(Andrews 1990; Kusmer 1990)&lt;/DisplayText&gt;&lt;record&gt;&lt;rec-number&gt;128&lt;/rec-number&gt;&lt;foreign-keys&gt;&lt;key app="EN" db-id="pvwvsv0fktzv2weszt4xp95xstrzawadapa0"&gt;128&lt;/key&gt;&lt;/foreign-keys&gt;&lt;ref-type name="Book"&gt;6&lt;/ref-type&gt;&lt;contributors&gt;&lt;authors&gt;&lt;author&gt;Peter Andrews&lt;/author&gt;&lt;/authors&gt;&lt;/contributors&gt;&lt;titles&gt;&lt;title&gt;Owls, Caves and Fossils: Predation, Preservation and Accumulation of Small Mammal Bones in Caves, with an Analysis of the Pleistocene Cave Faunas from Westbury-Sub-Mendip, Somerset, U.K.&lt;/title&gt;&lt;/titles&gt;&lt;dates&gt;&lt;year&gt;1990&lt;/year&gt;&lt;/dates&gt;&lt;pub-location&gt;London&lt;/pub-location&gt;&lt;publisher&gt;The Natural History Museum&lt;/publisher&gt;&lt;urls&gt;&lt;/urls&gt;&lt;/record&gt;&lt;/Cite&gt;&lt;Cite&gt;&lt;Author&gt;Kusmer&lt;/Author&gt;&lt;Year&gt;1990&lt;/Year&gt;&lt;RecNum&gt;136&lt;/RecNum&gt;&lt;record&gt;&lt;rec-number&gt;136&lt;/rec-number&gt;&lt;foreign-keys&gt;&lt;key app="EN" db-id="pvwvsv0fktzv2weszt4xp95xstrzawadapa0"&gt;136&lt;/key&gt;&lt;/foreign-keys&gt;&lt;ref-type name="Journal Article"&gt;17&lt;/ref-type&gt;&lt;contributors&gt;&lt;authors&gt;&lt;author&gt;Karla D. Kusmer&lt;/author&gt;&lt;/authors&gt;&lt;/contributors&gt;&lt;titles&gt;&lt;title&gt;Taphonomy of Owl Pellet Deposition&lt;/title&gt;&lt;secondary-title&gt;Journal of Paleontology&lt;/secondary-title&gt;&lt;/titles&gt;&lt;periodical&gt;&lt;full-title&gt;Journal of Paleontology&lt;/full-title&gt;&lt;/periodical&gt;&lt;pages&gt;629-637&lt;/pages&gt;&lt;volume&gt;64&lt;/volume&gt;&lt;number&gt;4&lt;/number&gt;&lt;dates&gt;&lt;year&gt;1990&lt;/year&gt;&lt;/dates&gt;&lt;urls&gt;&lt;/urls&gt;&lt;/record&gt;&lt;/Cite&gt;&lt;/EndNote&gt;</w:instrText>
      </w:r>
      <w:r>
        <w:rPr>
          <w:rFonts w:cs="Times New Roman"/>
          <w:szCs w:val="24"/>
        </w:rPr>
        <w:fldChar w:fldCharType="separate"/>
      </w:r>
      <w:r>
        <w:rPr>
          <w:rFonts w:cs="Times New Roman"/>
          <w:noProof/>
          <w:szCs w:val="24"/>
        </w:rPr>
        <w:t>(</w:t>
      </w:r>
      <w:hyperlink w:anchor="_ENREF_3" w:tooltip="Andrews, 1990 #128" w:history="1">
        <w:r w:rsidR="00B15FB2">
          <w:rPr>
            <w:rFonts w:cs="Times New Roman"/>
            <w:noProof/>
            <w:szCs w:val="24"/>
          </w:rPr>
          <w:t>Andrews 1990</w:t>
        </w:r>
      </w:hyperlink>
      <w:r>
        <w:rPr>
          <w:rFonts w:cs="Times New Roman"/>
          <w:noProof/>
          <w:szCs w:val="24"/>
        </w:rPr>
        <w:t xml:space="preserve">; </w:t>
      </w:r>
      <w:hyperlink w:anchor="_ENREF_53" w:tooltip="Kusmer, 1990 #136" w:history="1">
        <w:r w:rsidR="00B15FB2">
          <w:rPr>
            <w:rFonts w:cs="Times New Roman"/>
            <w:noProof/>
            <w:szCs w:val="24"/>
          </w:rPr>
          <w:t>Kusmer 1990</w:t>
        </w:r>
      </w:hyperlink>
      <w:r>
        <w:rPr>
          <w:rFonts w:cs="Times New Roman"/>
          <w:noProof/>
          <w:szCs w:val="24"/>
        </w:rPr>
        <w:t>)</w:t>
      </w:r>
      <w:r>
        <w:rPr>
          <w:rFonts w:cs="Times New Roman"/>
          <w:szCs w:val="24"/>
        </w:rPr>
        <w:fldChar w:fldCharType="end"/>
      </w:r>
      <w:r>
        <w:rPr>
          <w:rFonts w:cs="Times New Roman"/>
          <w:szCs w:val="24"/>
        </w:rPr>
        <w:t xml:space="preserve">. </w:t>
      </w:r>
      <w:r w:rsidRPr="00ED1D06">
        <w:rPr>
          <w:rFonts w:cs="Times New Roman"/>
          <w:szCs w:val="24"/>
        </w:rPr>
        <w:t xml:space="preserve">Each bone </w:t>
      </w:r>
      <w:r>
        <w:rPr>
          <w:rFonts w:cs="Times New Roman"/>
          <w:szCs w:val="24"/>
        </w:rPr>
        <w:t xml:space="preserve">recovered using 1/4” screen </w:t>
      </w:r>
      <w:r w:rsidRPr="00ED1D06">
        <w:rPr>
          <w:rFonts w:cs="Times New Roman"/>
          <w:szCs w:val="24"/>
        </w:rPr>
        <w:t>was e</w:t>
      </w:r>
      <w:r>
        <w:rPr>
          <w:rFonts w:cs="Times New Roman"/>
          <w:szCs w:val="24"/>
        </w:rPr>
        <w:t>xamined for marks left by</w:t>
      </w:r>
      <w:r w:rsidRPr="00ED1D06">
        <w:rPr>
          <w:rFonts w:cs="Times New Roman"/>
          <w:szCs w:val="24"/>
        </w:rPr>
        <w:t xml:space="preserve"> rodents, carnivores or digestion form eithe</w:t>
      </w:r>
      <w:r>
        <w:rPr>
          <w:rFonts w:cs="Times New Roman"/>
          <w:szCs w:val="24"/>
        </w:rPr>
        <w:t xml:space="preserve">r carnivores or raptorial birds, except for those in Test Units 30 and 31. </w:t>
      </w:r>
      <w:bookmarkStart w:id="61" w:name="_Toc342930109"/>
    </w:p>
    <w:p w:rsidR="00E72347" w:rsidRPr="00D84561" w:rsidRDefault="00E72347" w:rsidP="00D84561">
      <w:pPr>
        <w:pStyle w:val="Heading2"/>
      </w:pPr>
      <w:bookmarkStart w:id="62" w:name="_Toc343820353"/>
      <w:bookmarkStart w:id="63" w:name="_Toc349507296"/>
      <w:r w:rsidRPr="00D84561">
        <w:lastRenderedPageBreak/>
        <w:t>Bone Preservation</w:t>
      </w:r>
      <w:bookmarkEnd w:id="61"/>
      <w:bookmarkEnd w:id="63"/>
      <w:r w:rsidRPr="00D84561">
        <w:t xml:space="preserve"> </w:t>
      </w:r>
      <w:bookmarkEnd w:id="62"/>
    </w:p>
    <w:p w:rsidR="00E72347" w:rsidRDefault="00E72347" w:rsidP="00E72347">
      <w:pPr>
        <w:spacing w:after="0" w:line="480" w:lineRule="auto"/>
        <w:rPr>
          <w:rFonts w:cs="Times New Roman"/>
          <w:szCs w:val="24"/>
        </w:rPr>
      </w:pPr>
      <w:r w:rsidRPr="00ED1D06">
        <w:rPr>
          <w:rFonts w:cs="Times New Roman"/>
          <w:szCs w:val="24"/>
        </w:rPr>
        <w:tab/>
        <w:t xml:space="preserve">The </w:t>
      </w:r>
      <w:r>
        <w:rPr>
          <w:rFonts w:cs="Times New Roman"/>
          <w:szCs w:val="24"/>
        </w:rPr>
        <w:t xml:space="preserve">possibility of poor </w:t>
      </w:r>
      <w:r w:rsidRPr="00ED1D06">
        <w:rPr>
          <w:rFonts w:cs="Times New Roman"/>
          <w:szCs w:val="24"/>
        </w:rPr>
        <w:t xml:space="preserve">bone preservation </w:t>
      </w:r>
      <w:r>
        <w:rPr>
          <w:rFonts w:cs="Times New Roman"/>
          <w:szCs w:val="24"/>
        </w:rPr>
        <w:t xml:space="preserve">in some areas of the </w:t>
      </w:r>
      <w:r w:rsidRPr="00ED1D06">
        <w:rPr>
          <w:rFonts w:cs="Times New Roman"/>
          <w:szCs w:val="24"/>
        </w:rPr>
        <w:t xml:space="preserve">site was noted during the first field season in 2008. </w:t>
      </w:r>
      <w:r>
        <w:rPr>
          <w:rFonts w:cs="Times New Roman"/>
          <w:szCs w:val="24"/>
        </w:rPr>
        <w:t>While faunal remains were plentiful in the top levels of excavations, o</w:t>
      </w:r>
      <w:r w:rsidRPr="00ED1D06">
        <w:rPr>
          <w:rFonts w:cs="Times New Roman"/>
          <w:szCs w:val="24"/>
        </w:rPr>
        <w:t>nce within 10-15 cm of t</w:t>
      </w:r>
      <w:r>
        <w:rPr>
          <w:rFonts w:cs="Times New Roman"/>
          <w:szCs w:val="24"/>
        </w:rPr>
        <w:t xml:space="preserve">he base of the midden, faunal remains </w:t>
      </w:r>
      <w:r w:rsidRPr="00ED1D06">
        <w:rPr>
          <w:rFonts w:cs="Times New Roman"/>
          <w:szCs w:val="24"/>
        </w:rPr>
        <w:t>were found more and more infrequently</w:t>
      </w:r>
      <w:r>
        <w:rPr>
          <w:rFonts w:cs="Times New Roman"/>
          <w:szCs w:val="24"/>
        </w:rPr>
        <w:t>; however, lithic material, botanical remains and even nutting stones continued to be encountered (although it should be noted, lithic material did decrease slightly, but not altogether)</w:t>
      </w:r>
      <w:r w:rsidRPr="00ED1D06">
        <w:rPr>
          <w:rFonts w:cs="Times New Roman"/>
          <w:szCs w:val="24"/>
        </w:rPr>
        <w:t xml:space="preserve">. </w:t>
      </w:r>
      <w:r>
        <w:rPr>
          <w:rFonts w:cs="Times New Roman"/>
          <w:szCs w:val="24"/>
        </w:rPr>
        <w:t>From the beginning, the catalyst for probable poor bone preservation was attributed to water. T</w:t>
      </w:r>
      <w:r w:rsidRPr="00ED1D06">
        <w:rPr>
          <w:rFonts w:cs="Times New Roman"/>
          <w:szCs w:val="24"/>
        </w:rPr>
        <w:t>he site is known to flood each winter,</w:t>
      </w:r>
      <w:r>
        <w:rPr>
          <w:rFonts w:cs="Times New Roman"/>
          <w:szCs w:val="24"/>
        </w:rPr>
        <w:t xml:space="preserve"> and</w:t>
      </w:r>
      <w:r w:rsidRPr="00ED1D06">
        <w:rPr>
          <w:rFonts w:cs="Times New Roman"/>
          <w:szCs w:val="24"/>
        </w:rPr>
        <w:t xml:space="preserve"> in fact before returning to the site for</w:t>
      </w:r>
      <w:r>
        <w:rPr>
          <w:rFonts w:cs="Times New Roman"/>
          <w:szCs w:val="24"/>
        </w:rPr>
        <w:t xml:space="preserve"> the second field season in 2010</w:t>
      </w:r>
      <w:r w:rsidRPr="00ED1D06">
        <w:rPr>
          <w:rFonts w:cs="Times New Roman"/>
          <w:szCs w:val="24"/>
        </w:rPr>
        <w:t xml:space="preserve">, Jay Franklin and several students visited the site and noted standing water in the </w:t>
      </w:r>
      <w:r>
        <w:rPr>
          <w:rFonts w:cs="Times New Roman"/>
          <w:szCs w:val="24"/>
        </w:rPr>
        <w:t>excavated areas</w:t>
      </w:r>
      <w:r w:rsidRPr="00ED1D06">
        <w:rPr>
          <w:rFonts w:cs="Times New Roman"/>
          <w:szCs w:val="24"/>
        </w:rPr>
        <w:t xml:space="preserve"> and slumpage </w:t>
      </w:r>
      <w:r>
        <w:rPr>
          <w:rFonts w:cs="Times New Roman"/>
          <w:szCs w:val="24"/>
        </w:rPr>
        <w:t>of</w:t>
      </w:r>
      <w:r w:rsidRPr="00ED1D06">
        <w:rPr>
          <w:rFonts w:cs="Times New Roman"/>
          <w:szCs w:val="24"/>
        </w:rPr>
        <w:t xml:space="preserve"> the exposed profiles. Also, during the first field season an auger was placed in the bottom</w:t>
      </w:r>
      <w:r>
        <w:rPr>
          <w:rFonts w:cs="Times New Roman"/>
          <w:szCs w:val="24"/>
        </w:rPr>
        <w:t xml:space="preserve"> of Test Unit 5 (about 30 cm BED). The auger hole extended about 51.5cm below the floor of this test unit, when water was encountered. After about 2 hours, the water had risen a little more than 25cm. </w:t>
      </w:r>
      <w:r w:rsidRPr="00ED1D06">
        <w:rPr>
          <w:rFonts w:cs="Times New Roman"/>
          <w:szCs w:val="24"/>
        </w:rPr>
        <w:t>Many of the lithic artifacts also indicated the presence of water in the sediments</w:t>
      </w:r>
      <w:r>
        <w:rPr>
          <w:rFonts w:cs="Times New Roman"/>
          <w:szCs w:val="24"/>
        </w:rPr>
        <w:t xml:space="preserve"> –</w:t>
      </w:r>
      <w:r w:rsidRPr="00ED1D06">
        <w:rPr>
          <w:rFonts w:cs="Times New Roman"/>
          <w:szCs w:val="24"/>
        </w:rPr>
        <w:t xml:space="preserve"> they</w:t>
      </w:r>
      <w:r>
        <w:rPr>
          <w:rFonts w:cs="Times New Roman"/>
          <w:szCs w:val="24"/>
        </w:rPr>
        <w:t xml:space="preserve"> could be observed drying as they were exposed to air once removed from </w:t>
      </w:r>
      <w:r>
        <w:rPr>
          <w:rFonts w:cs="Times New Roman"/>
          <w:i/>
          <w:szCs w:val="24"/>
        </w:rPr>
        <w:t xml:space="preserve">in situ </w:t>
      </w:r>
      <w:r>
        <w:rPr>
          <w:rFonts w:cs="Times New Roman"/>
          <w:szCs w:val="24"/>
        </w:rPr>
        <w:t>position. F</w:t>
      </w:r>
      <w:r w:rsidRPr="00ED1D06">
        <w:rPr>
          <w:rFonts w:cs="Times New Roman"/>
          <w:szCs w:val="24"/>
        </w:rPr>
        <w:t xml:space="preserve">rom my own experience as an excavator of the site, </w:t>
      </w:r>
      <w:r>
        <w:rPr>
          <w:rFonts w:cs="Times New Roman"/>
          <w:szCs w:val="24"/>
        </w:rPr>
        <w:t>sediments were often very wet once near the base of archaeological deposits – making for heavier bucket loads, difficult screening and very wet knees and hands</w:t>
      </w:r>
      <w:r w:rsidRPr="00ED1D06">
        <w:rPr>
          <w:rFonts w:cs="Times New Roman"/>
          <w:szCs w:val="24"/>
        </w:rPr>
        <w:t>.</w:t>
      </w:r>
      <w:r>
        <w:rPr>
          <w:rFonts w:cs="Times New Roman"/>
          <w:szCs w:val="24"/>
        </w:rPr>
        <w:t xml:space="preserve"> There is also evidence of running water and dripping water (see </w:t>
      </w:r>
      <w:r w:rsidRPr="006B56DA">
        <w:rPr>
          <w:rFonts w:cs="Times New Roman"/>
          <w:color w:val="FF0000"/>
          <w:szCs w:val="24"/>
        </w:rPr>
        <w:t>Figure 4.3 and Figure 5.5</w:t>
      </w:r>
      <w:r>
        <w:rPr>
          <w:rFonts w:cs="Times New Roman"/>
          <w:szCs w:val="24"/>
        </w:rPr>
        <w:t>).</w:t>
      </w:r>
      <w:r w:rsidRPr="00ED1D06">
        <w:rPr>
          <w:rFonts w:cs="Times New Roman"/>
          <w:szCs w:val="24"/>
        </w:rPr>
        <w:t xml:space="preserve"> </w:t>
      </w:r>
    </w:p>
    <w:p w:rsidR="00E72347" w:rsidRDefault="00E72347" w:rsidP="00E72347">
      <w:pPr>
        <w:spacing w:after="0" w:line="480" w:lineRule="auto"/>
        <w:rPr>
          <w:rFonts w:cs="Times New Roman"/>
          <w:szCs w:val="24"/>
        </w:rPr>
      </w:pPr>
      <w:r>
        <w:rPr>
          <w:rFonts w:cs="Times New Roman"/>
          <w:szCs w:val="24"/>
        </w:rPr>
        <w:tab/>
        <w:t xml:space="preserve">Water is the great catalyst for many chemical reactions. Archaeological context itself is a series of these chemical reactions that occur relatively quickly after deposition and stabilize over time if unaffected by outside influences, mainly the affects of water </w:t>
      </w:r>
      <w:r>
        <w:rPr>
          <w:rFonts w:cs="Times New Roman"/>
          <w:szCs w:val="24"/>
        </w:rPr>
        <w:fldChar w:fldCharType="begin"/>
      </w:r>
      <w:r>
        <w:rPr>
          <w:rFonts w:cs="Times New Roman"/>
          <w:szCs w:val="24"/>
        </w:rPr>
        <w:instrText xml:space="preserve"> ADDIN EN.CITE &lt;EndNote&gt;&lt;Cite&gt;&lt;Author&gt;Berna&lt;/Author&gt;&lt;Year&gt;2004&lt;/Year&gt;&lt;RecNum&gt;12&lt;/RecNum&gt;&lt;DisplayText&gt;(Berna, et al. 2004; Schiffer 1987)&lt;/DisplayText&gt;&lt;record&gt;&lt;rec-number&gt;12&lt;/rec-number&gt;&lt;foreign-keys&gt;&lt;key app="EN" db-id="pvwvsv0fktzv2weszt4xp95xstrzawadapa0"&gt;12&lt;/key&gt;&lt;/foreign-keys&gt;&lt;ref-type name="Journal Article"&gt;17&lt;/ref-type&gt;&lt;contributors&gt;&lt;authors&gt;&lt;author&gt;Berna, Francesco&lt;/author&gt;&lt;author&gt;Matthews, Alan&lt;/author&gt;&lt;author&gt;Weiner, Stephen&lt;/author&gt;&lt;/authors&gt;&lt;/contributors&gt;&lt;titles&gt;&lt;title&gt;Solubilities of bone mineral from archaeological sites: the recrystallization window&lt;/title&gt;&lt;secondary-title&gt;Journal of Archaeological Science&lt;/secondary-title&gt;&lt;/titles&gt;&lt;periodical&gt;&lt;full-title&gt;Journal of Archaeological Science&lt;/full-title&gt;&lt;/periodical&gt;&lt;pages&gt;867-882&lt;/pages&gt;&lt;volume&gt;31&lt;/volume&gt;&lt;number&gt;7&lt;/number&gt;&lt;dates&gt;&lt;year&gt;2004&lt;/year&gt;&lt;/dates&gt;&lt;isbn&gt;03054403&lt;/isbn&gt;&lt;urls&gt;&lt;/urls&gt;&lt;electronic-resource-num&gt;10.1016/j.jas.2003.12.003&lt;/electronic-resource-num&gt;&lt;/record&gt;&lt;/Cite&gt;&lt;Cite&gt;&lt;Author&gt;Schiffer&lt;/Author&gt;&lt;Year&gt;1987&lt;/Year&gt;&lt;RecNum&gt;127&lt;/RecNum&gt;&lt;record&gt;&lt;rec-number&gt;127&lt;/rec-number&gt;&lt;foreign-keys&gt;&lt;key app="EN" db-id="pvwvsv0fktzv2weszt4xp95xstrzawadapa0"&gt;127&lt;/key&gt;&lt;/foreign-keys&gt;&lt;ref-type name="Book"&gt;6&lt;/ref-type&gt;&lt;contributors&gt;&lt;authors&gt;&lt;author&gt;Michael B. Schiffer&lt;/author&gt;&lt;/authors&gt;&lt;/contributors&gt;&lt;titles&gt;&lt;title&gt;Formation Processes of the Archaeological Record&lt;/title&gt;&lt;/titles&gt;&lt;dates&gt;&lt;year&gt;1987&lt;/year&gt;&lt;/dates&gt;&lt;pub-location&gt;Albuquerque&lt;/pub-location&gt;&lt;publisher&gt;University of New Mexico Press&lt;/publisher&gt;&lt;urls&gt;&lt;/urls&gt;&lt;/record&gt;&lt;/Cite&gt;&lt;/EndNote&gt;</w:instrText>
      </w:r>
      <w:r>
        <w:rPr>
          <w:rFonts w:cs="Times New Roman"/>
          <w:szCs w:val="24"/>
        </w:rPr>
        <w:fldChar w:fldCharType="separate"/>
      </w:r>
      <w:r>
        <w:rPr>
          <w:rFonts w:cs="Times New Roman"/>
          <w:noProof/>
          <w:szCs w:val="24"/>
        </w:rPr>
        <w:t>(</w:t>
      </w:r>
      <w:hyperlink w:anchor="_ENREF_6" w:tooltip="Berna, 2004 #12" w:history="1">
        <w:r w:rsidR="00B15FB2">
          <w:rPr>
            <w:rFonts w:cs="Times New Roman"/>
            <w:noProof/>
            <w:szCs w:val="24"/>
          </w:rPr>
          <w:t>Berna, et al. 2004</w:t>
        </w:r>
      </w:hyperlink>
      <w:r>
        <w:rPr>
          <w:rFonts w:cs="Times New Roman"/>
          <w:noProof/>
          <w:szCs w:val="24"/>
        </w:rPr>
        <w:t xml:space="preserve">; </w:t>
      </w:r>
      <w:hyperlink w:anchor="_ENREF_77" w:tooltip="Schiffer, 1987 #127" w:history="1">
        <w:r w:rsidR="00B15FB2">
          <w:rPr>
            <w:rFonts w:cs="Times New Roman"/>
            <w:noProof/>
            <w:szCs w:val="24"/>
          </w:rPr>
          <w:t>Schiffer 1987</w:t>
        </w:r>
      </w:hyperlink>
      <w:r>
        <w:rPr>
          <w:rFonts w:cs="Times New Roman"/>
          <w:noProof/>
          <w:szCs w:val="24"/>
        </w:rPr>
        <w:t>)</w:t>
      </w:r>
      <w:r>
        <w:rPr>
          <w:rFonts w:cs="Times New Roman"/>
          <w:szCs w:val="24"/>
        </w:rPr>
        <w:fldChar w:fldCharType="end"/>
      </w:r>
      <w:r>
        <w:rPr>
          <w:rFonts w:cs="Times New Roman"/>
          <w:szCs w:val="24"/>
        </w:rPr>
        <w:t xml:space="preserve">. One commonly explored chemical reaction caused by water that affects bone preservation is chages in soil/sediment pH </w:t>
      </w:r>
      <w:r>
        <w:rPr>
          <w:rFonts w:cs="Times New Roman"/>
          <w:szCs w:val="24"/>
        </w:rPr>
        <w:fldChar w:fldCharType="begin"/>
      </w:r>
      <w:r>
        <w:rPr>
          <w:rFonts w:cs="Times New Roman"/>
          <w:szCs w:val="24"/>
        </w:rPr>
        <w:instrText xml:space="preserve"> ADDIN EN.CITE &lt;EndNote&gt;&lt;Cite&gt;&lt;Author&gt;Gordon&lt;/Author&gt;&lt;Year&gt;1981&lt;/Year&gt;&lt;RecNum&gt;126&lt;/RecNum&gt;&lt;DisplayText&gt;(Gordon and Buikstra 1981)&lt;/DisplayText&gt;&lt;record&gt;&lt;rec-number&gt;126&lt;/rec-number&gt;&lt;foreign-keys&gt;&lt;key app="EN" db-id="pvwvsv0fktzv2weszt4xp95xstrzawadapa0"&gt;126&lt;/key&gt;&lt;/foreign-keys&gt;&lt;ref-type name="Journal Article"&gt;17&lt;/ref-type&gt;&lt;contributors&gt;&lt;authors&gt;&lt;author&gt;C. C. Gordon&lt;/author&gt;&lt;author&gt;J. E. Buikstra&lt;/author&gt;&lt;/authors&gt;&lt;/contributors&gt;&lt;titles&gt;&lt;title&gt;Soil pH, Bone Preservation, and Sampling Bias at Mortuary Sites.&lt;/title&gt;&lt;secondary-title&gt;American Antiquity&lt;/secondary-title&gt;&lt;/titles&gt;&lt;periodical&gt;&lt;full-title&gt;American Antiquity&lt;/full-title&gt;&lt;/periodical&gt;&lt;pages&gt;566-571&lt;/pages&gt;&lt;volume&gt;46&lt;/volume&gt;&lt;dates&gt;&lt;year&gt;1981&lt;/year&gt;&lt;/dates&gt;&lt;urls&gt;&lt;/urls&gt;&lt;/record&gt;&lt;/Cite&gt;&lt;/EndNote&gt;</w:instrText>
      </w:r>
      <w:r>
        <w:rPr>
          <w:rFonts w:cs="Times New Roman"/>
          <w:szCs w:val="24"/>
        </w:rPr>
        <w:fldChar w:fldCharType="separate"/>
      </w:r>
      <w:r>
        <w:rPr>
          <w:rFonts w:cs="Times New Roman"/>
          <w:noProof/>
          <w:szCs w:val="24"/>
        </w:rPr>
        <w:t>(</w:t>
      </w:r>
      <w:hyperlink w:anchor="_ENREF_33" w:tooltip="Gordon, 1981 #126" w:history="1">
        <w:r w:rsidR="00B15FB2">
          <w:rPr>
            <w:rFonts w:cs="Times New Roman"/>
            <w:noProof/>
            <w:szCs w:val="24"/>
          </w:rPr>
          <w:t>Gordon and Buikstra 1981</w:t>
        </w:r>
      </w:hyperlink>
      <w:r>
        <w:rPr>
          <w:rFonts w:cs="Times New Roman"/>
          <w:noProof/>
          <w:szCs w:val="24"/>
        </w:rPr>
        <w:t>)</w:t>
      </w:r>
      <w:r>
        <w:rPr>
          <w:rFonts w:cs="Times New Roman"/>
          <w:szCs w:val="24"/>
        </w:rPr>
        <w:fldChar w:fldCharType="end"/>
      </w:r>
      <w:r>
        <w:rPr>
          <w:rFonts w:cs="Times New Roman"/>
          <w:szCs w:val="24"/>
        </w:rPr>
        <w:t xml:space="preserve">. </w:t>
      </w:r>
    </w:p>
    <w:p w:rsidR="00E72347" w:rsidRDefault="00E72347" w:rsidP="00E72347">
      <w:pPr>
        <w:spacing w:after="0" w:line="480" w:lineRule="auto"/>
        <w:ind w:firstLine="720"/>
        <w:rPr>
          <w:rFonts w:cs="Times New Roman"/>
          <w:szCs w:val="24"/>
        </w:rPr>
      </w:pPr>
      <w:r>
        <w:rPr>
          <w:rFonts w:cs="Times New Roman"/>
          <w:szCs w:val="24"/>
        </w:rPr>
        <w:lastRenderedPageBreak/>
        <w:t xml:space="preserve">Given this, during 2011 excavations sediment samples were collected from two test units (TU 30 and 31) for pH analysis. pH readings from Test Unit 30 began to be taken in Level 6 – the top of the late Archaic midden. pH readings were taken from all levels of Test Unit 31. Two samples were collected per level – one from a fixed position chosen by the excavator(s) and one from a random position, also chosen by the excavator(s), but always within the same stratigraphic level. These locations were mapped on level forms. Each sample was between 5 and 10 grams. They were collected in the field were placed into zip-lock bags until brought back to our field house. Samples were placed on newspaper and allowed to air-dry for 1 to 2 days. They were then placed in plastic tupperware containers that had been rinsed thoroughly with distilled water and air dried. The samples remained in these containers for approximately 5 months until analyzed for pH. At this time, exactly 5mL of sediment was taken from each sample, rehydrated with 10mL of distilled water and shaken on an agitator for 1 hour to create a slurry mixture. The pH of the slurry mixtures was then read using a Fisher Scientific Accumet XL20 ph/Conductivity meter. </w:t>
      </w:r>
    </w:p>
    <w:p w:rsidR="00E72347" w:rsidRDefault="00E72347" w:rsidP="00E72347">
      <w:pPr>
        <w:spacing w:after="0" w:line="480" w:lineRule="auto"/>
        <w:ind w:firstLine="720"/>
        <w:rPr>
          <w:rFonts w:cs="Times New Roman"/>
          <w:szCs w:val="24"/>
        </w:rPr>
      </w:pPr>
      <w:r>
        <w:rPr>
          <w:rFonts w:cs="Times New Roman"/>
          <w:szCs w:val="24"/>
        </w:rPr>
        <w:t xml:space="preserve">Some sediment remained and it was decided at this time to run two more test that were easily accessible and free of charge – loss of ignition and particle size analysis. Given that these tests were not anticipated, not enough sediment had been collected in all cases to do these extra analyses, therefore only levels 4 – 9 of Test Unit 31 were selected for this analysis. Although a low sample size, this type of information can provide more information concerning two aspects of this portion of thesis research concerned with bone preservation. First, loss of ignition measures the amount of organic matter lost when heated to high degree. The results of this method are only relational to themselves, however, by using samples essentially in a column, the relative frequency of organic matter can be observed with depth. Organic matter reflects human </w:t>
      </w:r>
      <w:r>
        <w:rPr>
          <w:rFonts w:cs="Times New Roman"/>
          <w:szCs w:val="24"/>
        </w:rPr>
        <w:lastRenderedPageBreak/>
        <w:t xml:space="preserve">presence in archaeological sites. Particle size analysis is an easy follow up to measuring organic matter, as loss of ignition is the first step to this process. </w:t>
      </w:r>
    </w:p>
    <w:p w:rsidR="00E72347" w:rsidRDefault="00E72347" w:rsidP="00E72347">
      <w:pPr>
        <w:spacing w:after="0" w:line="480" w:lineRule="auto"/>
        <w:ind w:firstLine="720"/>
        <w:rPr>
          <w:rFonts w:cs="Times New Roman"/>
          <w:szCs w:val="24"/>
        </w:rPr>
      </w:pPr>
      <w:r>
        <w:rPr>
          <w:rFonts w:cs="Times New Roman"/>
          <w:szCs w:val="24"/>
        </w:rPr>
        <w:t xml:space="preserve">Sediment samples from both field samples from each level were analyzed, totaling 12 samples in all. Twelve ceramic crucibles were selected, weighed (grams) and placed on a numbered, grid-lined tray. Sediment was then added to the crucibles, making note of the location of each sample using the grid system. The sediment samples were placed in a 60°C oven to dry overnight, and were reweighed after cooling the following day. The samples were then placed in a 370°C oven for 22 hours. Once the samples had cooled, they were reweighed. The loss of ignition is the weight after firing minus the weight before minus the weight of the crucible. </w:t>
      </w:r>
    </w:p>
    <w:p w:rsidR="00E72347" w:rsidRDefault="00E72347" w:rsidP="00E72347">
      <w:pPr>
        <w:spacing w:after="0" w:line="480" w:lineRule="auto"/>
        <w:ind w:firstLine="720"/>
        <w:rPr>
          <w:rFonts w:cs="Times New Roman"/>
          <w:szCs w:val="24"/>
        </w:rPr>
      </w:pPr>
      <w:r>
        <w:rPr>
          <w:rFonts w:cs="Times New Roman"/>
          <w:szCs w:val="24"/>
        </w:rPr>
        <w:t xml:space="preserve">Following this procedure, the samples were prepped for particle size analysis. Each crucible of organic free sediment was placed into a clean morter and ground for about 30 seconds. The samples were then transferred to a labeled plastic bottle. Five grams of sodium hexametaphosphate were added and the bottle was filled to the neck with de-ionized water. Once all 12 samples had completed this process, they were placed on an agitator and shaken for 1 hour. Once thoroughly mixed, each sample was poured into a 1000mL hydrometer tube (see </w:t>
      </w:r>
      <w:r w:rsidRPr="006B56DA">
        <w:rPr>
          <w:rFonts w:cs="Times New Roman"/>
          <w:color w:val="FF0000"/>
          <w:szCs w:val="24"/>
        </w:rPr>
        <w:t>figure 5.6</w:t>
      </w:r>
      <w:r>
        <w:rPr>
          <w:rFonts w:cs="Times New Roman"/>
          <w:szCs w:val="24"/>
        </w:rPr>
        <w:t xml:space="preserve">). De-ionized water was added as needed to raise each sample to 1000mL. Two additional hydrometers were also prepped – one with 1000mL of de-ionized water and 5 grams of sodium hex. (also shaken alongside others) and one with 1000mL of only de-ionized water. The latter was for temperature control throughout, the former for control of affects sodium hex. may produce. The hydrometer tubes were placed away for frequent foot traffic and allowed to settle over night. The next morning, a plunger was used to agitate the water, sediment and sodium hex. mixture for about 45-50 seconds per sample. This process was carefully timed and each plunging took place at minute intervals. The plunger was also rinsed with de-ionized water </w:t>
      </w:r>
      <w:r>
        <w:rPr>
          <w:rFonts w:cs="Times New Roman"/>
          <w:szCs w:val="24"/>
        </w:rPr>
        <w:lastRenderedPageBreak/>
        <w:t xml:space="preserve">between each session. The de-ionized water and sodium hex solution was also agitated. After 60 minutes had pasted, beginning with the first sample to be plunged, a hydrometer was gently placed in the tube and allowed to settle for about 45 seconds. Readings were then recorded. Each reading took place at a one minute interval. Temperature was also checked. This process took place again after 270 minutes had passed and again at 480 minutes. This long process measures the amount of clay in the sediment. </w:t>
      </w:r>
    </w:p>
    <w:p w:rsidR="00E72347" w:rsidRDefault="00E72347" w:rsidP="00E72347">
      <w:pPr>
        <w:spacing w:after="0" w:line="480" w:lineRule="auto"/>
        <w:ind w:firstLine="720"/>
        <w:rPr>
          <w:rFonts w:cs="Times New Roman"/>
          <w:szCs w:val="24"/>
        </w:rPr>
      </w:pPr>
      <w:r>
        <w:rPr>
          <w:rFonts w:cs="Times New Roman"/>
          <w:szCs w:val="24"/>
        </w:rPr>
        <w:t xml:space="preserve">Particles larger than clay (&gt;.045mm) can be recovered using nest geological seizes. Each hydrometer tube was poured into a series of stacked geological seizes to collect particle size ranges of &gt;2mm, 2-1mm, 1-.5mm, .5-.25mm, .25-.106mm and .106-.045mm (see </w:t>
      </w:r>
      <w:r w:rsidRPr="006B56DA">
        <w:rPr>
          <w:rFonts w:cs="Times New Roman"/>
          <w:color w:val="FF0000"/>
          <w:szCs w:val="24"/>
        </w:rPr>
        <w:t>Figure 5.7</w:t>
      </w:r>
      <w:r>
        <w:rPr>
          <w:rFonts w:cs="Times New Roman"/>
          <w:szCs w:val="24"/>
        </w:rPr>
        <w:t xml:space="preserve">). Once samples were poured through, they were carefully transferred to pre-weighed tin cups, also laid out on a numbered tray. Samples were then dried over night in a 60°C oven. Weights were then recorded. Thus the weight of each particle size from the different geological seizes was calculated by subtracting the weight of the tin with particles of sediment minus the weight of the tin. </w:t>
      </w:r>
    </w:p>
    <w:p w:rsidR="00E72347" w:rsidRDefault="00E72347" w:rsidP="00E72347">
      <w:pPr>
        <w:spacing w:after="0" w:line="480" w:lineRule="auto"/>
        <w:ind w:firstLine="720"/>
        <w:rPr>
          <w:rFonts w:cs="Times New Roman"/>
          <w:szCs w:val="24"/>
        </w:rPr>
      </w:pPr>
      <w:r>
        <w:rPr>
          <w:rFonts w:cs="Times New Roman"/>
          <w:szCs w:val="24"/>
        </w:rPr>
        <w:t xml:space="preserve">While both of these analyses are very informative, one more piece of information was sought after to understand the chemical properties of the sediment itself that may by more indicative of the processes affecting bone preservation. I decided to revisit the site one last time to collect sediment samples at a refined scale specifically for x-ray florescence analysis. A Bruker Tracer III-V XRF was available for use for this analysis. XRF analysis works by sending a laser into an object that sends back reflections of light from electrons that indicate the specific chemical elements of a particular object. In this case, that object was sediment. </w:t>
      </w:r>
    </w:p>
    <w:p w:rsidR="00E72347" w:rsidRDefault="00E72347" w:rsidP="00E72347">
      <w:pPr>
        <w:spacing w:after="0" w:line="480" w:lineRule="auto"/>
        <w:ind w:firstLine="720"/>
        <w:rPr>
          <w:rFonts w:cs="Times New Roman"/>
          <w:szCs w:val="24"/>
        </w:rPr>
      </w:pPr>
      <w:r>
        <w:rPr>
          <w:rFonts w:cs="Times New Roman"/>
          <w:szCs w:val="24"/>
        </w:rPr>
        <w:t xml:space="preserve">In January 2013, the profile walls of Test Unit 31 were revisited. This test unit was selected as it had remained relatively unaffected by looting and slumpage from water, and was </w:t>
      </w:r>
      <w:r>
        <w:rPr>
          <w:rFonts w:cs="Times New Roman"/>
          <w:szCs w:val="24"/>
        </w:rPr>
        <w:lastRenderedPageBreak/>
        <w:t xml:space="preserve">used as a control previously for recovery and preservation biases. All three exposed profile walls were cut back approximately 10 cm to obtain a fresh surface from which to take samples. This cut back was done in arbitrary 2cm, 4cm and natural levels. All sediment was screened on site into ¼” and 1/8” screens and all the screened sediment was saved. This was done to ensure samples would be available for future radio-carbon dating or possibly future sediment analysis. Once each wall was cut back, it was photographed and mapped by hand. Sediment samples were then taken in a column at 2cm intervals within natural strata, which were clearly visible in the profile walls. Samples were taken from an area of approximately 50 cubic centimeters and were placed into an acid-free bag (see </w:t>
      </w:r>
      <w:r w:rsidRPr="006B56DA">
        <w:rPr>
          <w:rFonts w:cs="Times New Roman"/>
          <w:color w:val="FF0000"/>
          <w:szCs w:val="24"/>
        </w:rPr>
        <w:t>Figure 5.8</w:t>
      </w:r>
      <w:r>
        <w:rPr>
          <w:rFonts w:cs="Times New Roman"/>
          <w:szCs w:val="24"/>
        </w:rPr>
        <w:t xml:space="preserve">). The trowel was cleaned between each sample. The location of these samples was also drawn in. A total of 80 sediment samples were taken from these three walls. </w:t>
      </w:r>
    </w:p>
    <w:p w:rsidR="00E72347" w:rsidRDefault="00E72347" w:rsidP="00E72347">
      <w:pPr>
        <w:spacing w:after="0" w:line="480" w:lineRule="auto"/>
        <w:ind w:firstLine="720"/>
        <w:rPr>
          <w:rFonts w:cs="Times New Roman"/>
          <w:szCs w:val="24"/>
        </w:rPr>
      </w:pPr>
      <w:r>
        <w:rPr>
          <w:rFonts w:cs="Times New Roman"/>
          <w:szCs w:val="24"/>
        </w:rPr>
        <w:t>Only the North wall was selected for XRF analysis due to time constraints. Twenty-five samples were collected in the field and 19 were subjected to XRF analysis (</w:t>
      </w:r>
      <w:r w:rsidRPr="008574BF">
        <w:rPr>
          <w:rFonts w:cs="Times New Roman"/>
          <w:color w:val="FF0000"/>
          <w:szCs w:val="24"/>
        </w:rPr>
        <w:t>see Table 5.9</w:t>
      </w:r>
      <w:r>
        <w:rPr>
          <w:rFonts w:cs="Times New Roman"/>
          <w:szCs w:val="24"/>
        </w:rPr>
        <w:t xml:space="preserve">). Although the results presented in Chapter 6 and discussed in Chapter 7 offer reasonable interpretations of these analyses, a mineralogical analysis may offer more robust support to these interpretations </w:t>
      </w:r>
      <w:r>
        <w:rPr>
          <w:rFonts w:cs="Times New Roman"/>
          <w:szCs w:val="24"/>
        </w:rPr>
        <w:fldChar w:fldCharType="begin">
          <w:fldData xml:space="preserve">PEVuZE5vdGU+PENpdGU+PEF1dGhvcj5LYXJrYW5hczwvQXV0aG9yPjxZZWFyPjIwMDI8L1llYXI+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</w:fldData>
        </w:fldChar>
      </w:r>
      <w:r>
        <w:rPr>
          <w:rFonts w:cs="Times New Roman"/>
          <w:szCs w:val="24"/>
        </w:rPr>
        <w:instrText xml:space="preserve"> ADDIN EN.CITE </w:instrText>
      </w:r>
      <w:r>
        <w:rPr>
          <w:rFonts w:cs="Times New Roman"/>
          <w:szCs w:val="24"/>
        </w:rPr>
        <w:fldChar w:fldCharType="begin">
          <w:fldData xml:space="preserve">PEVuZE5vdGU+PENpdGU+PEF1dGhvcj5LYXJrYW5hczwvQXV0aG9yPjxZZWFyPjIwMDI8L1llYXI+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6" w:tooltip="Berna, 2004 #12" w:history="1">
        <w:r w:rsidR="00B15FB2">
          <w:rPr>
            <w:rFonts w:cs="Times New Roman"/>
            <w:noProof/>
            <w:szCs w:val="24"/>
          </w:rPr>
          <w:t>e.g. Berna, et al. 2004</w:t>
        </w:r>
      </w:hyperlink>
      <w:r>
        <w:rPr>
          <w:rFonts w:cs="Times New Roman"/>
          <w:noProof/>
          <w:szCs w:val="24"/>
        </w:rPr>
        <w:t xml:space="preserve">; </w:t>
      </w:r>
      <w:hyperlink w:anchor="_ENREF_44" w:tooltip="Karkanas, 2010 #19" w:history="1">
        <w:r w:rsidR="00B15FB2">
          <w:rPr>
            <w:rFonts w:cs="Times New Roman"/>
            <w:noProof/>
            <w:szCs w:val="24"/>
          </w:rPr>
          <w:t>Karkanas 2010</w:t>
        </w:r>
      </w:hyperlink>
      <w:r>
        <w:rPr>
          <w:rFonts w:cs="Times New Roman"/>
          <w:noProof/>
          <w:szCs w:val="24"/>
        </w:rPr>
        <w:t xml:space="preserve">; </w:t>
      </w:r>
      <w:hyperlink w:anchor="_ENREF_45" w:tooltip="Karkanas, 2002 #18" w:history="1">
        <w:r w:rsidR="00B15FB2">
          <w:rPr>
            <w:rFonts w:cs="Times New Roman"/>
            <w:noProof/>
            <w:szCs w:val="24"/>
          </w:rPr>
          <w:t>Karkanas, et al. 2002</w:t>
        </w:r>
      </w:hyperlink>
      <w:r>
        <w:rPr>
          <w:rFonts w:cs="Times New Roman"/>
          <w:noProof/>
          <w:szCs w:val="24"/>
        </w:rPr>
        <w:t xml:space="preserve">; </w:t>
      </w:r>
      <w:hyperlink w:anchor="_ENREF_86" w:tooltip="Stiner, 1995 #123" w:history="1">
        <w:r w:rsidR="00B15FB2">
          <w:rPr>
            <w:rFonts w:cs="Times New Roman"/>
            <w:noProof/>
            <w:szCs w:val="24"/>
          </w:rPr>
          <w:t>Stiner, et al. 1995</w:t>
        </w:r>
      </w:hyperlink>
      <w:r>
        <w:rPr>
          <w:rFonts w:cs="Times New Roman"/>
          <w:noProof/>
          <w:szCs w:val="24"/>
        </w:rPr>
        <w:t>)</w:t>
      </w:r>
      <w:r>
        <w:rPr>
          <w:rFonts w:cs="Times New Roman"/>
          <w:szCs w:val="24"/>
        </w:rPr>
        <w:fldChar w:fldCharType="end"/>
      </w:r>
      <w:r>
        <w:rPr>
          <w:rFonts w:cs="Times New Roman"/>
          <w:szCs w:val="24"/>
        </w:rPr>
        <w:t xml:space="preserve">. These sediment samples are therefore awaiting further analysis much beyond the scope of this thesis. Each sample was placed in a sample cup lined with a thin layer of plastic to allow x-rays to penetrate the sediment. Each sample was zapped for 5 minutes. </w:t>
      </w:r>
    </w:p>
    <w:p w:rsidR="00121EC1" w:rsidRDefault="00121EC1" w:rsidP="00C123C1">
      <w:pPr>
        <w:pStyle w:val="Heading1"/>
        <w:jc w:val="center"/>
      </w:pPr>
    </w:p>
    <w:p w:rsidR="00121EC1" w:rsidRDefault="00121EC1">
      <w:pPr>
        <w:rPr>
          <w:rFonts w:eastAsiaTheme="majorEastAsia" w:cstheme="majorBidi"/>
          <w:b/>
          <w:bCs/>
          <w:sz w:val="32"/>
          <w:szCs w:val="28"/>
        </w:rPr>
      </w:pPr>
      <w:r>
        <w:br w:type="page"/>
      </w:r>
    </w:p>
    <w:p w:rsidR="00ED6B93" w:rsidRPr="0035045B" w:rsidRDefault="00ED6B93" w:rsidP="00D84561">
      <w:pPr>
        <w:pStyle w:val="Heading1"/>
      </w:pPr>
      <w:bookmarkStart w:id="64" w:name="_Toc349507297"/>
      <w:r w:rsidRPr="00C123C1">
        <w:lastRenderedPageBreak/>
        <w:t>Chapter 6: Results</w:t>
      </w:r>
      <w:bookmarkEnd w:id="64"/>
    </w:p>
    <w:p w:rsidR="00C6148D" w:rsidRPr="0035045B" w:rsidRDefault="00ED6B93" w:rsidP="003F352D">
      <w:pPr>
        <w:spacing w:line="480" w:lineRule="auto"/>
      </w:pPr>
      <w:r>
        <w:tab/>
      </w:r>
      <w:r w:rsidR="00C6148D">
        <w:t xml:space="preserve">Results of the analyses undertaken in this thesis, as highlighted in Chapter 5, are subdivided here into several sections. First, the results of the ¼” and hand recovered faunal remains are presented in detail by their archaeological cultural component, or lack thereof. This was done to ensure accurate comparisons between Archaic and Woodland context as site use and subsistence practices may have changed through time, as well as to document the effects looting has had on the faunal assemblage. Walker’s results from her analyses of a sample of Late Archaic fauna are also presented, and are noted where incorporated. The layout of this very long and detailed section follows the same basic pattern – first taxa and modifications of each context are presented and are followed by detailed discussions of each class. Mammals are discussed in terms of size class. For each taxa, modifications are presented, along with elements represented and how MNI was calculated. White-tailed deer are given special treatment given that they constitute such a large sample size. Following this section, the results of the microfauna analyses are presented. Lastly, results of the sediment analyses for bone preservation and site occupation are presented at the end of the chapter. </w:t>
      </w:r>
    </w:p>
    <w:p w:rsidR="00C6148D" w:rsidRDefault="00C6148D" w:rsidP="004C5EEC">
      <w:pPr>
        <w:pStyle w:val="Heading2"/>
      </w:pPr>
      <w:bookmarkStart w:id="65" w:name="_Toc349507298"/>
      <w:r>
        <w:t>¼” Results</w:t>
      </w:r>
      <w:bookmarkEnd w:id="65"/>
      <w:r>
        <w:t xml:space="preserve"> </w:t>
      </w:r>
    </w:p>
    <w:p w:rsidR="00C6148D" w:rsidRDefault="00C6148D" w:rsidP="00C6148D">
      <w:pPr>
        <w:spacing w:line="480" w:lineRule="auto"/>
        <w:ind w:firstLine="720"/>
      </w:pPr>
      <w:r>
        <w:t xml:space="preserve">Material recovered </w:t>
      </w:r>
      <w:r>
        <w:rPr>
          <w:i/>
        </w:rPr>
        <w:t>in situ</w:t>
      </w:r>
      <w:r>
        <w:t xml:space="preserve"> from 1/4” screening and from surface context over the course of three field season of excavations at Sachsen Cave Shelter yielded 10,631 total faunal remains weighing approximately 7,481.29 grams (note: Walker analysis NISP:737, Wt: 797.77 grams, this analysis NISP:9894, Wt:6683.5 (Franklin et al. 2010). Most of the assemblage is mammal, 80.4%. Birds (3.4%) and reptiles (5.67%) are well represented, given the high number of mammalian elements. Amphibians (.03%) and fish (.04%) are very poorly represented form the ¼” recovered material; however, other aquatic species, such as aquatic snails and river mussels </w:t>
      </w:r>
      <w:r>
        <w:lastRenderedPageBreak/>
        <w:t xml:space="preserve">are more numerous (1.37%). Lastly, 9.11% of the analyzed assemblage is unidentifiable (see </w:t>
      </w:r>
      <w:r w:rsidRPr="00A42D47">
        <w:rPr>
          <w:color w:val="FF0000"/>
        </w:rPr>
        <w:t>Figure 6.1</w:t>
      </w:r>
      <w:r>
        <w:t xml:space="preserve">, based on NISP).   </w:t>
      </w:r>
      <w:r w:rsidRPr="0027316F">
        <w:rPr>
          <w:color w:val="FF0000"/>
        </w:rPr>
        <w:t>Table 6.</w:t>
      </w:r>
      <w:r>
        <w:rPr>
          <w:color w:val="FF0000"/>
        </w:rPr>
        <w:t>2</w:t>
      </w:r>
      <w:r>
        <w:t xml:space="preserve"> outlines the entire list of taxa for the site based on analyses conducted for this thesis, and </w:t>
      </w:r>
      <w:r w:rsidRPr="001B2291">
        <w:rPr>
          <w:color w:val="FF0000"/>
        </w:rPr>
        <w:t>Table 6.</w:t>
      </w:r>
      <w:r>
        <w:rPr>
          <w:color w:val="FF0000"/>
        </w:rPr>
        <w:t>3</w:t>
      </w:r>
      <w:r>
        <w:t xml:space="preserve"> presents the results of Walker’s analyses adapted from the 2010 publication (Franklin et al. 2010). </w:t>
      </w:r>
    </w:p>
    <w:p w:rsidR="00C6148D" w:rsidRDefault="00C6148D" w:rsidP="00C6148D">
      <w:pPr>
        <w:spacing w:line="480" w:lineRule="auto"/>
        <w:ind w:firstLine="720"/>
      </w:pPr>
      <w:r>
        <w:t xml:space="preserve">Several taxonomic classifications warrant further explanation. First, </w:t>
      </w:r>
      <w:r>
        <w:rPr>
          <w:i/>
        </w:rPr>
        <w:t>Sciurus sp.</w:t>
      </w:r>
      <w:r>
        <w:t xml:space="preserve"> refers to one of two commonly encountered squirrels in the Southeast – the eastern gray squirrel (</w:t>
      </w:r>
      <w:r>
        <w:rPr>
          <w:i/>
        </w:rPr>
        <w:t>Sciurus carlonensis</w:t>
      </w:r>
      <w:r>
        <w:t>) and the fox squirrel (</w:t>
      </w:r>
      <w:r>
        <w:rPr>
          <w:i/>
        </w:rPr>
        <w:t>Sciurus niger</w:t>
      </w:r>
      <w:r>
        <w:t xml:space="preserve">). Both squirrel species are very similar osteologically, except fox squirrels tend to be bigger and the gray squirrels possess an extra premolar. No effort was made to distinguish fox from gray squirrel for this thesis – both can be found in hardwood forests although fox squirrels generally prefer more mature forests than grey squirrels </w:t>
      </w:r>
      <w:r>
        <w:fldChar w:fldCharType="begin"/>
      </w:r>
      <w:r>
        <w:instrText xml:space="preserve"> ADDIN EN.CITE &lt;EndNote&gt;&lt;Cite&gt;&lt;Author&gt;Linzey&lt;/Author&gt;&lt;Year&gt;1995&lt;/Year&gt;&lt;RecNum&gt;165&lt;/RecNum&gt;&lt;DisplayText&gt;(Linzey 1995)&lt;/DisplayText&gt;&lt;record&gt;&lt;rec-number&gt;165&lt;/rec-number&gt;&lt;foreign-keys&gt;&lt;key app="EN" db-id="pvwvsv0fktzv2weszt4xp95xstrzawadapa0"&gt;165&lt;/key&gt;&lt;/foreign-keys&gt;&lt;ref-type name="Book"&gt;6&lt;/ref-type&gt;&lt;contributors&gt;&lt;authors&gt;&lt;author&gt;Donald W. Linzey&lt;/author&gt;&lt;/authors&gt;&lt;/contributors&gt;&lt;titles&gt;&lt;title&gt;Mammals of Great Smoky Mountains National Park&lt;/title&gt;&lt;/titles&gt;&lt;dates&gt;&lt;year&gt;1995&lt;/year&gt;&lt;/dates&gt;&lt;pub-location&gt;Blacksburg, Virginia&lt;/pub-location&gt;&lt;publisher&gt;The McDonald &amp;amp; Woodward Publishing Company&lt;/publisher&gt;&lt;urls&gt;&lt;/urls&gt;&lt;/record&gt;&lt;/Cite&gt;&lt;/EndNote&gt;</w:instrText>
      </w:r>
      <w:r>
        <w:fldChar w:fldCharType="separate"/>
      </w:r>
      <w:r>
        <w:rPr>
          <w:noProof/>
        </w:rPr>
        <w:t>(</w:t>
      </w:r>
      <w:hyperlink w:anchor="_ENREF_55" w:tooltip="Linzey, 1995 #165" w:history="1">
        <w:r w:rsidR="00B15FB2">
          <w:rPr>
            <w:noProof/>
          </w:rPr>
          <w:t>Linzey 1995</w:t>
        </w:r>
      </w:hyperlink>
      <w:r>
        <w:rPr>
          <w:noProof/>
        </w:rPr>
        <w:t>)</w:t>
      </w:r>
      <w:r>
        <w:fldChar w:fldCharType="end"/>
      </w:r>
      <w:r>
        <w:t xml:space="preserve">. Given the populations today, it is likely that many of these squirrels were in fact fox squirrels. Second, as outlined in </w:t>
      </w:r>
      <w:r w:rsidRPr="00DC45A3">
        <w:rPr>
          <w:color w:val="FF0000"/>
        </w:rPr>
        <w:t>Table 6.2</w:t>
      </w:r>
      <w:r>
        <w:t xml:space="preserve">, </w:t>
      </w:r>
      <w:r w:rsidRPr="001B2291">
        <w:rPr>
          <w:i/>
        </w:rPr>
        <w:t>Canis familiaris</w:t>
      </w:r>
      <w:r>
        <w:t xml:space="preserve"> refers to canid elements that compared favorably to Archaic dogs from burial context in Tennessee </w:t>
      </w:r>
      <w:r>
        <w:fldChar w:fldCharType="begin"/>
      </w:r>
      <w:r>
        <w:instrText xml:space="preserve"> ADDIN EN.CITE &lt;EndNote&gt;&lt;Cite&gt;&lt;Author&gt;Lewis&lt;/Author&gt;&lt;Year&gt;1961&lt;/Year&gt;&lt;RecNum&gt;79&lt;/RecNum&gt;&lt;DisplayText&gt;(Lewis and Lewis 1961)&lt;/DisplayText&gt;&lt;record&gt;&lt;rec-number&gt;79&lt;/rec-number&gt;&lt;foreign-keys&gt;&lt;key app="EN" db-id="pvwvsv0fktzv2weszt4xp95xstrzawadapa0"&gt;79&lt;/key&gt;&lt;/foreign-keys&gt;&lt;ref-type name="Book"&gt;6&lt;/ref-type&gt;&lt;contributors&gt;&lt;authors&gt;&lt;author&gt;Lewis, Thomas M. N. &lt;/author&gt;&lt;author&gt;Madeline Kneberg Lewis &lt;/author&gt;&lt;/authors&gt;&lt;/contributors&gt;&lt;titles&gt;&lt;title&gt;Eva: An Archaic Site &lt;/title&gt;&lt;/titles&gt;&lt;dates&gt;&lt;year&gt;1961&lt;/year&gt;&lt;/dates&gt;&lt;pub-location&gt;Knoxville&lt;/pub-location&gt;&lt;publisher&gt;University of Tennessee Press &lt;/publisher&gt;&lt;urls&gt;&lt;/urls&gt;&lt;/record&gt;&lt;/Cite&gt;&lt;/EndNote&gt;</w:instrText>
      </w:r>
      <w:r>
        <w:fldChar w:fldCharType="separate"/>
      </w:r>
      <w:r>
        <w:rPr>
          <w:noProof/>
        </w:rPr>
        <w:t>(</w:t>
      </w:r>
      <w:hyperlink w:anchor="_ENREF_54" w:tooltip="Lewis, 1961 #79" w:history="1">
        <w:r w:rsidR="00B15FB2">
          <w:rPr>
            <w:noProof/>
          </w:rPr>
          <w:t>Lewis and Lewis 1961</w:t>
        </w:r>
      </w:hyperlink>
      <w:r>
        <w:rPr>
          <w:noProof/>
        </w:rPr>
        <w:t>)</w:t>
      </w:r>
      <w:r>
        <w:fldChar w:fldCharType="end"/>
      </w:r>
      <w:r>
        <w:t xml:space="preserve"> now housed in the McClung Museum. </w:t>
      </w:r>
      <w:r w:rsidRPr="00DC45A3">
        <w:rPr>
          <w:i/>
        </w:rPr>
        <w:t>Canis sp</w:t>
      </w:r>
      <w:r>
        <w:t xml:space="preserve">. refers to those specimens that could not be distinguished between modern wolves and the Archaic dogs. Lastly, Canidae was used when differentiation of domestic dog, wolf and fox could not be achieved. For undisturbed context, coyotes are not considered to be an option for alternative canid species as they seemed to have been introduced relatively recently </w:t>
      </w:r>
      <w:r>
        <w:fldChar w:fldCharType="begin"/>
      </w:r>
      <w:r>
        <w:instrText xml:space="preserve"> ADDIN EN.CITE &lt;EndNote&gt;&lt;Cite&gt;&lt;Author&gt;Linzey&lt;/Author&gt;&lt;Year&gt;1995&lt;/Year&gt;&lt;RecNum&gt;165&lt;/RecNum&gt;&lt;Pages&gt;65-66&lt;/Pages&gt;&lt;DisplayText&gt;(Linzey 1995:65-66)&lt;/DisplayText&gt;&lt;record&gt;&lt;rec-number&gt;165&lt;/rec-number&gt;&lt;foreign-keys&gt;&lt;key app="EN" db-id="pvwvsv0fktzv2weszt4xp95xstrzawadapa0"&gt;165&lt;/key&gt;&lt;/foreign-keys&gt;&lt;ref-type name="Book"&gt;6&lt;/ref-type&gt;&lt;contributors&gt;&lt;authors&gt;&lt;author&gt;Donald W. Linzey&lt;/author&gt;&lt;/authors&gt;&lt;/contributors&gt;&lt;titles&gt;&lt;title&gt;Mammals of Great Smoky Mountains National Park&lt;/title&gt;&lt;/titles&gt;&lt;dates&gt;&lt;year&gt;1995&lt;/year&gt;&lt;/dates&gt;&lt;pub-location&gt;Blacksburg, Virginia&lt;/pub-location&gt;&lt;publisher&gt;The McDonald &amp;amp; Woodward Publishing Company&lt;/publisher&gt;&lt;urls&gt;&lt;/urls&gt;&lt;/record&gt;&lt;/Cite&gt;&lt;/EndNote&gt;</w:instrText>
      </w:r>
      <w:r>
        <w:fldChar w:fldCharType="separate"/>
      </w:r>
      <w:r>
        <w:rPr>
          <w:noProof/>
        </w:rPr>
        <w:t>(</w:t>
      </w:r>
      <w:hyperlink w:anchor="_ENREF_55" w:tooltip="Linzey, 1995 #165" w:history="1">
        <w:r w:rsidR="00B15FB2">
          <w:rPr>
            <w:noProof/>
          </w:rPr>
          <w:t>Linzey 1995:65-66</w:t>
        </w:r>
      </w:hyperlink>
      <w:r>
        <w:rPr>
          <w:noProof/>
        </w:rPr>
        <w:t>)</w:t>
      </w:r>
      <w:r>
        <w:fldChar w:fldCharType="end"/>
      </w:r>
      <w:r>
        <w:t xml:space="preserve">. Also, domestic Archaic dogs were actually quite small </w:t>
      </w:r>
      <w:r>
        <w:fldChar w:fldCharType="begin"/>
      </w:r>
      <w:r>
        <w:instrText xml:space="preserve"> ADDIN EN.CITE &lt;EndNote&gt;&lt;Cite&gt;&lt;Author&gt;Worthington&lt;/Author&gt;&lt;Year&gt;2008&lt;/Year&gt;&lt;RecNum&gt;166&lt;/RecNum&gt;&lt;DisplayText&gt;(Worthington 2008)&lt;/DisplayText&gt;&lt;record&gt;&lt;rec-number&gt;166&lt;/rec-number&gt;&lt;foreign-keys&gt;&lt;key app="EN" db-id="pvwvsv0fktzv2weszt4xp95xstrzawadapa0"&gt;166&lt;/key&gt;&lt;/foreign-keys&gt;&lt;ref-type name="Thesis"&gt;32&lt;/ref-type&gt;&lt;contributors&gt;&lt;authors&gt;&lt;author&gt;Worthington, Brian E. &lt;/author&gt;&lt;/authors&gt;&lt;/contributors&gt;&lt;titles&gt;&lt;title&gt;An Osteometric Analysis of Southeastern Prehistoric Domestic Dogs&lt;/title&gt;&lt;secondary-title&gt;Department of Anthropology &lt;/secondary-title&gt;&lt;/titles&gt;&lt;dates&gt;&lt;year&gt;2008&lt;/year&gt;&lt;/dates&gt;&lt;publisher&gt;Florida State University &lt;/publisher&gt;&lt;urls&gt;&lt;/urls&gt;&lt;/record&gt;&lt;/Cite&gt;&lt;/EndNote&gt;</w:instrText>
      </w:r>
      <w:r>
        <w:fldChar w:fldCharType="separate"/>
      </w:r>
      <w:r>
        <w:rPr>
          <w:noProof/>
        </w:rPr>
        <w:t>(</w:t>
      </w:r>
      <w:hyperlink w:anchor="_ENREF_96" w:tooltip="Worthington, 2008 #166" w:history="1">
        <w:r w:rsidR="00B15FB2">
          <w:rPr>
            <w:noProof/>
          </w:rPr>
          <w:t>Worthington 2008</w:t>
        </w:r>
      </w:hyperlink>
      <w:r>
        <w:rPr>
          <w:noProof/>
        </w:rPr>
        <w:t>)</w:t>
      </w:r>
      <w:r>
        <w:fldChar w:fldCharType="end"/>
      </w:r>
      <w:r>
        <w:t xml:space="preserve"> and are therefore considered medium mammals while wolves are considered large. Third, Passerine refers to small perching birds while the designation small Aves refers to small ground and water birds, such as grouse and duck. </w:t>
      </w:r>
    </w:p>
    <w:p w:rsidR="00C6148D" w:rsidRDefault="00C6148D" w:rsidP="00C6148D">
      <w:pPr>
        <w:spacing w:line="480" w:lineRule="auto"/>
        <w:ind w:firstLine="720"/>
      </w:pPr>
      <w:r>
        <w:t xml:space="preserve">From this long list of all fauna represented at the site, it can be observed that the majority of the mammalian remains fall under the designation indeterminate mammal. Most of these are </w:t>
      </w:r>
      <w:r>
        <w:lastRenderedPageBreak/>
        <w:t>small fragments of mammal long bone, most likely from large mammals, however, given the small size of many of these specimens these determinations could not be made. As indicated by the weight and NISP of this group, most of these remains are under .5 grams, and as will be discussed throughout the results section, most of these are heat modified. The next most represented group, by far, are the large mammals, and mainly white-tailed deer (</w:t>
      </w:r>
      <w:r>
        <w:rPr>
          <w:i/>
        </w:rPr>
        <w:t>Odocoileus virginianus</w:t>
      </w:r>
      <w:r>
        <w:t>). The occurrence of white-tailed deer will be revisited, however, it should be noted that on the site level, white-tailed are far more represented than any other animal taxa; however squirrel, raccoon (</w:t>
      </w:r>
      <w:r>
        <w:rPr>
          <w:i/>
        </w:rPr>
        <w:t>Procyon lotor</w:t>
      </w:r>
      <w:r>
        <w:t>), bear (</w:t>
      </w:r>
      <w:r>
        <w:rPr>
          <w:i/>
        </w:rPr>
        <w:t xml:space="preserve">Ursus </w:t>
      </w:r>
      <w:r w:rsidRPr="00DC45A3">
        <w:t>americanus</w:t>
      </w:r>
      <w:r>
        <w:t>), eastern box turtle (</w:t>
      </w:r>
      <w:r>
        <w:rPr>
          <w:i/>
        </w:rPr>
        <w:t>Terrepene carolina</w:t>
      </w:r>
      <w:r>
        <w:t>), wild turkey (</w:t>
      </w:r>
      <w:r>
        <w:rPr>
          <w:i/>
        </w:rPr>
        <w:t>Meleagris gallopavo)</w:t>
      </w:r>
      <w:r>
        <w:t xml:space="preserve"> and fresh-water mussel (Unionidae) are also frequently encountered taxa. More detailed descriptions of the ¼” results following this section are separated by context: Modern, Unknown, Disturbed, Woodland, Woodland/Late Archaic and Late Archaic. The following outlines bone modifications for the entire site. </w:t>
      </w:r>
    </w:p>
    <w:p w:rsidR="00C6148D" w:rsidRPr="004F16AF" w:rsidRDefault="00C6148D" w:rsidP="00C6148D">
      <w:pPr>
        <w:spacing w:line="480" w:lineRule="auto"/>
        <w:rPr>
          <w:i/>
        </w:rPr>
      </w:pPr>
      <w:r>
        <w:rPr>
          <w:i/>
        </w:rPr>
        <w:t xml:space="preserve">Modifications </w:t>
      </w:r>
    </w:p>
    <w:p w:rsidR="00C6148D" w:rsidRDefault="00C6148D" w:rsidP="00C6148D">
      <w:pPr>
        <w:spacing w:line="480" w:lineRule="auto"/>
        <w:ind w:firstLine="720"/>
      </w:pPr>
      <w:r>
        <w:t xml:space="preserve">Faunal modifications for the entire assemblage are presented in </w:t>
      </w:r>
      <w:r w:rsidRPr="00716017">
        <w:rPr>
          <w:color w:val="FF0000"/>
        </w:rPr>
        <w:t>Table 6.</w:t>
      </w:r>
      <w:r>
        <w:rPr>
          <w:color w:val="FF0000"/>
        </w:rPr>
        <w:t>4</w:t>
      </w:r>
      <w:r>
        <w:t xml:space="preserve">, again incorporating Walker’s data. An overwhelming majority of the modifications to faunal remains are heat modification, represented by almost equal proportions of burned and calcined bone. Many butchering and skinning marks were also recorded. These will be discussed in more detail throughout the chapter with relation to context and animal species. As mentioned in Chapter 5, rodent and carnivore gnawing were not recorded for faunal remains recovered from TU 30 and 31, (making the total number of remains for this analysis 9,387 rather than 10,631). Large rodent gnawing was observed on at least two bones and may be the result of porcupine gnawing. Also, weathering and root etching were only recorded on large mammal remains, and again, except for </w:t>
      </w:r>
      <w:r>
        <w:lastRenderedPageBreak/>
        <w:t xml:space="preserve">Test Units 30 and 31, and only for this analysis (n=1,543 total large and medium-large mammals). </w:t>
      </w:r>
    </w:p>
    <w:p w:rsidR="00C6148D" w:rsidRDefault="00C6148D" w:rsidP="00C6148D">
      <w:pPr>
        <w:spacing w:line="480" w:lineRule="auto"/>
        <w:ind w:firstLine="720"/>
      </w:pPr>
      <w:r>
        <w:t xml:space="preserve">In addition to cultural and natural modifications such as those outlined above, a number of bones were culturally modified to be used as something other than a food related item. This includes one medium mammal tibia shaft fragment ‘bead.’ It is interpreted as such because the edges have been ground smoothed. However, it bears no evidence of the interior surface of ever being worn and was recovered from disturbed context. Another interesting worked bone is a raccoon canine with a perfect circular hole through the root that was formed by drilling from both sides. This specimen is Archaic in context. One aquatic snail shell recovered from Woodland context was ground on one side, exposing the entire internal columella. This specimen may too have been used as a bead. The great majority of these bone artifacts are bone points. Six of these artifacts were reported by Walker, who suggested one may have been in the process of manufacture </w:t>
      </w:r>
      <w:r>
        <w:fldChar w:fldCharType="begin"/>
      </w:r>
      <w:r>
        <w:instrText xml:space="preserve"> ADDIN EN.CITE &lt;EndNote&gt;&lt;Cite&gt;&lt;Author&gt;Franklin&lt;/Author&gt;&lt;Year&gt;2010&lt;/Year&gt;&lt;RecNum&gt;67&lt;/RecNum&gt;&lt;DisplayText&gt;(Franklin, et al. 2010)&lt;/DisplayText&gt;&lt;record&gt;&lt;rec-number&gt;67&lt;/rec-number&gt;&lt;foreign-keys&gt;&lt;key app="EN" db-id="pvwvsv0fktzv2weszt4xp95xstrzawadapa0"&gt;67&lt;/key&gt;&lt;/foreign-keys&gt;&lt;ref-type name="Journal Article"&gt;17&lt;/ref-type&gt;&lt;contributors&gt;&lt;authors&gt;&lt;author&gt;Franklin, Jay D.&lt;/author&gt;&lt;author&gt;Renee B. Walker&lt;/author&gt;&lt;author&gt;Maureen A. Hayes&lt;/author&gt;&lt;author&gt;Chase W. Beck&lt;/author&gt;&lt;/authors&gt;&lt;/contributors&gt;&lt;titles&gt;&lt;title&gt;Late Archaic Site Use at Sachsen Cave Shelter, Upper Cumberland Plateau, Tennessee&lt;/title&gt;&lt;secondary-title&gt;North American Archaeologist &lt;/secondary-title&gt;&lt;/titles&gt;&lt;periodical&gt;&lt;full-title&gt;North American Archaeologist&lt;/full-title&gt;&lt;/periodical&gt;&lt;pages&gt;447-479&lt;/pages&gt;&lt;volume&gt;31&lt;/volume&gt;&lt;number&gt;3-4&lt;/number&gt;&lt;dates&gt;&lt;year&gt;2010&lt;/year&gt;&lt;/dates&gt;&lt;urls&gt;&lt;/urls&gt;&lt;/record&gt;&lt;/Cite&gt;&lt;/EndNote&gt;</w:instrText>
      </w:r>
      <w:r>
        <w:fldChar w:fldCharType="separate"/>
      </w:r>
      <w:r>
        <w:rPr>
          <w:noProof/>
        </w:rPr>
        <w:t>(</w:t>
      </w:r>
      <w:hyperlink w:anchor="_ENREF_30" w:tooltip="Franklin, 2010 #67" w:history="1">
        <w:r w:rsidR="00B15FB2">
          <w:rPr>
            <w:noProof/>
          </w:rPr>
          <w:t>Franklin, et al. 2010</w:t>
        </w:r>
      </w:hyperlink>
      <w:r>
        <w:rPr>
          <w:noProof/>
        </w:rPr>
        <w:t>)</w:t>
      </w:r>
      <w:r>
        <w:fldChar w:fldCharType="end"/>
      </w:r>
      <w:r>
        <w:t xml:space="preserve">. This analysis identified an additional 36 bone points, totaling a sum of 42 for the site. </w:t>
      </w:r>
    </w:p>
    <w:p w:rsidR="00C6148D" w:rsidRPr="009F069A" w:rsidRDefault="00C6148D" w:rsidP="00C6148D">
      <w:pPr>
        <w:spacing w:line="480" w:lineRule="auto"/>
        <w:ind w:firstLine="720"/>
      </w:pPr>
      <w:r>
        <w:t xml:space="preserve">Each of the 36 bone points of interest here was weighed, measured in length (cm), noted to be complete, medial or distal, and each was examined under a stereo microscopic at 40x magnification for use-wear analysis. Only 3 bone points are considered to be whole tools, although 5 others seem complete. Two of these had an attached epiphysis on the non-worked end, the other was double sided, although one side seemed unfinished. The average length of the 3 complete points is 9.6cm. Eleven of the bone points are termed as halves and are larger than 3cm in length. Eight are medial sections and 9 are tips. Ten of the bone points are heated modified. One of the most interesting bone awls is one that was made from a raccoon left fibula. This identification was possible because the distal end (the non-worked end) was left intact. The </w:t>
      </w:r>
      <w:r>
        <w:lastRenderedPageBreak/>
        <w:t xml:space="preserve">use-wear on this specimen was light twisting. It was recovered from disturbed context and given its fragility, it is incredible it survived in such pristine condition. Another raccoon element, a radius from Late Archaic context, was also used for a bone awl. The only other identifiable species was white-tailed deer (n=4 awls). </w:t>
      </w:r>
    </w:p>
    <w:p w:rsidR="00C6148D" w:rsidRDefault="00C6148D" w:rsidP="00C6148D">
      <w:pPr>
        <w:spacing w:line="480" w:lineRule="auto"/>
        <w:ind w:firstLine="720"/>
      </w:pPr>
      <w:r>
        <w:t xml:space="preserve">Of the 36 bone points, use-wear could be detected on 25. Of those that displayed no use-wear, two were heavily concreted and the remaining points seemed to be in the process of becoming bone tools – their tips were often flat and/or blunt. Four bone points display striations that are parallel with the long axis of the bone, indicating use in a pushing or punching motion. Eighteen displayed striations perpendicular to the long axis of the bone, and sometimes these striations curved up distally. This use-wear indicates a twisting or circular motion. Two points displayed evidence of both kinds of striations and 1 medial section of a bone point displayed several deeply incised lines that followed no pattern. The edges of this artifact have been shaped, and striations consistent with twisting were observed, however it is not clear what these marks indicate about either the manufacture or use-life of this bone implement. It seems that most of the bone points were likely awls used for hide working. Their discard seems to be related with overuse and breakage. Of the 25 bone points with detectable use-wear, 4 displayed a blunt point and 19 (not mutually exclusive) were broken halves, medial sections and tips. It seems the entire use-life of bone points is represented at the site – manufacture, use and discard.   </w:t>
      </w:r>
    </w:p>
    <w:p w:rsidR="00C6148D" w:rsidRDefault="00C6148D" w:rsidP="00C6148D">
      <w:pPr>
        <w:spacing w:line="480" w:lineRule="auto"/>
        <w:rPr>
          <w:b/>
        </w:rPr>
      </w:pPr>
      <w:r w:rsidRPr="00CB3A1B">
        <w:rPr>
          <w:b/>
        </w:rPr>
        <w:t xml:space="preserve">Modern Context </w:t>
      </w:r>
    </w:p>
    <w:p w:rsidR="00C6148D" w:rsidRPr="007725B7" w:rsidRDefault="00C6148D" w:rsidP="00C6148D">
      <w:pPr>
        <w:spacing w:line="480" w:lineRule="auto"/>
      </w:pPr>
      <w:r>
        <w:rPr>
          <w:b/>
        </w:rPr>
        <w:tab/>
      </w:r>
      <w:r>
        <w:t xml:space="preserve">During a trip to the site in September of 2012, a large piece of plywood was removed from the top of Test Unit 30 to investigate the condition of the profile walls for possible collection of sediment from this provenience for chemical analyses. In the bottom of the test unit, </w:t>
      </w:r>
      <w:r>
        <w:lastRenderedPageBreak/>
        <w:t>several modern fauna and faunal remains were encountered. First, two live salamanders were exploiting this dark and wet area. One was the very fitting Cumberland Plateau Salamander (</w:t>
      </w:r>
      <w:r>
        <w:rPr>
          <w:i/>
        </w:rPr>
        <w:t>Plethodon kentucki</w:t>
      </w:r>
      <w:r>
        <w:t>), who makes its habitation in moist, covered areas, such as rock shelters. The other is the spring salamander (</w:t>
      </w:r>
      <w:r>
        <w:rPr>
          <w:i/>
        </w:rPr>
        <w:t>Gyrinophilus porphyriticus</w:t>
      </w:r>
      <w:r>
        <w:t xml:space="preserve">). Interestingly, this spring salamander feeds on other salamanders and invertebrates, and lives in cave entrances and rock shelters. Perhaps it was stalking the smaller Cumberland Plateau salamander. Alongside both of these creatures was an empty, complete land snail shell (genus formerly known as Mesodon, Gerry Dinkins, personal communication). The snail is clearly of modern origin as it still retains its shiny periostracum coat. This specimen was collected and included in the faunal assemblage as it indicates natural deposition of these animal taxa in the faunal assemblage (and as listed in Table 6.1, land snails were quite numerous). The presence of a salamander that feeds on the snails with direct association with a recent, modern one suggests one possible origin of these snails throughout the site. It also indicates a natural use of the cave shelter by small animal taxa, such as amphibians, although very few amphibian elements were recovered from 1/4” screen. </w:t>
      </w:r>
    </w:p>
    <w:p w:rsidR="00C6148D" w:rsidRDefault="00C6148D" w:rsidP="00C6148D">
      <w:pPr>
        <w:spacing w:line="480" w:lineRule="auto"/>
        <w:rPr>
          <w:rStyle w:val="Strong"/>
        </w:rPr>
      </w:pPr>
      <w:r>
        <w:rPr>
          <w:rStyle w:val="Strong"/>
        </w:rPr>
        <w:t xml:space="preserve">Unknown Context </w:t>
      </w:r>
    </w:p>
    <w:p w:rsidR="00C6148D" w:rsidRPr="00E93B5E" w:rsidRDefault="00C6148D" w:rsidP="00C6148D">
      <w:pPr>
        <w:spacing w:line="480" w:lineRule="auto"/>
        <w:rPr>
          <w:rStyle w:val="Strong"/>
          <w:b w:val="0"/>
        </w:rPr>
      </w:pPr>
      <w:r>
        <w:rPr>
          <w:rStyle w:val="Strong"/>
        </w:rPr>
        <w:tab/>
      </w:r>
      <w:r>
        <w:rPr>
          <w:rStyle w:val="Strong"/>
          <w:b w:val="0"/>
        </w:rPr>
        <w:t>Ten of the 12 proveniences from unknown context yielded faunal remains (n=126) (</w:t>
      </w:r>
      <w:r w:rsidRPr="00F66339">
        <w:rPr>
          <w:rStyle w:val="Strong"/>
          <w:b w:val="0"/>
          <w:color w:val="FF0000"/>
        </w:rPr>
        <w:t>see Table 6.</w:t>
      </w:r>
      <w:r>
        <w:rPr>
          <w:rStyle w:val="Strong"/>
          <w:b w:val="0"/>
          <w:color w:val="FF0000"/>
        </w:rPr>
        <w:t>5</w:t>
      </w:r>
      <w:r>
        <w:rPr>
          <w:rStyle w:val="Strong"/>
          <w:b w:val="0"/>
        </w:rPr>
        <w:t xml:space="preserve">). Mammals make up the majority of this assemblage (85%), followed by birds (5.5%), reptiles (3.2%) and unidentifiable taxa (6.3%). Given that these proveniences cannot be assigned any context affiliation, detailed discussions of taxa is omitted, however a full species list is presented in </w:t>
      </w:r>
      <w:r>
        <w:rPr>
          <w:rStyle w:val="Strong"/>
          <w:b w:val="0"/>
          <w:color w:val="FF0000"/>
        </w:rPr>
        <w:t xml:space="preserve">Table 6.6 </w:t>
      </w:r>
      <w:r w:rsidRPr="00740201">
        <w:rPr>
          <w:rStyle w:val="Strong"/>
          <w:b w:val="0"/>
        </w:rPr>
        <w:t>(note: MNI was not calculated for this context).</w:t>
      </w:r>
      <w:r>
        <w:rPr>
          <w:rStyle w:val="Strong"/>
          <w:b w:val="0"/>
        </w:rPr>
        <w:t xml:space="preserve"> Of interest, however, two turkey tarsometatarsii of equal size and breakage pattern, from opposite sides were recovered from the East Wall of Test Unit 11. It is possible that these were deposited together. Also, 39 of these faunal remains (231.48 grams) were recovered from surface context. It is not </w:t>
      </w:r>
      <w:r>
        <w:rPr>
          <w:rStyle w:val="Strong"/>
          <w:b w:val="0"/>
          <w:i/>
        </w:rPr>
        <w:t xml:space="preserve">a priori </w:t>
      </w:r>
      <w:r>
        <w:rPr>
          <w:rStyle w:val="Strong"/>
          <w:b w:val="0"/>
        </w:rPr>
        <w:lastRenderedPageBreak/>
        <w:t xml:space="preserve">assumed that this is necessarily disturbed context, as any of these faunal remains could be in primary position. Of these remains, 5 are rodent gnawed, 12 weathered and 13 root-etched. These natural alterations to surface context bone serve as important comparison as taphonomic discussion continue throughout this chapter. Only one of the bone points, a tip, was recovered from this context.  </w:t>
      </w:r>
    </w:p>
    <w:p w:rsidR="00C6148D" w:rsidRPr="00371422" w:rsidRDefault="00C6148D" w:rsidP="00C6148D">
      <w:pPr>
        <w:spacing w:line="480" w:lineRule="auto"/>
        <w:rPr>
          <w:rStyle w:val="Strong"/>
        </w:rPr>
      </w:pPr>
      <w:r w:rsidRPr="00371422">
        <w:rPr>
          <w:rStyle w:val="Strong"/>
        </w:rPr>
        <w:t>Disturbed Context</w:t>
      </w:r>
    </w:p>
    <w:p w:rsidR="00C6148D" w:rsidRDefault="00C6148D" w:rsidP="00C6148D">
      <w:pPr>
        <w:spacing w:line="480" w:lineRule="auto"/>
      </w:pPr>
      <w:r>
        <w:tab/>
        <w:t>It was noted during initial visits to Sachsen Cave Shelter that the site had been repeatedly visited by local relic hunters during the early half of the 20</w:t>
      </w:r>
      <w:r w:rsidRPr="00371422">
        <w:rPr>
          <w:vertAlign w:val="superscript"/>
        </w:rPr>
        <w:t>th</w:t>
      </w:r>
      <w:r>
        <w:t xml:space="preserve"> century, at least. During excavations, glass was often recovered 30-40 cm BED. In one test unit (TU29) large pieces of metal were found nearly 1 meter in depth. These disturbed contexts are recognized by the presence of historic material and reworked sediments. Unfortunately a great majority of the site has been disturbed, although this disturbance is generally directed more toward the front half of the rock shelter. One-hundred and fifty-eight excavated proveniences are associated with disturbed context, about 44% of all proveniences from the site. This analysis concerns 118 of these disturbed proveniences which are presented in </w:t>
      </w:r>
      <w:r>
        <w:rPr>
          <w:color w:val="FF0000"/>
        </w:rPr>
        <w:t>Appendix 1</w:t>
      </w:r>
      <w:r>
        <w:t>. As indicated by this table, most of the disturbed deposits are restricted to the upper most 10-20cm of deposition; however, in some cases, such as TU 28 and 29, nearly 1 meter of deposition had been reworked from its original state. Also of interest from this table, are the bone weights with depth. Bone preservation will be dealt with more later in this chapter and next, however, it should be pointed out that bone weight varies greatly between levels of single test units in these disturbed context (i.e. weight does not uniformly decrease or increase with depth). TU29 clearly indicates this, as bone weight fluctuates throughout the sequence of deposition. This was the most heavily disturbed test unit excavated in the shelter and this pattern too will be revisited later on.</w:t>
      </w:r>
    </w:p>
    <w:p w:rsidR="00C6148D" w:rsidRDefault="00C6148D" w:rsidP="00C6148D">
      <w:pPr>
        <w:spacing w:line="480" w:lineRule="auto"/>
      </w:pPr>
      <w:r>
        <w:lastRenderedPageBreak/>
        <w:tab/>
        <w:t xml:space="preserve">A total of 5,153 faunal remains were recovered from disturbed context weighing approximately 3,416.37 grams. 78.25% of these remains are mammal, 4.09% bird, 5.57% reptile, .04 % fish, 1.47% invertebrate and 10.58% unidentifiable. Modifications to these remains include burning (n=1,397), calcinations (n=1,294), cut marks (n=62), rodent gnawing (n=17), and carnivore gnawing (n=39). Weathering was observed on 209 of 737 large mammal bones (~28%) and root etching on 234 (~32%) (note: these categories are not mutually exclusive). Lastly, sixteen bone points and one possible bone bead were recovered from disturbed context. </w:t>
      </w:r>
      <w:r w:rsidRPr="00F72966">
        <w:rPr>
          <w:color w:val="FF0000"/>
        </w:rPr>
        <w:t>Table 6.</w:t>
      </w:r>
      <w:r>
        <w:rPr>
          <w:color w:val="FF0000"/>
        </w:rPr>
        <w:t>7</w:t>
      </w:r>
      <w:r>
        <w:t xml:space="preserve"> lists the animal taxa with NISP, MNI and weight (g) for this context. It is quite similar to the species for the entire site, likely because the majority of the faunal assemblage is derived from this context. Detailed, but brief, discussions of these remains are presented here for comparative purposes. </w:t>
      </w:r>
    </w:p>
    <w:p w:rsidR="00C6148D" w:rsidRDefault="00C6148D" w:rsidP="00C6148D">
      <w:pPr>
        <w:spacing w:line="480" w:lineRule="auto"/>
        <w:rPr>
          <w:i/>
        </w:rPr>
      </w:pPr>
      <w:r>
        <w:rPr>
          <w:i/>
        </w:rPr>
        <w:t xml:space="preserve">Small, Small-Medium Mammal </w:t>
      </w:r>
    </w:p>
    <w:p w:rsidR="00C6148D" w:rsidRDefault="00C6148D" w:rsidP="00C6148D">
      <w:pPr>
        <w:spacing w:line="480" w:lineRule="auto"/>
      </w:pPr>
      <w:r>
        <w:rPr>
          <w:i/>
        </w:rPr>
        <w:tab/>
      </w:r>
      <w:r>
        <w:t>Thirty-five small mammals were recovered from disturbed context, weighing approximately 6.46 grams. Nine of these are burned, 5 calcined, 1 bears a cut mark and 1 has been carnivore gnawed. None of the small mammal remains were worked or shaped. Four species are represented, the most numerous being squirrel. Squirrels are the only small mammalian species to bear any cultural modification. The MNI for squirrel is 2 based on 2 right calcaneii and 2 left femura. The eastern wood rat (</w:t>
      </w:r>
      <w:r>
        <w:rPr>
          <w:i/>
        </w:rPr>
        <w:t>Neotoma magister</w:t>
      </w:r>
      <w:r>
        <w:t>) remains constitute 5 the 6 total represented at the site, and two of these are juvenile. Given this, and the lack of cultural modification, it is likely their deposition in the site matrix was by natural processes. Three eastern cottontail (</w:t>
      </w:r>
      <w:r w:rsidRPr="009F3DCB">
        <w:rPr>
          <w:i/>
        </w:rPr>
        <w:t>Sylvilagus floridanus</w:t>
      </w:r>
      <w:r>
        <w:t xml:space="preserve">) remains were also recovered here. In undisturbed context, eastern cottontail is only represented in the Woodland layer from ¼” mesh. One cottontail rib displays a deep cut/hack mark on the neck, just below the head. Neither of the other </w:t>
      </w:r>
      <w:r>
        <w:lastRenderedPageBreak/>
        <w:t>two remains is culturally modified. Also, one mouse (</w:t>
      </w:r>
      <w:r>
        <w:rPr>
          <w:i/>
        </w:rPr>
        <w:t>Peromyscus sp.</w:t>
      </w:r>
      <w:r>
        <w:t xml:space="preserve">) element, a mandible, was recovered. It was the only mouse to be identified from the 1/4” recovered material. Seven of the unidentifiable rodent and small mammal remains have been heat modified. Most of these elements are quite ambiguous when trying to determine species (i.e. femura shafts, lumbar vertebra, incisors, etc.). The culturally modified remains are likely squirrel. Most of the small-medium sized mammals are rib fragments, 2 are burned. </w:t>
      </w:r>
    </w:p>
    <w:p w:rsidR="00C6148D" w:rsidRDefault="00C6148D" w:rsidP="00C6148D">
      <w:pPr>
        <w:spacing w:line="480" w:lineRule="auto"/>
        <w:rPr>
          <w:i/>
        </w:rPr>
      </w:pPr>
      <w:r>
        <w:t xml:space="preserve"> </w:t>
      </w:r>
      <w:r>
        <w:rPr>
          <w:i/>
        </w:rPr>
        <w:t xml:space="preserve">Medium, Medium-Large Mammal </w:t>
      </w:r>
    </w:p>
    <w:p w:rsidR="00C6148D" w:rsidRDefault="00C6148D" w:rsidP="00C6148D">
      <w:pPr>
        <w:spacing w:line="480" w:lineRule="auto"/>
      </w:pPr>
      <w:r>
        <w:tab/>
        <w:t xml:space="preserve">The medium mammals from disturbed context are quite a diverse group and several of the taxa represented from the context were not recovered from Woodland or Archaic context. Sixty medium mammal elements were recovered, weighing approximately 51.05 grams. Seventeen are heat modified, 3 bear cut marks, 1 is rodent gnawed, another carnivore gnawed and 2 have been worked, including the raccoon fibula bone awl and the tibia shaft ‘bead.’ </w:t>
      </w:r>
    </w:p>
    <w:p w:rsidR="00C6148D" w:rsidRDefault="00C6148D" w:rsidP="00C6148D">
      <w:pPr>
        <w:spacing w:line="480" w:lineRule="auto"/>
      </w:pPr>
      <w:r>
        <w:tab/>
        <w:t>The most represented medium mammal species is the raccoon, n=22. Two raccoon elements are heat modified, and 1ribs displays cut marks. Based on several teeth specimen, three raccoon are clearly represented, two older individuals and one young. Gray fox (</w:t>
      </w:r>
      <w:r>
        <w:rPr>
          <w:i/>
        </w:rPr>
        <w:t xml:space="preserve">Urocyon </w:t>
      </w:r>
      <w:r w:rsidRPr="00E32B1A">
        <w:rPr>
          <w:i/>
        </w:rPr>
        <w:t>cinereoargenteus</w:t>
      </w:r>
      <w:r>
        <w:t xml:space="preserve">) </w:t>
      </w:r>
      <w:r w:rsidRPr="00E32B1A">
        <w:t>was</w:t>
      </w:r>
      <w:r>
        <w:t xml:space="preserve"> identified by three cranial elements, none of which were culturally modified. Gray fox are distinguished from red fox (</w:t>
      </w:r>
      <w:r>
        <w:rPr>
          <w:i/>
        </w:rPr>
        <w:t xml:space="preserve">Vulpes </w:t>
      </w:r>
      <w:r w:rsidRPr="00E32B1A">
        <w:rPr>
          <w:i/>
        </w:rPr>
        <w:t>vulpes</w:t>
      </w:r>
      <w:r>
        <w:t xml:space="preserve">) </w:t>
      </w:r>
      <w:r w:rsidRPr="00E32B1A">
        <w:t>based</w:t>
      </w:r>
      <w:r>
        <w:t xml:space="preserve"> on size – gray fox are generally larger. The only two bobcat (</w:t>
      </w:r>
      <w:r>
        <w:rPr>
          <w:i/>
        </w:rPr>
        <w:t>Lynx rufus</w:t>
      </w:r>
      <w:r>
        <w:t>) elements recovered from the site come from disturbed context. They are both long bones of the forearm and hind limbs, both lefts, and both culturally modified, 1 burned and 1 cut. The only two porcupine (</w:t>
      </w:r>
      <w:r w:rsidRPr="0097191B">
        <w:rPr>
          <w:rFonts w:eastAsia="Times New Roman"/>
          <w:i/>
          <w:color w:val="000000"/>
          <w:szCs w:val="24"/>
        </w:rPr>
        <w:t>Erethizon dorsatum</w:t>
      </w:r>
      <w:r>
        <w:t xml:space="preserve"> </w:t>
      </w:r>
      <w:r>
        <w:rPr>
          <w:i/>
        </w:rPr>
        <w:t xml:space="preserve">) </w:t>
      </w:r>
      <w:r>
        <w:t>elements, both teeth, recovered from the site were also recovered from this context. Neither is culturally modified. Additionally, two river otter (</w:t>
      </w:r>
      <w:r>
        <w:rPr>
          <w:i/>
        </w:rPr>
        <w:t xml:space="preserve">Lutra </w:t>
      </w:r>
      <w:r w:rsidRPr="00E32B1A">
        <w:rPr>
          <w:i/>
        </w:rPr>
        <w:t>canadensis</w:t>
      </w:r>
      <w:r>
        <w:t xml:space="preserve">) </w:t>
      </w:r>
      <w:r w:rsidRPr="00E32B1A">
        <w:t>and</w:t>
      </w:r>
      <w:r>
        <w:t xml:space="preserve"> one possible river otter elements </w:t>
      </w:r>
      <w:r>
        <w:lastRenderedPageBreak/>
        <w:t>were only recovered from disturbed context. This includes a burned mandible, humerus and an unmodified post-orbital process (the c.f.). Lastly, the only opossum (</w:t>
      </w:r>
      <w:r>
        <w:rPr>
          <w:i/>
        </w:rPr>
        <w:t>Didelphis marsupialis)</w:t>
      </w:r>
      <w:r>
        <w:t xml:space="preserve"> recovered from the site was recovered here, a calcined mandible. Given that some of these taxa are not represented in the Archaic layer (see below), it is likely they are indicative of later prehistoric occupations. </w:t>
      </w:r>
    </w:p>
    <w:p w:rsidR="00C6148D" w:rsidRDefault="00C6148D" w:rsidP="00C6148D">
      <w:pPr>
        <w:spacing w:line="480" w:lineRule="auto"/>
      </w:pPr>
      <w:r>
        <w:tab/>
        <w:t>Two domestic dogs and two potential domestic dogs were also recovered from disturbed context, all teeth or teeth related elements. Both of the potential dogs are incisors and one is a juvenile. Both of the domestic dogs are older individuals as indicated by fairly worn teeth. The remaining 23 unidentifiable medium mammal remains are mostly long bones and rib. Ten are heat modified and 1 is cut.</w:t>
      </w:r>
    </w:p>
    <w:p w:rsidR="00C6148D" w:rsidRDefault="00C6148D" w:rsidP="00C6148D">
      <w:pPr>
        <w:spacing w:line="480" w:lineRule="auto"/>
      </w:pPr>
      <w:r>
        <w:tab/>
        <w:t xml:space="preserve">Medium-large mammals are represented by 54 elements weighing approximately 51.61 grams. Sixteen are heat modified, 3 are cut and 2 are carnivore gnawed. Six of these remains are canid – 3 wolf/dog elements and 3 indeterminate dog. These are represented by teeth and long bone shaft fragments. One of the Canidae specimens is calcined. The two Carnivora specimens are indeterminate teeth. The remaining 46 elements are mostly fragmentary long bones. None of these are bone points. </w:t>
      </w:r>
    </w:p>
    <w:p w:rsidR="00C6148D" w:rsidRDefault="00C6148D" w:rsidP="00C6148D">
      <w:pPr>
        <w:spacing w:line="480" w:lineRule="auto"/>
        <w:rPr>
          <w:i/>
        </w:rPr>
      </w:pPr>
      <w:r>
        <w:rPr>
          <w:i/>
        </w:rPr>
        <w:t xml:space="preserve">Large Mammals, UID Mammals </w:t>
      </w:r>
    </w:p>
    <w:p w:rsidR="00C6148D" w:rsidRDefault="00C6148D" w:rsidP="00C6148D">
      <w:pPr>
        <w:spacing w:line="480" w:lineRule="auto"/>
      </w:pPr>
      <w:r>
        <w:rPr>
          <w:i/>
        </w:rPr>
        <w:tab/>
      </w:r>
      <w:r>
        <w:t xml:space="preserve">Large mammals are represented by 846 elements (1,795.56 grams) from disturbed context. A total of 279 of the large mammal remains are heat modified, 35 bear cut marks, 10 are rodent gnawed and 22 carnivore gnawed. Nine of the large mammal elements were fashioned as bone points. </w:t>
      </w:r>
    </w:p>
    <w:p w:rsidR="00C6148D" w:rsidRDefault="00C6148D" w:rsidP="00C6148D">
      <w:pPr>
        <w:spacing w:line="480" w:lineRule="auto"/>
      </w:pPr>
      <w:r>
        <w:lastRenderedPageBreak/>
        <w:tab/>
        <w:t>Canids are again represented, this time by one wolf and one c.f. wolf specimen, both teeth and both unmodified. One possibly pig (</w:t>
      </w:r>
      <w:r>
        <w:rPr>
          <w:i/>
        </w:rPr>
        <w:t>Sus scrfoa</w:t>
      </w:r>
      <w:r>
        <w:t xml:space="preserve">) rib was recovered from Level 1 of Test Unit 4. It too is unmodified. The two large Carnivora fragments consist of a tooth and a metapodia fragment. Most of the bear elements from the site were recovered from this context (n=11). These remains are mostly teeth/cranium and feet, however, 1 vertebra and 1 rib fragment were identified. Four of the bear remains are calcined, and none are cut or gnawed. The remaining unidentifiable large mammals remains (n=437) are mostly long bone shaft fragments. One-hundred and fifty-six of these are heat modified, 12 are cut, 3 are rodent gnawed and 13 are carnivore gnawed. Seven of these are bone points. </w:t>
      </w:r>
    </w:p>
    <w:p w:rsidR="00C6148D" w:rsidRDefault="00C6148D" w:rsidP="00C6148D">
      <w:pPr>
        <w:spacing w:line="480" w:lineRule="auto"/>
      </w:pPr>
      <w:r>
        <w:tab/>
        <w:t xml:space="preserve">White-tailed deer will receive special treat in the Woodland and Archaic sections based on skeletal part representation. This is done here as well to offer a point of comparison. A total of 393 white-tailed deer and c.f. white-tailed deer remains were recovered from disturbed context, weighing approximately 976.83 grams. One-hundred and nineteen of these are heat modified, 23 bear cut marks, and 16 have been gnawed. Two were fashioned as bone points. Cut marks are distributed on long bones, lower legs bones and ribs. Detailed discussion of placement of cut marks is included for deer recovered from Woodland and Late Archaic context, however is not included here. Most of the deer elements recovered from disturbed context are lower leg bones and cranium fragments. Vertebra and pelvis are poorly represented, however ribs are quite numerous. A line graph in approximate anatomical distribution shows the frequency of representation of different deer skeletal elements </w:t>
      </w:r>
      <w:r w:rsidRPr="00925EAD">
        <w:rPr>
          <w:color w:val="FF0000"/>
        </w:rPr>
        <w:t>(Figur</w:t>
      </w:r>
      <w:r>
        <w:rPr>
          <w:color w:val="FF0000"/>
        </w:rPr>
        <w:t>e 6.8</w:t>
      </w:r>
      <w:r w:rsidRPr="00925EAD">
        <w:rPr>
          <w:color w:val="FF0000"/>
        </w:rPr>
        <w:t>)</w:t>
      </w:r>
      <w:r>
        <w:t xml:space="preserve">. Not included in this graph are 17 antler fragments and 117 phalanges, sesmoids, and metapodia that could not be assigned to the hindlimb or the forelimb. However, their presence alone suggests transport of whole deer legs back to the site – although no temporal component can be assigned to this behavior. This line </w:t>
      </w:r>
      <w:r>
        <w:lastRenderedPageBreak/>
        <w:t xml:space="preserve">graph serves as a comparison for later Woodland and Archaic discussions of white-tailed deer element representation. </w:t>
      </w:r>
    </w:p>
    <w:p w:rsidR="00C6148D" w:rsidRDefault="00C6148D" w:rsidP="00C6148D">
      <w:pPr>
        <w:spacing w:line="480" w:lineRule="auto"/>
      </w:pPr>
      <w:r>
        <w:tab/>
        <w:t xml:space="preserve">Age structure of white-tailed deer was recorded for this context as well as the Woodland and Archaic. Twenty-eight of the white-tailed deer isolated teeth and maxillae and mandibles with teeth complete enough to yield approximate age ranges (MNI 5 based left M2). Most of these elements were from deer around the age of 3 or older (n=20, MNI 3 based on 3 left M2). Two are between the ages of 2 and 2 ½ years (MNI 1). The remaining five are between 1 to 2 ½ years old (one is almost exactly 1 1/2) (MNI 2 based on 2 left m3 and 2 left M2). The MNI for deer from disturbed context based on teeth is therefore 6 when age is taken into account. </w:t>
      </w:r>
    </w:p>
    <w:p w:rsidR="00C6148D" w:rsidRDefault="00C6148D" w:rsidP="00C6148D">
      <w:pPr>
        <w:spacing w:line="480" w:lineRule="auto"/>
      </w:pPr>
      <w:r>
        <w:tab/>
        <w:t xml:space="preserve">Non-teeth related aging can be determined based on fusion rates of certain deer elements </w:t>
      </w:r>
      <w:r>
        <w:fldChar w:fldCharType="begin"/>
      </w:r>
      <w:r>
        <w:instrText xml:space="preserve"> ADDIN EN.CITE &lt;EndNote&gt;&lt;Cite&gt;&lt;Author&gt;Purdue&lt;/Author&gt;&lt;Year&gt;1983&lt;/Year&gt;&lt;RecNum&gt;167&lt;/RecNum&gt;&lt;DisplayText&gt;(Purdue 1983)&lt;/DisplayText&gt;&lt;record&gt;&lt;rec-number&gt;167&lt;/rec-number&gt;&lt;foreign-keys&gt;&lt;key app="EN" db-id="pvwvsv0fktzv2weszt4xp95xstrzawadapa0"&gt;167&lt;/key&gt;&lt;/foreign-keys&gt;&lt;ref-type name="Journal Article"&gt;17&lt;/ref-type&gt;&lt;contributors&gt;&lt;authors&gt;&lt;author&gt;James R. Purdue &lt;/author&gt;&lt;/authors&gt;&lt;/contributors&gt;&lt;titles&gt;&lt;title&gt;Epiphyseal Closure in White-Tailed Deer&lt;/title&gt;&lt;secondary-title&gt;The Journal of Wildlife Management&lt;/secondary-title&gt;&lt;/titles&gt;&lt;periodical&gt;&lt;full-title&gt;The Journal of Wildlife Management&lt;/full-title&gt;&lt;/periodical&gt;&lt;pages&gt;1207-1213&lt;/pages&gt;&lt;volume&gt;47&lt;/volume&gt;&lt;number&gt;4&lt;/number&gt;&lt;dates&gt;&lt;year&gt;1983&lt;/year&gt;&lt;/dates&gt;&lt;urls&gt;&lt;/urls&gt;&lt;/record&gt;&lt;/Cite&gt;&lt;/EndNote&gt;</w:instrText>
      </w:r>
      <w:r>
        <w:fldChar w:fldCharType="separate"/>
      </w:r>
      <w:r>
        <w:rPr>
          <w:noProof/>
        </w:rPr>
        <w:t>(</w:t>
      </w:r>
      <w:hyperlink w:anchor="_ENREF_71" w:tooltip="Purdue, 1983 #167" w:history="1">
        <w:r w:rsidR="00B15FB2">
          <w:rPr>
            <w:noProof/>
          </w:rPr>
          <w:t>Purdue 1983</w:t>
        </w:r>
      </w:hyperlink>
      <w:r>
        <w:rPr>
          <w:noProof/>
        </w:rPr>
        <w:t>)</w:t>
      </w:r>
      <w:r>
        <w:fldChar w:fldCharType="end"/>
      </w:r>
      <w:r>
        <w:t xml:space="preserve">. One unfused calcaneus indicates and age less than 20 months. An unfused metapodia condyle suggests an age less than 2 years. Lastly, an unfused proximal phalanx suggests a deer less than 1 year of age. Epiphyseal closure suggests the presence only 1 deer less than two years of age. This method is obviously much less effective than using teeth. </w:t>
      </w:r>
    </w:p>
    <w:p w:rsidR="00C6148D" w:rsidRPr="002302C0" w:rsidRDefault="00C6148D" w:rsidP="00C6148D">
      <w:pPr>
        <w:spacing w:line="480" w:lineRule="auto"/>
      </w:pPr>
      <w:r>
        <w:tab/>
        <w:t xml:space="preserve">Finally, 3,141 mammalian remains were too fragmentary to assign to any lower order taxonomic classification or to any size class. The majority of these remains are less than .5 grams (total weight 1,248.65 grams). Nine-hundred and ninety-three are burned (31.6%) and 982 are calcined (31.3%). Six of these are fragmentary bone awls and possible bone awls. </w:t>
      </w:r>
    </w:p>
    <w:p w:rsidR="00C6148D" w:rsidRDefault="00C6148D" w:rsidP="00C6148D">
      <w:pPr>
        <w:spacing w:line="480" w:lineRule="auto"/>
        <w:rPr>
          <w:i/>
        </w:rPr>
      </w:pPr>
      <w:r>
        <w:rPr>
          <w:i/>
        </w:rPr>
        <w:t>Aves</w:t>
      </w:r>
    </w:p>
    <w:p w:rsidR="00C6148D" w:rsidRDefault="00C6148D" w:rsidP="00C6148D">
      <w:pPr>
        <w:spacing w:line="480" w:lineRule="auto"/>
      </w:pPr>
      <w:r>
        <w:rPr>
          <w:i/>
        </w:rPr>
        <w:lastRenderedPageBreak/>
        <w:tab/>
        <w:t xml:space="preserve"> </w:t>
      </w:r>
      <w:r>
        <w:t xml:space="preserve">Two-hundred and eleven avian remains were recovered from disturbed context weighing approximately 91.68 grams. Thirty-one of these are burned and 32 calcined. Seven display cut marks and 1 is rodent ganwed. None of these bird bones were fashioned into bone points. </w:t>
      </w:r>
    </w:p>
    <w:p w:rsidR="00C6148D" w:rsidRPr="00C27C4C" w:rsidRDefault="00C6148D" w:rsidP="00C6148D">
      <w:pPr>
        <w:spacing w:line="480" w:lineRule="auto"/>
        <w:ind w:firstLine="720"/>
      </w:pPr>
      <w:r>
        <w:t>Only three species were identified and two of these are only represented by a single element. The American coot (</w:t>
      </w:r>
      <w:r>
        <w:rPr>
          <w:i/>
        </w:rPr>
        <w:t>Fulica americana</w:t>
      </w:r>
      <w:r>
        <w:t>) specimen is a right tarsometatarsus and the c.f. robin (</w:t>
      </w:r>
      <w:r>
        <w:rPr>
          <w:i/>
        </w:rPr>
        <w:t>Turdus migratorius</w:t>
      </w:r>
      <w:r>
        <w:t xml:space="preserve">) is a proximal humerus. Neither of these is culturally modified. Wild turkey is represented by 13 elements, which represent the whole bird (i.e. wing elements, manubrium, and several leg bones). Three of the turkey elements are burned. One tibiotarsus displays a buildup of medullary bone. This is a calcium deposit that builds up in female bird bones prior to spring egg laying </w:t>
      </w:r>
      <w:r>
        <w:fldChar w:fldCharType="begin"/>
      </w:r>
      <w:r>
        <w:instrText xml:space="preserve"> ADDIN EN.CITE &lt;EndNote&gt;&lt;Cite&gt;&lt;Author&gt;Rick&lt;/Author&gt;&lt;Year&gt;1975&lt;/Year&gt;&lt;RecNum&gt;168&lt;/RecNum&gt;&lt;DisplayText&gt;(Rick 1975)&lt;/DisplayText&gt;&lt;record&gt;&lt;rec-number&gt;168&lt;/rec-number&gt;&lt;foreign-keys&gt;&lt;key app="EN" db-id="pvwvsv0fktzv2weszt4xp95xstrzawadapa0"&gt;168&lt;/key&gt;&lt;/foreign-keys&gt;&lt;ref-type name="Journal Article"&gt;17&lt;/ref-type&gt;&lt;contributors&gt;&lt;authors&gt;&lt;author&gt;Rick, Anne Meachem &lt;/author&gt;&lt;/authors&gt;&lt;/contributors&gt;&lt;titles&gt;&lt;title&gt;Bird Medullary Bone: A Seaonsal Dating Technique for Faunal Analysts. &lt;/title&gt;&lt;secondary-title&gt;Canadian Archaeological Association &lt;/secondary-title&gt;&lt;/titles&gt;&lt;periodical&gt;&lt;full-title&gt;Canadian Archaeological Association&lt;/full-title&gt;&lt;/periodical&gt;&lt;pages&gt;183-190&lt;/pages&gt;&lt;volume&gt;7&lt;/volume&gt;&lt;dates&gt;&lt;year&gt;1975&lt;/year&gt;&lt;/dates&gt;&lt;urls&gt;&lt;/urls&gt;&lt;/record&gt;&lt;/Cite&gt;&lt;/EndNote&gt;</w:instrText>
      </w:r>
      <w:r>
        <w:fldChar w:fldCharType="separate"/>
      </w:r>
      <w:r>
        <w:rPr>
          <w:noProof/>
        </w:rPr>
        <w:t>(</w:t>
      </w:r>
      <w:hyperlink w:anchor="_ENREF_74" w:tooltip="Rick, 1975 #168" w:history="1">
        <w:r w:rsidR="00B15FB2">
          <w:rPr>
            <w:noProof/>
          </w:rPr>
          <w:t>Rick 1975</w:t>
        </w:r>
      </w:hyperlink>
      <w:r>
        <w:rPr>
          <w:noProof/>
        </w:rPr>
        <w:t>)</w:t>
      </w:r>
      <w:r>
        <w:fldChar w:fldCharType="end"/>
      </w:r>
      <w:r>
        <w:t xml:space="preserve"> (i.e. indicating a winter/early spring death) </w:t>
      </w:r>
      <w:r>
        <w:fldChar w:fldCharType="begin"/>
      </w:r>
      <w:r>
        <w:instrText xml:space="preserve"> ADDIN EN.CITE &lt;EndNote&gt;&lt;Cite&gt;&lt;Author&gt;Monks&lt;/Author&gt;&lt;Year&gt;1981&lt;/Year&gt;&lt;RecNum&gt;169&lt;/RecNum&gt;&lt;DisplayText&gt;(Monks 1981)&lt;/DisplayText&gt;&lt;record&gt;&lt;rec-number&gt;169&lt;/rec-number&gt;&lt;foreign-keys&gt;&lt;key app="EN" db-id="pvwvsv0fktzv2weszt4xp95xstrzawadapa0"&gt;169&lt;/key&gt;&lt;/foreign-keys&gt;&lt;ref-type name="Book Section"&gt;5&lt;/ref-type&gt;&lt;contributors&gt;&lt;authors&gt;&lt;author&gt;Monks, G.G. &lt;/author&gt;&lt;/authors&gt;&lt;secondary-authors&gt;&lt;author&gt;M.B. Schiffer&lt;/author&gt;&lt;/secondary-authors&gt;&lt;/contributors&gt;&lt;titles&gt;&lt;title&gt;Seasonality Studies.&lt;/title&gt;&lt;secondary-title&gt;Advances in Archaeological Method and Theory&lt;/secondary-title&gt;&lt;/titles&gt;&lt;periodical&gt;&lt;full-title&gt;Advances in Archaeological Method and Theory&lt;/full-title&gt;&lt;/periodical&gt;&lt;pages&gt;177-240&lt;/pages&gt;&lt;volume&gt;4&lt;/volume&gt;&lt;dates&gt;&lt;year&gt;1981&lt;/year&gt;&lt;/dates&gt;&lt;pub-location&gt;New York&lt;/pub-location&gt;&lt;publisher&gt;Acadmic Press&lt;/publisher&gt;&lt;urls&gt;&lt;/urls&gt;&lt;/record&gt;&lt;/Cite&gt;&lt;/EndNote&gt;</w:instrText>
      </w:r>
      <w:r>
        <w:fldChar w:fldCharType="separate"/>
      </w:r>
      <w:r>
        <w:rPr>
          <w:noProof/>
        </w:rPr>
        <w:t>(</w:t>
      </w:r>
      <w:hyperlink w:anchor="_ENREF_61" w:tooltip="Monks, 1981 #169" w:history="1">
        <w:r w:rsidR="00B15FB2">
          <w:rPr>
            <w:noProof/>
          </w:rPr>
          <w:t>Monks 1981</w:t>
        </w:r>
      </w:hyperlink>
      <w:r>
        <w:rPr>
          <w:noProof/>
        </w:rPr>
        <w:t>)</w:t>
      </w:r>
      <w:r>
        <w:fldChar w:fldCharType="end"/>
      </w:r>
      <w:r>
        <w:t xml:space="preserve"> . The small Anatid element is a proximal humerus which is very similar in morphology to the blue-winged teal. Most of the 11 small Aves elements are long bones and 9 have been heat modified, and one cut. Similarly, the 24 large Aves elements are long bones and 5 are heat modified and 3 bear cut marks. The remaining 160 avian elements are either cranium, long bone or some other unidentifiable fragment. Forty-six of these are heat modified and 3 are cut. </w:t>
      </w:r>
    </w:p>
    <w:p w:rsidR="00C6148D" w:rsidRDefault="00C6148D" w:rsidP="00C6148D">
      <w:pPr>
        <w:spacing w:line="480" w:lineRule="auto"/>
        <w:rPr>
          <w:i/>
        </w:rPr>
      </w:pPr>
      <w:r>
        <w:rPr>
          <w:i/>
        </w:rPr>
        <w:t xml:space="preserve">Reptilia </w:t>
      </w:r>
    </w:p>
    <w:p w:rsidR="00C6148D" w:rsidRPr="00644994" w:rsidRDefault="00C6148D" w:rsidP="00C6148D">
      <w:pPr>
        <w:spacing w:line="480" w:lineRule="auto"/>
      </w:pPr>
      <w:r>
        <w:rPr>
          <w:i/>
        </w:rPr>
        <w:tab/>
      </w:r>
      <w:r>
        <w:t>All but one of the 287 reptilian remains (113.63 grams) is turtle. The one that is not is a cranium fragment from an unidentified lizard (Lacertilia) which is not culturally modified. Pond turtles are represented by 2 eastern painted turtles (</w:t>
      </w:r>
      <w:r>
        <w:rPr>
          <w:i/>
        </w:rPr>
        <w:t>Chrysemys picta</w:t>
      </w:r>
      <w:r>
        <w:t>), 2 musk/mud turtles (Kinosternidae) and 2 slider (</w:t>
      </w:r>
      <w:r>
        <w:rPr>
          <w:i/>
        </w:rPr>
        <w:t>Trachemys scripta</w:t>
      </w:r>
      <w:r>
        <w:t xml:space="preserve">) elements. The eastern box turtle, a land turtle, is the most represented turtle species (n=35) with an MNI of 3 based on 3 right P11 (peripheral shell #11) and 3 right P7. Seven of the eastern box turtle elements were heat modified, none were </w:t>
      </w:r>
      <w:r>
        <w:lastRenderedPageBreak/>
        <w:t xml:space="preserve">cut and one is rodent gnawed. The remaining 245 turtle remains are pieces of carapace and plastron that lack diagnostic features for lower oder taxonomic classifications. Ninety-nine of these are heat modified.  </w:t>
      </w:r>
    </w:p>
    <w:p w:rsidR="00C6148D" w:rsidRDefault="00C6148D" w:rsidP="00C6148D">
      <w:pPr>
        <w:spacing w:line="480" w:lineRule="auto"/>
        <w:rPr>
          <w:i/>
        </w:rPr>
      </w:pPr>
      <w:r>
        <w:rPr>
          <w:i/>
        </w:rPr>
        <w:t xml:space="preserve">Osteichthyes </w:t>
      </w:r>
    </w:p>
    <w:p w:rsidR="00C6148D" w:rsidRPr="00E1782E" w:rsidRDefault="00C6148D" w:rsidP="00C6148D">
      <w:pPr>
        <w:spacing w:line="480" w:lineRule="auto"/>
      </w:pPr>
      <w:r>
        <w:rPr>
          <w:i/>
        </w:rPr>
        <w:tab/>
      </w:r>
      <w:r>
        <w:t xml:space="preserve">Two fish elements identified by the author come from disturbed context. One is a dentary and the other an articular, both sucker fish, Castomidae. The dentary is burned.  </w:t>
      </w:r>
    </w:p>
    <w:p w:rsidR="00C6148D" w:rsidRDefault="00C6148D" w:rsidP="00C6148D">
      <w:pPr>
        <w:spacing w:line="480" w:lineRule="auto"/>
        <w:rPr>
          <w:i/>
        </w:rPr>
      </w:pPr>
      <w:r>
        <w:rPr>
          <w:i/>
        </w:rPr>
        <w:t xml:space="preserve">Invertebrata </w:t>
      </w:r>
    </w:p>
    <w:p w:rsidR="00C6148D" w:rsidRPr="00E1782E" w:rsidRDefault="00C6148D" w:rsidP="00C6148D">
      <w:pPr>
        <w:spacing w:line="480" w:lineRule="auto"/>
      </w:pPr>
      <w:r>
        <w:rPr>
          <w:i/>
        </w:rPr>
        <w:tab/>
      </w:r>
      <w:r>
        <w:t xml:space="preserve">Most of the 76 invertebrate remains are Gastropoda shell fragments (n=37), including both land (n=16) and aquatic snails (n=10). As mentioned above, the land snails could have entered the assemblage naturally. The aquatic snails, however, would have had to have been transported to the site, although they could have been collected from the stream that runs in front of the shelter. Three aquatic snails of particular interest are </w:t>
      </w:r>
      <w:r w:rsidRPr="00105AC3">
        <w:rPr>
          <w:i/>
        </w:rPr>
        <w:t>Leptoxis sp</w:t>
      </w:r>
      <w:r>
        <w:t xml:space="preserve">., a genus not currently found in any of the river drainages near the site (personal communication – Steve Ahlstedt). The fresh-water mussel shell fragments are mostly represented by the nacreous layer of the shell, or the interior portion that tends to flake off. Five pseudocardinal and lateral teeth were identified, but were too fragmentary to make a diagnostic species identification. Mussel shell could not have been collected in the nearby stream, and likely came from up to 10 miles away. </w:t>
      </w:r>
    </w:p>
    <w:p w:rsidR="00C6148D" w:rsidRDefault="00C6148D" w:rsidP="00C6148D">
      <w:pPr>
        <w:spacing w:line="480" w:lineRule="auto"/>
        <w:rPr>
          <w:i/>
        </w:rPr>
      </w:pPr>
      <w:r>
        <w:rPr>
          <w:i/>
        </w:rPr>
        <w:t xml:space="preserve">UID </w:t>
      </w:r>
    </w:p>
    <w:p w:rsidR="00C6148D" w:rsidRDefault="00C6148D" w:rsidP="00C6148D">
      <w:pPr>
        <w:spacing w:line="480" w:lineRule="auto"/>
      </w:pPr>
      <w:r>
        <w:tab/>
        <w:t xml:space="preserve">Finally, 545 remains were too fragmentary to assign to any class. More than half of these are heat modified. </w:t>
      </w:r>
    </w:p>
    <w:p w:rsidR="00C6148D" w:rsidRDefault="00C6148D" w:rsidP="00C6148D">
      <w:pPr>
        <w:spacing w:line="480" w:lineRule="auto"/>
        <w:rPr>
          <w:b/>
        </w:rPr>
      </w:pPr>
      <w:r>
        <w:t xml:space="preserve"> </w:t>
      </w:r>
      <w:r w:rsidRPr="0088550D">
        <w:rPr>
          <w:b/>
        </w:rPr>
        <w:t xml:space="preserve">Woodland Context </w:t>
      </w:r>
    </w:p>
    <w:p w:rsidR="00C6148D" w:rsidRDefault="00C6148D" w:rsidP="00C6148D">
      <w:pPr>
        <w:spacing w:line="480" w:lineRule="auto"/>
      </w:pPr>
      <w:r>
        <w:rPr>
          <w:b/>
        </w:rPr>
        <w:lastRenderedPageBreak/>
        <w:tab/>
      </w:r>
      <w:r>
        <w:t>Woodland context was defined as about a 10-15cm thick layer of grey, ashy sediment. Although this provenience was not evenly distributed throughout the site, as it had received a fair amount of disturbance from modern looting activities, a sizable amount of bone was recovered from this context, n = 1,873 weighing approximately 1,271.52 grams. Mammals are again the most represented taxa (79.7%), followed by reptiles (5.5%), birds (3.3%), invertebrates (2.5%), fish (.05%) and unidentifiable taxa (9.0%) (</w:t>
      </w:r>
      <w:r w:rsidRPr="00E73BAF">
        <w:rPr>
          <w:color w:val="FF0000"/>
        </w:rPr>
        <w:t>see Table 6.</w:t>
      </w:r>
      <w:r>
        <w:rPr>
          <w:color w:val="FF0000"/>
        </w:rPr>
        <w:t>9</w:t>
      </w:r>
      <w:r>
        <w:t>). Modifications to faunal remains recovered from disturbed context include 496 burned elements and 577 calcined elements. Twenty bear cut marks. Four are rodent gnawed and 5 canid gnawed. Of the 270 large mammals sampled for root etching and weathering, 28% are root etched and 32% are weathered. The proveniences and weight of bone per provenience is presented in Appendix 1.</w:t>
      </w:r>
    </w:p>
    <w:p w:rsidR="00C6148D" w:rsidRDefault="00C6148D" w:rsidP="00C6148D">
      <w:pPr>
        <w:spacing w:line="480" w:lineRule="auto"/>
        <w:rPr>
          <w:i/>
        </w:rPr>
      </w:pPr>
      <w:r w:rsidRPr="00EF5DCA">
        <w:rPr>
          <w:i/>
        </w:rPr>
        <w:t xml:space="preserve">Small </w:t>
      </w:r>
      <w:r>
        <w:rPr>
          <w:i/>
        </w:rPr>
        <w:t xml:space="preserve">and Small-Medium </w:t>
      </w:r>
      <w:r w:rsidRPr="00EF5DCA">
        <w:rPr>
          <w:i/>
        </w:rPr>
        <w:t xml:space="preserve">Mammal </w:t>
      </w:r>
    </w:p>
    <w:p w:rsidR="00C6148D" w:rsidRDefault="00C6148D" w:rsidP="00C6148D">
      <w:pPr>
        <w:spacing w:line="480" w:lineRule="auto"/>
      </w:pPr>
      <w:r>
        <w:rPr>
          <w:i/>
        </w:rPr>
        <w:tab/>
      </w:r>
      <w:r>
        <w:t xml:space="preserve">Small mammals are a very sparse from Woodland context (n=7_ and only one species, squirrel, is represented. As mentioned above, these squirrels are likely fox squirrels, which make their habitation in dense, mature forests. Squirrels can be encountered year-round. The other small mammal element is an unmodified caudal vertebra. Only 3 of the small mammal specimens are heat modified; no other cultural modifications were observed on these remains. The only small-medium sized mammal is a burned rib shaft fragment.  </w:t>
      </w:r>
    </w:p>
    <w:p w:rsidR="00C6148D" w:rsidRPr="00BE54AA" w:rsidRDefault="00C6148D" w:rsidP="00C6148D">
      <w:pPr>
        <w:spacing w:line="480" w:lineRule="auto"/>
        <w:rPr>
          <w:i/>
        </w:rPr>
      </w:pPr>
      <w:r>
        <w:rPr>
          <w:i/>
        </w:rPr>
        <w:t xml:space="preserve">Medium and Medium-Large Mammal </w:t>
      </w:r>
    </w:p>
    <w:p w:rsidR="00C6148D" w:rsidRDefault="00C6148D" w:rsidP="00C6148D">
      <w:pPr>
        <w:spacing w:line="480" w:lineRule="auto"/>
      </w:pPr>
      <w:r>
        <w:rPr>
          <w:i/>
        </w:rPr>
        <w:tab/>
      </w:r>
      <w:r>
        <w:t xml:space="preserve">Medium mammals are represented by 11 elements. Five are heat modified, and no other modifications were observed on these remains. Only one species was identified as medium mammal, raccoon, by one canine and one ulna, the latter burned. A complete burned, juvenile calcaneus of a canid was also recovered. It is either fox or domestic dog, however, no </w:t>
      </w:r>
      <w:r>
        <w:lastRenderedPageBreak/>
        <w:t xml:space="preserve">comparative specimen for either could be located to match the approximate age this specimen, making differentiation between these species impossible for the time being. Raccoon and fox (if the specimen is fox) can be encountered year-round. Raccoon can be encountered in moist forested areas, and are nocturnal, although are sometimes active during the day </w:t>
      </w:r>
      <w:r>
        <w:fldChar w:fldCharType="begin"/>
      </w:r>
      <w:r>
        <w:instrText xml:space="preserve"> ADDIN EN.CITE &lt;EndNote&gt;&lt;Cite&gt;&lt;Author&gt;Linzey&lt;/Author&gt;&lt;Year&gt;1995&lt;/Year&gt;&lt;RecNum&gt;165&lt;/RecNum&gt;&lt;DisplayText&gt;(Linzey 1995)&lt;/DisplayText&gt;&lt;record&gt;&lt;rec-number&gt;165&lt;/rec-number&gt;&lt;foreign-keys&gt;&lt;key app="EN" db-id="pvwvsv0fktzv2weszt4xp95xstrzawadapa0"&gt;165&lt;/key&gt;&lt;/foreign-keys&gt;&lt;ref-type name="Book"&gt;6&lt;/ref-type&gt;&lt;contributors&gt;&lt;authors&gt;&lt;author&gt;Donald W. Linzey&lt;/author&gt;&lt;/authors&gt;&lt;/contributors&gt;&lt;titles&gt;&lt;title&gt;Mammals of Great Smoky Mountains National Park&lt;/title&gt;&lt;/titles&gt;&lt;dates&gt;&lt;year&gt;1995&lt;/year&gt;&lt;/dates&gt;&lt;pub-location&gt;Blacksburg, Virginia&lt;/pub-location&gt;&lt;publisher&gt;The McDonald &amp;amp; Woodward Publishing Company&lt;/publisher&gt;&lt;urls&gt;&lt;/urls&gt;&lt;/record&gt;&lt;/Cite&gt;&lt;/EndNote&gt;</w:instrText>
      </w:r>
      <w:r>
        <w:fldChar w:fldCharType="separate"/>
      </w:r>
      <w:r>
        <w:rPr>
          <w:noProof/>
        </w:rPr>
        <w:t>(</w:t>
      </w:r>
      <w:hyperlink w:anchor="_ENREF_55" w:tooltip="Linzey, 1995 #165" w:history="1">
        <w:r w:rsidR="00B15FB2">
          <w:rPr>
            <w:noProof/>
          </w:rPr>
          <w:t>Linzey 1995</w:t>
        </w:r>
      </w:hyperlink>
      <w:r>
        <w:rPr>
          <w:noProof/>
        </w:rPr>
        <w:t>)</w:t>
      </w:r>
      <w:r>
        <w:fldChar w:fldCharType="end"/>
      </w:r>
      <w:r>
        <w:t xml:space="preserve">. Sixty-three medium-large mammals were identified. Thirty-three of these are heat modified, 2 are cut and 1 is rodent gnawed. The carnivore specimen is a fragmented tooth crown. The remaining medium mammal specimens are mostly long bone, cranium, and rib fragments that could not be assigned to any family, genus or species.  </w:t>
      </w:r>
    </w:p>
    <w:p w:rsidR="00C6148D" w:rsidRDefault="00C6148D" w:rsidP="00C6148D">
      <w:pPr>
        <w:spacing w:line="480" w:lineRule="auto"/>
        <w:rPr>
          <w:i/>
        </w:rPr>
      </w:pPr>
      <w:r>
        <w:rPr>
          <w:i/>
        </w:rPr>
        <w:t xml:space="preserve">Large Mammal </w:t>
      </w:r>
    </w:p>
    <w:p w:rsidR="00C6148D" w:rsidRDefault="00C6148D" w:rsidP="00C6148D">
      <w:pPr>
        <w:spacing w:line="480" w:lineRule="auto"/>
      </w:pPr>
      <w:r>
        <w:rPr>
          <w:i/>
        </w:rPr>
        <w:tab/>
      </w:r>
      <w:r>
        <w:t>Large mammals are represented by 178 specimens weighing approximately 696.5 grams. Eighty-six of these are heat modified, 18 are cut, 3 are rodent gnawed and 4 are carnivore gnawed. Four had been worked into bone points. White-tailed deer and black bear were the only identified large mammals from Woodland context, and white-tailed deer are far more numerous than black bear. Exploring the distribution of large mammal remains is incredibly important to this thesis research. As outlined in the introduction, large mammals present transport dilemmas to any hunter who is not near the ultimate place of consumption (i.e. a base camp). Looking first at white-tailed deer remains, the entire carcass is represented by at least one element in the Woodland context; however, head parts and lower leg bones are by far the most common deer elements represented (see F</w:t>
      </w:r>
      <w:r w:rsidRPr="0068779A">
        <w:rPr>
          <w:color w:val="FF0000"/>
        </w:rPr>
        <w:t>igure 6.</w:t>
      </w:r>
      <w:r>
        <w:rPr>
          <w:color w:val="FF0000"/>
        </w:rPr>
        <w:t>10</w:t>
      </w:r>
      <w:r>
        <w:t xml:space="preserve">). Not included in Figure 6.10 are an additional 24 metapodia shaft fragments and 13 phalanges (which cannot be assigned fore or hind limb), as well as 14 antler fragments – 5 tines and 9 beam fragments. Antler were not included because shed antler can be collected during foraging activities and therefore could represent both hunting </w:t>
      </w:r>
      <w:r>
        <w:lastRenderedPageBreak/>
        <w:t xml:space="preserve">transport and foraging transport. They also serve other cultural functions not related to subsistence, such as for making stone tools. </w:t>
      </w:r>
    </w:p>
    <w:p w:rsidR="00C6148D" w:rsidRDefault="00C6148D" w:rsidP="00C6148D">
      <w:pPr>
        <w:spacing w:line="480" w:lineRule="auto"/>
      </w:pPr>
      <w:r>
        <w:tab/>
        <w:t xml:space="preserve">Most of these white-tailed deer elements are heavily fragmented; especially the metapodia and phalanges. Forty of the 136 white-tailed deer elements are heat modified and 14 are cut. This includes two hacked antler beams, a cut astragalus, a humerus with a series of cut marks on the distal end, 3 mandibles with cuts near the ramus, 5 metapodia all with skinning marks, and 2 scapula, one hacked and one cut. Although cut marks are highly variable and are not always produced during butchering activities, this sample of deer provides evidence for prehistoric disarticulation and skinning behavior, indicating that forelimbs were separated from the shoulder, lower leg bones were separated from upper leg bones quite frequently, and the tongue and/or jaw was also removed. The implications for this behavior will be discussed in the next chapter. One deer metapodia had been shaped into a bone point, but remained unfinished with a blunt tip and no use-wear. Also of note, 4 white-tailed deer mandibles were recovered from the Woodland layer of Test Unit 31 in the back of the shelter – three lefts and 1 right. One of these, is cut on the interior surface. The only other clustering of deer bones for this level were 3 segments of the same antler beam found in TU23.  Also, four deer elements were noted as robust, but were not measured for size estimation. They include two mandible, an occipital condyle and a distal metapodial. </w:t>
      </w:r>
    </w:p>
    <w:p w:rsidR="00C6148D" w:rsidRDefault="00C6148D" w:rsidP="00C6148D">
      <w:pPr>
        <w:spacing w:line="480" w:lineRule="auto"/>
        <w:ind w:firstLine="720"/>
      </w:pPr>
      <w:r>
        <w:t xml:space="preserve">To obtain a more reliable MNI calculation as well as address seasonality and the age structure of the Woodland deer sample, teeth were examined to calculate age. Ten deer elements were selected, MNI 3 based on the 3 previously mentioned left mandibles. All 10 of these dental related elements came from deer over the age of 3 years. Of the 3 left mandibles, 2 have moderate wear, and one is only lightly worn. A heavily worn M1 suggests that a fourth </w:t>
      </w:r>
      <w:r>
        <w:lastRenderedPageBreak/>
        <w:t xml:space="preserve">individual is represented as well. Only one white-tailed deer post-cranium element represents a juvenile – an unfused metapodia condyle. This represents an individual less than 20 months </w:t>
      </w:r>
      <w:r>
        <w:fldChar w:fldCharType="begin"/>
      </w:r>
      <w:r>
        <w:instrText xml:space="preserve"> ADDIN EN.CITE &lt;EndNote&gt;&lt;Cite&gt;&lt;Author&gt;Purdue&lt;/Author&gt;&lt;Year&gt;1983&lt;/Year&gt;&lt;RecNum&gt;167&lt;/RecNum&gt;&lt;DisplayText&gt;(Purdue 1983)&lt;/DisplayText&gt;&lt;record&gt;&lt;rec-number&gt;167&lt;/rec-number&gt;&lt;foreign-keys&gt;&lt;key app="EN" db-id="pvwvsv0fktzv2weszt4xp95xstrzawadapa0"&gt;167&lt;/key&gt;&lt;/foreign-keys&gt;&lt;ref-type name="Journal Article"&gt;17&lt;/ref-type&gt;&lt;contributors&gt;&lt;authors&gt;&lt;author&gt;James R. Purdue &lt;/author&gt;&lt;/authors&gt;&lt;/contributors&gt;&lt;titles&gt;&lt;title&gt;Epiphyseal Closure in White-Tailed Deer&lt;/title&gt;&lt;secondary-title&gt;The Journal of Wildlife Management&lt;/secondary-title&gt;&lt;/titles&gt;&lt;periodical&gt;&lt;full-title&gt;The Journal of Wildlife Management&lt;/full-title&gt;&lt;/periodical&gt;&lt;pages&gt;1207-1213&lt;/pages&gt;&lt;volume&gt;47&lt;/volume&gt;&lt;number&gt;4&lt;/number&gt;&lt;dates&gt;&lt;year&gt;1983&lt;/year&gt;&lt;/dates&gt;&lt;urls&gt;&lt;/urls&gt;&lt;/record&gt;&lt;/Cite&gt;&lt;/EndNote&gt;</w:instrText>
      </w:r>
      <w:r>
        <w:fldChar w:fldCharType="separate"/>
      </w:r>
      <w:r>
        <w:rPr>
          <w:noProof/>
        </w:rPr>
        <w:t>(</w:t>
      </w:r>
      <w:hyperlink w:anchor="_ENREF_71" w:tooltip="Purdue, 1983 #167" w:history="1">
        <w:r w:rsidR="00B15FB2">
          <w:rPr>
            <w:noProof/>
          </w:rPr>
          <w:t>Purdue 1983</w:t>
        </w:r>
      </w:hyperlink>
      <w:r>
        <w:rPr>
          <w:noProof/>
        </w:rPr>
        <w:t>)</w:t>
      </w:r>
      <w:r>
        <w:fldChar w:fldCharType="end"/>
      </w:r>
      <w:r>
        <w:t xml:space="preserve">. Therefore the MNI for white-tailed deer is 5 when age structure is taken into account. </w:t>
      </w:r>
    </w:p>
    <w:p w:rsidR="00C6148D" w:rsidRDefault="00C6148D" w:rsidP="00C6148D">
      <w:pPr>
        <w:spacing w:line="480" w:lineRule="auto"/>
      </w:pPr>
      <w:r>
        <w:tab/>
        <w:t xml:space="preserve">Black bear are only represented by 3 specimens in the Woodland context – 2 teeth and a calcined rib fragment. One of the teeth is a very large canine root with a natural hole at the base, at first believe to be a pendent; however, analysis under 40x magnification revealed no striations on the interior surface indicating use. Interestingly, black bear are only represented by the axial skeleton for the Woodland context, however this is likely affected by low sample size. </w:t>
      </w:r>
    </w:p>
    <w:p w:rsidR="00C6148D" w:rsidRDefault="00C6148D" w:rsidP="00C6148D">
      <w:pPr>
        <w:spacing w:line="480" w:lineRule="auto"/>
      </w:pPr>
      <w:r>
        <w:tab/>
        <w:t xml:space="preserve">The remaining large mammal remains are mostly long bone fragments (n=90) and one thoracic vertebra. Three of these remains are bone awls, interestingly all found in the same test unit in two adjoining levels. (TU22, L11 and L12). One is likely unfinished, the tip is flat and no use-wear was detected. Another is highly formal and symmetrical. It bears twisting use-wear and the tip is dulled. The last is a medial section of burned bone awl with twisting use-wear present. Forty-five of the 121 large mammal bones are heat modified and only 4 are cut. Again, most of these are long fragments. </w:t>
      </w:r>
    </w:p>
    <w:p w:rsidR="00C6148D" w:rsidRDefault="00C6148D" w:rsidP="00C6148D">
      <w:pPr>
        <w:spacing w:line="480" w:lineRule="auto"/>
        <w:rPr>
          <w:i/>
        </w:rPr>
      </w:pPr>
      <w:r>
        <w:rPr>
          <w:i/>
        </w:rPr>
        <w:t xml:space="preserve">UID Mammal </w:t>
      </w:r>
    </w:p>
    <w:p w:rsidR="00C6148D" w:rsidRDefault="00C6148D" w:rsidP="00C6148D">
      <w:pPr>
        <w:spacing w:line="480" w:lineRule="auto"/>
      </w:pPr>
      <w:r>
        <w:rPr>
          <w:i/>
        </w:rPr>
        <w:tab/>
      </w:r>
      <w:r>
        <w:t xml:space="preserve">Most of the faunal remains recovered from Woodland context are unidentifiable mammal elements (n=1,151). Seventy percent of these remains are heated modified, mostly due to calcination. None of these remains bear cut marks, although 3 are bone awls. This includes the medial section of heavily utilized in a twisting motion bone awl, a dulled tip of a bone awl also used in a twisting motion and another with twisting motion. The first two were located in TU23, </w:t>
      </w:r>
      <w:r>
        <w:lastRenderedPageBreak/>
        <w:t xml:space="preserve">very close to where  the three other large mammal bone awls were recovered. Given that 5 of the 6 bone awls were found near each other in this Woodland layer could suggest an activity area. </w:t>
      </w:r>
    </w:p>
    <w:p w:rsidR="00C6148D" w:rsidRDefault="00C6148D" w:rsidP="00C6148D">
      <w:pPr>
        <w:spacing w:line="480" w:lineRule="auto"/>
        <w:rPr>
          <w:i/>
        </w:rPr>
      </w:pPr>
      <w:r>
        <w:rPr>
          <w:i/>
        </w:rPr>
        <w:t xml:space="preserve">Aves </w:t>
      </w:r>
    </w:p>
    <w:p w:rsidR="00C6148D" w:rsidRPr="00D57144" w:rsidRDefault="00C6148D" w:rsidP="00C6148D">
      <w:pPr>
        <w:spacing w:line="480" w:lineRule="auto"/>
      </w:pPr>
      <w:r>
        <w:tab/>
        <w:t>Sixty-two avian remains were recovered from the Woodland layer. Nineteen are heat modified and one has been worked into a bone awl. Only 1 species was identified, wild turkey (</w:t>
      </w:r>
      <w:r>
        <w:rPr>
          <w:i/>
        </w:rPr>
        <w:t>Meleagris gallopavo</w:t>
      </w:r>
      <w:r>
        <w:t xml:space="preserve">), by a single phalanx (foot not wing), a humerus and a radius. The humerus was burned. Wild turkeys are forest birds and are commonly encountered on the plateau today. The 6 large Aves bones could be from turkey, goose, or some other large bird, such as sandhill crane. None of these were culturally modified.  Passerine and small Aves are represented by a few fragmentary long bones, two are heat modified. Two of these could be grouse and one is a small Anatid. Species, genus and even family level identifications are difficult for bird bones that do not possess epiphyses. Two of these small Aves are heat modified. The remaining avian remains are splinters of long bones that reveal the thin walled cortical bone and open, airy trabecular bone.  Sixteen of these are heat modified. None of the bird bones bear butchering marks. One large Aves bone was fashioned into a bone point and used in a twisting motion. It was not recovered nearby the 5 others that seemed to be clustered in the north-central portion of the shelter. </w:t>
      </w:r>
    </w:p>
    <w:p w:rsidR="00C6148D" w:rsidRDefault="00C6148D" w:rsidP="00C6148D">
      <w:pPr>
        <w:spacing w:line="480" w:lineRule="auto"/>
        <w:rPr>
          <w:i/>
        </w:rPr>
      </w:pPr>
      <w:r>
        <w:rPr>
          <w:i/>
        </w:rPr>
        <w:t xml:space="preserve">Reptiles </w:t>
      </w:r>
    </w:p>
    <w:p w:rsidR="00C6148D" w:rsidRPr="00ED4613" w:rsidRDefault="00C6148D" w:rsidP="00C6148D">
      <w:pPr>
        <w:spacing w:line="480" w:lineRule="auto"/>
        <w:ind w:firstLine="720"/>
      </w:pPr>
      <w:r>
        <w:t xml:space="preserve">Reptiles are represented by 104 specimens weighing approximately 43.83 grams. Thirty-one are heat modified. All but 1 is turtle. As can be seen in Table 6.6, three species of turtle are represented, and are mostly eastern box turtle. The painted turtle and map turtle are both pond turtle and both of these are heat modified. The eastern box turtle is represented by 12 specimens, </w:t>
      </w:r>
      <w:r>
        <w:lastRenderedPageBreak/>
        <w:t xml:space="preserve">only 1 of which is burned. The remaining 89 turtle remains are both carapace and plastron fragments and 36 are heat modified. None of the turtle shell appeared worked. The only non-turtle element recovered from this context is another unmodified lizard cranium fragment. </w:t>
      </w:r>
    </w:p>
    <w:p w:rsidR="00C6148D" w:rsidRDefault="00C6148D" w:rsidP="00C6148D">
      <w:pPr>
        <w:spacing w:line="480" w:lineRule="auto"/>
        <w:rPr>
          <w:i/>
        </w:rPr>
      </w:pPr>
      <w:r>
        <w:rPr>
          <w:i/>
        </w:rPr>
        <w:t xml:space="preserve">Invertebrate </w:t>
      </w:r>
    </w:p>
    <w:p w:rsidR="00C6148D" w:rsidRPr="00E02E68" w:rsidRDefault="00C6148D" w:rsidP="00C6148D">
      <w:pPr>
        <w:spacing w:line="480" w:lineRule="auto"/>
      </w:pPr>
      <w:r>
        <w:rPr>
          <w:i/>
        </w:rPr>
        <w:tab/>
      </w:r>
      <w:r>
        <w:t xml:space="preserve">The 46 invertebrate remains, weighing approximately 14.82 grams, are representative of several taxa. Gastropods are quite numerous, 5 of which are aquatic snails, 5 land snails and 12 unidentifiable shell fragments. One of the aquatic snail fragments appears to have been worked. One crawfish claw was also recovered. This specimen could be modern, crawfish are known to burrow, however this distinction for this specimen could not be made, although it is unlikely that such a fragile element would survive for a very long period of time in archaeological context. Fresh-water mussels are represented by 23 specimens, and include two that could be identified to the genus level, </w:t>
      </w:r>
      <w:r w:rsidRPr="006F47D8">
        <w:rPr>
          <w:i/>
        </w:rPr>
        <w:t>Alasmidonata sp</w:t>
      </w:r>
      <w:r>
        <w:t xml:space="preserve">. and </w:t>
      </w:r>
      <w:r w:rsidRPr="006F47D8">
        <w:rPr>
          <w:i/>
        </w:rPr>
        <w:t>Lampsilis sp</w:t>
      </w:r>
      <w:r>
        <w:t xml:space="preserve">., both of which can be found in rivers on the Upper Cumberland Plateau today </w:t>
      </w:r>
      <w:r>
        <w:fldChar w:fldCharType="begin"/>
      </w:r>
      <w:r>
        <w:instrText xml:space="preserve"> ADDIN EN.CITE &lt;EndNote&gt;&lt;Cite&gt;&lt;Author&gt;Parmalee&lt;/Author&gt;&lt;Year&gt;1998&lt;/Year&gt;&lt;RecNum&gt;170&lt;/RecNum&gt;&lt;DisplayText&gt;(Parmalee and Bogan 1998)&lt;/DisplayText&gt;&lt;record&gt;&lt;rec-number&gt;170&lt;/rec-number&gt;&lt;foreign-keys&gt;&lt;key app="EN" db-id="pvwvsv0fktzv2weszt4xp95xstrzawadapa0"&gt;170&lt;/key&gt;&lt;/foreign-keys&gt;&lt;ref-type name="Book"&gt;6&lt;/ref-type&gt;&lt;contributors&gt;&lt;authors&gt;&lt;author&gt;Parmalee, Paul W.&lt;/author&gt;&lt;author&gt;Bogan, Arthur E.&lt;/author&gt;&lt;/authors&gt;&lt;/contributors&gt;&lt;titles&gt;&lt;title&gt;The Freshwater Mussels of Tennessee.&lt;/title&gt;&lt;/titles&gt;&lt;dates&gt;&lt;year&gt;1998&lt;/year&gt;&lt;/dates&gt;&lt;pub-location&gt;Knoxville&lt;/pub-location&gt;&lt;publisher&gt;University of Tennessee Press &lt;/publisher&gt;&lt;urls&gt;&lt;/urls&gt;&lt;/record&gt;&lt;/Cite&gt;&lt;/EndNote&gt;</w:instrText>
      </w:r>
      <w:r>
        <w:fldChar w:fldCharType="separate"/>
      </w:r>
      <w:r>
        <w:rPr>
          <w:noProof/>
        </w:rPr>
        <w:t>(</w:t>
      </w:r>
      <w:hyperlink w:anchor="_ENREF_68" w:tooltip="Parmalee, 1998 #170" w:history="1">
        <w:r w:rsidR="00B15FB2">
          <w:rPr>
            <w:noProof/>
          </w:rPr>
          <w:t>Parmalee and Bogan 1998</w:t>
        </w:r>
      </w:hyperlink>
      <w:r>
        <w:rPr>
          <w:noProof/>
        </w:rPr>
        <w:t>)</w:t>
      </w:r>
      <w:r>
        <w:fldChar w:fldCharType="end"/>
      </w:r>
      <w:r>
        <w:t xml:space="preserve">.  The other 21 mussel shell fragments are mostly the nacreous layer flakes, however, 2 pseudocardinal teeth and 2 lateral teeth were recognized, but were too fragmentary to obtain family or genus identification. These mussel shells are not available very near the shelter, and likely would have had to have been collected some distance from the site, approximately 10 miles. </w:t>
      </w:r>
    </w:p>
    <w:p w:rsidR="00C6148D" w:rsidRPr="00563E98" w:rsidRDefault="00C6148D" w:rsidP="00C6148D">
      <w:pPr>
        <w:spacing w:line="480" w:lineRule="auto"/>
        <w:rPr>
          <w:i/>
        </w:rPr>
      </w:pPr>
      <w:r>
        <w:rPr>
          <w:i/>
        </w:rPr>
        <w:t xml:space="preserve">UID </w:t>
      </w:r>
    </w:p>
    <w:p w:rsidR="00C6148D" w:rsidRPr="000F7F0C" w:rsidRDefault="00C6148D" w:rsidP="00C6148D">
      <w:pPr>
        <w:spacing w:line="480" w:lineRule="auto"/>
      </w:pPr>
      <w:r>
        <w:t xml:space="preserve"> </w:t>
      </w:r>
      <w:r>
        <w:tab/>
        <w:t xml:space="preserve">One-hundred and sixty-eight elements weighing approximately 25.0 grams were too fragmentary to be identified. Eighty of these are heat modified and most are very small fragments of bone. </w:t>
      </w:r>
    </w:p>
    <w:p w:rsidR="00C6148D" w:rsidRDefault="00C6148D" w:rsidP="00C6148D">
      <w:pPr>
        <w:spacing w:line="480" w:lineRule="auto"/>
        <w:rPr>
          <w:b/>
        </w:rPr>
      </w:pPr>
      <w:r>
        <w:rPr>
          <w:b/>
        </w:rPr>
        <w:lastRenderedPageBreak/>
        <w:t>Woodland/Archaic Context</w:t>
      </w:r>
    </w:p>
    <w:p w:rsidR="00C6148D" w:rsidRPr="00612EC2" w:rsidRDefault="00C6148D" w:rsidP="00C6148D">
      <w:pPr>
        <w:spacing w:line="480" w:lineRule="auto"/>
      </w:pPr>
      <w:r>
        <w:rPr>
          <w:b/>
        </w:rPr>
        <w:tab/>
      </w:r>
      <w:r>
        <w:t>Woodland/Archaic context is utilized here for levels that did not obviously belong to either stratum. Only 373 faunal remains were recovered from this context, weighing approximately 244.87 grams. Ninety-seven of these are burned, 119 calcined, 8 cut and 1 carnivore gnawed</w:t>
      </w:r>
      <w:r>
        <w:rPr>
          <w:b/>
        </w:rPr>
        <w:t xml:space="preserve">. </w:t>
      </w:r>
      <w:r>
        <w:t xml:space="preserve">A taxa list for this context is presented in </w:t>
      </w:r>
      <w:r w:rsidRPr="00612EC2">
        <w:rPr>
          <w:color w:val="FF0000"/>
        </w:rPr>
        <w:t>Table 6.1</w:t>
      </w:r>
      <w:r>
        <w:rPr>
          <w:color w:val="FF0000"/>
        </w:rPr>
        <w:t>1</w:t>
      </w:r>
      <w:r>
        <w:t xml:space="preserve">, and is discussed only briefly here. </w:t>
      </w:r>
    </w:p>
    <w:p w:rsidR="00C6148D" w:rsidRDefault="00C6148D" w:rsidP="00C6148D">
      <w:pPr>
        <w:spacing w:line="480" w:lineRule="auto"/>
        <w:rPr>
          <w:i/>
        </w:rPr>
      </w:pPr>
      <w:r>
        <w:rPr>
          <w:i/>
        </w:rPr>
        <w:t xml:space="preserve">Small Mammalia </w:t>
      </w:r>
    </w:p>
    <w:p w:rsidR="00C6148D" w:rsidRDefault="00C6148D" w:rsidP="00C6148D">
      <w:pPr>
        <w:spacing w:line="480" w:lineRule="auto"/>
      </w:pPr>
      <w:r>
        <w:rPr>
          <w:i/>
        </w:rPr>
        <w:tab/>
      </w:r>
      <w:r>
        <w:t xml:space="preserve">Three small mammal remains were recovered from this mixed context and included 2 squirrels – represented by a right ulna and a left radius. The other small mammal element is a cranium fragment. All three have been heat modified. </w:t>
      </w:r>
    </w:p>
    <w:p w:rsidR="00C6148D" w:rsidRDefault="00C6148D" w:rsidP="00C6148D">
      <w:pPr>
        <w:spacing w:line="480" w:lineRule="auto"/>
        <w:rPr>
          <w:i/>
        </w:rPr>
      </w:pPr>
      <w:r>
        <w:rPr>
          <w:i/>
        </w:rPr>
        <w:t xml:space="preserve">Medium Mammal, Medium-Large Mammal </w:t>
      </w:r>
    </w:p>
    <w:p w:rsidR="00C6148D" w:rsidRDefault="00C6148D" w:rsidP="00C6148D">
      <w:pPr>
        <w:spacing w:line="480" w:lineRule="auto"/>
      </w:pPr>
      <w:r>
        <w:rPr>
          <w:i/>
        </w:rPr>
        <w:tab/>
      </w:r>
      <w:r>
        <w:t xml:space="preserve">Of the four medium and medium-large mammal elements, only 1 was not represented in either disturbed or Woodland context, the beaver. This specimen came from an area where Woodland and Archaic sediments were difficult to distinguish, therefore it is likely Woodland in origin. The specimen is a complete mandible only lacking an m3 and the incisor. It bears no cultural modifications nor rodent or carnivore gnawing. The other 3 medium and medium-large mammal elements are all associated with the cranium, including a dog or wolf occipital, a raccoon maxilla and a fragment of a medium-large mammal mandible, which is also the only burned specimen of this group. </w:t>
      </w:r>
    </w:p>
    <w:p w:rsidR="00C6148D" w:rsidRDefault="00C6148D" w:rsidP="00C6148D">
      <w:pPr>
        <w:spacing w:line="480" w:lineRule="auto"/>
        <w:rPr>
          <w:i/>
        </w:rPr>
      </w:pPr>
      <w:r>
        <w:rPr>
          <w:i/>
        </w:rPr>
        <w:t xml:space="preserve">Large Mammals and UID Mammals </w:t>
      </w:r>
    </w:p>
    <w:p w:rsidR="00C6148D" w:rsidRDefault="00C6148D" w:rsidP="00C6148D">
      <w:pPr>
        <w:spacing w:line="480" w:lineRule="auto"/>
      </w:pPr>
      <w:r>
        <w:rPr>
          <w:i/>
        </w:rPr>
        <w:lastRenderedPageBreak/>
        <w:tab/>
      </w:r>
      <w:r>
        <w:t xml:space="preserve">Again, large mammals are mostly unidentifiable large mammal long bones. Given that this is mixed context, no anatomical distribution of deer elements is depicted, however the trend toward head parts and lower leg bones continues, although 1 scapula, 2 ribs, and 1 thoracic vertebra were recovered. In total, 18 of the 65 large mammal remains are heat modified, 6 are cut, and 1 is carnivore gnawed. Test Units 30 and 31 are already not included here, therefore 34 of the total 65 large mammals elements are root etched and 12 are weathered. </w:t>
      </w:r>
    </w:p>
    <w:p w:rsidR="00C6148D" w:rsidRDefault="00C6148D" w:rsidP="00C6148D">
      <w:pPr>
        <w:spacing w:line="480" w:lineRule="auto"/>
      </w:pPr>
      <w:r>
        <w:tab/>
        <w:t xml:space="preserve">Two-hundred and forty-six mammalian remains are unidentifiable beyond mammal or to any size class. One-hundred and seventy of these are heat modified. </w:t>
      </w:r>
    </w:p>
    <w:p w:rsidR="00C6148D" w:rsidRDefault="00C6148D" w:rsidP="00C6148D">
      <w:pPr>
        <w:spacing w:line="480" w:lineRule="auto"/>
        <w:rPr>
          <w:i/>
        </w:rPr>
      </w:pPr>
      <w:r>
        <w:rPr>
          <w:i/>
        </w:rPr>
        <w:t xml:space="preserve">Aves </w:t>
      </w:r>
    </w:p>
    <w:p w:rsidR="00C6148D" w:rsidRDefault="00C6148D" w:rsidP="00C6148D">
      <w:pPr>
        <w:spacing w:line="480" w:lineRule="auto"/>
      </w:pPr>
      <w:r>
        <w:tab/>
        <w:t xml:space="preserve">Aves are represented by 19 specimens weighing approximately 3.82 grams. Wild turkey is represented again by a medial phalanx. The only securely identified grouse specimen was recovered from this context, a distal tarsometatrsus that is unmodified. Five of the 9 small Aves elements are calcined, both of the large Aves elements are heat modified as well and 3 of the 6 unidentifiable Aves are burned. </w:t>
      </w:r>
    </w:p>
    <w:p w:rsidR="00C6148D" w:rsidRDefault="00C6148D" w:rsidP="00C6148D">
      <w:pPr>
        <w:spacing w:line="480" w:lineRule="auto"/>
        <w:rPr>
          <w:i/>
        </w:rPr>
      </w:pPr>
      <w:r>
        <w:rPr>
          <w:i/>
        </w:rPr>
        <w:t xml:space="preserve">Reptilia </w:t>
      </w:r>
    </w:p>
    <w:p w:rsidR="00C6148D" w:rsidRDefault="00C6148D" w:rsidP="00C6148D">
      <w:pPr>
        <w:spacing w:line="480" w:lineRule="auto"/>
      </w:pPr>
      <w:r>
        <w:tab/>
        <w:t xml:space="preserve">Turtles are the only reptile represented in the Woodland/Archaic context. Three eastern box turtle elements are all plastron, and given that they were located near each other in the same test unit, they are likely related. The remaining unidentifiable turtle fragments are carapace and plastron, however one pelvis fragment was identified. Twelve of the turtle bones are heat modified and 1 bears a possible cut marks. </w:t>
      </w:r>
    </w:p>
    <w:p w:rsidR="00C6148D" w:rsidRDefault="00C6148D" w:rsidP="00C6148D">
      <w:pPr>
        <w:spacing w:line="480" w:lineRule="auto"/>
      </w:pPr>
      <w:r>
        <w:rPr>
          <w:i/>
        </w:rPr>
        <w:t xml:space="preserve">Invertebrata </w:t>
      </w:r>
      <w:r>
        <w:rPr>
          <w:i/>
        </w:rPr>
        <w:tab/>
      </w:r>
    </w:p>
    <w:p w:rsidR="00C6148D" w:rsidRDefault="00C6148D" w:rsidP="00C6148D">
      <w:pPr>
        <w:spacing w:line="480" w:lineRule="auto"/>
      </w:pPr>
      <w:r>
        <w:lastRenderedPageBreak/>
        <w:tab/>
        <w:t xml:space="preserve">Another gastropoda shell fragment was recovered from this context as well as another flake of the nacreous layer of a fresh water mussel. Neither of these was modified. </w:t>
      </w:r>
    </w:p>
    <w:p w:rsidR="00C6148D" w:rsidRDefault="00C6148D" w:rsidP="00C6148D">
      <w:pPr>
        <w:spacing w:line="480" w:lineRule="auto"/>
        <w:rPr>
          <w:i/>
        </w:rPr>
      </w:pPr>
      <w:r>
        <w:rPr>
          <w:i/>
        </w:rPr>
        <w:t xml:space="preserve">Unidentifiable </w:t>
      </w:r>
    </w:p>
    <w:p w:rsidR="00C6148D" w:rsidRPr="00043A17" w:rsidRDefault="00C6148D" w:rsidP="00C6148D">
      <w:pPr>
        <w:spacing w:line="480" w:lineRule="auto"/>
      </w:pPr>
      <w:r>
        <w:rPr>
          <w:i/>
        </w:rPr>
        <w:tab/>
      </w:r>
      <w:r>
        <w:t xml:space="preserve">Finally, 6 bones fragments were unidentifiable. Two of these were heat modified. </w:t>
      </w:r>
    </w:p>
    <w:p w:rsidR="00C6148D" w:rsidRPr="00F72F4A" w:rsidRDefault="00C6148D" w:rsidP="00C6148D">
      <w:pPr>
        <w:spacing w:line="480" w:lineRule="auto"/>
      </w:pPr>
      <w:r>
        <w:rPr>
          <w:i/>
        </w:rPr>
        <w:tab/>
      </w:r>
    </w:p>
    <w:p w:rsidR="00C6148D" w:rsidRDefault="00C6148D" w:rsidP="00C6148D">
      <w:pPr>
        <w:spacing w:line="480" w:lineRule="auto"/>
        <w:rPr>
          <w:b/>
        </w:rPr>
      </w:pPr>
      <w:r>
        <w:rPr>
          <w:b/>
        </w:rPr>
        <w:t xml:space="preserve">Late Archaic Context </w:t>
      </w:r>
    </w:p>
    <w:p w:rsidR="00C6148D" w:rsidRDefault="00C6148D" w:rsidP="00C6148D">
      <w:pPr>
        <w:spacing w:line="480" w:lineRule="auto"/>
        <w:ind w:firstLine="720"/>
      </w:pPr>
      <w:r>
        <w:t xml:space="preserve">The Late Archaic component of Sachsen Cave Shelter was recognized as special and important during initial and subsequent field excavations; therefore, this context has been subject to most of the analyses and dating carried out for the site. As discussed before, a portion of the faunal remains from this context was sent to Renee Walker for analysis for this paper (and her results are presented in </w:t>
      </w:r>
      <w:r w:rsidRPr="009D7724">
        <w:rPr>
          <w:color w:val="FF0000"/>
        </w:rPr>
        <w:t>Table</w:t>
      </w:r>
      <w:r>
        <w:rPr>
          <w:color w:val="FF0000"/>
        </w:rPr>
        <w:t xml:space="preserve"> 6.3)</w:t>
      </w:r>
      <w:r>
        <w:t xml:space="preserve">. Her results are also incorporated into these discussions of the faunal remains from the Late Archaic context that follows, and are noted throughout. The weight of bone for the proveniences analyze by Walker have also been incorporated in Appendix I and are noted there as well. </w:t>
      </w:r>
    </w:p>
    <w:p w:rsidR="00C6148D" w:rsidRDefault="00C6148D" w:rsidP="00C6148D">
      <w:pPr>
        <w:spacing w:line="480" w:lineRule="auto"/>
        <w:ind w:firstLine="720"/>
      </w:pPr>
      <w:r>
        <w:t xml:space="preserve">A total of 2,174 faunal remains were recovered and analyzed from the Late Archaic midden deposit, including the 737 remains analyzed by Walker, weighing approximately 2172.54 grams. Mammals make up 83.64% of the assemblage, birds 1.96%, reptiles 5.80%, amphibians .1%, fish .06% and invertebrate .68%. Approximately 7.76% of the faunal remains were too fragmentary to assign to any class. A complete taxa list outlining both the results of this analysis and Walker’s analysis are presented in Table </w:t>
      </w:r>
      <w:r w:rsidRPr="00C52D18">
        <w:rPr>
          <w:color w:val="FF0000"/>
        </w:rPr>
        <w:t>6.1</w:t>
      </w:r>
      <w:r>
        <w:rPr>
          <w:color w:val="FF0000"/>
        </w:rPr>
        <w:t>2</w:t>
      </w:r>
      <w:r>
        <w:t xml:space="preserve">. MNI calculations presented in this table are based on the current analysis. Excavated Archaic proveniences account for over 1/3 of </w:t>
      </w:r>
      <w:r>
        <w:lastRenderedPageBreak/>
        <w:t xml:space="preserve">the total proveniences excavated on site, however, faunal remains were generally restricted to the upper most levels of this layer (see Appendix 1). </w:t>
      </w:r>
    </w:p>
    <w:p w:rsidR="00C6148D" w:rsidRDefault="00C6148D" w:rsidP="00C6148D">
      <w:pPr>
        <w:spacing w:line="480" w:lineRule="auto"/>
        <w:ind w:firstLine="720"/>
      </w:pPr>
      <w:r>
        <w:t xml:space="preserve">Modifications other than bone tool manufacture are only presented for the faunal remains analyzed by the author (n=2,368). Heat modifications make up the vast majority of bone modification, 616 burned and 747 calcined. Twenty-five elements display cut marks. Only 2 display rodent gnawing, yet 20 bear evidence of carnivore gnawing. Lastly, this analysis identified 10 bone points from this context and 1 perforated canine. Walker’s analyses identified an additional 6 bone points. Presented below are the results from both this analysis and Walker’s as distinguished by Table 6.12. </w:t>
      </w:r>
    </w:p>
    <w:p w:rsidR="00C6148D" w:rsidRDefault="00C6148D" w:rsidP="00C6148D">
      <w:pPr>
        <w:spacing w:line="480" w:lineRule="auto"/>
        <w:rPr>
          <w:i/>
        </w:rPr>
      </w:pPr>
      <w:r>
        <w:rPr>
          <w:i/>
        </w:rPr>
        <w:t xml:space="preserve">Small Mammal </w:t>
      </w:r>
    </w:p>
    <w:p w:rsidR="00C6148D" w:rsidRDefault="00C6148D" w:rsidP="00C6148D">
      <w:pPr>
        <w:spacing w:line="480" w:lineRule="auto"/>
      </w:pPr>
      <w:r>
        <w:rPr>
          <w:i/>
        </w:rPr>
        <w:tab/>
      </w:r>
      <w:r>
        <w:t xml:space="preserve">A total of 32 small mammal elements were identified from Late Archaic context. Ten are heat modified and 1 is cut. Most of these elements are squirrel (n=26). The MNI of 2 for squirrel is based on two left humerii and 2 left femora – one of the femora bears a butchering mark near the metaphysis on the proximal end. Seven squirrel elements are heat modified as is the single rabbit element, a radius, and 2 small mammal long bone fragments. No gnawing or digestion was noted on any of these small mammal remains. </w:t>
      </w:r>
    </w:p>
    <w:p w:rsidR="00C6148D" w:rsidRDefault="00C6148D" w:rsidP="00C6148D">
      <w:pPr>
        <w:spacing w:line="480" w:lineRule="auto"/>
        <w:rPr>
          <w:i/>
        </w:rPr>
      </w:pPr>
      <w:r>
        <w:rPr>
          <w:i/>
        </w:rPr>
        <w:t xml:space="preserve">Medium Mammal, Medium-Large Mammal </w:t>
      </w:r>
    </w:p>
    <w:p w:rsidR="00C6148D" w:rsidRDefault="00C6148D" w:rsidP="00C6148D">
      <w:pPr>
        <w:spacing w:line="480" w:lineRule="auto"/>
      </w:pPr>
      <w:r>
        <w:rPr>
          <w:i/>
        </w:rPr>
        <w:tab/>
      </w:r>
      <w:r>
        <w:t>A total of 19 medium mammal elements were identified. Six of these are heat modified, 2 are cut and 2 have been worked. Most of these could not be assigned any family, genus or species. For those that could, only raccoon, gray fox and beaver were identified. Raccoon are represented 5 elements, including the perforated canine interpreted as a pendent (</w:t>
      </w:r>
      <w:r w:rsidRPr="001A22A3">
        <w:rPr>
          <w:color w:val="FF0000"/>
        </w:rPr>
        <w:t xml:space="preserve">see Figure </w:t>
      </w:r>
      <w:r w:rsidRPr="001A22A3">
        <w:rPr>
          <w:color w:val="FF0000"/>
        </w:rPr>
        <w:lastRenderedPageBreak/>
        <w:t>6.1</w:t>
      </w:r>
      <w:r>
        <w:rPr>
          <w:color w:val="FF0000"/>
        </w:rPr>
        <w:t>3</w:t>
      </w:r>
      <w:r>
        <w:t xml:space="preserve">). Another element, a radius, appears to have been used as bone awl in a twisting motion, however the tip is not intact. Also, 1 rib bears a series of cut marks perpendicular to the long axis of the bone. Given the small sample size, it is quite interesting that two of the 5 raccoon elements are worked. Of the three fox elements, two are representative of juveniles, including one calcined unfuse calcaneus and one burned complete femur of a neonate or very young gray fox. Lastly, the beaver element may belong to the only other recovered beaver element from the site – a complete left mandible (minus and incisor and m3) from Woodland context in the same provenience square, about 10 cm above this tooth. The tooth is a molar, and even though it is complete, the wear pattern prevented positive identification of exactly which tooth it represents. The tooth was loosely fitted into the empty socket of the mandible and fit reasonably well, although it was not flush with the other teeth. </w:t>
      </w:r>
    </w:p>
    <w:p w:rsidR="00C6148D" w:rsidRPr="001A22A3" w:rsidRDefault="00C6148D" w:rsidP="00C6148D">
      <w:pPr>
        <w:spacing w:line="480" w:lineRule="auto"/>
      </w:pPr>
      <w:r>
        <w:tab/>
        <w:t xml:space="preserve">Twenty-nine medium-large mammal elements were recovered including 1 Canidae maxilla, which was too worn and fragmentary to determine species. The remaining elements are both cranium and long bone fragments. Twelve of the medium-large mammal elements are heat modified, and none are butchered, gnawed or worked. </w:t>
      </w:r>
    </w:p>
    <w:p w:rsidR="00C6148D" w:rsidRDefault="00C6148D" w:rsidP="00C6148D">
      <w:pPr>
        <w:spacing w:line="480" w:lineRule="auto"/>
        <w:rPr>
          <w:i/>
        </w:rPr>
      </w:pPr>
      <w:r>
        <w:rPr>
          <w:i/>
        </w:rPr>
        <w:t xml:space="preserve">Large Mammal, UID Mammal </w:t>
      </w:r>
    </w:p>
    <w:p w:rsidR="00C6148D" w:rsidRDefault="00C6148D" w:rsidP="00C6148D">
      <w:pPr>
        <w:spacing w:line="480" w:lineRule="auto"/>
      </w:pPr>
      <w:r>
        <w:rPr>
          <w:i/>
        </w:rPr>
        <w:tab/>
      </w:r>
      <w:r>
        <w:t xml:space="preserve">Large mammals are represented by 567 specimens in the Late Archaic context. About 25% of those analyzed here were burned and another 14% calcined. A total of 16 large mammal remains bear butchering marks, and these will be discussed more thoroughly as they relate to species. Weathering and root-etching were recorded for 341 of the 567 large mammals. Eighty-two bear evidence of root-etching (~24%) and 76 were affected by weathering (~22%). </w:t>
      </w:r>
    </w:p>
    <w:p w:rsidR="00C6148D" w:rsidRDefault="00C6148D" w:rsidP="00C6148D">
      <w:pPr>
        <w:spacing w:line="480" w:lineRule="auto"/>
        <w:ind w:firstLine="720"/>
      </w:pPr>
      <w:r>
        <w:lastRenderedPageBreak/>
        <w:t xml:space="preserve">Most of the large mammals are unidentifiable to genus or species (n=345). Many of these are long bone shaft fragments (n=162). Axial elements, such as cranium and vertebra fragments are poorly represented by this unidentifiable large mammal group (n=5). A portion of the UID large mammals have been heat modified (87) and 6 bear butchering marks. </w:t>
      </w:r>
    </w:p>
    <w:p w:rsidR="00C6148D" w:rsidRDefault="00C6148D" w:rsidP="00C6148D">
      <w:pPr>
        <w:spacing w:line="480" w:lineRule="auto"/>
        <w:ind w:firstLine="720"/>
      </w:pPr>
      <w:r>
        <w:t xml:space="preserve">The family Cervidae is a well represented group of large mammals. Most of these remains were classified as white-tailed deer (n=217). One large metatarsal that was recovered is classified as Cervidae, as it could be representative of elk. Another fragmentary mandible remains c.f. white-tailed deer as no teeth were present. Walker’s results identified 57 white-tailed deer elements from Late Archaic context. None of these elements are included in the discussions that follow on body part representation, modification or age structure, leaving the sample size at 160. </w:t>
      </w:r>
    </w:p>
    <w:p w:rsidR="00C6148D" w:rsidRDefault="00C6148D" w:rsidP="00C6148D">
      <w:pPr>
        <w:spacing w:line="480" w:lineRule="auto"/>
        <w:ind w:firstLine="720"/>
      </w:pPr>
      <w:r>
        <w:t xml:space="preserve">The representation of deer skeletal elements indicates a similar situation to the Woodland as well.  The majority of the deer remains are leg bones (n=101). Teeth and cranium elements are represented by 26 elements (and this does not include 10 antler fragments) and the rest of the axial skeleton is represented by 20 elements. These numbers are represented by a line graph of the approximate anatomical distribution of deer elements, as has been seen before, in </w:t>
      </w:r>
      <w:r w:rsidRPr="00E43882">
        <w:rPr>
          <w:color w:val="FF0000"/>
        </w:rPr>
        <w:t>Figure 6.1</w:t>
      </w:r>
      <w:r>
        <w:rPr>
          <w:color w:val="FF0000"/>
        </w:rPr>
        <w:t>4</w:t>
      </w:r>
      <w:r>
        <w:t xml:space="preserve">. This distribution based solely on NISP indicates that the majority of the deer skeletal elements are from the appendicular skeleton. Based solely on skeletal elements, the MNI for white-tailed deer from Late Archaic context is 3 based on right proximal metatarsi.  </w:t>
      </w:r>
    </w:p>
    <w:p w:rsidR="00C6148D" w:rsidRDefault="00C6148D" w:rsidP="00C6148D">
      <w:pPr>
        <w:spacing w:line="480" w:lineRule="auto"/>
        <w:ind w:firstLine="720"/>
      </w:pPr>
      <w:r>
        <w:t xml:space="preserve">Modifications to deer elements are only moderate. A total of 63 white-tailed deer elements have been heat modified by either burning or calcination, 9 bear cut marks, and 6 have been carnivore gnawed. Of the 9 with cut marks, 5 are located on the metaphyses of long bones </w:t>
      </w:r>
      <w:r>
        <w:lastRenderedPageBreak/>
        <w:t xml:space="preserve">(and include 3 metatarsal, 1 metacarpal and a tibia), 1 on the pelvis, near the acetabulum, one on proximal calcaneus and 2 on the flat part of a rib. The placement these cut marks indicates maybe the initial evisceration (the cut marks on the rib), but mostly disarticulation of limb elements from the body and each other. A similar pattern was also observed on the Woodland deer. None of the Late Archaic deer elements appear to have been worked into or used as bone awls. </w:t>
      </w:r>
    </w:p>
    <w:p w:rsidR="00C6148D" w:rsidRDefault="00C6148D" w:rsidP="00C6148D">
      <w:pPr>
        <w:spacing w:line="480" w:lineRule="auto"/>
        <w:ind w:firstLine="720"/>
      </w:pPr>
      <w:r>
        <w:t>Determining age for white-tailed deer was again attempted to know more about site seasonality, hunting practices and to obtain a more accurate calculation of MNI. As was done previously, all of the isolated deer teeth and maxillae and mandibles with teeth present, all complete enough to be identified to either tooth or location, were investigated for wear and eruption patterns to calculate age. Eight total isolated teeth, mandibles and maxillae were examined for the Late Archaic layer (MNI=1). Four are at least 3 years or older and display moderate wear, while 1 is 3 years or older, but probably closer to 3. One 3</w:t>
      </w:r>
      <w:r w:rsidRPr="00424230">
        <w:rPr>
          <w:vertAlign w:val="superscript"/>
        </w:rPr>
        <w:t>rd</w:t>
      </w:r>
      <w:r>
        <w:t xml:space="preserve"> right mandibular molar was in the process of developing when the animal died – giving it an age range of 1.5-2.5 years. A highly fragmentary maxillae also represent a deer &lt; 2yrs old. Lastly, one mandible with an unworn deciduous 3</w:t>
      </w:r>
      <w:r w:rsidRPr="005E3519">
        <w:rPr>
          <w:vertAlign w:val="superscript"/>
        </w:rPr>
        <w:t>rd</w:t>
      </w:r>
      <w:r>
        <w:t xml:space="preserve"> premolar indicates an age less than 6 months. Juveniles were also recognized in 3 non-teeth elements. One cervical vertebra with an unfused centrum indicates an age of &lt;6 months, and an unfused calcaneus and unfused vestigial metapodia indicate ages of &lt;20 months </w:t>
      </w:r>
      <w:r>
        <w:fldChar w:fldCharType="begin"/>
      </w:r>
      <w:r>
        <w:instrText xml:space="preserve"> ADDIN EN.CITE &lt;EndNote&gt;&lt;Cite&gt;&lt;Author&gt;Purdue&lt;/Author&gt;&lt;Year&gt;1983&lt;/Year&gt;&lt;RecNum&gt;167&lt;/RecNum&gt;&lt;DisplayText&gt;(Purdue 1983)&lt;/DisplayText&gt;&lt;record&gt;&lt;rec-number&gt;167&lt;/rec-number&gt;&lt;foreign-keys&gt;&lt;key app="EN" db-id="pvwvsv0fktzv2weszt4xp95xstrzawadapa0"&gt;167&lt;/key&gt;&lt;/foreign-keys&gt;&lt;ref-type name="Journal Article"&gt;17&lt;/ref-type&gt;&lt;contributors&gt;&lt;authors&gt;&lt;author&gt;James R. Purdue &lt;/author&gt;&lt;/authors&gt;&lt;/contributors&gt;&lt;titles&gt;&lt;title&gt;Epiphyseal Closure in White-Tailed Deer&lt;/title&gt;&lt;secondary-title&gt;The Journal of Wildlife Management&lt;/secondary-title&gt;&lt;/titles&gt;&lt;periodical&gt;&lt;full-title&gt;The Journal of Wildlife Management&lt;/full-title&gt;&lt;/periodical&gt;&lt;pages&gt;1207-1213&lt;/pages&gt;&lt;volume&gt;47&lt;/volume&gt;&lt;number&gt;4&lt;/number&gt;&lt;dates&gt;&lt;year&gt;1983&lt;/year&gt;&lt;/dates&gt;&lt;urls&gt;&lt;/urls&gt;&lt;/record&gt;&lt;/Cite&gt;&lt;/EndNote&gt;</w:instrText>
      </w:r>
      <w:r>
        <w:fldChar w:fldCharType="separate"/>
      </w:r>
      <w:r>
        <w:rPr>
          <w:noProof/>
        </w:rPr>
        <w:t>(</w:t>
      </w:r>
      <w:hyperlink w:anchor="_ENREF_71" w:tooltip="Purdue, 1983 #167" w:history="1">
        <w:r w:rsidR="00B15FB2">
          <w:rPr>
            <w:noProof/>
          </w:rPr>
          <w:t>Purdue 1983</w:t>
        </w:r>
      </w:hyperlink>
      <w:r>
        <w:rPr>
          <w:noProof/>
        </w:rPr>
        <w:t>)</w:t>
      </w:r>
      <w:r>
        <w:fldChar w:fldCharType="end"/>
      </w:r>
      <w:r>
        <w:t xml:space="preserve">.  Thus, the majority of deer that could be aged are over 3 years of age, however, at least 1 deer less than 6 months is represented by 2, possibly 4 skeletal elements, and another between 1.5 and 2.5 years represented by 1 to 3 elements. The MNI based on three proximal metatarsi were from deer older than 6 months, thus the final MNI for white-tailed deer from Archaic context is 4. </w:t>
      </w:r>
    </w:p>
    <w:p w:rsidR="00C6148D" w:rsidRDefault="00C6148D" w:rsidP="00C6148D">
      <w:pPr>
        <w:spacing w:line="480" w:lineRule="auto"/>
        <w:ind w:firstLine="720"/>
      </w:pPr>
      <w:r>
        <w:lastRenderedPageBreak/>
        <w:t>Three black bear elements were identified from Late Archaic context, 1 by Walker. Of the 2 identified by the author, one is a complete 1</w:t>
      </w:r>
      <w:r w:rsidRPr="00DB7457">
        <w:rPr>
          <w:vertAlign w:val="superscript"/>
        </w:rPr>
        <w:t>st</w:t>
      </w:r>
      <w:r>
        <w:t xml:space="preserve"> mandibular molar and the other is a calcined, osteoarthritic medial phalanx. Sample size for bear is too low to consider transport. </w:t>
      </w:r>
    </w:p>
    <w:p w:rsidR="00C6148D" w:rsidRDefault="00C6148D" w:rsidP="00C6148D">
      <w:pPr>
        <w:spacing w:line="480" w:lineRule="auto"/>
        <w:ind w:firstLine="720"/>
      </w:pPr>
      <w:r>
        <w:t xml:space="preserve">From both these analysis and Walker’s, a total of 1,950 mammalian remains were too fragmentary to assign to a family or size class. This analysis identified 1,480 of these remains, more than half of which are heat modified (n=997). Four display cut marks, 1 is rodent gnawed and 3 are carnivore gnawed. Six of these remains appear to be bone awl, although all are broken medial sections except for one. </w:t>
      </w:r>
    </w:p>
    <w:p w:rsidR="00C6148D" w:rsidRDefault="00C6148D" w:rsidP="00C6148D">
      <w:pPr>
        <w:spacing w:line="480" w:lineRule="auto"/>
        <w:rPr>
          <w:i/>
        </w:rPr>
      </w:pPr>
      <w:r>
        <w:rPr>
          <w:i/>
        </w:rPr>
        <w:t xml:space="preserve">Aves </w:t>
      </w:r>
    </w:p>
    <w:p w:rsidR="00C6148D" w:rsidRPr="005B3C79" w:rsidRDefault="00C6148D" w:rsidP="00C6148D">
      <w:pPr>
        <w:spacing w:line="480" w:lineRule="auto"/>
      </w:pPr>
      <w:r>
        <w:rPr>
          <w:i/>
        </w:rPr>
        <w:tab/>
      </w:r>
      <w:r>
        <w:t xml:space="preserve">Only 60 avian remains were recovered from the Late Archaic context at Sachsen. Most of these are unidentifiable birds (n=44). Sixteen of these have been heat modified. Large Aves are represented by 3 wild turkey elements and 8 UID large birds. One of the wild turkey elements is a tarsometatarsus with a spur and a deep cut mark above the spur. This element is also calcined. Another long bone of a large Aves is also burned. Small aves are represented by one burned Passerine ulna, 3 unmodified UID small aves and two species identified by Walker – a rough grouse element and a possible passenger pigeon element. The presence of passenger pigeon at the site is intriguing given that these birds are now extinct, but were once plentiful in the Southeast </w:t>
      </w:r>
      <w:r>
        <w:fldChar w:fldCharType="begin"/>
      </w:r>
      <w:r>
        <w:instrText xml:space="preserve"> ADDIN EN.CITE &lt;EndNote&gt;&lt;Cite&gt;&lt;Author&gt;Schorger&lt;/Author&gt;&lt;Year&gt;1955&lt;/Year&gt;&lt;RecNum&gt;173&lt;/RecNum&gt;&lt;DisplayText&gt;(Schorger 1955)&lt;/DisplayText&gt;&lt;record&gt;&lt;rec-number&gt;173&lt;/rec-number&gt;&lt;foreign-keys&gt;&lt;key app="EN" db-id="pvwvsv0fktzv2weszt4xp95xstrzawadapa0"&gt;173&lt;/key&gt;&lt;/foreign-keys&gt;&lt;ref-type name="Book"&gt;6&lt;/ref-type&gt;&lt;contributors&gt;&lt;authors&gt;&lt;author&gt;A.W. Schorger&lt;/author&gt;&lt;/authors&gt;&lt;/contributors&gt;&lt;titles&gt;&lt;title&gt;The Passenger Pigeon, Its Natural History and Extinction&lt;/title&gt;&lt;/titles&gt;&lt;dates&gt;&lt;year&gt;1955&lt;/year&gt;&lt;/dates&gt;&lt;pub-location&gt;Norman &lt;/pub-location&gt;&lt;publisher&gt;University of Oklahoma Press &lt;/publisher&gt;&lt;urls&gt;&lt;/urls&gt;&lt;/record&gt;&lt;/Cite&gt;&lt;/EndNote&gt;</w:instrText>
      </w:r>
      <w:r>
        <w:fldChar w:fldCharType="separate"/>
      </w:r>
      <w:r>
        <w:rPr>
          <w:noProof/>
        </w:rPr>
        <w:t>(</w:t>
      </w:r>
      <w:hyperlink w:anchor="_ENREF_78" w:tooltip="Schorger, 1955 #173" w:history="1">
        <w:r w:rsidR="00B15FB2">
          <w:rPr>
            <w:noProof/>
          </w:rPr>
          <w:t>Schorger 1955</w:t>
        </w:r>
      </w:hyperlink>
      <w:r>
        <w:rPr>
          <w:noProof/>
        </w:rPr>
        <w:t>)</w:t>
      </w:r>
      <w:r>
        <w:fldChar w:fldCharType="end"/>
      </w:r>
      <w:r>
        <w:t xml:space="preserve"> and are often found in archaeological faunal assemblages. </w:t>
      </w:r>
    </w:p>
    <w:p w:rsidR="00C6148D" w:rsidRDefault="00C6148D" w:rsidP="00C6148D">
      <w:pPr>
        <w:spacing w:line="480" w:lineRule="auto"/>
        <w:rPr>
          <w:i/>
        </w:rPr>
      </w:pPr>
      <w:r>
        <w:rPr>
          <w:i/>
        </w:rPr>
        <w:t xml:space="preserve">Reptile </w:t>
      </w:r>
    </w:p>
    <w:p w:rsidR="00C6148D" w:rsidRDefault="00C6148D" w:rsidP="00C6148D">
      <w:pPr>
        <w:spacing w:line="480" w:lineRule="auto"/>
      </w:pPr>
      <w:r>
        <w:rPr>
          <w:i/>
        </w:rPr>
        <w:tab/>
      </w:r>
      <w:r>
        <w:t xml:space="preserve">All but 1 of the 150 reptilian remains are turtle. The only snake element, a vertebra from a nonpoisonous snake was recovered from this Late Archaic context. This specimen is </w:t>
      </w:r>
      <w:r>
        <w:lastRenderedPageBreak/>
        <w:t xml:space="preserve">unmodified. The only turtle species represented in this context is the Eastern box turtle. Twenty-six total were identified. From these analyses (n=24) no two similar elements were represented and no age could be established for any of the eastern box turtle remains, therefore the MNI remains 1. Peripheral, costal and nueral carapace are all represented, as is the plastron. Only one non-shell eastern box turtle element was recovered a burned pelvis. In total, only 7 of the 24 eastern box turtle elements are heat modified. None are cut or gnawed. The remaining 153 elements are unidentifiable turtle remains, both carapace and plastron. Of the 125 analyzed by the author, 63 are heat modified. The rest are unmodified. </w:t>
      </w:r>
    </w:p>
    <w:p w:rsidR="00C6148D" w:rsidRDefault="00C6148D" w:rsidP="00C6148D">
      <w:pPr>
        <w:spacing w:line="480" w:lineRule="auto"/>
        <w:rPr>
          <w:i/>
        </w:rPr>
      </w:pPr>
      <w:r>
        <w:rPr>
          <w:i/>
        </w:rPr>
        <w:t xml:space="preserve">Amphibian </w:t>
      </w:r>
    </w:p>
    <w:p w:rsidR="00C6148D" w:rsidRDefault="00C6148D" w:rsidP="00C6148D">
      <w:pPr>
        <w:spacing w:line="480" w:lineRule="auto"/>
      </w:pPr>
      <w:r>
        <w:rPr>
          <w:i/>
        </w:rPr>
        <w:tab/>
      </w:r>
      <w:r>
        <w:t xml:space="preserve">The only 3 frog/toad elements were recovered from the Late Archaic midden. Curiously, these were all recovered from three sequential levels in 1 test unit (TU 11). Two long bones and 1 vertebra are represented. It is likely that spacing is the result of some natural process – perhaps a rodent hole or dripping water from the ceiling. </w:t>
      </w:r>
    </w:p>
    <w:p w:rsidR="00C6148D" w:rsidRDefault="00C6148D" w:rsidP="00C6148D">
      <w:pPr>
        <w:spacing w:line="480" w:lineRule="auto"/>
        <w:rPr>
          <w:i/>
        </w:rPr>
      </w:pPr>
      <w:r>
        <w:rPr>
          <w:i/>
        </w:rPr>
        <w:t xml:space="preserve">Osteichthyes </w:t>
      </w:r>
    </w:p>
    <w:p w:rsidR="00C6148D" w:rsidRPr="00EC0675" w:rsidRDefault="00C6148D" w:rsidP="00C6148D">
      <w:pPr>
        <w:spacing w:line="480" w:lineRule="auto"/>
      </w:pPr>
      <w:r>
        <w:rPr>
          <w:i/>
        </w:rPr>
        <w:tab/>
      </w:r>
      <w:r>
        <w:t xml:space="preserve">Walker’s analyses identified 2 unidentifiable fish elements. </w:t>
      </w:r>
    </w:p>
    <w:p w:rsidR="00C6148D" w:rsidRDefault="00C6148D" w:rsidP="00C6148D">
      <w:pPr>
        <w:spacing w:line="480" w:lineRule="auto"/>
        <w:rPr>
          <w:i/>
        </w:rPr>
      </w:pPr>
      <w:r>
        <w:rPr>
          <w:i/>
        </w:rPr>
        <w:t>Invertebrate</w:t>
      </w:r>
    </w:p>
    <w:p w:rsidR="00C6148D" w:rsidRPr="005C445A" w:rsidRDefault="00C6148D" w:rsidP="00C6148D">
      <w:pPr>
        <w:spacing w:line="480" w:lineRule="auto"/>
      </w:pPr>
      <w:r>
        <w:rPr>
          <w:i/>
        </w:rPr>
        <w:tab/>
      </w:r>
      <w:r>
        <w:t xml:space="preserve">Twenty-one total invertebrate remains were collected from the Late Archaic midden. Eight of these are fresh-water mussel shell fragments, none of which could be identified to the family, genus or specie level. One of these specimens, the interior nacreous layer has been burned.The remaining 13 elements are gastropods – only one of which is aquatic. This species could be found in the stream in front of the shelter. </w:t>
      </w:r>
    </w:p>
    <w:p w:rsidR="00C6148D" w:rsidRDefault="00C6148D" w:rsidP="00C6148D">
      <w:pPr>
        <w:spacing w:line="480" w:lineRule="auto"/>
        <w:rPr>
          <w:i/>
        </w:rPr>
      </w:pPr>
      <w:r>
        <w:rPr>
          <w:i/>
        </w:rPr>
        <w:lastRenderedPageBreak/>
        <w:t>UID</w:t>
      </w:r>
    </w:p>
    <w:p w:rsidR="00C6148D" w:rsidRDefault="00C6148D" w:rsidP="003F352D">
      <w:pPr>
        <w:spacing w:line="480" w:lineRule="auto"/>
      </w:pPr>
      <w:r>
        <w:rPr>
          <w:i/>
        </w:rPr>
        <w:tab/>
      </w:r>
      <w:r>
        <w:t xml:space="preserve">Unidentifiable remains numbered 241. Ninety-seven of the 213 analyzed for this thesis were heat modified. Again, most of these are small fragments of bone weighing less and .5 grams.  </w:t>
      </w:r>
    </w:p>
    <w:p w:rsidR="00C6148D" w:rsidRDefault="00C6148D" w:rsidP="003F352D">
      <w:pPr>
        <w:pStyle w:val="Heading2"/>
      </w:pPr>
      <w:bookmarkStart w:id="66" w:name="_Toc349507299"/>
      <w:r>
        <w:t>1/8”</w:t>
      </w:r>
      <w:r w:rsidR="003F352D">
        <w:t>Results</w:t>
      </w:r>
      <w:bookmarkEnd w:id="66"/>
    </w:p>
    <w:p w:rsidR="003F352D" w:rsidRPr="003F352D" w:rsidRDefault="003F352D" w:rsidP="003F352D"/>
    <w:p w:rsidR="00C6148D" w:rsidRDefault="00C6148D" w:rsidP="00C6148D">
      <w:pPr>
        <w:spacing w:line="480" w:lineRule="auto"/>
      </w:pPr>
      <w:r>
        <w:rPr>
          <w:i/>
        </w:rPr>
        <w:tab/>
      </w:r>
      <w:r>
        <w:t>A total of 10,804 faunal remains was recovered from 33 proveniences using 1/8” mesh and weigh approximately 523.38 grams. An overwhelming majority of these are unidentifiable bone fragments (n=9,180). If these are excluded (n=1,624), mammals make up 58.68% of the assemblage, birds 12.87%, reptiles 14.9%, amphibians .25%, fish .31% and invertebrates make up 13% of the assemblage (</w:t>
      </w:r>
      <w:r w:rsidRPr="000231B8">
        <w:rPr>
          <w:color w:val="FF0000"/>
        </w:rPr>
        <w:t>see Figure</w:t>
      </w:r>
      <w:r>
        <w:rPr>
          <w:color w:val="FF0000"/>
        </w:rPr>
        <w:t xml:space="preserve"> 6.15</w:t>
      </w:r>
      <w:r>
        <w:t xml:space="preserve">).  Burning was observed on 3,379 of the total 10,804 faunal remains and calcinations on 4,262. No other modifications were recorded from the 1/8” sample. Remains were identified from 5 proveniences from disturbed context, 1 Woodland and 27 Archaic context. Given that the goal of collecting 1/8” faunal remains was to control for biases presented by ¼” screening and that sample sizes are not comparable, these proveniences are not subdivided here, however, they are by animal taxa in </w:t>
      </w:r>
      <w:r w:rsidRPr="000231B8">
        <w:rPr>
          <w:color w:val="FF0000"/>
        </w:rPr>
        <w:t>Tabl</w:t>
      </w:r>
      <w:r>
        <w:rPr>
          <w:color w:val="FF0000"/>
        </w:rPr>
        <w:t>e 6.16</w:t>
      </w:r>
      <w:r>
        <w:t xml:space="preserve">. Brief presentation of these results is as follows. </w:t>
      </w:r>
    </w:p>
    <w:p w:rsidR="00C6148D" w:rsidRDefault="00C6148D" w:rsidP="00C6148D">
      <w:pPr>
        <w:spacing w:line="480" w:lineRule="auto"/>
      </w:pPr>
      <w:r>
        <w:tab/>
        <w:t xml:space="preserve">A total of 949 mammalian remains was recovered, and small mammals make up the majority of the identifiable taxa (n=96). As can be seen from </w:t>
      </w:r>
      <w:r w:rsidRPr="001D0525">
        <w:rPr>
          <w:color w:val="FF0000"/>
        </w:rPr>
        <w:t>Table 6.1</w:t>
      </w:r>
      <w:r>
        <w:rPr>
          <w:color w:val="FF0000"/>
        </w:rPr>
        <w:t>6</w:t>
      </w:r>
      <w:r>
        <w:t xml:space="preserve">, squirrel make up the largest proportion of this and are consistently disturbed across all contexts. Although the Late Archaic component of the site was sampled the most for 1/8” recovered fauna, squirrel do seem to increase in the Archaic levels despite the size difference. Also, given the low sample size for the Woodland component, squirrels are quite numerous here too. Seventeen of the squirrel </w:t>
      </w:r>
      <w:r>
        <w:lastRenderedPageBreak/>
        <w:t xml:space="preserve">elements were heat modified. The MNI for squirrel is 2, based on both 2 right and 2 left distal radii. No other MNI calculations could be made from the 1/8” recovered fauna. </w:t>
      </w:r>
    </w:p>
    <w:p w:rsidR="00C6148D" w:rsidRDefault="00C6148D" w:rsidP="00C6148D">
      <w:pPr>
        <w:spacing w:line="480" w:lineRule="auto"/>
        <w:jc w:val="both"/>
      </w:pPr>
      <w:r>
        <w:tab/>
        <w:t>The wood rat and cottontail were encountered in ¼” mesh, however, the first occurrence of chipmunk (</w:t>
      </w:r>
      <w:r>
        <w:rPr>
          <w:i/>
        </w:rPr>
        <w:t>Tamais striatus</w:t>
      </w:r>
      <w:r>
        <w:t xml:space="preserve">) at the site was recovered from 1/8” mesh. Both wood rat and chipmunk elements were burned. Five of the 11 recovered medium mammal elements are burned. The white-tailed deer elements recovered from 1/8” mesh as mostly teeth, however, several hyoids are represented as well as two sesmoids and two antler tines. Only 11 of the deer remains are heat modified. Lastly, more than half of the unidentifiable mammal elements are heat modified (n=521). </w:t>
      </w:r>
    </w:p>
    <w:p w:rsidR="00C6148D" w:rsidRDefault="00C6148D" w:rsidP="00C6148D">
      <w:pPr>
        <w:spacing w:line="480" w:lineRule="auto"/>
      </w:pPr>
      <w:r>
        <w:tab/>
        <w:t>Several new species of bird not previously identified from ¼” recovered material were identified from the 1/8” recovered materials. This includes one calcined crow (</w:t>
      </w:r>
      <w:r>
        <w:rPr>
          <w:i/>
        </w:rPr>
        <w:t>Corvus branchyrynchos</w:t>
      </w:r>
      <w:r>
        <w:t>) coracoid, an unmodified mourning dove (</w:t>
      </w:r>
      <w:r>
        <w:rPr>
          <w:i/>
        </w:rPr>
        <w:t>Zenaidura macroura</w:t>
      </w:r>
      <w:r>
        <w:t>) coracoid and one possible passenger pigeon (</w:t>
      </w:r>
      <w:r>
        <w:rPr>
          <w:i/>
        </w:rPr>
        <w:t>Ectopistes magratorius</w:t>
      </w:r>
      <w:r>
        <w:t>) calcined coracoid. The passenger pigeon went extinct in the early 20</w:t>
      </w:r>
      <w:r w:rsidRPr="0026056B">
        <w:rPr>
          <w:vertAlign w:val="superscript"/>
        </w:rPr>
        <w:t>th</w:t>
      </w:r>
      <w:r>
        <w:t xml:space="preserve"> century, but was once a very common bird in the Southeast, and is often recovered in archaeological context.  The two turkey elements are both burned and include a radius and distal phalanx.  Of the remaining 204 avian remains, most are heat modified (n=163). </w:t>
      </w:r>
    </w:p>
    <w:p w:rsidR="00C6148D" w:rsidRDefault="00C6148D" w:rsidP="00C6148D">
      <w:pPr>
        <w:spacing w:line="480" w:lineRule="auto"/>
      </w:pPr>
      <w:r>
        <w:tab/>
        <w:t xml:space="preserve">Many pieces of turtle carapace and plastron were recovered from the 1/8” mesh (n=241). What seems to be a continual trend, most of these are heat modified (n=173). This is likely due to more fragmentation that occurs when bones are heated. The two eastern box turtle elements are both burned and include a coracoid and pelvis fragment. Only one of the recovered snake </w:t>
      </w:r>
      <w:r>
        <w:lastRenderedPageBreak/>
        <w:t xml:space="preserve">elements is burned. All the snakes appear to be nonpoisonous as they lack a hemal spine. One fragmented, calcined reptilian vertebra was also recovered. </w:t>
      </w:r>
    </w:p>
    <w:p w:rsidR="00C6148D" w:rsidRDefault="00C6148D" w:rsidP="00C6148D">
      <w:pPr>
        <w:spacing w:line="480" w:lineRule="auto"/>
      </w:pPr>
      <w:r>
        <w:tab/>
        <w:t xml:space="preserve">Amphibians and fish are represented by only a few specimen. Both frogs and salamanders frequent the shelter today, and their presence is likely the result of natural processes, although one of the frog elements is burned. Fish, however, must be transported to the site. Unfortunately none of the fish recovered from 1/8” mesh could be identified to element or family. Two of these remains are calcined </w:t>
      </w:r>
    </w:p>
    <w:p w:rsidR="00C6148D" w:rsidRDefault="00C6148D" w:rsidP="00C6148D">
      <w:pPr>
        <w:spacing w:line="480" w:lineRule="auto"/>
      </w:pPr>
      <w:r>
        <w:tab/>
        <w:t xml:space="preserve">Gastropods are well represented in the 1/8”, however, most of these are fragments of shell. Most of these are likely land snails, however, only 4 shells were complete enough to make this designation. All of the fresh-water mussel remains recovered from 1/8” mesh were small flakes of the nacreous layer. </w:t>
      </w:r>
    </w:p>
    <w:p w:rsidR="00C6148D" w:rsidRPr="007863D5" w:rsidRDefault="00C6148D" w:rsidP="00C6148D">
      <w:pPr>
        <w:spacing w:line="480" w:lineRule="auto"/>
      </w:pPr>
      <w:r>
        <w:tab/>
        <w:t xml:space="preserve">Lastly, 9,180 fragments could not be identified to any class, although most of them are likely mammal. Well over half of these are heat modified (n=6,716). </w:t>
      </w:r>
      <w:r>
        <w:tab/>
      </w:r>
    </w:p>
    <w:p w:rsidR="00C6148D" w:rsidRDefault="00C6148D" w:rsidP="003F352D">
      <w:pPr>
        <w:pStyle w:val="Heading2"/>
      </w:pPr>
      <w:bookmarkStart w:id="67" w:name="_Toc349507300"/>
      <w:r>
        <w:t xml:space="preserve">1/16” </w:t>
      </w:r>
      <w:r w:rsidR="003F352D">
        <w:t>Results</w:t>
      </w:r>
      <w:bookmarkEnd w:id="67"/>
    </w:p>
    <w:p w:rsidR="00C6148D" w:rsidRDefault="00C6148D" w:rsidP="00C6148D">
      <w:pPr>
        <w:spacing w:line="480" w:lineRule="auto"/>
      </w:pPr>
      <w:r>
        <w:rPr>
          <w:i/>
        </w:rPr>
        <w:tab/>
      </w:r>
      <w:r>
        <w:t>From the 12 samples selected for 1/16” faunal sampling only 10 yielded faunal material, and include 372 total specimen. The vast majority of these are unidentifiable pieces of bone, likely from mammals (n=325) (</w:t>
      </w:r>
      <w:r w:rsidRPr="00D02716">
        <w:rPr>
          <w:color w:val="FF0000"/>
        </w:rPr>
        <w:t xml:space="preserve">Table </w:t>
      </w:r>
      <w:r>
        <w:rPr>
          <w:color w:val="FF0000"/>
        </w:rPr>
        <w:t>6.17</w:t>
      </w:r>
      <w:r>
        <w:t xml:space="preserve">). However, several small mammals, small aves, small amphibians, and gastropods were also recovered. Only one Woodland provenience was sampled for the recovery of faunal remains from 1/16” mesh. A total of 160 of these remains was recovered from this context. This includes 15 of the Gastropoda remains, 8 small Aves, 4 small mammals, and 130 unidentifiable remains. Therefore the Woodland sample represents nearly ½ of all the recovered 1/16” material. The only difference between Woodland and Archaic 1/16” </w:t>
      </w:r>
      <w:r>
        <w:lastRenderedPageBreak/>
        <w:t xml:space="preserve">material is that no small rodents were recovered from Archaic context and no small amphibians were recovered from Woodland context; however, given the low sample sizes, these differences are not significant. Sixty of the 1/16” recovered, sampled and identified remains are burned and 178 calcined. No species could be identified from the 1/16” recovered material. </w:t>
      </w:r>
    </w:p>
    <w:p w:rsidR="00C6148D" w:rsidRDefault="00C6148D" w:rsidP="003F352D">
      <w:pPr>
        <w:pStyle w:val="Heading2"/>
      </w:pPr>
      <w:bookmarkStart w:id="68" w:name="_Toc349507301"/>
      <w:r>
        <w:t>Diversity Calculations</w:t>
      </w:r>
      <w:bookmarkEnd w:id="68"/>
    </w:p>
    <w:p w:rsidR="00C6148D" w:rsidRPr="007863D5" w:rsidRDefault="00C6148D" w:rsidP="00C6148D">
      <w:pPr>
        <w:spacing w:line="480" w:lineRule="auto"/>
      </w:pPr>
      <w:r>
        <w:tab/>
        <w:t xml:space="preserve">Once 1/8” and 1/16” data were recorded, they were combined with 1/4” data to calculate species diversity. Only species were used, and this excludes c.f.’s, but includes taxa such as sciurus sp. The taxa used to calculate diversity for each context and their resulting diversity and eveness indices are listed in </w:t>
      </w:r>
      <w:r>
        <w:rPr>
          <w:color w:val="FF0000"/>
        </w:rPr>
        <w:t>T</w:t>
      </w:r>
      <w:r w:rsidRPr="00340206">
        <w:rPr>
          <w:color w:val="FF0000"/>
        </w:rPr>
        <w:t xml:space="preserve">able </w:t>
      </w:r>
      <w:r>
        <w:rPr>
          <w:color w:val="FF0000"/>
        </w:rPr>
        <w:t>6.19</w:t>
      </w:r>
      <w:r>
        <w:t xml:space="preserve">. </w:t>
      </w:r>
    </w:p>
    <w:p w:rsidR="00C6148D" w:rsidRDefault="00C6148D" w:rsidP="003F352D">
      <w:pPr>
        <w:pStyle w:val="Heading2"/>
      </w:pPr>
      <w:bookmarkStart w:id="69" w:name="_Toc349507302"/>
      <w:r>
        <w:t>Bone Preservation Results</w:t>
      </w:r>
      <w:bookmarkEnd w:id="69"/>
      <w:r>
        <w:t xml:space="preserve"> </w:t>
      </w:r>
    </w:p>
    <w:p w:rsidR="00E16777" w:rsidRDefault="00E16777" w:rsidP="00E16777">
      <w:pPr>
        <w:spacing w:line="480" w:lineRule="auto"/>
      </w:pPr>
      <w:r>
        <w:t>From the pH readings taken from sediment samples from TU 31, it seems that pH does decrease, or becomes more acidic with depth at the rock shelter (</w:t>
      </w:r>
      <w:r w:rsidRPr="006401C5">
        <w:rPr>
          <w:color w:val="FF0000"/>
        </w:rPr>
        <w:t>Figure 6.20</w:t>
      </w:r>
      <w:r>
        <w:t xml:space="preserve">). This is also associated with wetter sediments. Looking at the bone weight for TU31 in Appendix 1, it is clear that bone weight also decreases, and in fact, the declines in both pH and bone weight begin around around Level 5. This level is almost half into the Late Archaic midden where sediments begin becoming increasingly wetter. A Pearson’s Correlation Coeffecient was calculated at yielded a p-value of .0043, thus suggesting that declining bone weight and declining pH are correlated. </w:t>
      </w:r>
    </w:p>
    <w:p w:rsidR="00E16777" w:rsidRPr="00AE19BC" w:rsidRDefault="00E16777" w:rsidP="00E16777">
      <w:pPr>
        <w:spacing w:line="480" w:lineRule="auto"/>
      </w:pPr>
      <w:r>
        <w:tab/>
        <w:t xml:space="preserve">However, pH does not reflect the permanent state of any open system, therefore pH may not have always been low in the lower sediments and may not have impacted the faunal materials. It could still be that the lack of faunal remains in these lower levels is due to less intensive occupation, and as can be seen from Appendix 1, in some test units (such as 6, 11, 14, 17 and 23), faunal remains do continue to occur in the lower levels, although at much reduced </w:t>
      </w:r>
      <w:r>
        <w:lastRenderedPageBreak/>
        <w:t xml:space="preserve">frequencies. An interesting occurrence is also that in the most heavily disturbed test unit, bone weight remains relatively consistent in the lower levels.  </w:t>
      </w:r>
    </w:p>
    <w:p w:rsidR="00E16777" w:rsidRDefault="00E16777" w:rsidP="00E16777">
      <w:pPr>
        <w:spacing w:line="480" w:lineRule="auto"/>
      </w:pPr>
      <w:r>
        <w:tab/>
        <w:t xml:space="preserve">Therefore, to gain a better understanding of site use through time, the same samples used for pH, where samples sizes were large enough, were subjected to a loss of ignition test. The results of this analysis, presented in </w:t>
      </w:r>
      <w:r w:rsidRPr="006401C5">
        <w:rPr>
          <w:color w:val="FF0000"/>
        </w:rPr>
        <w:t>Table 6.21</w:t>
      </w:r>
      <w:r>
        <w:t xml:space="preserve">, indicate that organic also decreases with depth. However, this could be the result of low pH. Therefore, the results of this analysis are inconclusive and ambiguous in addressing site function vs. poor preservation. </w:t>
      </w:r>
    </w:p>
    <w:p w:rsidR="00E16777" w:rsidRDefault="00E16777" w:rsidP="00E16777">
      <w:pPr>
        <w:spacing w:line="480" w:lineRule="auto"/>
      </w:pPr>
      <w:r>
        <w:tab/>
        <w:t xml:space="preserve">PSA goes here. – I expect that grain size will reflect more sand in the lower levels because the water moving through this area should have picked up these particles as it moved through the sandstone shelter itself. </w:t>
      </w:r>
    </w:p>
    <w:p w:rsidR="00E16777" w:rsidRDefault="00E16777" w:rsidP="00E16777">
      <w:pPr>
        <w:spacing w:line="480" w:lineRule="auto"/>
      </w:pPr>
      <w:r>
        <w:tab/>
        <w:t xml:space="preserve">One last attempt to address this question of bone preservation and site occupation was conducted through XRF analysis. Test Unit 31 was again utilized, although this time at a much refined scale to try to gain a better understanding of when changes in sediment elemental composition begin to change, if at all, and how these changes correlate with bone weight and pH. XRF analysis yielded information on several different elements, however, only those that were overtly abundant were chosen to look at more closely (n=11). Those that showed up as more abundant include aluminum, magnesium, phosphorous, silica, sulfur, potassium, manganese, iron, chorine, calcium and argon. The results of this analysis were displayed as parts per hundred. The total for each element per all samples was calculated and used to create proportions of elements per sample in relation to the total sample size of that element. These results were graphed on a line graph to obtain a visual interpretation of whether elements increased, decreased or remained stable with depth. These graphs are presented in </w:t>
      </w:r>
      <w:r w:rsidRPr="00312D15">
        <w:rPr>
          <w:color w:val="FF0000"/>
        </w:rPr>
        <w:t>Appendix 2</w:t>
      </w:r>
      <w:r>
        <w:t xml:space="preserve">. </w:t>
      </w:r>
    </w:p>
    <w:p w:rsidR="00E16777" w:rsidRPr="00AE19BC" w:rsidRDefault="00E16777" w:rsidP="00E16777">
      <w:pPr>
        <w:spacing w:line="480" w:lineRule="auto"/>
      </w:pPr>
      <w:r>
        <w:lastRenderedPageBreak/>
        <w:tab/>
        <w:t xml:space="preserve">Argon and aluminum show no observable trends. Magnesium, phosphorous, sulfur, chlorine and calcium all decrease with depth, while silica, potassium and iron increase, although the first two increase only slightly. Manganese increases while once within the midden deposit and then drops off substantially near the sterile Pleistocene sandstone. Interpretations of these results are further elaborated in Chapter 7. </w:t>
      </w:r>
    </w:p>
    <w:p w:rsidR="00ED6B93" w:rsidRPr="00AE19BC" w:rsidRDefault="00ED6B93" w:rsidP="00C6148D">
      <w:pPr>
        <w:pStyle w:val="Heading1"/>
        <w:spacing w:line="480" w:lineRule="auto"/>
      </w:pPr>
    </w:p>
    <w:p w:rsidR="00ED6B93" w:rsidRPr="00371422" w:rsidRDefault="00ED6B93" w:rsidP="00ED6B93">
      <w:pPr>
        <w:pStyle w:val="Heading1"/>
      </w:pPr>
      <w:r>
        <w:t xml:space="preserve"> </w:t>
      </w:r>
    </w:p>
    <w:p w:rsidR="00ED6B93" w:rsidRPr="00C123C1" w:rsidRDefault="00ED6B93" w:rsidP="00ED6B93">
      <w:pPr>
        <w:spacing w:line="480" w:lineRule="auto"/>
        <w:jc w:val="both"/>
        <w:rPr>
          <w:rFonts w:eastAsiaTheme="majorEastAsia" w:cs="Times New Roman"/>
          <w:b/>
          <w:bCs/>
          <w:szCs w:val="24"/>
        </w:rPr>
      </w:pPr>
      <w:r w:rsidRPr="00C123C1">
        <w:rPr>
          <w:rFonts w:cs="Times New Roman"/>
          <w:szCs w:val="24"/>
        </w:rPr>
        <w:br w:type="page"/>
      </w:r>
    </w:p>
    <w:p w:rsidR="00F408F1" w:rsidRDefault="003F765A" w:rsidP="00F408F1">
      <w:pPr>
        <w:pStyle w:val="Heading1"/>
      </w:pPr>
      <w:bookmarkStart w:id="70" w:name="_Toc349507303"/>
      <w:r>
        <w:lastRenderedPageBreak/>
        <w:t>Chap</w:t>
      </w:r>
      <w:r w:rsidR="00F408F1">
        <w:t>ter 7: Discussions and Conclusions</w:t>
      </w:r>
      <w:bookmarkEnd w:id="70"/>
    </w:p>
    <w:p w:rsidR="00F408F1" w:rsidRPr="00F408F1" w:rsidRDefault="00F408F1" w:rsidP="00F408F1"/>
    <w:p w:rsidR="003F765A" w:rsidRDefault="003F765A" w:rsidP="003F765A">
      <w:pPr>
        <w:spacing w:line="480" w:lineRule="auto"/>
        <w:ind w:firstLine="720"/>
      </w:pPr>
      <w:r>
        <w:t xml:space="preserve">The goal of this thesis was to address site function in the realm of settlement and subsistence studies in archaeology through the use of faunal analysis for one archaeological site on the Upper Cumberland Plateau of Tennessee that dates from the Late Archaic through the Woodland Period. The site had previously been ascribed the function of a base camp. To investigate this designation in the faunal assemblage, material correlates of a habitation site were established for faunal remains based on ethnoarchaeological and archaeological examples in areas outside of the Southeast. These include high species diversity, whole large mammal carcass representation, and multiple activities reflected in the faunal assemblage. I also chose to look at seasonality. </w:t>
      </w:r>
      <w:r>
        <w:br/>
      </w:r>
      <w:r>
        <w:tab/>
        <w:t xml:space="preserve">Before conclusions can be made regarding the nature of the faunal assemblage what it indicates about past human activity and subsistence, biases from natural accumulations of faunal remains, bone preservation and recovery methods must be addressed. Carnivore and rodent gnawing and root etching and weathered were consistently recorded from each context to address some of these issues. Overall, rodent gnawing is relatively low – only 28 total faunal elements display rodent gnawing. Very few of these were recovered from the Archaic and Woodland samples, and most were recovered from disturbed context. In contrast, carnivore gnawing is quite prevalent at the site (n=65). Carnivore gnawing was observed on 20 elements in the Archaic level, while only 4 were recorded from the Woodland samples. Carnivore gnawing was most prevalent from disturbed context, however. The implications of this loosely indicate that carnivores frequented the shelter more during the Late Archaic Period than the Woodland, however, given that the disturbed layer could be more associated with the Woodland Period than the Archaic, this may in fact be a misleading interpretation. </w:t>
      </w:r>
    </w:p>
    <w:p w:rsidR="003F765A" w:rsidRDefault="003F765A" w:rsidP="003F765A">
      <w:pPr>
        <w:spacing w:line="480" w:lineRule="auto"/>
        <w:ind w:firstLine="720"/>
      </w:pPr>
      <w:r>
        <w:lastRenderedPageBreak/>
        <w:t xml:space="preserve">Weathering and root etching were observed through the levels to look for increases or decreases with either. It was expected that weathered bone would be more prevalent in the lower, wetter levels of the site, however, weathered bone remains fairly consistent through the stratigraphical layers, as does root etching. This indicates consistent processes have been at work through the depositional history of the site. Weathering very was consistently observed on 20%-30% of the sampled bone. It is likely this weathering is the result of dripping water from the rock shelter ceiling over time. Both weathering and root etching decrease in proportion with depth, which is opposite of what was expected for weathered bone. </w:t>
      </w:r>
    </w:p>
    <w:p w:rsidR="003B5B91" w:rsidRDefault="003F765A" w:rsidP="003F765A">
      <w:pPr>
        <w:spacing w:line="480" w:lineRule="auto"/>
      </w:pPr>
      <w:r>
        <w:tab/>
        <w:t>Addressing bone preservation was also important to this thesis research as bone weight tends to decrease the further down in deposition where the layers are wet.</w:t>
      </w:r>
      <w:r w:rsidR="003B5B91">
        <w:t xml:space="preserve"> It has been hypothesized that poor preservation is what is causing this decrease.</w:t>
      </w:r>
      <w:r>
        <w:t xml:space="preserve"> Results supporting this interpretation include the low pH values for these lower le</w:t>
      </w:r>
      <w:r w:rsidR="003B5B91">
        <w:t xml:space="preserve">vels and the presence of water. </w:t>
      </w:r>
      <w:r>
        <w:t xml:space="preserve">However, </w:t>
      </w:r>
      <w:r w:rsidR="003B5B91">
        <w:t xml:space="preserve">pH is not a permanent state of an open system, so site occupation intensity was also explored using </w:t>
      </w:r>
      <w:r>
        <w:t>organic matter</w:t>
      </w:r>
      <w:r w:rsidR="003B5B91">
        <w:t xml:space="preserve">. Unfortunately these results are inconclusive. Organic matter does decrease, but this could be a function of low pH as well as site occupation. </w:t>
      </w:r>
    </w:p>
    <w:p w:rsidR="003F765A" w:rsidRDefault="003B5B91" w:rsidP="003B5B91">
      <w:pPr>
        <w:spacing w:line="480" w:lineRule="auto"/>
        <w:ind w:firstLine="720"/>
      </w:pPr>
      <w:r>
        <w:t xml:space="preserve">XRF analysis was therefore employed to obtain a better understanding of the nature of sediments, as these may reflect aspects of occupation. Calcium and phosphorous are both useful measures to investigate occupation – as both would have been deposited in this sheltered environment as a result of human occupation. Calcium is deposited from both bone and ash and phosphorous is deposited from organic material. Both significantly decrease around the same depth that pH begins to decrease. This is expected for calcium as it typically does not preserve well in acid environments (Karkanas et al. 2002). Phosphorous, however, should increase in these acidic levels, as water mixed with phosphoous actually increases the acidity of the water </w:t>
      </w:r>
      <w:r>
        <w:lastRenderedPageBreak/>
        <w:t xml:space="preserve">(Karkanas 2010). However, it is possible that phosphorous is still in the lower levels is part of a mineral that is undetectable by XRF analysis (an elemental, rather than an mineralogical approach). Therefore, much like the results of organic matter, these results are inconclusive. The increase of silica, however, may reflect more deposition of sandstone in these lower levels as it is transferred by water from the sandstone shelter itself. This falls in line with what is expected given the amount of water in the lower levels. For now, the results of these analyses are inconclusive. Both poor bone preservation and less intense occupation are favored. Based on the non-perishable artifact assemblages, i.e. lithics, carbonized plant remains, site occupation intensity does seem to decrease, however, there is evidence that the site was in use during the early Late Archaic period. I conclude that there is evidence for both situations. Addressing this problem any further will require a mineralogical analysis of the sediment as well as more sampling and is therefore beyond the scope of this thesis. Nonetheless, the faunal remains discussed from the Late Archaic mostly reflect use of the site well into the Late Archaic period. </w:t>
      </w:r>
      <w:r w:rsidR="003F765A">
        <w:t xml:space="preserve"> </w:t>
      </w:r>
    </w:p>
    <w:p w:rsidR="003F765A" w:rsidRPr="005E58D6" w:rsidRDefault="003F765A" w:rsidP="003F765A">
      <w:pPr>
        <w:spacing w:line="480" w:lineRule="auto"/>
      </w:pPr>
      <w:r>
        <w:tab/>
        <w:t xml:space="preserve">Lastly, recovery methods designed for the collection of small animal taxa yielded several positive results. </w:t>
      </w:r>
      <w:r w:rsidRPr="005E58D6">
        <w:t>First, several taxa not previously recognized from ¼” screening were identified from the 1/8” recovered material and include chipmunk, crow, mourning dove and salamander. A second passenger pigeon element was also identified from 1/8” screening. Additionally more fish, frog/toad and snake elements were recovered from these smaller screen sizes, although the fish remains are unidentifiable. Two elements of particular interest recovered from 1/8” screening are two bird elements with medullary bone build up. This buildup of calcium occurs in the long bones of female birds before laying eggs in the spring (</w:t>
      </w:r>
      <w:hyperlink r:id="rId15" w:anchor="_ENREF_1" w:history="1">
        <w:r w:rsidRPr="005E58D6">
          <w:rPr>
            <w:rStyle w:val="Hyperlink"/>
          </w:rPr>
          <w:t>Rick 1975</w:t>
        </w:r>
      </w:hyperlink>
      <w:r w:rsidRPr="005E58D6">
        <w:t xml:space="preserve">). Thus the 1/8” mesh yielded not only more bird remains, but remains that indicate season of occupation as well. Also, during the course of sorting through the collected material, well over 100 pieces of red ocre and </w:t>
      </w:r>
      <w:r w:rsidRPr="005E58D6">
        <w:lastRenderedPageBreak/>
        <w:t xml:space="preserve">small fired clay balls were recovered, two artifacts not previously recognized at the site itself. Lastly, 1/8” screening greatly increased NISP for small mammals, especially squirrel. </w:t>
      </w:r>
    </w:p>
    <w:p w:rsidR="003F765A" w:rsidRDefault="003F765A" w:rsidP="003F765A">
      <w:pPr>
        <w:spacing w:line="480" w:lineRule="auto"/>
        <w:ind w:firstLine="720"/>
      </w:pPr>
      <w:r w:rsidRPr="005E58D6">
        <w:t xml:space="preserve">It should be noted that 1/16” recovered material yielded no identifiable species or genera, although several families and orders could be identified. A very small portion of the excavated sediment was ultimately examined for 1/16” recovered faunal remains, so this statement could change if the sample sizes were increased. What is important, however, is that 1/16” screening did yield small animal taxa and indicates their presence at the site which otherwise would not have been considered. </w:t>
      </w:r>
      <w:r>
        <w:t>It should also be pointed out that to collect, process and sort and identify faunal remains recovered from 1/8” and 1/16” mesh was a huge time and labor investment; however, in this, it was beneficial to overall results.</w:t>
      </w:r>
    </w:p>
    <w:p w:rsidR="003F765A" w:rsidRDefault="003F765A" w:rsidP="003F765A">
      <w:pPr>
        <w:spacing w:line="480" w:lineRule="auto"/>
      </w:pPr>
      <w:r>
        <w:tab/>
        <w:t xml:space="preserve">The Late Archaic layer was deposited over a 3,000 year time span, thus teasing apart individual uses of the site over time are impossible. However, we must assume that people in the past engaged in predictable and patterned behavior, much as we do the same today. The faunal assemblage recovered from the Late Archaic midden does not match all the material correlates established for a base camp. While at least 13 species are represented in this layer, overall species diversity is low. The assemblage is dominated by white-tailed deer elements. The only other numerous species are squirrel and eastern box turtle. This suggests very focused and restricted hunting, and gathering in the case of the box turtle, strategies. Seasonality for the Late Archaic layer is interpreted as late fall through winter. This is based on several factors. First, a dense botanical assemblage has been recovered with recovery methods employed for these excavations. Many of these remains are carbonized nut shells from hickory and walnut species (Beck 2011), which would have been plentiful during the fall every year. Nuts, however, can be stored and this was a common practice of the Late Archaic people in the adjacent ridge and </w:t>
      </w:r>
      <w:r>
        <w:lastRenderedPageBreak/>
        <w:t xml:space="preserve">valley (Chapman 1994). Two faunal elements indicate fall/winter seasonality, a juvenile deer mandible and a bird bone with medullary buildup. Also, very few warm-weather taxa are represented in this assemblage, such as fish, mussels and pond turtles. Lastly, 16 whole and fragmented probable bone awls were recovered from this stratum. Awls were made and used by prehistoric peoples for punching holes through hides and other objects to tie together, or perhaps prying things open, holding back their hair, and piercing skin. Hide working leaves patterned use wear on freshly made bone awls. Many of the bone awls recovered from the Archaic strata displayed either a punching or twisting use wear, or some combination of both. Further evidence of hide working was recovered from the 1/8” screen – many small pieces of red ocre that were found in almost every provenience sampled with this mesh size. </w:t>
      </w:r>
    </w:p>
    <w:p w:rsidR="003F765A" w:rsidRDefault="003F765A" w:rsidP="003F765A">
      <w:pPr>
        <w:spacing w:line="480" w:lineRule="auto"/>
      </w:pPr>
      <w:r>
        <w:tab/>
        <w:t xml:space="preserve">Furthermore, given the large sample size of white-tailed deer remains, several interpretations can be made regarding their representation in the faunal assemblage. First, the transport of lower leg bones to the site is overtly represented in both the number of metapodia fragments, but also phalanges, vestigial metapodials, and sesmoids. Cranial elements are also well represented, especially teeth. Meaty mid-body sections are poorly represented, however, ribs are quite abundant, however, they too are dense and are still easily recognized when fragmented. The Archaic assemblage is heavily fragmented, and in fact, the only complete bones are phalanges, sesmoids and teeth. It is likely that whole deer were transported to the site for butchering. Where elements were encountered with butchering marks, disarticulation of fore and hind limbs and lower leg bones from upper leg bones were evident. </w:t>
      </w:r>
    </w:p>
    <w:p w:rsidR="003F765A" w:rsidRDefault="003F765A" w:rsidP="003F765A">
      <w:pPr>
        <w:spacing w:line="480" w:lineRule="auto"/>
      </w:pPr>
      <w:r>
        <w:tab/>
        <w:t>Thus the faunal assemblage recovered from the Late Archaic layer suggests that the site was occupied during the late summer – fall/early winter and hunting was targeted toward white-</w:t>
      </w:r>
      <w:r>
        <w:lastRenderedPageBreak/>
        <w:t xml:space="preserve">tailed deer which were butchered on site, likely for consumption and hides. Many fragmented and burned metapodia also suggest marrow consumption. </w:t>
      </w:r>
    </w:p>
    <w:p w:rsidR="003F765A" w:rsidRDefault="003F765A" w:rsidP="003F765A">
      <w:pPr>
        <w:spacing w:line="480" w:lineRule="auto"/>
      </w:pPr>
      <w:r>
        <w:tab/>
        <w:t xml:space="preserve">The Woodland layer is much smaller and not as ubiquitous in the rock shelter, however a large number of faunal remains were recovered from this layer. Like the Archaic Period, white-tailed deer seem to be the target of hunting activities. However, the representation of squirrel decreases a great bit during this transition, as does the representation of other small mammals. </w:t>
      </w:r>
      <w:r>
        <w:tab/>
      </w:r>
    </w:p>
    <w:p w:rsidR="003F765A" w:rsidRDefault="003F765A" w:rsidP="003F765A">
      <w:pPr>
        <w:spacing w:line="480" w:lineRule="auto"/>
      </w:pPr>
      <w:r>
        <w:tab/>
        <w:t xml:space="preserve">Seasonality during the Woodland seems to be at an earlier time of year. More warm weather taxa are present, such as pond turtle and freshwater snails and mussels, although only one fish is represented. Only two juvenile white-tailed deer remains were recovered from the Woodland layer, indicating that hunting seemed to be targeted toward older, more mature deer. Many encountered in the faunal assemblage were quite robust. Interestingly, the same pattern of white-tailed deer skeletal distribution is represented in the Woodland layer, mostly cranium and lower limb elements. Given that preservation was not a potential threat to the mostly dry Woodland layer, this does suggest some sort of transport bias; however, they could have been affected by mechanical breakdown or perhaps disposed of elsewhere. </w:t>
      </w:r>
    </w:p>
    <w:p w:rsidR="003F765A" w:rsidRDefault="003F765A" w:rsidP="003F765A">
      <w:pPr>
        <w:spacing w:line="480" w:lineRule="auto"/>
      </w:pPr>
      <w:r>
        <w:tab/>
        <w:t>Only 6 bone awls were recovered from the Woodland layer, and 5 were located near each other. To properly address activity areas, many more analyses are needed, however, this occurrence is intriguing, as were the four clustered deer mandibles (and 2 turkey tibiotarsii from unknown context).</w:t>
      </w:r>
    </w:p>
    <w:p w:rsidR="003F765A" w:rsidRDefault="003F765A" w:rsidP="003F765A">
      <w:pPr>
        <w:spacing w:line="480" w:lineRule="auto"/>
      </w:pPr>
      <w:r>
        <w:tab/>
        <w:t xml:space="preserve">All this indicates that very little change occurred in the use of the site, based on the faunal assemblage, from the Woodland to the Archaic Period. However, given that the Woodland layer was largely disturbed by looting activities, the faunal remains recovered from disturbed context </w:t>
      </w:r>
      <w:r>
        <w:lastRenderedPageBreak/>
        <w:t xml:space="preserve">are likely mostly derived from this Woodland deposit, with some of the Archaic deposit mixed in as well. This is reflected in both the white-tailed deer distribution  of elements and similar proportions of weathered and root-etched bone in Archaic and Woodland context. The species present in disturbed context follow a similar pattern to the Archaic and Woodland as well, mostly deer and many squirrel and box turtle, but also a lot more raccoon, and several different types of medium mammals. </w:t>
      </w:r>
    </w:p>
    <w:p w:rsidR="003F765A" w:rsidRDefault="003F765A" w:rsidP="003F765A">
      <w:pPr>
        <w:spacing w:line="480" w:lineRule="auto"/>
      </w:pPr>
      <w:r>
        <w:tab/>
        <w:t xml:space="preserve">It seems that site use changes very little over time as reflected in the faunal assemblage. Taking the results of disturbed context into account, it seems that most of the faunal assemblage accumulated during the fall seasons, and whole deer carcasses were brought to the site for butchering, skinning, bone tool making, and possibly for marrow. Antler was also present in all strata. </w:t>
      </w:r>
    </w:p>
    <w:p w:rsidR="003F765A" w:rsidRDefault="003F765A" w:rsidP="003F765A">
      <w:pPr>
        <w:spacing w:line="480" w:lineRule="auto"/>
      </w:pPr>
      <w:r>
        <w:tab/>
        <w:t xml:space="preserve">In conclusion, the goals of this thesis have been met. Site function is reflected in the faunal assemblages that come from Archaic, Woodland and mixed context from Sachsen Cave Shelter. This type of approach has not been employed for this area of the Southeast before, and could be much more informative if expanded across a large area to find other sites occupied during other seasons that would offer good comparisons. Unfortunately, very few archaeological sites exist on the Upper Cumberland Plateau of Tennessee that have this same type of faunal preservation and intact stratified sequences. Sachsen is a rare site on the Upper Cumberland Plateau is it has been protected from relic hunters for nearly 50 years. Many once well sequenced sites on the Plateau have been completely obliterated by looting activities. In this case, using disturbed context data for comparisons was beneficial to overall conclusions. It is possible that more data like this can be ascertained from other rock shelter sites on the Cumberland Plateau in on going research to understand how the plateau was used by people in the past. </w:t>
      </w:r>
    </w:p>
    <w:p w:rsidR="00ED6B93" w:rsidRDefault="00ED6B93" w:rsidP="00ED6B93"/>
    <w:p w:rsidR="00ED6B93" w:rsidRDefault="00ED6B93" w:rsidP="00ED6B93"/>
    <w:p w:rsidR="00ED6B93" w:rsidRPr="00E73BAF" w:rsidRDefault="00B33E6D" w:rsidP="00D61D2D">
      <w:pPr>
        <w:spacing w:line="240" w:lineRule="auto"/>
        <w:rPr>
          <w:rFonts w:cs="Times New Roman"/>
          <w:noProof/>
        </w:rPr>
      </w:pPr>
      <w:r>
        <w:fldChar w:fldCharType="begin"/>
      </w:r>
      <w:r w:rsidR="00ED6B93">
        <w:instrText xml:space="preserve"> ADDIN EN.REFLIST </w:instrText>
      </w:r>
      <w:r>
        <w:fldChar w:fldCharType="separate"/>
      </w:r>
      <w:r w:rsidR="00ED6B93" w:rsidRPr="00E73BAF">
        <w:rPr>
          <w:rFonts w:cs="Times New Roman"/>
          <w:noProof/>
        </w:rPr>
        <w:t xml:space="preserve"> </w:t>
      </w:r>
    </w:p>
    <w:p w:rsidR="00ED6B93" w:rsidRPr="00E73BAF" w:rsidRDefault="00ED6B93" w:rsidP="00ED6B93">
      <w:pPr>
        <w:spacing w:line="240" w:lineRule="auto"/>
        <w:rPr>
          <w:rFonts w:cs="Times New Roman"/>
          <w:noProof/>
        </w:rPr>
      </w:pPr>
    </w:p>
    <w:p w:rsidR="00ED6B93" w:rsidRDefault="00ED6B93" w:rsidP="00ED6B93">
      <w:pPr>
        <w:spacing w:line="240" w:lineRule="auto"/>
        <w:rPr>
          <w:rFonts w:cs="Times New Roman"/>
          <w:noProof/>
        </w:rPr>
      </w:pPr>
    </w:p>
    <w:p w:rsidR="00121EC1" w:rsidRPr="00121EC1" w:rsidRDefault="00B33E6D" w:rsidP="003F765A">
      <w:r>
        <w:fldChar w:fldCharType="end"/>
      </w:r>
      <w:r w:rsidR="00121EC1">
        <w:t xml:space="preserve"> </w:t>
      </w:r>
    </w:p>
    <w:p w:rsidR="00C20878" w:rsidRPr="00C123C1" w:rsidRDefault="00C20878">
      <w:pPr>
        <w:rPr>
          <w:rFonts w:cs="Times New Roman"/>
          <w:szCs w:val="24"/>
        </w:rPr>
      </w:pPr>
      <w:r w:rsidRPr="00C123C1">
        <w:rPr>
          <w:rFonts w:cs="Times New Roman"/>
          <w:szCs w:val="24"/>
        </w:rPr>
        <w:br w:type="page"/>
      </w:r>
    </w:p>
    <w:p w:rsidR="000B39B8" w:rsidRPr="00C123C1" w:rsidRDefault="00C20878" w:rsidP="00121EC1">
      <w:pPr>
        <w:pStyle w:val="Heading1"/>
        <w:jc w:val="center"/>
      </w:pPr>
      <w:bookmarkStart w:id="71" w:name="_Toc349507304"/>
      <w:r w:rsidRPr="00C123C1">
        <w:lastRenderedPageBreak/>
        <w:t>References Cited</w:t>
      </w:r>
      <w:bookmarkEnd w:id="71"/>
    </w:p>
    <w:p w:rsidR="00922F34" w:rsidRPr="00C123C1" w:rsidRDefault="00922F34" w:rsidP="00C123C1">
      <w:pPr>
        <w:spacing w:after="0" w:line="240" w:lineRule="auto"/>
        <w:contextualSpacing/>
        <w:rPr>
          <w:rFonts w:cs="Times New Roman"/>
          <w:szCs w:val="24"/>
        </w:rPr>
      </w:pPr>
    </w:p>
    <w:p w:rsidR="00922F34" w:rsidRPr="00C76542" w:rsidRDefault="00922F34" w:rsidP="00C76542">
      <w:pPr>
        <w:spacing w:after="0" w:line="240" w:lineRule="auto"/>
        <w:contextualSpacing/>
        <w:rPr>
          <w:rFonts w:cs="Times New Roman"/>
          <w:szCs w:val="24"/>
        </w:rPr>
      </w:pPr>
    </w:p>
    <w:p w:rsidR="00CC32D4" w:rsidRPr="00C76542" w:rsidRDefault="00B33E6D" w:rsidP="00C76542">
      <w:pPr>
        <w:spacing w:after="0" w:line="240" w:lineRule="auto"/>
        <w:contextualSpacing/>
        <w:rPr>
          <w:rFonts w:cs="Times New Roman"/>
          <w:noProof/>
          <w:szCs w:val="24"/>
        </w:rPr>
      </w:pPr>
      <w:r w:rsidRPr="00C76542">
        <w:rPr>
          <w:rFonts w:cs="Times New Roman"/>
          <w:szCs w:val="24"/>
        </w:rPr>
        <w:fldChar w:fldCharType="begin"/>
      </w:r>
      <w:r w:rsidR="00922F34" w:rsidRPr="00C76542">
        <w:rPr>
          <w:rFonts w:cs="Times New Roman"/>
          <w:szCs w:val="24"/>
        </w:rPr>
        <w:instrText xml:space="preserve"> ADDIN EN.REFLIST </w:instrText>
      </w:r>
      <w:r w:rsidRPr="00C76542">
        <w:rPr>
          <w:rFonts w:cs="Times New Roman"/>
          <w:szCs w:val="24"/>
        </w:rPr>
        <w:fldChar w:fldCharType="separate"/>
      </w:r>
    </w:p>
    <w:p w:rsidR="00B15FB2" w:rsidRPr="00B15FB2" w:rsidRDefault="00B33E6D" w:rsidP="00B15FB2">
      <w:pPr>
        <w:spacing w:line="240" w:lineRule="auto"/>
        <w:rPr>
          <w:rFonts w:ascii="Calibri" w:hAnsi="Calibri" w:cs="Times New Roman"/>
          <w:noProof/>
          <w:sz w:val="22"/>
          <w:szCs w:val="24"/>
        </w:rPr>
      </w:pPr>
      <w:r w:rsidRPr="00C76542">
        <w:rPr>
          <w:rFonts w:cs="Times New Roman"/>
          <w:szCs w:val="24"/>
        </w:rPr>
        <w:fldChar w:fldCharType="end"/>
      </w:r>
      <w:r w:rsidRPr="00F6311B">
        <w:rPr>
          <w:rFonts w:cs="Times New Roman"/>
          <w:szCs w:val="24"/>
        </w:rPr>
        <w:fldChar w:fldCharType="begin"/>
      </w:r>
      <w:r w:rsidR="00CC32D4" w:rsidRPr="00F6311B">
        <w:rPr>
          <w:rFonts w:cs="Times New Roman"/>
          <w:szCs w:val="24"/>
        </w:rPr>
        <w:instrText xml:space="preserve"> ADDIN EN.REFLIST </w:instrText>
      </w:r>
      <w:r w:rsidRPr="00F6311B">
        <w:rPr>
          <w:rFonts w:cs="Times New Roman"/>
          <w:szCs w:val="24"/>
        </w:rPr>
        <w:fldChar w:fldCharType="separate"/>
      </w:r>
      <w:bookmarkStart w:id="72" w:name="_ENREF_1"/>
      <w:r w:rsidR="00B15FB2" w:rsidRPr="00B15FB2">
        <w:rPr>
          <w:rFonts w:ascii="Calibri" w:hAnsi="Calibri" w:cs="Times New Roman"/>
          <w:noProof/>
          <w:sz w:val="22"/>
          <w:szCs w:val="24"/>
        </w:rPr>
        <w:t>Anderson, David G. and Kenneth E. Sassaman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2012</w:t>
      </w:r>
      <w:r w:rsidRPr="00B15FB2">
        <w:rPr>
          <w:rFonts w:ascii="Calibri" w:hAnsi="Calibri" w:cs="Times New Roman"/>
          <w:noProof/>
          <w:sz w:val="22"/>
          <w:szCs w:val="24"/>
        </w:rPr>
        <w:tab/>
      </w:r>
      <w:r w:rsidRPr="00B15FB2">
        <w:rPr>
          <w:rFonts w:ascii="Calibri" w:hAnsi="Calibri" w:cs="Times New Roman"/>
          <w:i/>
          <w:noProof/>
          <w:sz w:val="22"/>
          <w:szCs w:val="24"/>
        </w:rPr>
        <w:t>Recent Developments in Southeastern Archaeology.</w:t>
      </w:r>
      <w:r w:rsidRPr="00B15FB2">
        <w:rPr>
          <w:rFonts w:ascii="Calibri" w:hAnsi="Calibri" w:cs="Times New Roman"/>
          <w:noProof/>
          <w:sz w:val="22"/>
          <w:szCs w:val="24"/>
        </w:rPr>
        <w:t xml:space="preserve"> Society for American Archaeology Press, Washington, D.C.</w:t>
      </w:r>
    </w:p>
    <w:bookmarkEnd w:id="7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3" w:name="_ENREF_2"/>
      <w:r w:rsidRPr="00B15FB2">
        <w:rPr>
          <w:rFonts w:ascii="Calibri" w:hAnsi="Calibri" w:cs="Times New Roman"/>
          <w:noProof/>
          <w:sz w:val="22"/>
          <w:szCs w:val="24"/>
        </w:rPr>
        <w:t>Andrefsky, Jr., William</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2005</w:t>
      </w:r>
      <w:r w:rsidRPr="00B15FB2">
        <w:rPr>
          <w:rFonts w:ascii="Calibri" w:hAnsi="Calibri" w:cs="Times New Roman"/>
          <w:noProof/>
          <w:sz w:val="22"/>
          <w:szCs w:val="24"/>
        </w:rPr>
        <w:tab/>
      </w:r>
      <w:r w:rsidRPr="00B15FB2">
        <w:rPr>
          <w:rFonts w:ascii="Calibri" w:hAnsi="Calibri" w:cs="Times New Roman"/>
          <w:i/>
          <w:noProof/>
          <w:sz w:val="22"/>
          <w:szCs w:val="24"/>
        </w:rPr>
        <w:t>Lithics: Macroscopic Approaches to Analysis</w:t>
      </w:r>
      <w:r w:rsidRPr="00B15FB2">
        <w:rPr>
          <w:rFonts w:ascii="Calibri" w:hAnsi="Calibri" w:cs="Times New Roman"/>
          <w:noProof/>
          <w:sz w:val="22"/>
          <w:szCs w:val="24"/>
        </w:rPr>
        <w:t xml:space="preserve">. Second ed. Cambridge Manuals in Archaeology. Cambridge University Press New York </w:t>
      </w:r>
    </w:p>
    <w:bookmarkEnd w:id="7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4" w:name="_ENREF_3"/>
      <w:r w:rsidRPr="00B15FB2">
        <w:rPr>
          <w:rFonts w:ascii="Calibri" w:hAnsi="Calibri" w:cs="Times New Roman"/>
          <w:noProof/>
          <w:sz w:val="22"/>
          <w:szCs w:val="24"/>
        </w:rPr>
        <w:t>Andrews, Peter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1990</w:t>
      </w:r>
      <w:r w:rsidRPr="00B15FB2">
        <w:rPr>
          <w:rFonts w:ascii="Calibri" w:hAnsi="Calibri" w:cs="Times New Roman"/>
          <w:noProof/>
          <w:sz w:val="22"/>
          <w:szCs w:val="24"/>
        </w:rPr>
        <w:tab/>
      </w:r>
      <w:r w:rsidRPr="00B15FB2">
        <w:rPr>
          <w:rFonts w:ascii="Calibri" w:hAnsi="Calibri" w:cs="Times New Roman"/>
          <w:i/>
          <w:noProof/>
          <w:sz w:val="22"/>
          <w:szCs w:val="24"/>
        </w:rPr>
        <w:t>Owls, Caves and Fossils: Predation, Preservation and Accumulation of Small Mammal Bones in Caves, with an Analysis of the Pleistocene Cave Faunas from Westbury-Sub-Mendip, Somerset, U.K.</w:t>
      </w:r>
      <w:r w:rsidRPr="00B15FB2">
        <w:rPr>
          <w:rFonts w:ascii="Calibri" w:hAnsi="Calibri" w:cs="Times New Roman"/>
          <w:noProof/>
          <w:sz w:val="22"/>
          <w:szCs w:val="24"/>
        </w:rPr>
        <w:t xml:space="preserve"> The Natural History Museum, London.</w:t>
      </w:r>
    </w:p>
    <w:bookmarkEnd w:id="7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5" w:name="_ENREF_4"/>
      <w:r w:rsidRPr="00B15FB2">
        <w:rPr>
          <w:rFonts w:ascii="Calibri" w:hAnsi="Calibri" w:cs="Times New Roman"/>
          <w:noProof/>
          <w:sz w:val="22"/>
          <w:szCs w:val="24"/>
        </w:rPr>
        <w:t>Behrensmeyer, Anna K.</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1978</w:t>
      </w:r>
      <w:r w:rsidRPr="00B15FB2">
        <w:rPr>
          <w:rFonts w:ascii="Calibri" w:hAnsi="Calibri" w:cs="Times New Roman"/>
          <w:noProof/>
          <w:sz w:val="22"/>
          <w:szCs w:val="24"/>
        </w:rPr>
        <w:tab/>
        <w:t xml:space="preserve">Taphonomic and Ecological Information from Bone Weathering. </w:t>
      </w:r>
      <w:r w:rsidRPr="00B15FB2">
        <w:rPr>
          <w:rFonts w:ascii="Calibri" w:hAnsi="Calibri" w:cs="Times New Roman"/>
          <w:i/>
          <w:noProof/>
          <w:sz w:val="22"/>
          <w:szCs w:val="24"/>
        </w:rPr>
        <w:t>Paleobiology</w:t>
      </w:r>
      <w:r w:rsidRPr="00B15FB2">
        <w:rPr>
          <w:rFonts w:ascii="Calibri" w:hAnsi="Calibri" w:cs="Times New Roman"/>
          <w:noProof/>
          <w:sz w:val="22"/>
          <w:szCs w:val="24"/>
        </w:rPr>
        <w:t xml:space="preserve"> 4:150-162.</w:t>
      </w:r>
    </w:p>
    <w:bookmarkEnd w:id="7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6" w:name="_ENREF_5"/>
      <w:r w:rsidRPr="00B15FB2">
        <w:rPr>
          <w:rFonts w:ascii="Calibri" w:hAnsi="Calibri" w:cs="Times New Roman"/>
          <w:noProof/>
          <w:sz w:val="22"/>
          <w:szCs w:val="24"/>
        </w:rPr>
        <w:t>Bennett, Joanne L.</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1999</w:t>
      </w:r>
      <w:r w:rsidRPr="00B15FB2">
        <w:rPr>
          <w:rFonts w:ascii="Calibri" w:hAnsi="Calibri" w:cs="Times New Roman"/>
          <w:noProof/>
          <w:sz w:val="22"/>
          <w:szCs w:val="24"/>
        </w:rPr>
        <w:tab/>
        <w:t xml:space="preserve">Thermal Alteration of Buried Bone.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26:1-8.</w:t>
      </w:r>
    </w:p>
    <w:bookmarkEnd w:id="7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7" w:name="_ENREF_6"/>
      <w:r w:rsidRPr="00B15FB2">
        <w:rPr>
          <w:rFonts w:ascii="Calibri" w:hAnsi="Calibri" w:cs="Times New Roman"/>
          <w:noProof/>
          <w:sz w:val="22"/>
          <w:szCs w:val="24"/>
        </w:rPr>
        <w:t>Berna, Francesco, Alan Matthews and Stephen Weiner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2004</w:t>
      </w:r>
      <w:r w:rsidRPr="00B15FB2">
        <w:rPr>
          <w:rFonts w:ascii="Calibri" w:hAnsi="Calibri" w:cs="Times New Roman"/>
          <w:noProof/>
          <w:sz w:val="22"/>
          <w:szCs w:val="24"/>
        </w:rPr>
        <w:tab/>
        <w:t xml:space="preserve">Solubilities of bone mineral from archaeological sites: the recrystallization window.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31(7):867-882.</w:t>
      </w:r>
    </w:p>
    <w:bookmarkEnd w:id="7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8" w:name="_ENREF_7"/>
      <w:r w:rsidRPr="00B15FB2">
        <w:rPr>
          <w:rFonts w:ascii="Calibri" w:hAnsi="Calibri" w:cs="Times New Roman"/>
          <w:noProof/>
          <w:sz w:val="22"/>
          <w:szCs w:val="24"/>
        </w:rPr>
        <w:t>Binford, Lewis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1978</w:t>
      </w:r>
      <w:r w:rsidRPr="00B15FB2">
        <w:rPr>
          <w:rFonts w:ascii="Calibri" w:hAnsi="Calibri" w:cs="Times New Roman"/>
          <w:noProof/>
          <w:sz w:val="22"/>
          <w:szCs w:val="24"/>
        </w:rPr>
        <w:tab/>
      </w:r>
      <w:r w:rsidRPr="00B15FB2">
        <w:rPr>
          <w:rFonts w:ascii="Calibri" w:hAnsi="Calibri" w:cs="Times New Roman"/>
          <w:i/>
          <w:noProof/>
          <w:sz w:val="22"/>
          <w:szCs w:val="24"/>
        </w:rPr>
        <w:t>Nunamiut Ethnoarchaeology</w:t>
      </w:r>
      <w:r w:rsidRPr="00B15FB2">
        <w:rPr>
          <w:rFonts w:ascii="Calibri" w:hAnsi="Calibri" w:cs="Times New Roman"/>
          <w:noProof/>
          <w:sz w:val="22"/>
          <w:szCs w:val="24"/>
        </w:rPr>
        <w:t>. Academic Press, NewYork.</w:t>
      </w:r>
    </w:p>
    <w:bookmarkEnd w:id="7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79" w:name="_ENREF_8"/>
      <w:r w:rsidRPr="00B15FB2">
        <w:rPr>
          <w:rFonts w:ascii="Calibri" w:hAnsi="Calibri" w:cs="Times New Roman"/>
          <w:noProof/>
          <w:sz w:val="22"/>
          <w:szCs w:val="24"/>
        </w:rPr>
        <w:tab/>
        <w:t>1981</w:t>
      </w:r>
      <w:r w:rsidRPr="00B15FB2">
        <w:rPr>
          <w:rFonts w:ascii="Calibri" w:hAnsi="Calibri" w:cs="Times New Roman"/>
          <w:noProof/>
          <w:sz w:val="22"/>
          <w:szCs w:val="24"/>
        </w:rPr>
        <w:tab/>
      </w:r>
      <w:r w:rsidRPr="00B15FB2">
        <w:rPr>
          <w:rFonts w:ascii="Calibri" w:hAnsi="Calibri" w:cs="Times New Roman"/>
          <w:i/>
          <w:noProof/>
          <w:sz w:val="22"/>
          <w:szCs w:val="24"/>
        </w:rPr>
        <w:t xml:space="preserve">Bones: Ancient Men and Modern Myths </w:t>
      </w:r>
      <w:r w:rsidRPr="00B15FB2">
        <w:rPr>
          <w:rFonts w:ascii="Calibri" w:hAnsi="Calibri" w:cs="Times New Roman"/>
          <w:noProof/>
          <w:sz w:val="22"/>
          <w:szCs w:val="24"/>
        </w:rPr>
        <w:t>Studies in Archaeology. Academic Press, New York.</w:t>
      </w:r>
    </w:p>
    <w:bookmarkEnd w:id="7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0" w:name="_ENREF_9"/>
      <w:r w:rsidRPr="00B15FB2">
        <w:rPr>
          <w:rFonts w:ascii="Calibri" w:hAnsi="Calibri" w:cs="Times New Roman"/>
          <w:noProof/>
          <w:sz w:val="22"/>
          <w:szCs w:val="24"/>
        </w:rPr>
        <w:t xml:space="preserve">Binford, Lewis R.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1980</w:t>
      </w:r>
      <w:r w:rsidRPr="00B15FB2">
        <w:rPr>
          <w:rFonts w:ascii="Calibri" w:hAnsi="Calibri" w:cs="Times New Roman"/>
          <w:noProof/>
          <w:sz w:val="22"/>
          <w:szCs w:val="24"/>
        </w:rPr>
        <w:tab/>
        <w:t xml:space="preserve">Willow Smoke and Dogs' Tails: Hunter-Gatherer Settlement Systems and Archaeological Site Formation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45(1):4-20.</w:t>
      </w:r>
    </w:p>
    <w:bookmarkEnd w:id="8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1" w:name="_ENREF_10"/>
      <w:r w:rsidRPr="00B15FB2">
        <w:rPr>
          <w:rFonts w:ascii="Calibri" w:hAnsi="Calibri" w:cs="Times New Roman"/>
          <w:noProof/>
          <w:sz w:val="22"/>
          <w:szCs w:val="24"/>
        </w:rPr>
        <w:t>Bobrowsky, Peter T. and Bruce F. Hall</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1989</w:t>
      </w:r>
      <w:r w:rsidRPr="00B15FB2">
        <w:rPr>
          <w:rFonts w:ascii="Calibri" w:hAnsi="Calibri" w:cs="Times New Roman"/>
          <w:noProof/>
          <w:sz w:val="22"/>
          <w:szCs w:val="24"/>
        </w:rPr>
        <w:tab/>
        <w:t xml:space="preserve">The Theory and Mechanics of Ecological Diversity in Archaeology. </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Quantifying Diversity in Archaeology</w:t>
      </w:r>
      <w:r w:rsidRPr="00B15FB2">
        <w:rPr>
          <w:rFonts w:ascii="Calibri" w:hAnsi="Calibri" w:cs="Times New Roman"/>
          <w:noProof/>
          <w:sz w:val="22"/>
          <w:szCs w:val="24"/>
        </w:rPr>
        <w:t>, edited by R. D. L. a. G. T. Jones. Cambrigde University Press Cambridge.</w:t>
      </w:r>
    </w:p>
    <w:bookmarkEnd w:id="8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2" w:name="_ENREF_11"/>
      <w:r w:rsidRPr="00B15FB2">
        <w:rPr>
          <w:rFonts w:ascii="Calibri" w:hAnsi="Calibri" w:cs="Times New Roman"/>
          <w:noProof/>
          <w:sz w:val="22"/>
          <w:szCs w:val="24"/>
        </w:rPr>
        <w:t>Bogan, Arthur E.</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1982</w:t>
      </w:r>
      <w:r w:rsidRPr="00B15FB2">
        <w:rPr>
          <w:rFonts w:ascii="Calibri" w:hAnsi="Calibri" w:cs="Times New Roman"/>
          <w:noProof/>
          <w:sz w:val="22"/>
          <w:szCs w:val="24"/>
        </w:rPr>
        <w:tab/>
        <w:t xml:space="preserve">Archaeological Evidence of Subsistence Patterns in the Little Tennessee River Valley. </w:t>
      </w:r>
      <w:r w:rsidRPr="00B15FB2">
        <w:rPr>
          <w:rFonts w:ascii="Calibri" w:hAnsi="Calibri" w:cs="Times New Roman"/>
          <w:i/>
          <w:noProof/>
          <w:sz w:val="22"/>
          <w:szCs w:val="24"/>
        </w:rPr>
        <w:t>Tennessee Anthropologist</w:t>
      </w:r>
      <w:r w:rsidRPr="00B15FB2">
        <w:rPr>
          <w:rFonts w:ascii="Calibri" w:hAnsi="Calibri" w:cs="Times New Roman"/>
          <w:noProof/>
          <w:sz w:val="22"/>
          <w:szCs w:val="24"/>
        </w:rPr>
        <w:t xml:space="preserve"> 8(1):38-50.</w:t>
      </w:r>
    </w:p>
    <w:bookmarkEnd w:id="8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3" w:name="_ENREF_12"/>
      <w:r w:rsidRPr="00B15FB2">
        <w:rPr>
          <w:rFonts w:ascii="Calibri" w:hAnsi="Calibri" w:cs="Times New Roman"/>
          <w:noProof/>
          <w:sz w:val="22"/>
          <w:szCs w:val="24"/>
        </w:rPr>
        <w:t>Brain, C. K.</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1981</w:t>
      </w:r>
      <w:r w:rsidRPr="00B15FB2">
        <w:rPr>
          <w:rFonts w:ascii="Calibri" w:hAnsi="Calibri" w:cs="Times New Roman"/>
          <w:noProof/>
          <w:sz w:val="22"/>
          <w:szCs w:val="24"/>
        </w:rPr>
        <w:tab/>
      </w:r>
      <w:r w:rsidRPr="00B15FB2">
        <w:rPr>
          <w:rFonts w:ascii="Calibri" w:hAnsi="Calibri" w:cs="Times New Roman"/>
          <w:i/>
          <w:noProof/>
          <w:sz w:val="22"/>
          <w:szCs w:val="24"/>
        </w:rPr>
        <w:t>The Hunters or the Hunted: An Introduction to African Cave Taphonomy.</w:t>
      </w:r>
      <w:r w:rsidRPr="00B15FB2">
        <w:rPr>
          <w:rFonts w:ascii="Calibri" w:hAnsi="Calibri" w:cs="Times New Roman"/>
          <w:noProof/>
          <w:sz w:val="22"/>
          <w:szCs w:val="24"/>
        </w:rPr>
        <w:t xml:space="preserve"> University of Chicago Press, Chicago.</w:t>
      </w:r>
    </w:p>
    <w:bookmarkEnd w:id="8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4" w:name="_ENREF_13"/>
      <w:r w:rsidRPr="00B15FB2">
        <w:rPr>
          <w:rFonts w:ascii="Calibri" w:hAnsi="Calibri" w:cs="Times New Roman"/>
          <w:noProof/>
          <w:sz w:val="22"/>
          <w:szCs w:val="24"/>
        </w:rPr>
        <w:t>Bunn, Henry T., Laurence E. Bartram and Ellen M. Kroll</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1988</w:t>
      </w:r>
      <w:r w:rsidRPr="00B15FB2">
        <w:rPr>
          <w:rFonts w:ascii="Calibri" w:hAnsi="Calibri" w:cs="Times New Roman"/>
          <w:noProof/>
          <w:sz w:val="22"/>
          <w:szCs w:val="24"/>
        </w:rPr>
        <w:tab/>
        <w:t xml:space="preserve">Variability in bone assemblage formation from Hadza hunting, scavenging, and carcass processing. </w:t>
      </w:r>
      <w:r w:rsidRPr="00B15FB2">
        <w:rPr>
          <w:rFonts w:ascii="Calibri" w:hAnsi="Calibri" w:cs="Times New Roman"/>
          <w:i/>
          <w:noProof/>
          <w:sz w:val="22"/>
          <w:szCs w:val="24"/>
        </w:rPr>
        <w:t>Journal of Anthropological Archaeology</w:t>
      </w:r>
      <w:r w:rsidRPr="00B15FB2">
        <w:rPr>
          <w:rFonts w:ascii="Calibri" w:hAnsi="Calibri" w:cs="Times New Roman"/>
          <w:noProof/>
          <w:sz w:val="22"/>
          <w:szCs w:val="24"/>
        </w:rPr>
        <w:t xml:space="preserve"> 7(4):412-457.</w:t>
      </w:r>
    </w:p>
    <w:bookmarkEnd w:id="8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5" w:name="_ENREF_14"/>
      <w:r w:rsidRPr="00B15FB2">
        <w:rPr>
          <w:rFonts w:ascii="Calibri" w:hAnsi="Calibri" w:cs="Times New Roman"/>
          <w:noProof/>
          <w:sz w:val="22"/>
          <w:szCs w:val="24"/>
        </w:rPr>
        <w:t>Campbell, Jessie F.  and Darwin L. Newton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1995</w:t>
      </w:r>
      <w:r w:rsidRPr="00B15FB2">
        <w:rPr>
          <w:rFonts w:ascii="Calibri" w:hAnsi="Calibri" w:cs="Times New Roman"/>
          <w:noProof/>
          <w:sz w:val="22"/>
          <w:szCs w:val="24"/>
        </w:rPr>
        <w:tab/>
      </w:r>
      <w:r w:rsidRPr="00B15FB2">
        <w:rPr>
          <w:rFonts w:ascii="Calibri" w:hAnsi="Calibri" w:cs="Times New Roman"/>
          <w:i/>
          <w:noProof/>
          <w:sz w:val="22"/>
          <w:szCs w:val="24"/>
        </w:rPr>
        <w:t>Soil Survey of Fentress and Pickett Counties, Tennessee.</w:t>
      </w:r>
      <w:r w:rsidRPr="00B15FB2">
        <w:rPr>
          <w:rFonts w:ascii="Calibri" w:hAnsi="Calibri" w:cs="Times New Roman"/>
          <w:noProof/>
          <w:sz w:val="22"/>
          <w:szCs w:val="24"/>
        </w:rPr>
        <w:t xml:space="preserve"> United States Department of Agriclture, Soil Conservation Service; in cooperation with Tennessee Agricultural Experiment Station </w:t>
      </w:r>
    </w:p>
    <w:bookmarkEnd w:id="8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6" w:name="_ENREF_15"/>
      <w:r w:rsidRPr="00B15FB2">
        <w:rPr>
          <w:rFonts w:ascii="Calibri" w:hAnsi="Calibri" w:cs="Times New Roman"/>
          <w:noProof/>
          <w:sz w:val="22"/>
          <w:szCs w:val="24"/>
        </w:rPr>
        <w:t>Carr, Phillip J. and Andrew P. Bradbury</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2001</w:t>
      </w:r>
      <w:r w:rsidRPr="00B15FB2">
        <w:rPr>
          <w:rFonts w:ascii="Calibri" w:hAnsi="Calibri" w:cs="Times New Roman"/>
          <w:noProof/>
          <w:sz w:val="22"/>
          <w:szCs w:val="24"/>
        </w:rPr>
        <w:tab/>
        <w:t>Flake Debris Analysis, Levels of Production, and the Organization of Technology</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 xml:space="preserve">Lithic Debitage Analysis: Studies in Context, Form and Meaning </w:t>
      </w:r>
      <w:r w:rsidRPr="00B15FB2">
        <w:rPr>
          <w:rFonts w:ascii="Calibri" w:hAnsi="Calibri" w:cs="Times New Roman"/>
          <w:noProof/>
          <w:sz w:val="22"/>
          <w:szCs w:val="24"/>
        </w:rPr>
        <w:t>edited by W. Andrefsky, pp. 126-146. University of Utah Press.</w:t>
      </w:r>
    </w:p>
    <w:bookmarkEnd w:id="8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7" w:name="_ENREF_16"/>
      <w:r w:rsidRPr="00B15FB2">
        <w:rPr>
          <w:rFonts w:ascii="Calibri" w:hAnsi="Calibri" w:cs="Times New Roman"/>
          <w:noProof/>
          <w:sz w:val="22"/>
          <w:szCs w:val="24"/>
        </w:rPr>
        <w:t>Casteel, Richard W.</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1977</w:t>
      </w:r>
      <w:r w:rsidRPr="00B15FB2">
        <w:rPr>
          <w:rFonts w:ascii="Calibri" w:hAnsi="Calibri" w:cs="Times New Roman"/>
          <w:noProof/>
          <w:sz w:val="22"/>
          <w:szCs w:val="24"/>
        </w:rPr>
        <w:tab/>
        <w:t xml:space="preserve">Characterization of Faunal Assemblages and the Minimum Number of Individuals Determined from Paired Elements: Continuing Problems in Archaeology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4:125-134.</w:t>
      </w:r>
    </w:p>
    <w:bookmarkEnd w:id="8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8" w:name="_ENREF_17"/>
      <w:r w:rsidRPr="00B15FB2">
        <w:rPr>
          <w:rFonts w:ascii="Calibri" w:hAnsi="Calibri" w:cs="Times New Roman"/>
          <w:noProof/>
          <w:sz w:val="22"/>
          <w:szCs w:val="24"/>
        </w:rPr>
        <w:t>Chapman, Jefferson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1994</w:t>
      </w:r>
      <w:r w:rsidRPr="00B15FB2">
        <w:rPr>
          <w:rFonts w:ascii="Calibri" w:hAnsi="Calibri" w:cs="Times New Roman"/>
          <w:noProof/>
          <w:sz w:val="22"/>
          <w:szCs w:val="24"/>
        </w:rPr>
        <w:tab/>
      </w:r>
      <w:r w:rsidRPr="00B15FB2">
        <w:rPr>
          <w:rFonts w:ascii="Calibri" w:hAnsi="Calibri" w:cs="Times New Roman"/>
          <w:i/>
          <w:noProof/>
          <w:sz w:val="22"/>
          <w:szCs w:val="24"/>
        </w:rPr>
        <w:t>Tellico Archaeology, 12,000 years of Native American History (Revised Edition).</w:t>
      </w:r>
      <w:r w:rsidRPr="00B15FB2">
        <w:rPr>
          <w:rFonts w:ascii="Calibri" w:hAnsi="Calibri" w:cs="Times New Roman"/>
          <w:noProof/>
          <w:sz w:val="22"/>
          <w:szCs w:val="24"/>
        </w:rPr>
        <w:t xml:space="preserve"> Report of Investigation No. 43, Department of Anthropology, University of Tennessee, Knoxville. Occasoinal Paper No. 5, Frank H. McClung Museum, University of Tennessee, Knoxville. Publications in Anthropology No. 41, Tennessee Valley Authority </w:t>
      </w:r>
    </w:p>
    <w:bookmarkEnd w:id="8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89" w:name="_ENREF_18"/>
      <w:r w:rsidRPr="00B15FB2">
        <w:rPr>
          <w:rFonts w:ascii="Calibri" w:hAnsi="Calibri" w:cs="Times New Roman"/>
          <w:noProof/>
          <w:sz w:val="22"/>
          <w:szCs w:val="24"/>
        </w:rPr>
        <w:t xml:space="preserve">Chase, philip G.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1986</w:t>
      </w:r>
      <w:r w:rsidRPr="00B15FB2">
        <w:rPr>
          <w:rFonts w:ascii="Calibri" w:hAnsi="Calibri" w:cs="Times New Roman"/>
          <w:noProof/>
          <w:sz w:val="22"/>
          <w:szCs w:val="24"/>
        </w:rPr>
        <w:tab/>
        <w:t xml:space="preserve">Relationships between Mousterian Lithic and Faunal Assemblages at Combe Grenal. . </w:t>
      </w:r>
      <w:r w:rsidRPr="00B15FB2">
        <w:rPr>
          <w:rFonts w:ascii="Calibri" w:hAnsi="Calibri" w:cs="Times New Roman"/>
          <w:i/>
          <w:noProof/>
          <w:sz w:val="22"/>
          <w:szCs w:val="24"/>
        </w:rPr>
        <w:t>Current Anthropology</w:t>
      </w:r>
      <w:r w:rsidRPr="00B15FB2">
        <w:rPr>
          <w:rFonts w:ascii="Calibri" w:hAnsi="Calibri" w:cs="Times New Roman"/>
          <w:noProof/>
          <w:sz w:val="22"/>
          <w:szCs w:val="24"/>
        </w:rPr>
        <w:t xml:space="preserve"> 27(1):69-71.</w:t>
      </w:r>
    </w:p>
    <w:bookmarkEnd w:id="8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0" w:name="_ENREF_19"/>
      <w:r w:rsidRPr="00B15FB2">
        <w:rPr>
          <w:rFonts w:ascii="Calibri" w:hAnsi="Calibri" w:cs="Times New Roman"/>
          <w:noProof/>
          <w:sz w:val="22"/>
          <w:szCs w:val="24"/>
        </w:rPr>
        <w:t xml:space="preserve">Chatters, James C.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t xml:space="preserve">Hunter-Gatherer Adaptations and Assemblage Structure </w:t>
      </w:r>
      <w:r w:rsidRPr="00B15FB2">
        <w:rPr>
          <w:rFonts w:ascii="Calibri" w:hAnsi="Calibri" w:cs="Times New Roman"/>
          <w:i/>
          <w:noProof/>
          <w:sz w:val="22"/>
          <w:szCs w:val="24"/>
        </w:rPr>
        <w:t>Journal of Anthropological Archaeology</w:t>
      </w:r>
      <w:r w:rsidRPr="00B15FB2">
        <w:rPr>
          <w:rFonts w:ascii="Calibri" w:hAnsi="Calibri" w:cs="Times New Roman"/>
          <w:noProof/>
          <w:sz w:val="22"/>
          <w:szCs w:val="24"/>
        </w:rPr>
        <w:t xml:space="preserve"> 6:336-375.</w:t>
      </w:r>
    </w:p>
    <w:bookmarkEnd w:id="9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1" w:name="_ENREF_20"/>
      <w:r w:rsidRPr="00B15FB2">
        <w:rPr>
          <w:rFonts w:ascii="Calibri" w:hAnsi="Calibri" w:cs="Times New Roman"/>
          <w:noProof/>
          <w:sz w:val="22"/>
          <w:szCs w:val="24"/>
        </w:rPr>
        <w:t>Cruz-Uribe, Kathryn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1988</w:t>
      </w:r>
      <w:r w:rsidRPr="00B15FB2">
        <w:rPr>
          <w:rFonts w:ascii="Calibri" w:hAnsi="Calibri" w:cs="Times New Roman"/>
          <w:noProof/>
          <w:sz w:val="22"/>
          <w:szCs w:val="24"/>
        </w:rPr>
        <w:tab/>
        <w:t xml:space="preserve">The Use and Meaning of Species Diversity and Richness in Archaeological Faunas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15(179-196).</w:t>
      </w:r>
    </w:p>
    <w:bookmarkEnd w:id="9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2" w:name="_ENREF_21"/>
      <w:r w:rsidRPr="00B15FB2">
        <w:rPr>
          <w:rFonts w:ascii="Calibri" w:hAnsi="Calibri" w:cs="Times New Roman"/>
          <w:noProof/>
          <w:sz w:val="22"/>
          <w:szCs w:val="24"/>
        </w:rPr>
        <w:t xml:space="preserve">Davis, Simon J.M.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r>
      <w:r w:rsidRPr="00B15FB2">
        <w:rPr>
          <w:rFonts w:ascii="Calibri" w:hAnsi="Calibri" w:cs="Times New Roman"/>
          <w:i/>
          <w:noProof/>
          <w:sz w:val="22"/>
          <w:szCs w:val="24"/>
        </w:rPr>
        <w:t>The Archaeology of Animals.</w:t>
      </w:r>
      <w:r w:rsidRPr="00B15FB2">
        <w:rPr>
          <w:rFonts w:ascii="Calibri" w:hAnsi="Calibri" w:cs="Times New Roman"/>
          <w:noProof/>
          <w:sz w:val="22"/>
          <w:szCs w:val="24"/>
        </w:rPr>
        <w:t xml:space="preserve"> Yale University Press, New Haven.</w:t>
      </w:r>
    </w:p>
    <w:bookmarkEnd w:id="9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3" w:name="_ENREF_22"/>
      <w:r w:rsidRPr="00B15FB2">
        <w:rPr>
          <w:rFonts w:ascii="Calibri" w:hAnsi="Calibri" w:cs="Times New Roman"/>
          <w:noProof/>
          <w:sz w:val="22"/>
          <w:szCs w:val="24"/>
        </w:rPr>
        <w:t>Delcourt, Hazel R. and Paul A. Delcourt</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1985</w:t>
      </w:r>
      <w:r w:rsidRPr="00B15FB2">
        <w:rPr>
          <w:rFonts w:ascii="Calibri" w:hAnsi="Calibri" w:cs="Times New Roman"/>
          <w:noProof/>
          <w:sz w:val="22"/>
          <w:szCs w:val="24"/>
        </w:rPr>
        <w:tab/>
        <w:t xml:space="preserve">Quaternary Palynology and Vegetational History of the Southeastern United States. In </w:t>
      </w:r>
      <w:r w:rsidRPr="00B15FB2">
        <w:rPr>
          <w:rFonts w:ascii="Calibri" w:hAnsi="Calibri" w:cs="Times New Roman"/>
          <w:i/>
          <w:noProof/>
          <w:sz w:val="22"/>
          <w:szCs w:val="24"/>
        </w:rPr>
        <w:t>Pollen Records of Late-Quaternary North American Sediments</w:t>
      </w:r>
      <w:r w:rsidRPr="00B15FB2">
        <w:rPr>
          <w:rFonts w:ascii="Calibri" w:hAnsi="Calibri" w:cs="Times New Roman"/>
          <w:noProof/>
          <w:sz w:val="22"/>
          <w:szCs w:val="24"/>
        </w:rPr>
        <w:t>, edited by J. Bryant, V.M.  and R. G. Holloway, pp. 1-37. merican Association of Stratigraphic Palynologists Foundation.</w:t>
      </w:r>
    </w:p>
    <w:bookmarkEnd w:id="9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4" w:name="_ENREF_23"/>
      <w:r w:rsidRPr="00B15FB2">
        <w:rPr>
          <w:rFonts w:ascii="Calibri" w:hAnsi="Calibri" w:cs="Times New Roman"/>
          <w:noProof/>
          <w:sz w:val="22"/>
          <w:szCs w:val="24"/>
        </w:rPr>
        <w:t>Delcourt, Paul A. and Hazel R. Delcourt</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1981</w:t>
      </w:r>
      <w:r w:rsidRPr="00B15FB2">
        <w:rPr>
          <w:rFonts w:ascii="Calibri" w:hAnsi="Calibri" w:cs="Times New Roman"/>
          <w:noProof/>
          <w:sz w:val="22"/>
          <w:szCs w:val="24"/>
        </w:rPr>
        <w:tab/>
        <w:t xml:space="preserve">Vegetation Maps for Eastern North America. In </w:t>
      </w:r>
      <w:r w:rsidRPr="00B15FB2">
        <w:rPr>
          <w:rFonts w:ascii="Calibri" w:hAnsi="Calibri" w:cs="Times New Roman"/>
          <w:i/>
          <w:noProof/>
          <w:sz w:val="22"/>
          <w:szCs w:val="24"/>
        </w:rPr>
        <w:t>Geobotany II</w:t>
      </w:r>
      <w:r w:rsidRPr="00B15FB2">
        <w:rPr>
          <w:rFonts w:ascii="Calibri" w:hAnsi="Calibri" w:cs="Times New Roman"/>
          <w:noProof/>
          <w:sz w:val="22"/>
          <w:szCs w:val="24"/>
        </w:rPr>
        <w:t>, edited by R. C. Romans, pp. 123-165. Plenum Press.</w:t>
      </w:r>
    </w:p>
    <w:bookmarkEnd w:id="9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5" w:name="_ENREF_24"/>
      <w:r w:rsidRPr="00B15FB2">
        <w:rPr>
          <w:rFonts w:ascii="Calibri" w:hAnsi="Calibri" w:cs="Times New Roman"/>
          <w:noProof/>
          <w:sz w:val="22"/>
          <w:szCs w:val="24"/>
        </w:rPr>
        <w:t>Dennison, Meagan E.</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2012</w:t>
      </w:r>
      <w:r w:rsidRPr="00B15FB2">
        <w:rPr>
          <w:rFonts w:ascii="Calibri" w:hAnsi="Calibri" w:cs="Times New Roman"/>
          <w:noProof/>
          <w:sz w:val="22"/>
          <w:szCs w:val="24"/>
        </w:rPr>
        <w:tab/>
        <w:t>Sampling and Preservation Bias on the Upper Cumberland Plateau of Tennessee. Paper presented at the Paper presented at the Current Research in Tennessee Archaeology, Nashville, TN.</w:t>
      </w:r>
    </w:p>
    <w:bookmarkEnd w:id="9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6" w:name="_ENREF_25"/>
      <w:r w:rsidRPr="00B15FB2">
        <w:rPr>
          <w:rFonts w:ascii="Calibri" w:hAnsi="Calibri" w:cs="Times New Roman"/>
          <w:noProof/>
          <w:sz w:val="22"/>
          <w:szCs w:val="24"/>
        </w:rPr>
        <w:t>Des Jean, Tom and Joseph L. Benthall</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1994</w:t>
      </w:r>
      <w:r w:rsidRPr="00B15FB2">
        <w:rPr>
          <w:rFonts w:ascii="Calibri" w:hAnsi="Calibri" w:cs="Times New Roman"/>
          <w:noProof/>
          <w:sz w:val="22"/>
          <w:szCs w:val="24"/>
        </w:rPr>
        <w:tab/>
        <w:t xml:space="preserve">A Lithic Based Cultural Chronology of the Upper Cumberland Plateau. </w:t>
      </w:r>
      <w:r w:rsidRPr="00B15FB2">
        <w:rPr>
          <w:rFonts w:ascii="Calibri" w:hAnsi="Calibri" w:cs="Times New Roman"/>
          <w:i/>
          <w:noProof/>
          <w:sz w:val="22"/>
          <w:szCs w:val="24"/>
        </w:rPr>
        <w:t>Tennessee Anthropologist</w:t>
      </w:r>
      <w:r w:rsidRPr="00B15FB2">
        <w:rPr>
          <w:rFonts w:ascii="Calibri" w:hAnsi="Calibri" w:cs="Times New Roman"/>
          <w:noProof/>
          <w:sz w:val="22"/>
          <w:szCs w:val="24"/>
        </w:rPr>
        <w:t xml:space="preserve"> 19(2):114-139.</w:t>
      </w:r>
    </w:p>
    <w:bookmarkEnd w:id="9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7" w:name="_ENREF_26"/>
      <w:r w:rsidRPr="00B15FB2">
        <w:rPr>
          <w:rFonts w:ascii="Calibri" w:hAnsi="Calibri" w:cs="Times New Roman"/>
          <w:noProof/>
          <w:sz w:val="22"/>
          <w:szCs w:val="24"/>
        </w:rPr>
        <w:t>Faulkner, Charles H. and Jan F. Simek</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1996</w:t>
      </w:r>
      <w:r w:rsidRPr="00B15FB2">
        <w:rPr>
          <w:rFonts w:ascii="Calibri" w:hAnsi="Calibri" w:cs="Times New Roman"/>
          <w:noProof/>
          <w:sz w:val="22"/>
          <w:szCs w:val="24"/>
        </w:rPr>
        <w:tab/>
        <w:t xml:space="preserve">1st Unnamed Cave: a Mississippian period cave art in east Tennessee, USA. </w:t>
      </w:r>
      <w:r w:rsidRPr="00B15FB2">
        <w:rPr>
          <w:rFonts w:ascii="Calibri" w:hAnsi="Calibri" w:cs="Times New Roman"/>
          <w:i/>
          <w:noProof/>
          <w:sz w:val="22"/>
          <w:szCs w:val="24"/>
        </w:rPr>
        <w:t>Antiquity</w:t>
      </w:r>
      <w:r w:rsidRPr="00B15FB2">
        <w:rPr>
          <w:rFonts w:ascii="Calibri" w:hAnsi="Calibri" w:cs="Times New Roman"/>
          <w:noProof/>
          <w:sz w:val="22"/>
          <w:szCs w:val="24"/>
        </w:rPr>
        <w:t xml:space="preserve"> 70:774+.</w:t>
      </w:r>
    </w:p>
    <w:bookmarkEnd w:id="9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8" w:name="_ENREF_27"/>
      <w:r w:rsidRPr="00B15FB2">
        <w:rPr>
          <w:rFonts w:ascii="Calibri" w:hAnsi="Calibri" w:cs="Times New Roman"/>
          <w:noProof/>
          <w:sz w:val="22"/>
          <w:szCs w:val="24"/>
        </w:rPr>
        <w:t>Fenneman, Nevin M.</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1938</w:t>
      </w:r>
      <w:r w:rsidRPr="00B15FB2">
        <w:rPr>
          <w:rFonts w:ascii="Calibri" w:hAnsi="Calibri" w:cs="Times New Roman"/>
          <w:noProof/>
          <w:sz w:val="22"/>
          <w:szCs w:val="24"/>
        </w:rPr>
        <w:tab/>
      </w:r>
      <w:r w:rsidRPr="00B15FB2">
        <w:rPr>
          <w:rFonts w:ascii="Calibri" w:hAnsi="Calibri" w:cs="Times New Roman"/>
          <w:i/>
          <w:noProof/>
          <w:sz w:val="22"/>
          <w:szCs w:val="24"/>
        </w:rPr>
        <w:t>Physiography of Eastern United States.</w:t>
      </w:r>
      <w:r w:rsidRPr="00B15FB2">
        <w:rPr>
          <w:rFonts w:ascii="Calibri" w:hAnsi="Calibri" w:cs="Times New Roman"/>
          <w:noProof/>
          <w:sz w:val="22"/>
          <w:szCs w:val="24"/>
        </w:rPr>
        <w:t xml:space="preserve"> McGraw-Hill, New York.</w:t>
      </w:r>
    </w:p>
    <w:bookmarkEnd w:id="9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99" w:name="_ENREF_28"/>
      <w:r w:rsidRPr="00B15FB2">
        <w:rPr>
          <w:rFonts w:ascii="Calibri" w:hAnsi="Calibri" w:cs="Times New Roman"/>
          <w:noProof/>
          <w:sz w:val="22"/>
          <w:szCs w:val="24"/>
        </w:rPr>
        <w:t>Franklin, Jay D.</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1999</w:t>
      </w:r>
      <w:r w:rsidRPr="00B15FB2">
        <w:rPr>
          <w:rFonts w:ascii="Calibri" w:hAnsi="Calibri" w:cs="Times New Roman"/>
          <w:noProof/>
          <w:sz w:val="22"/>
          <w:szCs w:val="24"/>
        </w:rPr>
        <w:tab/>
        <w:t>The Rime of the Ancient Miners. , Department of Anthropology, University of Tennessee, Knoxville.</w:t>
      </w:r>
    </w:p>
    <w:bookmarkEnd w:id="9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0" w:name="_ENREF_29"/>
      <w:r w:rsidRPr="00B15FB2">
        <w:rPr>
          <w:rFonts w:ascii="Calibri" w:hAnsi="Calibri" w:cs="Times New Roman"/>
          <w:noProof/>
          <w:sz w:val="22"/>
          <w:szCs w:val="24"/>
        </w:rPr>
        <w:tab/>
        <w:t>2002</w:t>
      </w:r>
      <w:r w:rsidRPr="00B15FB2">
        <w:rPr>
          <w:rFonts w:ascii="Calibri" w:hAnsi="Calibri" w:cs="Times New Roman"/>
          <w:noProof/>
          <w:sz w:val="22"/>
          <w:szCs w:val="24"/>
        </w:rPr>
        <w:tab/>
        <w:t>The Prehistory of Fentress County, Tennessee: An Archaeology Survey, Anthropology, University of Tennessee, Knoxville, TN.</w:t>
      </w:r>
    </w:p>
    <w:bookmarkEnd w:id="10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1" w:name="_ENREF_30"/>
      <w:r w:rsidRPr="00B15FB2">
        <w:rPr>
          <w:rFonts w:ascii="Calibri" w:hAnsi="Calibri" w:cs="Times New Roman"/>
          <w:noProof/>
          <w:sz w:val="22"/>
          <w:szCs w:val="24"/>
        </w:rPr>
        <w:t>Franklin, Jay D., Renee B. Walker, Maureen A. Hayes and Chase W. Beck</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2010</w:t>
      </w:r>
      <w:r w:rsidRPr="00B15FB2">
        <w:rPr>
          <w:rFonts w:ascii="Calibri" w:hAnsi="Calibri" w:cs="Times New Roman"/>
          <w:noProof/>
          <w:sz w:val="22"/>
          <w:szCs w:val="24"/>
        </w:rPr>
        <w:tab/>
        <w:t xml:space="preserve">Late Archaic Site Use at Sachsen Cave Shelter, Upper Cumberland Plateau, Tennessee. </w:t>
      </w:r>
      <w:r w:rsidRPr="00B15FB2">
        <w:rPr>
          <w:rFonts w:ascii="Calibri" w:hAnsi="Calibri" w:cs="Times New Roman"/>
          <w:i/>
          <w:noProof/>
          <w:sz w:val="22"/>
          <w:szCs w:val="24"/>
        </w:rPr>
        <w:t xml:space="preserve">North American Archaeologist </w:t>
      </w:r>
      <w:r w:rsidRPr="00B15FB2">
        <w:rPr>
          <w:rFonts w:ascii="Calibri" w:hAnsi="Calibri" w:cs="Times New Roman"/>
          <w:noProof/>
          <w:sz w:val="22"/>
          <w:szCs w:val="24"/>
        </w:rPr>
        <w:t>31(3-4):447-479.</w:t>
      </w:r>
    </w:p>
    <w:bookmarkEnd w:id="10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2" w:name="_ENREF_31"/>
      <w:r w:rsidRPr="00B15FB2">
        <w:rPr>
          <w:rFonts w:ascii="Calibri" w:hAnsi="Calibri" w:cs="Times New Roman"/>
          <w:noProof/>
          <w:sz w:val="22"/>
          <w:szCs w:val="24"/>
        </w:rPr>
        <w:t>Gifford, Diane P.</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1981</w:t>
      </w:r>
      <w:r w:rsidRPr="00B15FB2">
        <w:rPr>
          <w:rFonts w:ascii="Calibri" w:hAnsi="Calibri" w:cs="Times New Roman"/>
          <w:noProof/>
          <w:sz w:val="22"/>
          <w:szCs w:val="24"/>
        </w:rPr>
        <w:tab/>
        <w:t xml:space="preserve">Taphonomy and Paleoecology: A Critical Review of Archaeology's Sister Disciplines. </w:t>
      </w:r>
      <w:r w:rsidRPr="00B15FB2">
        <w:rPr>
          <w:rFonts w:ascii="Calibri" w:hAnsi="Calibri" w:cs="Times New Roman"/>
          <w:i/>
          <w:noProof/>
          <w:sz w:val="22"/>
          <w:szCs w:val="24"/>
        </w:rPr>
        <w:t>Advances in Archaeological Method and Theory</w:t>
      </w:r>
      <w:r w:rsidRPr="00B15FB2">
        <w:rPr>
          <w:rFonts w:ascii="Calibri" w:hAnsi="Calibri" w:cs="Times New Roman"/>
          <w:noProof/>
          <w:sz w:val="22"/>
          <w:szCs w:val="24"/>
        </w:rPr>
        <w:t xml:space="preserve"> 4:365-438.</w:t>
      </w:r>
    </w:p>
    <w:bookmarkEnd w:id="10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3" w:name="_ENREF_32"/>
      <w:r w:rsidRPr="00B15FB2">
        <w:rPr>
          <w:rFonts w:ascii="Calibri" w:hAnsi="Calibri" w:cs="Times New Roman"/>
          <w:noProof/>
          <w:sz w:val="22"/>
          <w:szCs w:val="24"/>
        </w:rPr>
        <w:t>Gilbert, B. Miles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1990</w:t>
      </w:r>
      <w:r w:rsidRPr="00B15FB2">
        <w:rPr>
          <w:rFonts w:ascii="Calibri" w:hAnsi="Calibri" w:cs="Times New Roman"/>
          <w:noProof/>
          <w:sz w:val="22"/>
          <w:szCs w:val="24"/>
        </w:rPr>
        <w:tab/>
      </w:r>
      <w:r w:rsidRPr="00B15FB2">
        <w:rPr>
          <w:rFonts w:ascii="Calibri" w:hAnsi="Calibri" w:cs="Times New Roman"/>
          <w:i/>
          <w:noProof/>
          <w:sz w:val="22"/>
          <w:szCs w:val="24"/>
        </w:rPr>
        <w:t>Mammalian Osteology</w:t>
      </w:r>
      <w:r w:rsidRPr="00B15FB2">
        <w:rPr>
          <w:rFonts w:ascii="Calibri" w:hAnsi="Calibri" w:cs="Times New Roman"/>
          <w:noProof/>
          <w:sz w:val="22"/>
          <w:szCs w:val="24"/>
        </w:rPr>
        <w:t>. Missouri Archaeological Society, Columbia, MO.</w:t>
      </w:r>
    </w:p>
    <w:bookmarkEnd w:id="10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4" w:name="_ENREF_33"/>
      <w:r w:rsidRPr="00B15FB2">
        <w:rPr>
          <w:rFonts w:ascii="Calibri" w:hAnsi="Calibri" w:cs="Times New Roman"/>
          <w:noProof/>
          <w:sz w:val="22"/>
          <w:szCs w:val="24"/>
        </w:rPr>
        <w:t>Gordon, C. C. and J. E. Buikstra</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1981</w:t>
      </w:r>
      <w:r w:rsidRPr="00B15FB2">
        <w:rPr>
          <w:rFonts w:ascii="Calibri" w:hAnsi="Calibri" w:cs="Times New Roman"/>
          <w:noProof/>
          <w:sz w:val="22"/>
          <w:szCs w:val="24"/>
        </w:rPr>
        <w:tab/>
        <w:t xml:space="preserve">Soil pH, Bone Preservation, and Sampling Bias at Mortuary Sites.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46:566-571.</w:t>
      </w:r>
    </w:p>
    <w:bookmarkEnd w:id="10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5" w:name="_ENREF_34"/>
      <w:r w:rsidRPr="00B15FB2">
        <w:rPr>
          <w:rFonts w:ascii="Calibri" w:hAnsi="Calibri" w:cs="Times New Roman"/>
          <w:noProof/>
          <w:sz w:val="22"/>
          <w:szCs w:val="24"/>
        </w:rPr>
        <w:t>Gordon, Elizabeth A.</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1993</w:t>
      </w:r>
      <w:r w:rsidRPr="00B15FB2">
        <w:rPr>
          <w:rFonts w:ascii="Calibri" w:hAnsi="Calibri" w:cs="Times New Roman"/>
          <w:noProof/>
          <w:sz w:val="22"/>
          <w:szCs w:val="24"/>
        </w:rPr>
        <w:tab/>
        <w:t xml:space="preserve">Screen Size and Differential Faunal Recovery: A Hawaiian Example. </w:t>
      </w:r>
      <w:r w:rsidRPr="00B15FB2">
        <w:rPr>
          <w:rFonts w:ascii="Calibri" w:hAnsi="Calibri" w:cs="Times New Roman"/>
          <w:i/>
          <w:noProof/>
          <w:sz w:val="22"/>
          <w:szCs w:val="24"/>
        </w:rPr>
        <w:t>Journal of Field Archaeology</w:t>
      </w:r>
      <w:r w:rsidRPr="00B15FB2">
        <w:rPr>
          <w:rFonts w:ascii="Calibri" w:hAnsi="Calibri" w:cs="Times New Roman"/>
          <w:noProof/>
          <w:sz w:val="22"/>
          <w:szCs w:val="24"/>
        </w:rPr>
        <w:t xml:space="preserve"> 20:453-460.</w:t>
      </w:r>
    </w:p>
    <w:bookmarkEnd w:id="10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6" w:name="_ENREF_35"/>
      <w:r w:rsidRPr="00B15FB2">
        <w:rPr>
          <w:rFonts w:ascii="Calibri" w:hAnsi="Calibri" w:cs="Times New Roman"/>
          <w:noProof/>
          <w:sz w:val="22"/>
          <w:szCs w:val="24"/>
        </w:rPr>
        <w:t xml:space="preserve">Grayson, Donald K.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1978</w:t>
      </w:r>
      <w:r w:rsidRPr="00B15FB2">
        <w:rPr>
          <w:rFonts w:ascii="Calibri" w:hAnsi="Calibri" w:cs="Times New Roman"/>
          <w:noProof/>
          <w:sz w:val="22"/>
          <w:szCs w:val="24"/>
        </w:rPr>
        <w:tab/>
        <w:t xml:space="preserve">Minimum Numbers and Sample Size in Vertebrate Faunal Analysis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43(1):53-65.</w:t>
      </w:r>
    </w:p>
    <w:bookmarkEnd w:id="10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7" w:name="_ENREF_36"/>
      <w:r w:rsidRPr="00B15FB2">
        <w:rPr>
          <w:rFonts w:ascii="Calibri" w:hAnsi="Calibri" w:cs="Times New Roman"/>
          <w:noProof/>
          <w:sz w:val="22"/>
          <w:szCs w:val="24"/>
        </w:rPr>
        <w:t>Hally, David J. and Jr.  Robert C. Mainfort</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2004</w:t>
      </w:r>
      <w:r w:rsidRPr="00B15FB2">
        <w:rPr>
          <w:rFonts w:ascii="Calibri" w:hAnsi="Calibri" w:cs="Times New Roman"/>
          <w:noProof/>
          <w:sz w:val="22"/>
          <w:szCs w:val="24"/>
        </w:rPr>
        <w:tab/>
        <w:t xml:space="preserve">Prehistory of the Eastern Interior After 500 B.C. </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Handbook of North American Indians, Volume 14, Southeast</w:t>
      </w:r>
      <w:r w:rsidRPr="00B15FB2">
        <w:rPr>
          <w:rFonts w:ascii="Calibri" w:hAnsi="Calibri" w:cs="Times New Roman"/>
          <w:noProof/>
          <w:sz w:val="22"/>
          <w:szCs w:val="24"/>
        </w:rPr>
        <w:t>, edited by R. D. Fogelson, pp. 265-285. Smithsonian Institution.</w:t>
      </w:r>
    </w:p>
    <w:bookmarkEnd w:id="10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8" w:name="_ENREF_37"/>
      <w:r w:rsidRPr="00B15FB2">
        <w:rPr>
          <w:rFonts w:ascii="Calibri" w:hAnsi="Calibri" w:cs="Times New Roman"/>
          <w:noProof/>
          <w:sz w:val="22"/>
          <w:szCs w:val="24"/>
        </w:rPr>
        <w:t>Haynes, Gary</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1980</w:t>
      </w:r>
      <w:r w:rsidRPr="00B15FB2">
        <w:rPr>
          <w:rFonts w:ascii="Calibri" w:hAnsi="Calibri" w:cs="Times New Roman"/>
          <w:noProof/>
          <w:sz w:val="22"/>
          <w:szCs w:val="24"/>
        </w:rPr>
        <w:tab/>
        <w:t xml:space="preserve">Evidence of Carnivore Gnawing on Pleistocene and Recent Mammalian Bones. </w:t>
      </w:r>
      <w:r w:rsidRPr="00B15FB2">
        <w:rPr>
          <w:rFonts w:ascii="Calibri" w:hAnsi="Calibri" w:cs="Times New Roman"/>
          <w:i/>
          <w:noProof/>
          <w:sz w:val="22"/>
          <w:szCs w:val="24"/>
        </w:rPr>
        <w:t>Paleobiology</w:t>
      </w:r>
      <w:r w:rsidRPr="00B15FB2">
        <w:rPr>
          <w:rFonts w:ascii="Calibri" w:hAnsi="Calibri" w:cs="Times New Roman"/>
          <w:noProof/>
          <w:sz w:val="22"/>
          <w:szCs w:val="24"/>
        </w:rPr>
        <w:t xml:space="preserve"> 6(3):341-351.</w:t>
      </w:r>
    </w:p>
    <w:bookmarkEnd w:id="10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09" w:name="_ENREF_38"/>
      <w:r w:rsidRPr="00B15FB2">
        <w:rPr>
          <w:rFonts w:ascii="Calibri" w:hAnsi="Calibri" w:cs="Times New Roman"/>
          <w:noProof/>
          <w:sz w:val="22"/>
          <w:szCs w:val="24"/>
        </w:rPr>
        <w:t xml:space="preserve">Hoffman, Robert W.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t>Taphonomy and Zooarchaeology of Rockshelters of the Big South Fork Area of the Cumberland Plateau, Tennessee and Kentucky Anthropology, University of Tennessee, Knoxville, Knoxville, TN.</w:t>
      </w:r>
    </w:p>
    <w:bookmarkEnd w:id="10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0" w:name="_ENREF_39"/>
      <w:r w:rsidRPr="00B15FB2">
        <w:rPr>
          <w:rFonts w:ascii="Calibri" w:hAnsi="Calibri" w:cs="Times New Roman"/>
          <w:noProof/>
          <w:sz w:val="22"/>
          <w:szCs w:val="24"/>
        </w:rPr>
        <w:t>Hoffman, Robert W. and Christopher Hays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t xml:space="preserve">The Eastern Wood Rat (Neotoma floridana) as a Taphonomic Factor in Archaeological Sites.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14:325-337.</w:t>
      </w:r>
    </w:p>
    <w:bookmarkEnd w:id="11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1" w:name="_ENREF_40"/>
      <w:r w:rsidRPr="00B15FB2">
        <w:rPr>
          <w:rFonts w:ascii="Calibri" w:hAnsi="Calibri" w:cs="Times New Roman"/>
          <w:noProof/>
          <w:sz w:val="22"/>
          <w:szCs w:val="24"/>
        </w:rPr>
        <w:t>James, Steven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1990</w:t>
      </w:r>
      <w:r w:rsidRPr="00B15FB2">
        <w:rPr>
          <w:rFonts w:ascii="Calibri" w:hAnsi="Calibri" w:cs="Times New Roman"/>
          <w:noProof/>
          <w:sz w:val="22"/>
          <w:szCs w:val="24"/>
        </w:rPr>
        <w:tab/>
        <w:t xml:space="preserve">Monitoring Archaeofaunal Changes during the Transition to Agriculture in the American Southwest. </w:t>
      </w:r>
      <w:r w:rsidRPr="00B15FB2">
        <w:rPr>
          <w:rFonts w:ascii="Calibri" w:hAnsi="Calibri" w:cs="Times New Roman"/>
          <w:i/>
          <w:noProof/>
          <w:sz w:val="22"/>
          <w:szCs w:val="24"/>
        </w:rPr>
        <w:t>Kiva</w:t>
      </w:r>
      <w:r w:rsidRPr="00B15FB2">
        <w:rPr>
          <w:rFonts w:ascii="Calibri" w:hAnsi="Calibri" w:cs="Times New Roman"/>
          <w:noProof/>
          <w:sz w:val="22"/>
          <w:szCs w:val="24"/>
        </w:rPr>
        <w:t xml:space="preserve"> 56(1):25-43.</w:t>
      </w:r>
    </w:p>
    <w:bookmarkEnd w:id="11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2" w:name="_ENREF_41"/>
      <w:r w:rsidRPr="00B15FB2">
        <w:rPr>
          <w:rFonts w:ascii="Calibri" w:hAnsi="Calibri" w:cs="Times New Roman"/>
          <w:noProof/>
          <w:sz w:val="22"/>
          <w:szCs w:val="24"/>
        </w:rPr>
        <w:tab/>
        <w:t>1997</w:t>
      </w:r>
      <w:r w:rsidRPr="00B15FB2">
        <w:rPr>
          <w:rFonts w:ascii="Calibri" w:hAnsi="Calibri" w:cs="Times New Roman"/>
          <w:noProof/>
          <w:sz w:val="22"/>
          <w:szCs w:val="24"/>
        </w:rPr>
        <w:tab/>
        <w:t xml:space="preserve">Methodological Issues Concerning Screen Size Recovery Rates and Their Effects on Archaeofaunal Interpretations.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24:385-397.</w:t>
      </w:r>
    </w:p>
    <w:bookmarkEnd w:id="11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3" w:name="_ENREF_42"/>
      <w:r w:rsidRPr="00B15FB2">
        <w:rPr>
          <w:rFonts w:ascii="Calibri" w:hAnsi="Calibri" w:cs="Times New Roman"/>
          <w:noProof/>
          <w:sz w:val="22"/>
          <w:szCs w:val="24"/>
        </w:rPr>
        <w:t xml:space="preserve">John W. Fisher, Jr.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1995</w:t>
      </w:r>
      <w:r w:rsidRPr="00B15FB2">
        <w:rPr>
          <w:rFonts w:ascii="Calibri" w:hAnsi="Calibri" w:cs="Times New Roman"/>
          <w:noProof/>
          <w:sz w:val="22"/>
          <w:szCs w:val="24"/>
        </w:rPr>
        <w:tab/>
        <w:t xml:space="preserve">Bone Surface Modifications in Zooarchaeology. </w:t>
      </w:r>
      <w:r w:rsidRPr="00B15FB2">
        <w:rPr>
          <w:rFonts w:ascii="Calibri" w:hAnsi="Calibri" w:cs="Times New Roman"/>
          <w:i/>
          <w:noProof/>
          <w:sz w:val="22"/>
          <w:szCs w:val="24"/>
        </w:rPr>
        <w:t>Journal of Archaeological Method and Theory</w:t>
      </w:r>
      <w:r w:rsidRPr="00B15FB2">
        <w:rPr>
          <w:rFonts w:ascii="Calibri" w:hAnsi="Calibri" w:cs="Times New Roman"/>
          <w:noProof/>
          <w:sz w:val="22"/>
          <w:szCs w:val="24"/>
        </w:rPr>
        <w:t xml:space="preserve"> 2(1):7-68.</w:t>
      </w:r>
    </w:p>
    <w:bookmarkEnd w:id="11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4" w:name="_ENREF_43"/>
      <w:r w:rsidRPr="00B15FB2">
        <w:rPr>
          <w:rFonts w:ascii="Calibri" w:hAnsi="Calibri" w:cs="Times New Roman"/>
          <w:noProof/>
          <w:sz w:val="22"/>
          <w:szCs w:val="24"/>
        </w:rPr>
        <w:t xml:space="preserve">Kandal, Andrew W. and Nicholas J. Conard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2005</w:t>
      </w:r>
      <w:r w:rsidRPr="00B15FB2">
        <w:rPr>
          <w:rFonts w:ascii="Calibri" w:hAnsi="Calibri" w:cs="Times New Roman"/>
          <w:noProof/>
          <w:sz w:val="22"/>
          <w:szCs w:val="24"/>
        </w:rPr>
        <w:tab/>
        <w:t xml:space="preserve">Production Sequence of Ostrich Eggshell Beads and Settlement Dynamics in the Geelbek Dunes of the Western Cape, South Africa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32:1711-1721.</w:t>
      </w:r>
    </w:p>
    <w:bookmarkEnd w:id="11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5" w:name="_ENREF_44"/>
      <w:r w:rsidRPr="00B15FB2">
        <w:rPr>
          <w:rFonts w:ascii="Calibri" w:hAnsi="Calibri" w:cs="Times New Roman"/>
          <w:noProof/>
          <w:sz w:val="22"/>
          <w:szCs w:val="24"/>
        </w:rPr>
        <w:t>Karkanas, Panagiotis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2010</w:t>
      </w:r>
      <w:r w:rsidRPr="00B15FB2">
        <w:rPr>
          <w:rFonts w:ascii="Calibri" w:hAnsi="Calibri" w:cs="Times New Roman"/>
          <w:noProof/>
          <w:sz w:val="22"/>
          <w:szCs w:val="24"/>
        </w:rPr>
        <w:tab/>
        <w:t xml:space="preserve">Preservation of anthropogenic materials under different geochemical processes: A mineralogical approach. </w:t>
      </w:r>
      <w:r w:rsidRPr="00B15FB2">
        <w:rPr>
          <w:rFonts w:ascii="Calibri" w:hAnsi="Calibri" w:cs="Times New Roman"/>
          <w:i/>
          <w:noProof/>
          <w:sz w:val="22"/>
          <w:szCs w:val="24"/>
        </w:rPr>
        <w:t>Quaternary International</w:t>
      </w:r>
      <w:r w:rsidRPr="00B15FB2">
        <w:rPr>
          <w:rFonts w:ascii="Calibri" w:hAnsi="Calibri" w:cs="Times New Roman"/>
          <w:noProof/>
          <w:sz w:val="22"/>
          <w:szCs w:val="24"/>
        </w:rPr>
        <w:t xml:space="preserve"> 214(1-2):63-69.</w:t>
      </w:r>
    </w:p>
    <w:bookmarkEnd w:id="11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6" w:name="_ENREF_45"/>
      <w:r w:rsidRPr="00B15FB2">
        <w:rPr>
          <w:rFonts w:ascii="Calibri" w:hAnsi="Calibri" w:cs="Times New Roman"/>
          <w:noProof/>
          <w:sz w:val="22"/>
          <w:szCs w:val="24"/>
        </w:rPr>
        <w:t>Karkanas, Panagiotis, Jean-Philippe Rigaud, Jan F. Simek, Rosa Maria Albert and Steve Weiner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2002</w:t>
      </w:r>
      <w:r w:rsidRPr="00B15FB2">
        <w:rPr>
          <w:rFonts w:ascii="Calibri" w:hAnsi="Calibri" w:cs="Times New Roman"/>
          <w:noProof/>
          <w:sz w:val="22"/>
          <w:szCs w:val="24"/>
        </w:rPr>
        <w:tab/>
        <w:t xml:space="preserve">Ash Bones and Guano: a Study of the Minerals and Phytoliths in the Sediments of Grotte XVI, Dordogne, France.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29(7):721-732.</w:t>
      </w:r>
    </w:p>
    <w:bookmarkEnd w:id="11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7" w:name="_ENREF_46"/>
      <w:r w:rsidRPr="00B15FB2">
        <w:rPr>
          <w:rFonts w:ascii="Calibri" w:hAnsi="Calibri" w:cs="Times New Roman"/>
          <w:noProof/>
          <w:sz w:val="22"/>
          <w:szCs w:val="24"/>
        </w:rPr>
        <w:t>Kimball, Larry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1996</w:t>
      </w:r>
      <w:r w:rsidRPr="00B15FB2">
        <w:rPr>
          <w:rFonts w:ascii="Calibri" w:hAnsi="Calibri" w:cs="Times New Roman"/>
          <w:noProof/>
          <w:sz w:val="22"/>
          <w:szCs w:val="24"/>
        </w:rPr>
        <w:tab/>
        <w:t>Early Archaic Settlement and Technology: Lessons from Tellico</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The Paleoindian and Early Archaic Southeast</w:t>
      </w:r>
      <w:r w:rsidRPr="00B15FB2">
        <w:rPr>
          <w:rFonts w:ascii="Calibri" w:hAnsi="Calibri" w:cs="Times New Roman"/>
          <w:noProof/>
          <w:sz w:val="22"/>
          <w:szCs w:val="24"/>
        </w:rPr>
        <w:t>, edited by D. G. Anderson and K. E. Sassaman. University of Alabama Press, Tuscaloosa.</w:t>
      </w:r>
    </w:p>
    <w:bookmarkEnd w:id="11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8" w:name="_ENREF_47"/>
      <w:r w:rsidRPr="00B15FB2">
        <w:rPr>
          <w:rFonts w:ascii="Calibri" w:hAnsi="Calibri" w:cs="Times New Roman"/>
          <w:noProof/>
          <w:sz w:val="22"/>
          <w:szCs w:val="24"/>
        </w:rPr>
        <w:t xml:space="preserve">Kimball, Larry R.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1993</w:t>
      </w:r>
      <w:r w:rsidRPr="00B15FB2">
        <w:rPr>
          <w:rFonts w:ascii="Calibri" w:hAnsi="Calibri" w:cs="Times New Roman"/>
          <w:noProof/>
          <w:sz w:val="22"/>
          <w:szCs w:val="24"/>
        </w:rPr>
        <w:tab/>
        <w:t xml:space="preserve">Rose Island Revisited: The Detection of Early Archaic Site Structure using Grid Count Data. </w:t>
      </w:r>
      <w:r w:rsidRPr="00B15FB2">
        <w:rPr>
          <w:rFonts w:ascii="Calibri" w:hAnsi="Calibri" w:cs="Times New Roman"/>
          <w:i/>
          <w:noProof/>
          <w:sz w:val="22"/>
          <w:szCs w:val="24"/>
        </w:rPr>
        <w:t>Southeastern Archaeology</w:t>
      </w:r>
      <w:r w:rsidRPr="00B15FB2">
        <w:rPr>
          <w:rFonts w:ascii="Calibri" w:hAnsi="Calibri" w:cs="Times New Roman"/>
          <w:noProof/>
          <w:sz w:val="22"/>
          <w:szCs w:val="24"/>
        </w:rPr>
        <w:t xml:space="preserve"> 12:93-116.</w:t>
      </w:r>
    </w:p>
    <w:bookmarkEnd w:id="11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19" w:name="_ENREF_48"/>
      <w:r w:rsidRPr="00B15FB2">
        <w:rPr>
          <w:rFonts w:ascii="Calibri" w:hAnsi="Calibri" w:cs="Times New Roman"/>
          <w:noProof/>
          <w:sz w:val="22"/>
          <w:szCs w:val="24"/>
        </w:rPr>
        <w:t xml:space="preserve">Klein, Richard G.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1989</w:t>
      </w:r>
      <w:r w:rsidRPr="00B15FB2">
        <w:rPr>
          <w:rFonts w:ascii="Calibri" w:hAnsi="Calibri" w:cs="Times New Roman"/>
          <w:noProof/>
          <w:sz w:val="22"/>
          <w:szCs w:val="24"/>
        </w:rPr>
        <w:tab/>
        <w:t xml:space="preserve">Why does Skeletal Part Representation Differ between Smaller and Larger Bovids at Klasies River Mouth and other Archaeological Sites? .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6:363-381.</w:t>
      </w:r>
    </w:p>
    <w:bookmarkEnd w:id="11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0" w:name="_ENREF_49"/>
      <w:r w:rsidRPr="00B15FB2">
        <w:rPr>
          <w:rFonts w:ascii="Calibri" w:hAnsi="Calibri" w:cs="Times New Roman"/>
          <w:noProof/>
          <w:sz w:val="22"/>
          <w:szCs w:val="24"/>
        </w:rPr>
        <w:t>Klippel, Walter E. and Darcy F. Morey</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1991</w:t>
      </w:r>
      <w:r w:rsidRPr="00B15FB2">
        <w:rPr>
          <w:rFonts w:ascii="Calibri" w:hAnsi="Calibri" w:cs="Times New Roman"/>
          <w:noProof/>
          <w:sz w:val="22"/>
          <w:szCs w:val="24"/>
        </w:rPr>
        <w:tab/>
        <w:t xml:space="preserve">Canid Scavanging and Deer Bone Surviorship at an Archaic Period Site in Tennessee </w:t>
      </w:r>
      <w:r w:rsidRPr="00B15FB2">
        <w:rPr>
          <w:rFonts w:ascii="Calibri" w:hAnsi="Calibri" w:cs="Times New Roman"/>
          <w:i/>
          <w:noProof/>
          <w:sz w:val="22"/>
          <w:szCs w:val="24"/>
        </w:rPr>
        <w:t>Archaeozoologia</w:t>
      </w:r>
      <w:r w:rsidRPr="00B15FB2">
        <w:rPr>
          <w:rFonts w:ascii="Calibri" w:hAnsi="Calibri" w:cs="Times New Roman"/>
          <w:noProof/>
          <w:sz w:val="22"/>
          <w:szCs w:val="24"/>
        </w:rPr>
        <w:t xml:space="preserve"> 4(1):11-28.</w:t>
      </w:r>
    </w:p>
    <w:bookmarkEnd w:id="12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1" w:name="_ENREF_50"/>
      <w:r w:rsidRPr="00B15FB2">
        <w:rPr>
          <w:rFonts w:ascii="Calibri" w:hAnsi="Calibri" w:cs="Times New Roman"/>
          <w:noProof/>
          <w:sz w:val="22"/>
          <w:szCs w:val="24"/>
        </w:rPr>
        <w:t>Klippel, Walter E., Lynn M. Snyder and Paul W. Parmalee</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t xml:space="preserve">Taphonomy and Archaeologically Recovered Mammal Bone from Southeast Missouri. </w:t>
      </w:r>
      <w:r w:rsidRPr="00B15FB2">
        <w:rPr>
          <w:rFonts w:ascii="Calibri" w:hAnsi="Calibri" w:cs="Times New Roman"/>
          <w:i/>
          <w:noProof/>
          <w:sz w:val="22"/>
          <w:szCs w:val="24"/>
        </w:rPr>
        <w:t>Journal of Ethnobiology</w:t>
      </w:r>
      <w:r w:rsidRPr="00B15FB2">
        <w:rPr>
          <w:rFonts w:ascii="Calibri" w:hAnsi="Calibri" w:cs="Times New Roman"/>
          <w:noProof/>
          <w:sz w:val="22"/>
          <w:szCs w:val="24"/>
        </w:rPr>
        <w:t xml:space="preserve"> 7(2):155-169.</w:t>
      </w:r>
    </w:p>
    <w:bookmarkEnd w:id="12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2" w:name="_ENREF_51"/>
      <w:r w:rsidRPr="00B15FB2">
        <w:rPr>
          <w:rFonts w:ascii="Calibri" w:hAnsi="Calibri" w:cs="Times New Roman"/>
          <w:noProof/>
          <w:sz w:val="22"/>
          <w:szCs w:val="24"/>
        </w:rPr>
        <w:t>Klippel, Walter E., Jennifer A. Synstelien and Barbara J. Heath</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2011</w:t>
      </w:r>
      <w:r w:rsidRPr="00B15FB2">
        <w:rPr>
          <w:rFonts w:ascii="Calibri" w:hAnsi="Calibri" w:cs="Times New Roman"/>
          <w:noProof/>
          <w:sz w:val="22"/>
          <w:szCs w:val="24"/>
        </w:rPr>
        <w:tab/>
        <w:t xml:space="preserve">Taphonomy and Fish Bones from an Enslaved African American Context at Poplar Forest, Virginia, USA. </w:t>
      </w:r>
      <w:r w:rsidRPr="00B15FB2">
        <w:rPr>
          <w:rFonts w:ascii="Calibri" w:hAnsi="Calibri" w:cs="Times New Roman"/>
          <w:i/>
          <w:noProof/>
          <w:sz w:val="22"/>
          <w:szCs w:val="24"/>
        </w:rPr>
        <w:t>Archaeofauna</w:t>
      </w:r>
      <w:r w:rsidRPr="00B15FB2">
        <w:rPr>
          <w:rFonts w:ascii="Calibri" w:hAnsi="Calibri" w:cs="Times New Roman"/>
          <w:noProof/>
          <w:sz w:val="22"/>
          <w:szCs w:val="24"/>
        </w:rPr>
        <w:t xml:space="preserve"> 20:27-45.</w:t>
      </w:r>
    </w:p>
    <w:bookmarkEnd w:id="12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3" w:name="_ENREF_52"/>
      <w:r w:rsidRPr="00B15FB2">
        <w:rPr>
          <w:rFonts w:ascii="Calibri" w:hAnsi="Calibri" w:cs="Times New Roman"/>
          <w:noProof/>
          <w:sz w:val="22"/>
          <w:szCs w:val="24"/>
        </w:rPr>
        <w:t xml:space="preserve">Kooyman, B., L.V. Hills, P. McNeil and S. Tolman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2006</w:t>
      </w:r>
      <w:r w:rsidRPr="00B15FB2">
        <w:rPr>
          <w:rFonts w:ascii="Calibri" w:hAnsi="Calibri" w:cs="Times New Roman"/>
          <w:noProof/>
          <w:sz w:val="22"/>
          <w:szCs w:val="24"/>
        </w:rPr>
        <w:tab/>
        <w:t xml:space="preserve">Late Pleistocene Horse Hunting at the Wally's Beach Site (DhPg-8), Canada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71(1):101-121.</w:t>
      </w:r>
    </w:p>
    <w:bookmarkEnd w:id="12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4" w:name="_ENREF_53"/>
      <w:r w:rsidRPr="00B15FB2">
        <w:rPr>
          <w:rFonts w:ascii="Calibri" w:hAnsi="Calibri" w:cs="Times New Roman"/>
          <w:noProof/>
          <w:sz w:val="22"/>
          <w:szCs w:val="24"/>
        </w:rPr>
        <w:t>Kusmer, Karla D.</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1990</w:t>
      </w:r>
      <w:r w:rsidRPr="00B15FB2">
        <w:rPr>
          <w:rFonts w:ascii="Calibri" w:hAnsi="Calibri" w:cs="Times New Roman"/>
          <w:noProof/>
          <w:sz w:val="22"/>
          <w:szCs w:val="24"/>
        </w:rPr>
        <w:tab/>
        <w:t xml:space="preserve">Taphonomy of Owl Pellet Deposition. </w:t>
      </w:r>
      <w:r w:rsidRPr="00B15FB2">
        <w:rPr>
          <w:rFonts w:ascii="Calibri" w:hAnsi="Calibri" w:cs="Times New Roman"/>
          <w:i/>
          <w:noProof/>
          <w:sz w:val="22"/>
          <w:szCs w:val="24"/>
        </w:rPr>
        <w:t>Journal of Paleontology</w:t>
      </w:r>
      <w:r w:rsidRPr="00B15FB2">
        <w:rPr>
          <w:rFonts w:ascii="Calibri" w:hAnsi="Calibri" w:cs="Times New Roman"/>
          <w:noProof/>
          <w:sz w:val="22"/>
          <w:szCs w:val="24"/>
        </w:rPr>
        <w:t xml:space="preserve"> 64(4):629-637.</w:t>
      </w:r>
    </w:p>
    <w:bookmarkEnd w:id="12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5" w:name="_ENREF_54"/>
      <w:r w:rsidRPr="00B15FB2">
        <w:rPr>
          <w:rFonts w:ascii="Calibri" w:hAnsi="Calibri" w:cs="Times New Roman"/>
          <w:noProof/>
          <w:sz w:val="22"/>
          <w:szCs w:val="24"/>
        </w:rPr>
        <w:t>Lewis, Thomas M. N.  and Madeline Kneberg Lewis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1961</w:t>
      </w:r>
      <w:r w:rsidRPr="00B15FB2">
        <w:rPr>
          <w:rFonts w:ascii="Calibri" w:hAnsi="Calibri" w:cs="Times New Roman"/>
          <w:noProof/>
          <w:sz w:val="22"/>
          <w:szCs w:val="24"/>
        </w:rPr>
        <w:tab/>
      </w:r>
      <w:r w:rsidRPr="00B15FB2">
        <w:rPr>
          <w:rFonts w:ascii="Calibri" w:hAnsi="Calibri" w:cs="Times New Roman"/>
          <w:i/>
          <w:noProof/>
          <w:sz w:val="22"/>
          <w:szCs w:val="24"/>
        </w:rPr>
        <w:t xml:space="preserve">Eva: An Archaic Site </w:t>
      </w:r>
      <w:r w:rsidRPr="00B15FB2">
        <w:rPr>
          <w:rFonts w:ascii="Calibri" w:hAnsi="Calibri" w:cs="Times New Roman"/>
          <w:noProof/>
          <w:sz w:val="22"/>
          <w:szCs w:val="24"/>
        </w:rPr>
        <w:t>University of Tennessee Press Knoxville.</w:t>
      </w:r>
    </w:p>
    <w:bookmarkEnd w:id="12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6" w:name="_ENREF_55"/>
      <w:r w:rsidRPr="00B15FB2">
        <w:rPr>
          <w:rFonts w:ascii="Calibri" w:hAnsi="Calibri" w:cs="Times New Roman"/>
          <w:noProof/>
          <w:sz w:val="22"/>
          <w:szCs w:val="24"/>
        </w:rPr>
        <w:t>Linzey, Donald W.</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1995</w:t>
      </w:r>
      <w:r w:rsidRPr="00B15FB2">
        <w:rPr>
          <w:rFonts w:ascii="Calibri" w:hAnsi="Calibri" w:cs="Times New Roman"/>
          <w:noProof/>
          <w:sz w:val="22"/>
          <w:szCs w:val="24"/>
        </w:rPr>
        <w:tab/>
      </w:r>
      <w:r w:rsidRPr="00B15FB2">
        <w:rPr>
          <w:rFonts w:ascii="Calibri" w:hAnsi="Calibri" w:cs="Times New Roman"/>
          <w:i/>
          <w:noProof/>
          <w:sz w:val="22"/>
          <w:szCs w:val="24"/>
        </w:rPr>
        <w:t>Mammals of Great Smoky Mountains National Park</w:t>
      </w:r>
      <w:r w:rsidRPr="00B15FB2">
        <w:rPr>
          <w:rFonts w:ascii="Calibri" w:hAnsi="Calibri" w:cs="Times New Roman"/>
          <w:noProof/>
          <w:sz w:val="22"/>
          <w:szCs w:val="24"/>
        </w:rPr>
        <w:t>. The McDonald &amp; Woodward Publishing Company, Blacksburg, Virginia.</w:t>
      </w:r>
    </w:p>
    <w:bookmarkEnd w:id="12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7" w:name="_ENREF_56"/>
      <w:r w:rsidRPr="00B15FB2">
        <w:rPr>
          <w:rFonts w:ascii="Calibri" w:hAnsi="Calibri" w:cs="Times New Roman"/>
          <w:noProof/>
          <w:sz w:val="22"/>
          <w:szCs w:val="24"/>
        </w:rPr>
        <w:t>Luther, Edward T.</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1977</w:t>
      </w:r>
      <w:r w:rsidRPr="00B15FB2">
        <w:rPr>
          <w:rFonts w:ascii="Calibri" w:hAnsi="Calibri" w:cs="Times New Roman"/>
          <w:noProof/>
          <w:sz w:val="22"/>
          <w:szCs w:val="24"/>
        </w:rPr>
        <w:tab/>
      </w:r>
      <w:r w:rsidRPr="00B15FB2">
        <w:rPr>
          <w:rFonts w:ascii="Calibri" w:hAnsi="Calibri" w:cs="Times New Roman"/>
          <w:i/>
          <w:noProof/>
          <w:sz w:val="22"/>
          <w:szCs w:val="24"/>
        </w:rPr>
        <w:t>Our Restless Earth: The Geologic Regions of Tennessee.</w:t>
      </w:r>
      <w:r w:rsidRPr="00B15FB2">
        <w:rPr>
          <w:rFonts w:ascii="Calibri" w:hAnsi="Calibri" w:cs="Times New Roman"/>
          <w:noProof/>
          <w:sz w:val="22"/>
          <w:szCs w:val="24"/>
        </w:rPr>
        <w:t xml:space="preserve"> The University of Tennessee Press, Knoxville </w:t>
      </w:r>
    </w:p>
    <w:bookmarkEnd w:id="12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8" w:name="_ENREF_57"/>
      <w:r w:rsidRPr="00B15FB2">
        <w:rPr>
          <w:rFonts w:ascii="Calibri" w:hAnsi="Calibri" w:cs="Times New Roman"/>
          <w:noProof/>
          <w:sz w:val="22"/>
          <w:szCs w:val="24"/>
        </w:rPr>
        <w:t>Lyman, Richard L. (editor)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1994</w:t>
      </w:r>
      <w:r w:rsidRPr="00B15FB2">
        <w:rPr>
          <w:rFonts w:ascii="Calibri" w:hAnsi="Calibri" w:cs="Times New Roman"/>
          <w:noProof/>
          <w:sz w:val="22"/>
          <w:szCs w:val="24"/>
        </w:rPr>
        <w:tab/>
      </w:r>
      <w:r w:rsidRPr="00B15FB2">
        <w:rPr>
          <w:rFonts w:ascii="Calibri" w:hAnsi="Calibri" w:cs="Times New Roman"/>
          <w:i/>
          <w:noProof/>
          <w:sz w:val="22"/>
          <w:szCs w:val="24"/>
        </w:rPr>
        <w:t>Vertebrate Taphonomy</w:t>
      </w:r>
      <w:r w:rsidRPr="00B15FB2">
        <w:rPr>
          <w:rFonts w:ascii="Calibri" w:hAnsi="Calibri" w:cs="Times New Roman"/>
          <w:noProof/>
          <w:sz w:val="22"/>
          <w:szCs w:val="24"/>
        </w:rPr>
        <w:t>. Cambridge University Press, Cambridge.</w:t>
      </w:r>
    </w:p>
    <w:bookmarkEnd w:id="12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29" w:name="_ENREF_58"/>
      <w:r w:rsidRPr="00B15FB2">
        <w:rPr>
          <w:rFonts w:ascii="Calibri" w:hAnsi="Calibri" w:cs="Times New Roman"/>
          <w:noProof/>
          <w:sz w:val="22"/>
          <w:szCs w:val="24"/>
        </w:rPr>
        <w:tab/>
        <w:t>2005</w:t>
      </w:r>
      <w:r w:rsidRPr="00B15FB2">
        <w:rPr>
          <w:rFonts w:ascii="Calibri" w:hAnsi="Calibri" w:cs="Times New Roman"/>
          <w:noProof/>
          <w:sz w:val="22"/>
          <w:szCs w:val="24"/>
        </w:rPr>
        <w:tab/>
        <w:t xml:space="preserve">Analyzing Cut Marks: Lessons from Artidactyl  Remains in the Northwestern United States.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32:1722-1732.</w:t>
      </w:r>
    </w:p>
    <w:bookmarkEnd w:id="12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0" w:name="_ENREF_59"/>
      <w:r w:rsidRPr="00B15FB2">
        <w:rPr>
          <w:rFonts w:ascii="Calibri" w:hAnsi="Calibri" w:cs="Times New Roman"/>
          <w:noProof/>
          <w:sz w:val="22"/>
          <w:szCs w:val="24"/>
        </w:rPr>
        <w:t>Magne, Martin P.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1989</w:t>
      </w:r>
      <w:r w:rsidRPr="00B15FB2">
        <w:rPr>
          <w:rFonts w:ascii="Calibri" w:hAnsi="Calibri" w:cs="Times New Roman"/>
          <w:noProof/>
          <w:sz w:val="22"/>
          <w:szCs w:val="24"/>
        </w:rPr>
        <w:tab/>
        <w:t xml:space="preserve">Lithic Reduction Stages and Assemblage Formation Processes. In </w:t>
      </w:r>
      <w:r w:rsidRPr="00B15FB2">
        <w:rPr>
          <w:rFonts w:ascii="Calibri" w:hAnsi="Calibri" w:cs="Times New Roman"/>
          <w:i/>
          <w:noProof/>
          <w:sz w:val="22"/>
          <w:szCs w:val="24"/>
        </w:rPr>
        <w:t>Experiments in Lithic Technology</w:t>
      </w:r>
      <w:r w:rsidRPr="00B15FB2">
        <w:rPr>
          <w:rFonts w:ascii="Calibri" w:hAnsi="Calibri" w:cs="Times New Roman"/>
          <w:noProof/>
          <w:sz w:val="22"/>
          <w:szCs w:val="24"/>
        </w:rPr>
        <w:t>, edited by D. S. Amick and R. P. Mauldin, pp. 15-31. BAR International Series 528, British Archaeological Reports, Oxford.</w:t>
      </w:r>
    </w:p>
    <w:bookmarkEnd w:id="13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1" w:name="_ENREF_60"/>
      <w:r w:rsidRPr="00B15FB2">
        <w:rPr>
          <w:rFonts w:ascii="Calibri" w:hAnsi="Calibri" w:cs="Times New Roman"/>
          <w:noProof/>
          <w:sz w:val="22"/>
          <w:szCs w:val="24"/>
        </w:rPr>
        <w:t>Moncel, Marie-Hélène, Anne-Marie Moigne, and Jean Combier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2005</w:t>
      </w:r>
      <w:r w:rsidRPr="00B15FB2">
        <w:rPr>
          <w:rFonts w:ascii="Calibri" w:hAnsi="Calibri" w:cs="Times New Roman"/>
          <w:noProof/>
          <w:sz w:val="22"/>
          <w:szCs w:val="24"/>
        </w:rPr>
        <w:tab/>
        <w:t xml:space="preserve">Pre-Neandertal behaviour during isotopic stage 9 and the beginning of stage 8. New data concerning fauna and lithics in the different occupation levels of orgnac 3 (Ardèche, South-East France): occupation types.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32:1283-1301.</w:t>
      </w:r>
    </w:p>
    <w:bookmarkEnd w:id="13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2" w:name="_ENREF_61"/>
      <w:r w:rsidRPr="00B15FB2">
        <w:rPr>
          <w:rFonts w:ascii="Calibri" w:hAnsi="Calibri" w:cs="Times New Roman"/>
          <w:noProof/>
          <w:sz w:val="22"/>
          <w:szCs w:val="24"/>
        </w:rPr>
        <w:t xml:space="preserve">Monks, G.G.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1981</w:t>
      </w:r>
      <w:r w:rsidRPr="00B15FB2">
        <w:rPr>
          <w:rFonts w:ascii="Calibri" w:hAnsi="Calibri" w:cs="Times New Roman"/>
          <w:noProof/>
          <w:sz w:val="22"/>
          <w:szCs w:val="24"/>
        </w:rPr>
        <w:tab/>
        <w:t xml:space="preserve">Seasonality Studies. In </w:t>
      </w:r>
      <w:r w:rsidRPr="00B15FB2">
        <w:rPr>
          <w:rFonts w:ascii="Calibri" w:hAnsi="Calibri" w:cs="Times New Roman"/>
          <w:i/>
          <w:noProof/>
          <w:sz w:val="22"/>
          <w:szCs w:val="24"/>
        </w:rPr>
        <w:t>Advances in Archaeological Method and Theory</w:t>
      </w:r>
      <w:r w:rsidRPr="00B15FB2">
        <w:rPr>
          <w:rFonts w:ascii="Calibri" w:hAnsi="Calibri" w:cs="Times New Roman"/>
          <w:noProof/>
          <w:sz w:val="22"/>
          <w:szCs w:val="24"/>
        </w:rPr>
        <w:t>, edited by M. B. Schiffer, pp. 177-240. vol. 4. Acadmic Press, New York.</w:t>
      </w:r>
    </w:p>
    <w:bookmarkEnd w:id="13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3" w:name="_ENREF_62"/>
      <w:r w:rsidRPr="00B15FB2">
        <w:rPr>
          <w:rFonts w:ascii="Calibri" w:hAnsi="Calibri" w:cs="Times New Roman"/>
          <w:noProof/>
          <w:sz w:val="22"/>
          <w:szCs w:val="24"/>
        </w:rPr>
        <w:t xml:space="preserve">Munsell, Color Company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1954</w:t>
      </w:r>
      <w:r w:rsidRPr="00B15FB2">
        <w:rPr>
          <w:rFonts w:ascii="Calibri" w:hAnsi="Calibri" w:cs="Times New Roman"/>
          <w:noProof/>
          <w:sz w:val="22"/>
          <w:szCs w:val="24"/>
        </w:rPr>
        <w:tab/>
      </w:r>
      <w:r w:rsidRPr="00B15FB2">
        <w:rPr>
          <w:rFonts w:ascii="Calibri" w:hAnsi="Calibri" w:cs="Times New Roman"/>
          <w:i/>
          <w:noProof/>
          <w:sz w:val="22"/>
          <w:szCs w:val="24"/>
        </w:rPr>
        <w:t>Munsell Soil Color Charts</w:t>
      </w:r>
      <w:r w:rsidRPr="00B15FB2">
        <w:rPr>
          <w:rFonts w:ascii="Calibri" w:hAnsi="Calibri" w:cs="Times New Roman"/>
          <w:noProof/>
          <w:sz w:val="22"/>
          <w:szCs w:val="24"/>
        </w:rPr>
        <w:t xml:space="preserve">, Baltimore, Maryland </w:t>
      </w:r>
    </w:p>
    <w:bookmarkEnd w:id="13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4" w:name="_ENREF_63"/>
      <w:r w:rsidRPr="00B15FB2">
        <w:rPr>
          <w:rFonts w:ascii="Calibri" w:hAnsi="Calibri" w:cs="Times New Roman"/>
          <w:noProof/>
          <w:sz w:val="22"/>
          <w:szCs w:val="24"/>
        </w:rPr>
        <w:t>O'Connell, James F., Kristen Hawkes and Nicholas Blurton Jones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1988</w:t>
      </w:r>
      <w:r w:rsidRPr="00B15FB2">
        <w:rPr>
          <w:rFonts w:ascii="Calibri" w:hAnsi="Calibri" w:cs="Times New Roman"/>
          <w:noProof/>
          <w:sz w:val="22"/>
          <w:szCs w:val="24"/>
        </w:rPr>
        <w:tab/>
        <w:t xml:space="preserve">Hadza Hunting, Butchering, and Bone Transport and their Archaeological Implications </w:t>
      </w:r>
      <w:r w:rsidRPr="00B15FB2">
        <w:rPr>
          <w:rFonts w:ascii="Calibri" w:hAnsi="Calibri" w:cs="Times New Roman"/>
          <w:i/>
          <w:noProof/>
          <w:sz w:val="22"/>
          <w:szCs w:val="24"/>
        </w:rPr>
        <w:t xml:space="preserve">Journal of Anthropological Research </w:t>
      </w:r>
      <w:r w:rsidRPr="00B15FB2">
        <w:rPr>
          <w:rFonts w:ascii="Calibri" w:hAnsi="Calibri" w:cs="Times New Roman"/>
          <w:noProof/>
          <w:sz w:val="22"/>
          <w:szCs w:val="24"/>
        </w:rPr>
        <w:t>44(2):113-161.</w:t>
      </w:r>
    </w:p>
    <w:bookmarkEnd w:id="13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5" w:name="_ENREF_64"/>
      <w:r w:rsidRPr="00B15FB2">
        <w:rPr>
          <w:rFonts w:ascii="Calibri" w:hAnsi="Calibri" w:cs="Times New Roman"/>
          <w:noProof/>
          <w:sz w:val="22"/>
          <w:szCs w:val="24"/>
        </w:rPr>
        <w:t>O'Connell, James F., Kristen Hawkes and Nicholas Blurton Jones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1992</w:t>
      </w:r>
      <w:r w:rsidRPr="00B15FB2">
        <w:rPr>
          <w:rFonts w:ascii="Calibri" w:hAnsi="Calibri" w:cs="Times New Roman"/>
          <w:noProof/>
          <w:sz w:val="22"/>
          <w:szCs w:val="24"/>
        </w:rPr>
        <w:tab/>
        <w:t xml:space="preserve">Patterns of the Dsitribution, Size Structure and Assemblage Composition of Hadza Kill-Butchering Sites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19:319-345.</w:t>
      </w:r>
    </w:p>
    <w:bookmarkEnd w:id="13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6" w:name="_ENREF_65"/>
      <w:r w:rsidRPr="00B15FB2">
        <w:rPr>
          <w:rFonts w:ascii="Calibri" w:hAnsi="Calibri" w:cs="Times New Roman"/>
          <w:noProof/>
          <w:sz w:val="22"/>
          <w:szCs w:val="24"/>
        </w:rPr>
        <w:t>Odum, Eugene P.</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1971</w:t>
      </w:r>
      <w:r w:rsidRPr="00B15FB2">
        <w:rPr>
          <w:rFonts w:ascii="Calibri" w:hAnsi="Calibri" w:cs="Times New Roman"/>
          <w:noProof/>
          <w:sz w:val="22"/>
          <w:szCs w:val="24"/>
        </w:rPr>
        <w:tab/>
      </w:r>
      <w:r w:rsidRPr="00B15FB2">
        <w:rPr>
          <w:rFonts w:ascii="Calibri" w:hAnsi="Calibri" w:cs="Times New Roman"/>
          <w:i/>
          <w:noProof/>
          <w:sz w:val="22"/>
          <w:szCs w:val="24"/>
        </w:rPr>
        <w:t>Fundamentals of Ecology</w:t>
      </w:r>
      <w:r w:rsidRPr="00B15FB2">
        <w:rPr>
          <w:rFonts w:ascii="Calibri" w:hAnsi="Calibri" w:cs="Times New Roman"/>
          <w:noProof/>
          <w:sz w:val="22"/>
          <w:szCs w:val="24"/>
        </w:rPr>
        <w:t>. W.B. Saunders Company, Philadelphia.</w:t>
      </w:r>
    </w:p>
    <w:bookmarkEnd w:id="13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7" w:name="_ENREF_66"/>
      <w:r w:rsidRPr="00B15FB2">
        <w:rPr>
          <w:rFonts w:ascii="Calibri" w:hAnsi="Calibri" w:cs="Times New Roman"/>
          <w:noProof/>
          <w:sz w:val="22"/>
          <w:szCs w:val="24"/>
        </w:rPr>
        <w:t>Olsen, Stanley J.</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1968a</w:t>
      </w:r>
      <w:r w:rsidRPr="00B15FB2">
        <w:rPr>
          <w:rFonts w:ascii="Calibri" w:hAnsi="Calibri" w:cs="Times New Roman"/>
          <w:noProof/>
          <w:sz w:val="22"/>
          <w:szCs w:val="24"/>
        </w:rPr>
        <w:tab/>
      </w:r>
      <w:r w:rsidRPr="00B15FB2">
        <w:rPr>
          <w:rFonts w:ascii="Calibri" w:hAnsi="Calibri" w:cs="Times New Roman"/>
          <w:i/>
          <w:noProof/>
          <w:sz w:val="22"/>
          <w:szCs w:val="24"/>
        </w:rPr>
        <w:t>Fish, Amphibian and Reptile Remains from Archaeological Sites. Part 1 - Southeastern and Southwestern United States.</w:t>
      </w:r>
      <w:r w:rsidRPr="00B15FB2">
        <w:rPr>
          <w:rFonts w:ascii="Calibri" w:hAnsi="Calibri" w:cs="Times New Roman"/>
          <w:noProof/>
          <w:sz w:val="22"/>
          <w:szCs w:val="24"/>
        </w:rPr>
        <w:t xml:space="preserve"> Papers of the Peabody Museum of Archaeology and Ethnology. Volume 56, Number 2. Harvard University, Cambridge Massachusetts.</w:t>
      </w:r>
    </w:p>
    <w:bookmarkEnd w:id="13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8" w:name="_ENREF_67"/>
      <w:r w:rsidRPr="00B15FB2">
        <w:rPr>
          <w:rFonts w:ascii="Calibri" w:hAnsi="Calibri" w:cs="Times New Roman"/>
          <w:noProof/>
          <w:sz w:val="22"/>
          <w:szCs w:val="24"/>
        </w:rPr>
        <w:tab/>
        <w:t>1968b</w:t>
      </w:r>
      <w:r w:rsidRPr="00B15FB2">
        <w:rPr>
          <w:rFonts w:ascii="Calibri" w:hAnsi="Calibri" w:cs="Times New Roman"/>
          <w:noProof/>
          <w:sz w:val="22"/>
          <w:szCs w:val="24"/>
        </w:rPr>
        <w:tab/>
      </w:r>
      <w:r w:rsidRPr="00B15FB2">
        <w:rPr>
          <w:rFonts w:ascii="Calibri" w:hAnsi="Calibri" w:cs="Times New Roman"/>
          <w:i/>
          <w:noProof/>
          <w:sz w:val="22"/>
          <w:szCs w:val="24"/>
        </w:rPr>
        <w:t>Mammal Remains from Archaeological Sites. Part 1 - Southeastern United States</w:t>
      </w:r>
      <w:r w:rsidRPr="00B15FB2">
        <w:rPr>
          <w:rFonts w:ascii="Calibri" w:hAnsi="Calibri" w:cs="Times New Roman"/>
          <w:noProof/>
          <w:sz w:val="22"/>
          <w:szCs w:val="24"/>
        </w:rPr>
        <w:t>. Papers of the Peabody Museum of Archaeology and Ethnology. Volume 56, Number 1. Harvard University, Cambridge Massachusetts.</w:t>
      </w:r>
    </w:p>
    <w:bookmarkEnd w:id="13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39" w:name="_ENREF_68"/>
      <w:r w:rsidRPr="00B15FB2">
        <w:rPr>
          <w:rFonts w:ascii="Calibri" w:hAnsi="Calibri" w:cs="Times New Roman"/>
          <w:noProof/>
          <w:sz w:val="22"/>
          <w:szCs w:val="24"/>
        </w:rPr>
        <w:t>Parmalee, Paul W. and Arthur E. Bogan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1998</w:t>
      </w:r>
      <w:r w:rsidRPr="00B15FB2">
        <w:rPr>
          <w:rFonts w:ascii="Calibri" w:hAnsi="Calibri" w:cs="Times New Roman"/>
          <w:noProof/>
          <w:sz w:val="22"/>
          <w:szCs w:val="24"/>
        </w:rPr>
        <w:tab/>
      </w:r>
      <w:r w:rsidRPr="00B15FB2">
        <w:rPr>
          <w:rFonts w:ascii="Calibri" w:hAnsi="Calibri" w:cs="Times New Roman"/>
          <w:i/>
          <w:noProof/>
          <w:sz w:val="22"/>
          <w:szCs w:val="24"/>
        </w:rPr>
        <w:t>The Freshwater Mussels of Tennessee.</w:t>
      </w:r>
      <w:r w:rsidRPr="00B15FB2">
        <w:rPr>
          <w:rFonts w:ascii="Calibri" w:hAnsi="Calibri" w:cs="Times New Roman"/>
          <w:noProof/>
          <w:sz w:val="22"/>
          <w:szCs w:val="24"/>
        </w:rPr>
        <w:t xml:space="preserve"> University of Tennessee Press Knoxville.</w:t>
      </w:r>
    </w:p>
    <w:bookmarkEnd w:id="13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0" w:name="_ENREF_69"/>
      <w:r w:rsidRPr="00B15FB2">
        <w:rPr>
          <w:rFonts w:ascii="Calibri" w:hAnsi="Calibri" w:cs="Times New Roman"/>
          <w:noProof/>
          <w:sz w:val="22"/>
          <w:szCs w:val="24"/>
        </w:rPr>
        <w:t xml:space="preserve">Payne, Sebestian P.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1975</w:t>
      </w:r>
      <w:r w:rsidRPr="00B15FB2">
        <w:rPr>
          <w:rFonts w:ascii="Calibri" w:hAnsi="Calibri" w:cs="Times New Roman"/>
          <w:noProof/>
          <w:sz w:val="22"/>
          <w:szCs w:val="24"/>
        </w:rPr>
        <w:tab/>
        <w:t xml:space="preserve">Partial Recovery and Sample Bias In </w:t>
      </w:r>
      <w:r w:rsidRPr="00B15FB2">
        <w:rPr>
          <w:rFonts w:ascii="Calibri" w:hAnsi="Calibri" w:cs="Times New Roman"/>
          <w:i/>
          <w:noProof/>
          <w:sz w:val="22"/>
          <w:szCs w:val="24"/>
        </w:rPr>
        <w:t xml:space="preserve">Archaeozoological Studies </w:t>
      </w:r>
      <w:r w:rsidRPr="00B15FB2">
        <w:rPr>
          <w:rFonts w:ascii="Calibri" w:hAnsi="Calibri" w:cs="Times New Roman"/>
          <w:noProof/>
          <w:sz w:val="22"/>
          <w:szCs w:val="24"/>
        </w:rPr>
        <w:t>edited by A. T. Clason, pp. 7-17. North-Holland Publishing Company Amsterdam.</w:t>
      </w:r>
    </w:p>
    <w:bookmarkEnd w:id="14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1" w:name="_ENREF_70"/>
      <w:r w:rsidRPr="00B15FB2">
        <w:rPr>
          <w:rFonts w:ascii="Calibri" w:hAnsi="Calibri" w:cs="Times New Roman"/>
          <w:noProof/>
          <w:sz w:val="22"/>
          <w:szCs w:val="24"/>
        </w:rPr>
        <w:t>Price, T. Douglas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1978</w:t>
      </w:r>
      <w:r w:rsidRPr="00B15FB2">
        <w:rPr>
          <w:rFonts w:ascii="Calibri" w:hAnsi="Calibri" w:cs="Times New Roman"/>
          <w:noProof/>
          <w:sz w:val="22"/>
          <w:szCs w:val="24"/>
        </w:rPr>
        <w:tab/>
        <w:t xml:space="preserve">Mesolithic Settlement Systems in the Netherlands. </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Early Postglacial Settlement of Northern Europe</w:t>
      </w:r>
      <w:r w:rsidRPr="00B15FB2">
        <w:rPr>
          <w:rFonts w:ascii="Calibri" w:hAnsi="Calibri" w:cs="Times New Roman"/>
          <w:noProof/>
          <w:sz w:val="22"/>
          <w:szCs w:val="24"/>
        </w:rPr>
        <w:t>, edited by P. Mellers, pp. 81-114. Duckworth, London.</w:t>
      </w:r>
    </w:p>
    <w:bookmarkEnd w:id="14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2" w:name="_ENREF_71"/>
      <w:r w:rsidRPr="00B15FB2">
        <w:rPr>
          <w:rFonts w:ascii="Calibri" w:hAnsi="Calibri" w:cs="Times New Roman"/>
          <w:noProof/>
          <w:sz w:val="22"/>
          <w:szCs w:val="24"/>
        </w:rPr>
        <w:t>Purdue, James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1983</w:t>
      </w:r>
      <w:r w:rsidRPr="00B15FB2">
        <w:rPr>
          <w:rFonts w:ascii="Calibri" w:hAnsi="Calibri" w:cs="Times New Roman"/>
          <w:noProof/>
          <w:sz w:val="22"/>
          <w:szCs w:val="24"/>
        </w:rPr>
        <w:tab/>
        <w:t xml:space="preserve">Epiphyseal Closure in White-Tailed Deer. </w:t>
      </w:r>
      <w:r w:rsidRPr="00B15FB2">
        <w:rPr>
          <w:rFonts w:ascii="Calibri" w:hAnsi="Calibri" w:cs="Times New Roman"/>
          <w:i/>
          <w:noProof/>
          <w:sz w:val="22"/>
          <w:szCs w:val="24"/>
        </w:rPr>
        <w:t>The Journal of Wildlife Management</w:t>
      </w:r>
      <w:r w:rsidRPr="00B15FB2">
        <w:rPr>
          <w:rFonts w:ascii="Calibri" w:hAnsi="Calibri" w:cs="Times New Roman"/>
          <w:noProof/>
          <w:sz w:val="22"/>
          <w:szCs w:val="24"/>
        </w:rPr>
        <w:t xml:space="preserve"> 47(4):1207-1213.</w:t>
      </w:r>
    </w:p>
    <w:bookmarkEnd w:id="14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3" w:name="_ENREF_72"/>
      <w:r w:rsidRPr="00B15FB2">
        <w:rPr>
          <w:rFonts w:ascii="Calibri" w:hAnsi="Calibri" w:cs="Times New Roman"/>
          <w:noProof/>
          <w:sz w:val="22"/>
          <w:szCs w:val="24"/>
        </w:rPr>
        <w:t>Redington, Robert J.</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1978</w:t>
      </w:r>
      <w:r w:rsidRPr="00B15FB2">
        <w:rPr>
          <w:rFonts w:ascii="Calibri" w:hAnsi="Calibri" w:cs="Times New Roman"/>
          <w:noProof/>
          <w:sz w:val="22"/>
          <w:szCs w:val="24"/>
        </w:rPr>
        <w:tab/>
      </w:r>
      <w:r w:rsidRPr="00B15FB2">
        <w:rPr>
          <w:rFonts w:ascii="Calibri" w:hAnsi="Calibri" w:cs="Times New Roman"/>
          <w:i/>
          <w:noProof/>
          <w:sz w:val="22"/>
          <w:szCs w:val="24"/>
        </w:rPr>
        <w:t>Survey of the Appalachias.</w:t>
      </w:r>
      <w:r w:rsidRPr="00B15FB2">
        <w:rPr>
          <w:rFonts w:ascii="Calibri" w:hAnsi="Calibri" w:cs="Times New Roman"/>
          <w:noProof/>
          <w:sz w:val="22"/>
          <w:szCs w:val="24"/>
        </w:rPr>
        <w:t xml:space="preserve"> Taconic Publishers, South Egremont, Massachusetts </w:t>
      </w:r>
    </w:p>
    <w:bookmarkEnd w:id="14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4" w:name="_ENREF_73"/>
      <w:r w:rsidRPr="00B15FB2">
        <w:rPr>
          <w:rFonts w:ascii="Calibri" w:hAnsi="Calibri" w:cs="Times New Roman"/>
          <w:noProof/>
          <w:sz w:val="22"/>
          <w:szCs w:val="24"/>
        </w:rPr>
        <w:t>Reitz, Elizabeth J.  and Elizabeth S. Wing</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2008</w:t>
      </w:r>
      <w:r w:rsidRPr="00B15FB2">
        <w:rPr>
          <w:rFonts w:ascii="Calibri" w:hAnsi="Calibri" w:cs="Times New Roman"/>
          <w:noProof/>
          <w:sz w:val="22"/>
          <w:szCs w:val="24"/>
        </w:rPr>
        <w:tab/>
      </w:r>
      <w:r w:rsidRPr="00B15FB2">
        <w:rPr>
          <w:rFonts w:ascii="Calibri" w:hAnsi="Calibri" w:cs="Times New Roman"/>
          <w:i/>
          <w:noProof/>
          <w:sz w:val="22"/>
          <w:szCs w:val="24"/>
        </w:rPr>
        <w:t xml:space="preserve">Zooarchaeology, Second Edition </w:t>
      </w:r>
      <w:r w:rsidRPr="00B15FB2">
        <w:rPr>
          <w:rFonts w:ascii="Calibri" w:hAnsi="Calibri" w:cs="Times New Roman"/>
          <w:noProof/>
          <w:sz w:val="22"/>
          <w:szCs w:val="24"/>
        </w:rPr>
        <w:t>Cambirdge Manuals in Archaeology. Cambridge University Press, New York.</w:t>
      </w:r>
    </w:p>
    <w:bookmarkEnd w:id="14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5" w:name="_ENREF_74"/>
      <w:r w:rsidRPr="00B15FB2">
        <w:rPr>
          <w:rFonts w:ascii="Calibri" w:hAnsi="Calibri" w:cs="Times New Roman"/>
          <w:noProof/>
          <w:sz w:val="22"/>
          <w:szCs w:val="24"/>
        </w:rPr>
        <w:t xml:space="preserve">Rick, Anne Meachem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1975</w:t>
      </w:r>
      <w:r w:rsidRPr="00B15FB2">
        <w:rPr>
          <w:rFonts w:ascii="Calibri" w:hAnsi="Calibri" w:cs="Times New Roman"/>
          <w:noProof/>
          <w:sz w:val="22"/>
          <w:szCs w:val="24"/>
        </w:rPr>
        <w:tab/>
        <w:t xml:space="preserve">Bird Medullary Bone: A Seaonsal Dating Technique for Faunal Analysts. . </w:t>
      </w:r>
      <w:r w:rsidRPr="00B15FB2">
        <w:rPr>
          <w:rFonts w:ascii="Calibri" w:hAnsi="Calibri" w:cs="Times New Roman"/>
          <w:i/>
          <w:noProof/>
          <w:sz w:val="22"/>
          <w:szCs w:val="24"/>
        </w:rPr>
        <w:t xml:space="preserve">Canadian Archaeological Association </w:t>
      </w:r>
      <w:r w:rsidRPr="00B15FB2">
        <w:rPr>
          <w:rFonts w:ascii="Calibri" w:hAnsi="Calibri" w:cs="Times New Roman"/>
          <w:noProof/>
          <w:sz w:val="22"/>
          <w:szCs w:val="24"/>
        </w:rPr>
        <w:t>7:183-190.</w:t>
      </w:r>
    </w:p>
    <w:bookmarkEnd w:id="14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6" w:name="_ENREF_75"/>
      <w:r w:rsidRPr="00B15FB2">
        <w:rPr>
          <w:rFonts w:ascii="Calibri" w:hAnsi="Calibri" w:cs="Times New Roman"/>
          <w:noProof/>
          <w:sz w:val="22"/>
          <w:szCs w:val="24"/>
        </w:rPr>
        <w:t>Sassaman, Kenneth E.</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2010</w:t>
      </w:r>
      <w:r w:rsidRPr="00B15FB2">
        <w:rPr>
          <w:rFonts w:ascii="Calibri" w:hAnsi="Calibri" w:cs="Times New Roman"/>
          <w:noProof/>
          <w:sz w:val="22"/>
          <w:szCs w:val="24"/>
        </w:rPr>
        <w:tab/>
      </w:r>
      <w:r w:rsidRPr="00B15FB2">
        <w:rPr>
          <w:rFonts w:ascii="Calibri" w:hAnsi="Calibri" w:cs="Times New Roman"/>
          <w:i/>
          <w:noProof/>
          <w:sz w:val="22"/>
          <w:szCs w:val="24"/>
        </w:rPr>
        <w:t>The Eastern Archaic, Historicized.</w:t>
      </w:r>
      <w:r w:rsidRPr="00B15FB2">
        <w:rPr>
          <w:rFonts w:ascii="Calibri" w:hAnsi="Calibri" w:cs="Times New Roman"/>
          <w:noProof/>
          <w:sz w:val="22"/>
          <w:szCs w:val="24"/>
        </w:rPr>
        <w:t xml:space="preserve"> AltaMira Press, Lanham, Maryland </w:t>
      </w:r>
    </w:p>
    <w:bookmarkEnd w:id="14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7" w:name="_ENREF_76"/>
      <w:r w:rsidRPr="00B15FB2">
        <w:rPr>
          <w:rFonts w:ascii="Calibri" w:hAnsi="Calibri" w:cs="Times New Roman"/>
          <w:noProof/>
          <w:sz w:val="22"/>
          <w:szCs w:val="24"/>
        </w:rPr>
        <w:t>Schaffer, Brian 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1992</w:t>
      </w:r>
      <w:r w:rsidRPr="00B15FB2">
        <w:rPr>
          <w:rFonts w:ascii="Calibri" w:hAnsi="Calibri" w:cs="Times New Roman"/>
          <w:noProof/>
          <w:sz w:val="22"/>
          <w:szCs w:val="24"/>
        </w:rPr>
        <w:tab/>
        <w:t xml:space="preserve">Quarter-Inch Screening: Understanding Biases in Recovery of Vertebrate Faunal Remains.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57(1):129-136.</w:t>
      </w:r>
    </w:p>
    <w:bookmarkEnd w:id="14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8" w:name="_ENREF_77"/>
      <w:r w:rsidRPr="00B15FB2">
        <w:rPr>
          <w:rFonts w:ascii="Calibri" w:hAnsi="Calibri" w:cs="Times New Roman"/>
          <w:noProof/>
          <w:sz w:val="22"/>
          <w:szCs w:val="24"/>
        </w:rPr>
        <w:t>Schiffer, Michael B.</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1987</w:t>
      </w:r>
      <w:r w:rsidRPr="00B15FB2">
        <w:rPr>
          <w:rFonts w:ascii="Calibri" w:hAnsi="Calibri" w:cs="Times New Roman"/>
          <w:noProof/>
          <w:sz w:val="22"/>
          <w:szCs w:val="24"/>
        </w:rPr>
        <w:tab/>
      </w:r>
      <w:r w:rsidRPr="00B15FB2">
        <w:rPr>
          <w:rFonts w:ascii="Calibri" w:hAnsi="Calibri" w:cs="Times New Roman"/>
          <w:i/>
          <w:noProof/>
          <w:sz w:val="22"/>
          <w:szCs w:val="24"/>
        </w:rPr>
        <w:t>Formation Processes of the Archaeological Record</w:t>
      </w:r>
      <w:r w:rsidRPr="00B15FB2">
        <w:rPr>
          <w:rFonts w:ascii="Calibri" w:hAnsi="Calibri" w:cs="Times New Roman"/>
          <w:noProof/>
          <w:sz w:val="22"/>
          <w:szCs w:val="24"/>
        </w:rPr>
        <w:t>. University of New Mexico Press, Albuquerque.</w:t>
      </w:r>
    </w:p>
    <w:bookmarkEnd w:id="14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49" w:name="_ENREF_78"/>
      <w:r w:rsidRPr="00B15FB2">
        <w:rPr>
          <w:rFonts w:ascii="Calibri" w:hAnsi="Calibri" w:cs="Times New Roman"/>
          <w:noProof/>
          <w:sz w:val="22"/>
          <w:szCs w:val="24"/>
        </w:rPr>
        <w:t>Schorger, A.W.</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1955</w:t>
      </w:r>
      <w:r w:rsidRPr="00B15FB2">
        <w:rPr>
          <w:rFonts w:ascii="Calibri" w:hAnsi="Calibri" w:cs="Times New Roman"/>
          <w:noProof/>
          <w:sz w:val="22"/>
          <w:szCs w:val="24"/>
        </w:rPr>
        <w:tab/>
      </w:r>
      <w:r w:rsidRPr="00B15FB2">
        <w:rPr>
          <w:rFonts w:ascii="Calibri" w:hAnsi="Calibri" w:cs="Times New Roman"/>
          <w:i/>
          <w:noProof/>
          <w:sz w:val="22"/>
          <w:szCs w:val="24"/>
        </w:rPr>
        <w:t>The Passenger Pigeon, Its Natural History and Extinction</w:t>
      </w:r>
      <w:r w:rsidRPr="00B15FB2">
        <w:rPr>
          <w:rFonts w:ascii="Calibri" w:hAnsi="Calibri" w:cs="Times New Roman"/>
          <w:noProof/>
          <w:sz w:val="22"/>
          <w:szCs w:val="24"/>
        </w:rPr>
        <w:t xml:space="preserve">. University of Oklahoma Press Norman </w:t>
      </w:r>
    </w:p>
    <w:bookmarkEnd w:id="14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0" w:name="_ENREF_79"/>
      <w:r w:rsidRPr="00B15FB2">
        <w:rPr>
          <w:rFonts w:ascii="Calibri" w:hAnsi="Calibri" w:cs="Times New Roman"/>
          <w:noProof/>
          <w:sz w:val="22"/>
          <w:szCs w:val="24"/>
        </w:rPr>
        <w:t>Schwartz, Charles S. and Elizabeth R. Schwartz</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1959</w:t>
      </w:r>
      <w:r w:rsidRPr="00B15FB2">
        <w:rPr>
          <w:rFonts w:ascii="Calibri" w:hAnsi="Calibri" w:cs="Times New Roman"/>
          <w:noProof/>
          <w:sz w:val="22"/>
          <w:szCs w:val="24"/>
        </w:rPr>
        <w:tab/>
      </w:r>
      <w:r w:rsidRPr="00B15FB2">
        <w:rPr>
          <w:rFonts w:ascii="Calibri" w:hAnsi="Calibri" w:cs="Times New Roman"/>
          <w:i/>
          <w:noProof/>
          <w:sz w:val="22"/>
          <w:szCs w:val="24"/>
        </w:rPr>
        <w:t xml:space="preserve">The Wild Mammals of Missouri </w:t>
      </w:r>
      <w:r w:rsidRPr="00B15FB2">
        <w:rPr>
          <w:rFonts w:ascii="Calibri" w:hAnsi="Calibri" w:cs="Times New Roman"/>
          <w:noProof/>
          <w:sz w:val="22"/>
          <w:szCs w:val="24"/>
        </w:rPr>
        <w:t>University of Missouri Press Kansas City.</w:t>
      </w:r>
    </w:p>
    <w:bookmarkEnd w:id="15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1" w:name="_ENREF_80"/>
      <w:r w:rsidRPr="00B15FB2">
        <w:rPr>
          <w:rFonts w:ascii="Calibri" w:hAnsi="Calibri" w:cs="Times New Roman"/>
          <w:noProof/>
          <w:sz w:val="22"/>
          <w:szCs w:val="24"/>
        </w:rPr>
        <w:t>Shipman, Pat , Giraud Foster and Margaret Schoeninger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1984</w:t>
      </w:r>
      <w:r w:rsidRPr="00B15FB2">
        <w:rPr>
          <w:rFonts w:ascii="Calibri" w:hAnsi="Calibri" w:cs="Times New Roman"/>
          <w:noProof/>
          <w:sz w:val="22"/>
          <w:szCs w:val="24"/>
        </w:rPr>
        <w:tab/>
        <w:t xml:space="preserve">Burnt Bones and Teeth: An Experimental Study of Color, Morphology, Crystal Structure and Shrinkage.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11:307-325.</w:t>
      </w:r>
    </w:p>
    <w:bookmarkEnd w:id="15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2" w:name="_ENREF_81"/>
      <w:r w:rsidRPr="00B15FB2">
        <w:rPr>
          <w:rFonts w:ascii="Calibri" w:hAnsi="Calibri" w:cs="Times New Roman"/>
          <w:noProof/>
          <w:sz w:val="22"/>
          <w:szCs w:val="24"/>
        </w:rPr>
        <w:t>Shott, Michael</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1986</w:t>
      </w:r>
      <w:r w:rsidRPr="00B15FB2">
        <w:rPr>
          <w:rFonts w:ascii="Calibri" w:hAnsi="Calibri" w:cs="Times New Roman"/>
          <w:noProof/>
          <w:sz w:val="22"/>
          <w:szCs w:val="24"/>
        </w:rPr>
        <w:tab/>
        <w:t xml:space="preserve">Technological Organization and Settlement Mobility: An Ethnographic Examination. </w:t>
      </w:r>
      <w:r w:rsidRPr="00B15FB2">
        <w:rPr>
          <w:rFonts w:ascii="Calibri" w:hAnsi="Calibri" w:cs="Times New Roman"/>
          <w:i/>
          <w:noProof/>
          <w:sz w:val="22"/>
          <w:szCs w:val="24"/>
        </w:rPr>
        <w:t>Journal of Anthropological Research</w:t>
      </w:r>
      <w:r w:rsidRPr="00B15FB2">
        <w:rPr>
          <w:rFonts w:ascii="Calibri" w:hAnsi="Calibri" w:cs="Times New Roman"/>
          <w:noProof/>
          <w:sz w:val="22"/>
          <w:szCs w:val="24"/>
        </w:rPr>
        <w:t xml:space="preserve"> 42(1):15-51.</w:t>
      </w:r>
    </w:p>
    <w:bookmarkEnd w:id="15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3" w:name="_ENREF_82"/>
      <w:r w:rsidRPr="00B15FB2">
        <w:rPr>
          <w:rFonts w:ascii="Calibri" w:hAnsi="Calibri" w:cs="Times New Roman"/>
          <w:noProof/>
          <w:sz w:val="22"/>
          <w:szCs w:val="24"/>
        </w:rPr>
        <w:t>Simek, Jan F., Jay D. Franklin and Sarah C. Sherwood</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1998</w:t>
      </w:r>
      <w:r w:rsidRPr="00B15FB2">
        <w:rPr>
          <w:rFonts w:ascii="Calibri" w:hAnsi="Calibri" w:cs="Times New Roman"/>
          <w:noProof/>
          <w:sz w:val="22"/>
          <w:szCs w:val="24"/>
        </w:rPr>
        <w:tab/>
        <w:t xml:space="preserve">The Context of Early Southeastern Prehistoric Cave Art: A Report on the Archaeology of 3rd Unnamed Cave.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63(4):663-677.</w:t>
      </w:r>
    </w:p>
    <w:bookmarkEnd w:id="15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4" w:name="_ENREF_83"/>
      <w:r w:rsidRPr="00B15FB2">
        <w:rPr>
          <w:rFonts w:ascii="Calibri" w:hAnsi="Calibri" w:cs="Times New Roman"/>
          <w:noProof/>
          <w:sz w:val="22"/>
          <w:szCs w:val="24"/>
        </w:rPr>
        <w:t>Sisson, Septimus</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1921</w:t>
      </w:r>
      <w:r w:rsidRPr="00B15FB2">
        <w:rPr>
          <w:rFonts w:ascii="Calibri" w:hAnsi="Calibri" w:cs="Times New Roman"/>
          <w:noProof/>
          <w:sz w:val="22"/>
          <w:szCs w:val="24"/>
        </w:rPr>
        <w:tab/>
      </w:r>
      <w:r w:rsidRPr="00B15FB2">
        <w:rPr>
          <w:rFonts w:ascii="Calibri" w:hAnsi="Calibri" w:cs="Times New Roman"/>
          <w:i/>
          <w:noProof/>
          <w:sz w:val="22"/>
          <w:szCs w:val="24"/>
        </w:rPr>
        <w:t>The Anatomy of the Domestic Animal, Second Edition</w:t>
      </w:r>
      <w:r w:rsidRPr="00B15FB2">
        <w:rPr>
          <w:rFonts w:ascii="Calibri" w:hAnsi="Calibri" w:cs="Times New Roman"/>
          <w:noProof/>
          <w:sz w:val="22"/>
          <w:szCs w:val="24"/>
        </w:rPr>
        <w:t>. W.B. Saunders Company, Philadelphia.</w:t>
      </w:r>
    </w:p>
    <w:bookmarkEnd w:id="15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5" w:name="_ENREF_84"/>
      <w:r w:rsidRPr="00B15FB2">
        <w:rPr>
          <w:rFonts w:ascii="Calibri" w:hAnsi="Calibri" w:cs="Times New Roman"/>
          <w:noProof/>
          <w:sz w:val="22"/>
          <w:szCs w:val="24"/>
        </w:rPr>
        <w:t>Speth, John D.</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1983</w:t>
      </w:r>
      <w:r w:rsidRPr="00B15FB2">
        <w:rPr>
          <w:rFonts w:ascii="Calibri" w:hAnsi="Calibri" w:cs="Times New Roman"/>
          <w:noProof/>
          <w:sz w:val="22"/>
          <w:szCs w:val="24"/>
        </w:rPr>
        <w:tab/>
      </w:r>
      <w:r w:rsidRPr="00B15FB2">
        <w:rPr>
          <w:rFonts w:ascii="Calibri" w:hAnsi="Calibri" w:cs="Times New Roman"/>
          <w:i/>
          <w:noProof/>
          <w:sz w:val="22"/>
          <w:szCs w:val="24"/>
        </w:rPr>
        <w:t>Bison Kills and Bone Counts, Decision Making by Ancient Hunters</w:t>
      </w:r>
      <w:r w:rsidRPr="00B15FB2">
        <w:rPr>
          <w:rFonts w:ascii="Calibri" w:hAnsi="Calibri" w:cs="Times New Roman"/>
          <w:noProof/>
          <w:sz w:val="22"/>
          <w:szCs w:val="24"/>
        </w:rPr>
        <w:t>. Prehistoric Archaeology and Ecology Series University of Chicago Press, Chicago.</w:t>
      </w:r>
    </w:p>
    <w:bookmarkEnd w:id="15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6" w:name="_ENREF_85"/>
      <w:r w:rsidRPr="00B15FB2">
        <w:rPr>
          <w:rFonts w:ascii="Calibri" w:hAnsi="Calibri" w:cs="Times New Roman"/>
          <w:noProof/>
          <w:sz w:val="22"/>
          <w:szCs w:val="24"/>
        </w:rPr>
        <w:t>Steponaitis, Vincas P.</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1986</w:t>
      </w:r>
      <w:r w:rsidRPr="00B15FB2">
        <w:rPr>
          <w:rFonts w:ascii="Calibri" w:hAnsi="Calibri" w:cs="Times New Roman"/>
          <w:noProof/>
          <w:sz w:val="22"/>
          <w:szCs w:val="24"/>
        </w:rPr>
        <w:tab/>
        <w:t xml:space="preserve">Prehistoric Archaeology in the Southeastern United States, 1970-1985. </w:t>
      </w:r>
      <w:r w:rsidRPr="00B15FB2">
        <w:rPr>
          <w:rFonts w:ascii="Calibri" w:hAnsi="Calibri" w:cs="Times New Roman"/>
          <w:i/>
          <w:noProof/>
          <w:sz w:val="22"/>
          <w:szCs w:val="24"/>
        </w:rPr>
        <w:t xml:space="preserve">Annual Review of Athropology </w:t>
      </w:r>
      <w:r w:rsidRPr="00B15FB2">
        <w:rPr>
          <w:rFonts w:ascii="Calibri" w:hAnsi="Calibri" w:cs="Times New Roman"/>
          <w:noProof/>
          <w:sz w:val="22"/>
          <w:szCs w:val="24"/>
        </w:rPr>
        <w:t>15:363-404.</w:t>
      </w:r>
    </w:p>
    <w:bookmarkEnd w:id="15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7" w:name="_ENREF_86"/>
      <w:r w:rsidRPr="00B15FB2">
        <w:rPr>
          <w:rFonts w:ascii="Calibri" w:hAnsi="Calibri" w:cs="Times New Roman"/>
          <w:noProof/>
          <w:sz w:val="22"/>
          <w:szCs w:val="24"/>
        </w:rPr>
        <w:t>Stiner, Mary C., Steven L. Kuhn, Stephen Weiner and Ofer Bar-Yosef</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1995</w:t>
      </w:r>
      <w:r w:rsidRPr="00B15FB2">
        <w:rPr>
          <w:rFonts w:ascii="Calibri" w:hAnsi="Calibri" w:cs="Times New Roman"/>
          <w:noProof/>
          <w:sz w:val="22"/>
          <w:szCs w:val="24"/>
        </w:rPr>
        <w:tab/>
        <w:t xml:space="preserve">Differential Burning, Recrystallization, and Fragmentation of Archaeological Bone.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22:223-237.</w:t>
      </w:r>
    </w:p>
    <w:bookmarkEnd w:id="157"/>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8" w:name="_ENREF_87"/>
      <w:r w:rsidRPr="00B15FB2">
        <w:rPr>
          <w:rFonts w:ascii="Calibri" w:hAnsi="Calibri" w:cs="Times New Roman"/>
          <w:noProof/>
          <w:sz w:val="22"/>
          <w:szCs w:val="24"/>
        </w:rPr>
        <w:t>Straus, Lawrence Guy</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lastRenderedPageBreak/>
        <w:tab/>
        <w:t>2006</w:t>
      </w:r>
      <w:r w:rsidRPr="00B15FB2">
        <w:rPr>
          <w:rFonts w:ascii="Calibri" w:hAnsi="Calibri" w:cs="Times New Roman"/>
          <w:noProof/>
          <w:sz w:val="22"/>
          <w:szCs w:val="24"/>
        </w:rPr>
        <w:tab/>
        <w:t xml:space="preserve">Of stones and bones: Interpreting site function in the Upper Paleolithic and Mesolithic of Western Europe. </w:t>
      </w:r>
      <w:r w:rsidRPr="00B15FB2">
        <w:rPr>
          <w:rFonts w:ascii="Calibri" w:hAnsi="Calibri" w:cs="Times New Roman"/>
          <w:i/>
          <w:noProof/>
          <w:sz w:val="22"/>
          <w:szCs w:val="24"/>
        </w:rPr>
        <w:t>Journal of Anthropological Archaeology</w:t>
      </w:r>
      <w:r w:rsidRPr="00B15FB2">
        <w:rPr>
          <w:rFonts w:ascii="Calibri" w:hAnsi="Calibri" w:cs="Times New Roman"/>
          <w:noProof/>
          <w:sz w:val="22"/>
          <w:szCs w:val="24"/>
        </w:rPr>
        <w:t xml:space="preserve"> 25(4):500-509.</w:t>
      </w:r>
    </w:p>
    <w:bookmarkEnd w:id="158"/>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59" w:name="_ENREF_88"/>
      <w:r w:rsidRPr="00B15FB2">
        <w:rPr>
          <w:rFonts w:ascii="Calibri" w:hAnsi="Calibri" w:cs="Times New Roman"/>
          <w:noProof/>
          <w:sz w:val="22"/>
          <w:szCs w:val="24"/>
        </w:rPr>
        <w:t>Sullivan, Alan P., III and Kenneth C. Rozen</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1985</w:t>
      </w:r>
      <w:r w:rsidRPr="00B15FB2">
        <w:rPr>
          <w:rFonts w:ascii="Calibri" w:hAnsi="Calibri" w:cs="Times New Roman"/>
          <w:noProof/>
          <w:sz w:val="22"/>
          <w:szCs w:val="24"/>
        </w:rPr>
        <w:tab/>
        <w:t xml:space="preserve">Debitage Analysis and Archaeological Interpretation.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50(4):755-779.</w:t>
      </w:r>
    </w:p>
    <w:bookmarkEnd w:id="159"/>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0" w:name="_ENREF_89"/>
      <w:r w:rsidRPr="00B15FB2">
        <w:rPr>
          <w:rFonts w:ascii="Calibri" w:hAnsi="Calibri" w:cs="Times New Roman"/>
          <w:noProof/>
          <w:sz w:val="22"/>
          <w:szCs w:val="24"/>
        </w:rPr>
        <w:t>Taber, Richard R.</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1971</w:t>
      </w:r>
      <w:r w:rsidRPr="00B15FB2">
        <w:rPr>
          <w:rFonts w:ascii="Calibri" w:hAnsi="Calibri" w:cs="Times New Roman"/>
          <w:noProof/>
          <w:sz w:val="22"/>
          <w:szCs w:val="24"/>
        </w:rPr>
        <w:tab/>
        <w:t>Criteria of Sex and Age</w:t>
      </w:r>
      <w:r w:rsidRPr="00B15FB2">
        <w:rPr>
          <w:rFonts w:ascii="Calibri" w:hAnsi="Calibri" w:cs="Times New Roman"/>
          <w:i/>
          <w:noProof/>
          <w:sz w:val="22"/>
          <w:szCs w:val="24"/>
        </w:rPr>
        <w:t>.</w:t>
      </w:r>
      <w:r w:rsidRPr="00B15FB2">
        <w:rPr>
          <w:rFonts w:ascii="Calibri" w:hAnsi="Calibri" w:cs="Times New Roman"/>
          <w:noProof/>
          <w:sz w:val="22"/>
          <w:szCs w:val="24"/>
        </w:rPr>
        <w:t xml:space="preserve"> In </w:t>
      </w:r>
      <w:r w:rsidRPr="00B15FB2">
        <w:rPr>
          <w:rFonts w:ascii="Calibri" w:hAnsi="Calibri" w:cs="Times New Roman"/>
          <w:i/>
          <w:noProof/>
          <w:sz w:val="22"/>
          <w:szCs w:val="24"/>
        </w:rPr>
        <w:t>Wildlife Management Techniques, 3rd Edition</w:t>
      </w:r>
      <w:r w:rsidRPr="00B15FB2">
        <w:rPr>
          <w:rFonts w:ascii="Calibri" w:hAnsi="Calibri" w:cs="Times New Roman"/>
          <w:noProof/>
          <w:sz w:val="22"/>
          <w:szCs w:val="24"/>
        </w:rPr>
        <w:t>, edited by J. Robert H. Giles, pp. 325-401. The Wildlife Society Washington D.C. .</w:t>
      </w:r>
    </w:p>
    <w:bookmarkEnd w:id="160"/>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1" w:name="_ENREF_90"/>
      <w:r w:rsidRPr="00B15FB2">
        <w:rPr>
          <w:rFonts w:ascii="Calibri" w:hAnsi="Calibri" w:cs="Times New Roman"/>
          <w:noProof/>
          <w:sz w:val="22"/>
          <w:szCs w:val="24"/>
        </w:rPr>
        <w:t>Vale, Deborah and Robert H. Gargett</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2002</w:t>
      </w:r>
      <w:r w:rsidRPr="00B15FB2">
        <w:rPr>
          <w:rFonts w:ascii="Calibri" w:hAnsi="Calibri" w:cs="Times New Roman"/>
          <w:noProof/>
          <w:sz w:val="22"/>
          <w:szCs w:val="24"/>
        </w:rPr>
        <w:tab/>
        <w:t xml:space="preserve">Size Matters: 3-mm Sieves Do Not Increase Richness in a Fishbone Assemblage from Arrawarra I, an Aboriginal Australian Shell Midden on the Mid-north Coast of New South Wales, Australia. </w:t>
      </w:r>
      <w:r w:rsidRPr="00B15FB2">
        <w:rPr>
          <w:rFonts w:ascii="Calibri" w:hAnsi="Calibri" w:cs="Times New Roman"/>
          <w:i/>
          <w:noProof/>
          <w:sz w:val="22"/>
          <w:szCs w:val="24"/>
        </w:rPr>
        <w:t>Journal of Archaeological Science</w:t>
      </w:r>
      <w:r w:rsidRPr="00B15FB2">
        <w:rPr>
          <w:rFonts w:ascii="Calibri" w:hAnsi="Calibri" w:cs="Times New Roman"/>
          <w:noProof/>
          <w:sz w:val="22"/>
          <w:szCs w:val="24"/>
        </w:rPr>
        <w:t xml:space="preserve"> 29(1):57-63.</w:t>
      </w:r>
    </w:p>
    <w:bookmarkEnd w:id="161"/>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2" w:name="_ENREF_91"/>
      <w:r w:rsidRPr="00B15FB2">
        <w:rPr>
          <w:rFonts w:ascii="Calibri" w:hAnsi="Calibri" w:cs="Times New Roman"/>
          <w:noProof/>
          <w:sz w:val="22"/>
          <w:szCs w:val="24"/>
        </w:rPr>
        <w:t>Walker, Phillip L. and Jeffrey C. Long</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1977</w:t>
      </w:r>
      <w:r w:rsidRPr="00B15FB2">
        <w:rPr>
          <w:rFonts w:ascii="Calibri" w:hAnsi="Calibri" w:cs="Times New Roman"/>
          <w:noProof/>
          <w:sz w:val="22"/>
          <w:szCs w:val="24"/>
        </w:rPr>
        <w:tab/>
        <w:t xml:space="preserve">An Experimental Study of the Morphological Characteristics of Tool Marks.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42(4):605-616.</w:t>
      </w:r>
    </w:p>
    <w:bookmarkEnd w:id="162"/>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3" w:name="_ENREF_92"/>
      <w:r w:rsidRPr="00B15FB2">
        <w:rPr>
          <w:rFonts w:ascii="Calibri" w:hAnsi="Calibri" w:cs="Times New Roman"/>
          <w:noProof/>
          <w:sz w:val="22"/>
          <w:szCs w:val="24"/>
        </w:rPr>
        <w:t xml:space="preserve">Wheat, Joe Ben, Harold E. Malde and Estella B. Leopold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1972</w:t>
      </w:r>
      <w:r w:rsidRPr="00B15FB2">
        <w:rPr>
          <w:rFonts w:ascii="Calibri" w:hAnsi="Calibri" w:cs="Times New Roman"/>
          <w:noProof/>
          <w:sz w:val="22"/>
          <w:szCs w:val="24"/>
        </w:rPr>
        <w:tab/>
        <w:t xml:space="preserve">The Olsen-Chubback Site: A Paleo-Indian Bison Kill. </w:t>
      </w:r>
      <w:r w:rsidRPr="00B15FB2">
        <w:rPr>
          <w:rFonts w:ascii="Calibri" w:hAnsi="Calibri" w:cs="Times New Roman"/>
          <w:i/>
          <w:noProof/>
          <w:sz w:val="22"/>
          <w:szCs w:val="24"/>
        </w:rPr>
        <w:t>Memoirs of the Society for American Archaeology</w:t>
      </w:r>
      <w:r w:rsidRPr="00B15FB2">
        <w:rPr>
          <w:rFonts w:ascii="Calibri" w:hAnsi="Calibri" w:cs="Times New Roman"/>
          <w:noProof/>
          <w:sz w:val="22"/>
          <w:szCs w:val="24"/>
        </w:rPr>
        <w:t xml:space="preserve"> 26:1-180.</w:t>
      </w:r>
    </w:p>
    <w:bookmarkEnd w:id="163"/>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4" w:name="_ENREF_93"/>
      <w:r w:rsidRPr="00B15FB2">
        <w:rPr>
          <w:rFonts w:ascii="Calibri" w:hAnsi="Calibri" w:cs="Times New Roman"/>
          <w:noProof/>
          <w:sz w:val="22"/>
          <w:szCs w:val="24"/>
        </w:rPr>
        <w:t xml:space="preserve">White, E.M. and L.A. Hannus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1983</w:t>
      </w:r>
      <w:r w:rsidRPr="00B15FB2">
        <w:rPr>
          <w:rFonts w:ascii="Calibri" w:hAnsi="Calibri" w:cs="Times New Roman"/>
          <w:noProof/>
          <w:sz w:val="22"/>
          <w:szCs w:val="24"/>
        </w:rPr>
        <w:tab/>
        <w:t xml:space="preserve">Chemical Weathering of Bone from Archaeological Soils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48(2):316-322.</w:t>
      </w:r>
    </w:p>
    <w:bookmarkEnd w:id="164"/>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5" w:name="_ENREF_94"/>
      <w:r w:rsidRPr="00B15FB2">
        <w:rPr>
          <w:rFonts w:ascii="Calibri" w:hAnsi="Calibri" w:cs="Times New Roman"/>
          <w:noProof/>
          <w:sz w:val="22"/>
          <w:szCs w:val="24"/>
        </w:rPr>
        <w:t xml:space="preserve">White, T.E.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1953</w:t>
      </w:r>
      <w:r w:rsidRPr="00B15FB2">
        <w:rPr>
          <w:rFonts w:ascii="Calibri" w:hAnsi="Calibri" w:cs="Times New Roman"/>
          <w:noProof/>
          <w:sz w:val="22"/>
          <w:szCs w:val="24"/>
        </w:rPr>
        <w:tab/>
        <w:t xml:space="preserve">A Method of Calculating the Dietary Percentage of Various Food Animals Utilized by Aboriginal Peoples. </w:t>
      </w:r>
      <w:r w:rsidRPr="00B15FB2">
        <w:rPr>
          <w:rFonts w:ascii="Calibri" w:hAnsi="Calibri" w:cs="Times New Roman"/>
          <w:i/>
          <w:noProof/>
          <w:sz w:val="22"/>
          <w:szCs w:val="24"/>
        </w:rPr>
        <w:t>American Antiquity</w:t>
      </w:r>
      <w:r w:rsidRPr="00B15FB2">
        <w:rPr>
          <w:rFonts w:ascii="Calibri" w:hAnsi="Calibri" w:cs="Times New Roman"/>
          <w:noProof/>
          <w:sz w:val="22"/>
          <w:szCs w:val="24"/>
        </w:rPr>
        <w:t xml:space="preserve"> 18:396-398.</w:t>
      </w:r>
    </w:p>
    <w:bookmarkEnd w:id="165"/>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6" w:name="_ENREF_95"/>
      <w:r w:rsidRPr="00B15FB2">
        <w:rPr>
          <w:rFonts w:ascii="Calibri" w:hAnsi="Calibri" w:cs="Times New Roman"/>
          <w:noProof/>
          <w:sz w:val="22"/>
          <w:szCs w:val="24"/>
        </w:rPr>
        <w:t>Williams, John W., Bryan N. Shuman, Thompson Webb III, Patrick J. Bartlein and Phillip L. Leduc</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2004</w:t>
      </w:r>
      <w:r w:rsidRPr="00B15FB2">
        <w:rPr>
          <w:rFonts w:ascii="Calibri" w:hAnsi="Calibri" w:cs="Times New Roman"/>
          <w:noProof/>
          <w:sz w:val="22"/>
          <w:szCs w:val="24"/>
        </w:rPr>
        <w:tab/>
        <w:t xml:space="preserve">Late Quaternary Vegetation Dynamics in North America: Scaling from Taxa to Biomes. </w:t>
      </w:r>
      <w:r w:rsidRPr="00B15FB2">
        <w:rPr>
          <w:rFonts w:ascii="Calibri" w:hAnsi="Calibri" w:cs="Times New Roman"/>
          <w:i/>
          <w:noProof/>
          <w:sz w:val="22"/>
          <w:szCs w:val="24"/>
        </w:rPr>
        <w:t>Ecological Monographs</w:t>
      </w:r>
      <w:r w:rsidRPr="00B15FB2">
        <w:rPr>
          <w:rFonts w:ascii="Calibri" w:hAnsi="Calibri" w:cs="Times New Roman"/>
          <w:noProof/>
          <w:sz w:val="22"/>
          <w:szCs w:val="24"/>
        </w:rPr>
        <w:t xml:space="preserve"> 7:309-334.</w:t>
      </w:r>
    </w:p>
    <w:bookmarkEnd w:id="166"/>
    <w:p w:rsidR="00B15FB2" w:rsidRPr="00B15FB2" w:rsidRDefault="00B15FB2" w:rsidP="00B15FB2">
      <w:pPr>
        <w:spacing w:after="0" w:line="240" w:lineRule="auto"/>
        <w:rPr>
          <w:rFonts w:ascii="Calibri" w:hAnsi="Calibri" w:cs="Times New Roman"/>
          <w:noProof/>
          <w:sz w:val="22"/>
          <w:szCs w:val="24"/>
        </w:rPr>
      </w:pPr>
    </w:p>
    <w:p w:rsidR="00B15FB2" w:rsidRPr="00B15FB2" w:rsidRDefault="00B15FB2" w:rsidP="00B15FB2">
      <w:pPr>
        <w:spacing w:line="240" w:lineRule="auto"/>
        <w:rPr>
          <w:rFonts w:ascii="Calibri" w:hAnsi="Calibri" w:cs="Times New Roman"/>
          <w:noProof/>
          <w:sz w:val="22"/>
          <w:szCs w:val="24"/>
        </w:rPr>
      </w:pPr>
      <w:bookmarkStart w:id="167" w:name="_ENREF_96"/>
      <w:r w:rsidRPr="00B15FB2">
        <w:rPr>
          <w:rFonts w:ascii="Calibri" w:hAnsi="Calibri" w:cs="Times New Roman"/>
          <w:noProof/>
          <w:sz w:val="22"/>
          <w:szCs w:val="24"/>
        </w:rPr>
        <w:lastRenderedPageBreak/>
        <w:t xml:space="preserve">Worthington, Brian E. </w:t>
      </w:r>
    </w:p>
    <w:p w:rsidR="00B15FB2" w:rsidRPr="00B15FB2" w:rsidRDefault="00B15FB2" w:rsidP="00B15FB2">
      <w:pPr>
        <w:spacing w:line="240" w:lineRule="auto"/>
        <w:ind w:left="720" w:hanging="720"/>
        <w:rPr>
          <w:rFonts w:ascii="Calibri" w:hAnsi="Calibri" w:cs="Times New Roman"/>
          <w:noProof/>
          <w:sz w:val="22"/>
          <w:szCs w:val="24"/>
        </w:rPr>
      </w:pPr>
      <w:r w:rsidRPr="00B15FB2">
        <w:rPr>
          <w:rFonts w:ascii="Calibri" w:hAnsi="Calibri" w:cs="Times New Roman"/>
          <w:noProof/>
          <w:sz w:val="22"/>
          <w:szCs w:val="24"/>
        </w:rPr>
        <w:tab/>
        <w:t>2008</w:t>
      </w:r>
      <w:r w:rsidRPr="00B15FB2">
        <w:rPr>
          <w:rFonts w:ascii="Calibri" w:hAnsi="Calibri" w:cs="Times New Roman"/>
          <w:noProof/>
          <w:sz w:val="22"/>
          <w:szCs w:val="24"/>
        </w:rPr>
        <w:tab/>
        <w:t xml:space="preserve">An Osteometric Analysis of Southeastern Prehistoric Domestic Dogs, Department of Anthropology Florida State University </w:t>
      </w:r>
    </w:p>
    <w:bookmarkEnd w:id="167"/>
    <w:p w:rsidR="004C0A85" w:rsidRDefault="004C0A85">
      <w:pPr>
        <w:rPr>
          <w:rFonts w:ascii="Calibri" w:hAnsi="Calibri" w:cs="Times New Roman"/>
          <w:noProof/>
          <w:sz w:val="22"/>
          <w:szCs w:val="24"/>
        </w:rPr>
      </w:pPr>
      <w:r>
        <w:rPr>
          <w:rFonts w:ascii="Calibri" w:hAnsi="Calibri" w:cs="Times New Roman"/>
          <w:noProof/>
          <w:sz w:val="22"/>
          <w:szCs w:val="24"/>
        </w:rPr>
        <w:br w:type="page"/>
      </w:r>
    </w:p>
    <w:p w:rsidR="00B15FB2" w:rsidRPr="004C0A85" w:rsidRDefault="004C0A85" w:rsidP="004C0A85">
      <w:pPr>
        <w:pStyle w:val="Heading1"/>
        <w:jc w:val="center"/>
      </w:pPr>
      <w:bookmarkStart w:id="168" w:name="_Toc349507305"/>
      <w:r w:rsidRPr="004C0A85">
        <w:lastRenderedPageBreak/>
        <w:t>Vita</w:t>
      </w:r>
      <w:bookmarkEnd w:id="168"/>
    </w:p>
    <w:p w:rsidR="00B15FB2" w:rsidRDefault="00B15FB2" w:rsidP="00B15FB2">
      <w:pPr>
        <w:spacing w:line="240" w:lineRule="auto"/>
        <w:rPr>
          <w:rFonts w:ascii="Calibri" w:hAnsi="Calibri" w:cs="Times New Roman"/>
          <w:noProof/>
          <w:sz w:val="22"/>
          <w:szCs w:val="24"/>
        </w:rPr>
      </w:pPr>
    </w:p>
    <w:p w:rsidR="00C20878" w:rsidRPr="00C123C1" w:rsidRDefault="00B33E6D" w:rsidP="00F6311B">
      <w:pPr>
        <w:spacing w:after="0" w:line="240" w:lineRule="auto"/>
        <w:contextualSpacing/>
        <w:rPr>
          <w:rFonts w:cs="Times New Roman"/>
          <w:szCs w:val="24"/>
        </w:rPr>
      </w:pPr>
      <w:r w:rsidRPr="00F6311B">
        <w:rPr>
          <w:rFonts w:cs="Times New Roman"/>
          <w:szCs w:val="24"/>
        </w:rPr>
        <w:fldChar w:fldCharType="end"/>
      </w:r>
    </w:p>
    <w:sectPr w:rsidR="00C20878" w:rsidRPr="00C123C1" w:rsidSect="004A7323">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C28" w:rsidRDefault="00706C28" w:rsidP="00E33534">
      <w:pPr>
        <w:spacing w:after="0" w:line="240" w:lineRule="auto"/>
      </w:pPr>
      <w:r>
        <w:separator/>
      </w:r>
    </w:p>
  </w:endnote>
  <w:endnote w:type="continuationSeparator" w:id="0">
    <w:p w:rsidR="00706C28" w:rsidRDefault="00706C28" w:rsidP="00E3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725566"/>
      <w:docPartObj>
        <w:docPartGallery w:val="Page Numbers (Bottom of Page)"/>
        <w:docPartUnique/>
      </w:docPartObj>
    </w:sdtPr>
    <w:sdtEndPr/>
    <w:sdtContent>
      <w:p w:rsidR="00E26212" w:rsidRDefault="00E26212">
        <w:pPr>
          <w:pStyle w:val="Footer"/>
          <w:jc w:val="center"/>
        </w:pPr>
        <w:r>
          <w:rPr>
            <w:noProof/>
          </w:rPr>
          <mc:AlternateContent>
            <mc:Choice Requires="wps">
              <w:drawing>
                <wp:inline distT="0" distB="0" distL="0" distR="0">
                  <wp:extent cx="5934075" cy="45085"/>
                  <wp:effectExtent l="9525" t="9525" r="0" b="2540"/>
                  <wp:docPr id="2" name="AutoShap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DA422B1" id="_x0000_t110" coordsize="21600,21600" o:spt="110" path="m10800,l,10800,10800,21600,21600,10800xe">
                  <v:stroke joinstyle="miter"/>
                  <v:path gradientshapeok="t" o:connecttype="rect" textboxrect="5400,5400,16200,16200"/>
                </v:shapetype>
                <v:shape id="AutoShape 2" o:spid="_x0000_s1026" type="#_x0000_t110" alt="Light horizontal" style="width:467.2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" fillcolor="black [3213]" stroked="f" strokecolor="black [3213]">
                  <v:fill r:id="rId1" o:title="" type="pattern"/>
                  <w10:anchorlock/>
                </v:shape>
              </w:pict>
            </mc:Fallback>
          </mc:AlternateContent>
        </w:r>
      </w:p>
      <w:p w:rsidR="00E26212" w:rsidRDefault="00E26212">
        <w:pPr>
          <w:pStyle w:val="Footer"/>
          <w:jc w:val="center"/>
        </w:pPr>
        <w:r>
          <w:fldChar w:fldCharType="begin"/>
        </w:r>
        <w:r>
          <w:instrText xml:space="preserve"> PAGE    \* MERGEFORMAT </w:instrText>
        </w:r>
        <w:r>
          <w:fldChar w:fldCharType="separate"/>
        </w:r>
        <w:r w:rsidR="004C0A85">
          <w:rPr>
            <w:noProof/>
          </w:rPr>
          <w:t>vi</w:t>
        </w:r>
        <w:r>
          <w:rPr>
            <w:noProof/>
          </w:rPr>
          <w:fldChar w:fldCharType="end"/>
        </w:r>
      </w:p>
    </w:sdtContent>
  </w:sdt>
  <w:p w:rsidR="00E26212" w:rsidRDefault="00E262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15770"/>
      <w:docPartObj>
        <w:docPartGallery w:val="Page Numbers (Bottom of Page)"/>
        <w:docPartUnique/>
      </w:docPartObj>
    </w:sdtPr>
    <w:sdtEndPr/>
    <w:sdtContent>
      <w:p w:rsidR="00E26212" w:rsidRDefault="00E26212">
        <w:pPr>
          <w:pStyle w:val="Footer"/>
          <w:jc w:val="center"/>
        </w:pPr>
        <w:r>
          <w:rPr>
            <w:noProof/>
          </w:rPr>
          <mc:AlternateContent>
            <mc:Choice Requires="wps">
              <w:drawing>
                <wp:inline distT="0" distB="0" distL="0" distR="0">
                  <wp:extent cx="5943600" cy="45085"/>
                  <wp:effectExtent l="9525" t="9525" r="0" b="254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AB6021F"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" fillcolor="black [3213]" stroked="f" strokecolor="black [3213]">
                  <v:fill r:id="rId1" o:title="" type="pattern"/>
                  <w10:anchorlock/>
                </v:shape>
              </w:pict>
            </mc:Fallback>
          </mc:AlternateContent>
        </w:r>
      </w:p>
      <w:p w:rsidR="00E26212" w:rsidRDefault="00E2621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26212" w:rsidRDefault="00E26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C28" w:rsidRDefault="00706C28" w:rsidP="00E33534">
      <w:pPr>
        <w:spacing w:after="0" w:line="240" w:lineRule="auto"/>
      </w:pPr>
      <w:r>
        <w:separator/>
      </w:r>
    </w:p>
  </w:footnote>
  <w:footnote w:type="continuationSeparator" w:id="0">
    <w:p w:rsidR="00706C28" w:rsidRDefault="00706C28" w:rsidP="00E335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1629B"/>
    <w:multiLevelType w:val="hybridMultilevel"/>
    <w:tmpl w:val="5A747D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CE66767"/>
    <w:multiLevelType w:val="hybridMultilevel"/>
    <w:tmpl w:val="1B0C2310"/>
    <w:lvl w:ilvl="0" w:tplc="449227B8">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FEF173D"/>
    <w:multiLevelType w:val="hybridMultilevel"/>
    <w:tmpl w:val="6B5CFEB2"/>
    <w:lvl w:ilvl="0" w:tplc="42E83BA4">
      <w:start w:val="198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7E4B92"/>
    <w:multiLevelType w:val="hybridMultilevel"/>
    <w:tmpl w:val="EA0EDA42"/>
    <w:lvl w:ilvl="0" w:tplc="42E83BA4">
      <w:start w:val="198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er Antiqu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vwvsv0fktzv2weszt4xp95xstrzawadapa0&quot;&gt;Thesis Copy (12-19-12 3pm)&lt;record-ids&gt;&lt;item&gt;12&lt;/item&gt;&lt;item&gt;18&lt;/item&gt;&lt;item&gt;19&lt;/item&gt;&lt;item&gt;36&lt;/item&gt;&lt;item&gt;40&lt;/item&gt;&lt;item&gt;41&lt;/item&gt;&lt;item&gt;42&lt;/item&gt;&lt;item&gt;46&lt;/item&gt;&lt;item&gt;47&lt;/item&gt;&lt;item&gt;48&lt;/item&gt;&lt;item&gt;49&lt;/item&gt;&lt;item&gt;50&lt;/item&gt;&lt;item&gt;51&lt;/item&gt;&lt;item&gt;53&lt;/item&gt;&lt;item&gt;54&lt;/item&gt;&lt;item&gt;55&lt;/item&gt;&lt;item&gt;56&lt;/item&gt;&lt;item&gt;58&lt;/item&gt;&lt;item&gt;59&lt;/item&gt;&lt;item&gt;60&lt;/item&gt;&lt;item&gt;61&lt;/item&gt;&lt;item&gt;62&lt;/item&gt;&lt;item&gt;63&lt;/item&gt;&lt;item&gt;64&lt;/item&gt;&lt;item&gt;65&lt;/item&gt;&lt;item&gt;66&lt;/item&gt;&lt;item&gt;67&lt;/item&gt;&lt;item&gt;68&lt;/item&gt;&lt;item&gt;72&lt;/item&gt;&lt;item&gt;73&lt;/item&gt;&lt;item&gt;74&lt;/item&gt;&lt;item&gt;75&lt;/item&gt;&lt;item&gt;79&lt;/item&gt;&lt;item&gt;80&lt;/item&gt;&lt;item&gt;81&lt;/item&gt;&lt;item&gt;82&lt;/item&gt;&lt;item&gt;84&lt;/item&gt;&lt;item&gt;85&lt;/item&gt;&lt;item&gt;86&lt;/item&gt;&lt;item&gt;87&lt;/item&gt;&lt;item&gt;88&lt;/item&gt;&lt;item&gt;95&lt;/item&gt;&lt;item&gt;102&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2&lt;/item&gt;&lt;item&gt;143&lt;/item&gt;&lt;item&gt;144&lt;/item&gt;&lt;item&gt;145&lt;/item&gt;&lt;item&gt;146&lt;/item&gt;&lt;item&gt;147&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record-ids&gt;&lt;/item&gt;&lt;/Libraries&gt;"/>
  </w:docVars>
  <w:rsids>
    <w:rsidRoot w:val="00BF4D47"/>
    <w:rsid w:val="000039E3"/>
    <w:rsid w:val="00014FC1"/>
    <w:rsid w:val="00022722"/>
    <w:rsid w:val="00046E47"/>
    <w:rsid w:val="00064459"/>
    <w:rsid w:val="00065817"/>
    <w:rsid w:val="00085C27"/>
    <w:rsid w:val="00086C3C"/>
    <w:rsid w:val="00087890"/>
    <w:rsid w:val="0009439B"/>
    <w:rsid w:val="000A52BC"/>
    <w:rsid w:val="000B3271"/>
    <w:rsid w:val="000B39B8"/>
    <w:rsid w:val="000C1550"/>
    <w:rsid w:val="000C1C17"/>
    <w:rsid w:val="000F3854"/>
    <w:rsid w:val="00104C0A"/>
    <w:rsid w:val="001065E6"/>
    <w:rsid w:val="00112732"/>
    <w:rsid w:val="00117412"/>
    <w:rsid w:val="00120C01"/>
    <w:rsid w:val="00121EC1"/>
    <w:rsid w:val="00127DA1"/>
    <w:rsid w:val="00142FDB"/>
    <w:rsid w:val="0015343F"/>
    <w:rsid w:val="001639B6"/>
    <w:rsid w:val="001664BE"/>
    <w:rsid w:val="001749D5"/>
    <w:rsid w:val="00177223"/>
    <w:rsid w:val="001818FC"/>
    <w:rsid w:val="00183BD8"/>
    <w:rsid w:val="00194FF0"/>
    <w:rsid w:val="001A51D2"/>
    <w:rsid w:val="001C734D"/>
    <w:rsid w:val="001D46B5"/>
    <w:rsid w:val="00205AD2"/>
    <w:rsid w:val="00211891"/>
    <w:rsid w:val="00212B6C"/>
    <w:rsid w:val="00223810"/>
    <w:rsid w:val="00225178"/>
    <w:rsid w:val="00247A6A"/>
    <w:rsid w:val="00251B04"/>
    <w:rsid w:val="002607BB"/>
    <w:rsid w:val="00261CFC"/>
    <w:rsid w:val="00264933"/>
    <w:rsid w:val="0026519D"/>
    <w:rsid w:val="00281A35"/>
    <w:rsid w:val="00285306"/>
    <w:rsid w:val="00292CC6"/>
    <w:rsid w:val="00293054"/>
    <w:rsid w:val="00294A6D"/>
    <w:rsid w:val="00297886"/>
    <w:rsid w:val="00297EB7"/>
    <w:rsid w:val="002B62C5"/>
    <w:rsid w:val="002D48E9"/>
    <w:rsid w:val="002D6D1F"/>
    <w:rsid w:val="002D7D4C"/>
    <w:rsid w:val="002E7DBF"/>
    <w:rsid w:val="002F121A"/>
    <w:rsid w:val="002F53B3"/>
    <w:rsid w:val="0032255C"/>
    <w:rsid w:val="00326C76"/>
    <w:rsid w:val="00331601"/>
    <w:rsid w:val="00344124"/>
    <w:rsid w:val="0037071E"/>
    <w:rsid w:val="003833B8"/>
    <w:rsid w:val="00384F67"/>
    <w:rsid w:val="003909EE"/>
    <w:rsid w:val="00390C56"/>
    <w:rsid w:val="0039371A"/>
    <w:rsid w:val="00395A90"/>
    <w:rsid w:val="003963C1"/>
    <w:rsid w:val="003A5426"/>
    <w:rsid w:val="003B05B8"/>
    <w:rsid w:val="003B5B91"/>
    <w:rsid w:val="003C485B"/>
    <w:rsid w:val="003C4E5B"/>
    <w:rsid w:val="003D1F37"/>
    <w:rsid w:val="003E35F7"/>
    <w:rsid w:val="003F352D"/>
    <w:rsid w:val="003F765A"/>
    <w:rsid w:val="00412A22"/>
    <w:rsid w:val="00413BB8"/>
    <w:rsid w:val="00431AA9"/>
    <w:rsid w:val="0043726A"/>
    <w:rsid w:val="0044279F"/>
    <w:rsid w:val="00475E1E"/>
    <w:rsid w:val="00476CCD"/>
    <w:rsid w:val="00492E6E"/>
    <w:rsid w:val="004A7323"/>
    <w:rsid w:val="004A746A"/>
    <w:rsid w:val="004B0126"/>
    <w:rsid w:val="004B0694"/>
    <w:rsid w:val="004B3D68"/>
    <w:rsid w:val="004B408F"/>
    <w:rsid w:val="004B70F3"/>
    <w:rsid w:val="004C0A85"/>
    <w:rsid w:val="004C2191"/>
    <w:rsid w:val="004C5EEC"/>
    <w:rsid w:val="004D0BF3"/>
    <w:rsid w:val="004D4F89"/>
    <w:rsid w:val="004D5828"/>
    <w:rsid w:val="004F1DD4"/>
    <w:rsid w:val="0050739E"/>
    <w:rsid w:val="005226F5"/>
    <w:rsid w:val="00522B1C"/>
    <w:rsid w:val="005241CC"/>
    <w:rsid w:val="00525F7F"/>
    <w:rsid w:val="005261C1"/>
    <w:rsid w:val="00535B19"/>
    <w:rsid w:val="005546E0"/>
    <w:rsid w:val="00571267"/>
    <w:rsid w:val="00597A63"/>
    <w:rsid w:val="005A2670"/>
    <w:rsid w:val="005A4EE1"/>
    <w:rsid w:val="005A7709"/>
    <w:rsid w:val="005B42BE"/>
    <w:rsid w:val="005B7BB6"/>
    <w:rsid w:val="005B7D9F"/>
    <w:rsid w:val="005C34C9"/>
    <w:rsid w:val="005D0A8C"/>
    <w:rsid w:val="005D1010"/>
    <w:rsid w:val="005D3925"/>
    <w:rsid w:val="005E117D"/>
    <w:rsid w:val="005E1F22"/>
    <w:rsid w:val="005E25A5"/>
    <w:rsid w:val="00606507"/>
    <w:rsid w:val="00607702"/>
    <w:rsid w:val="00612088"/>
    <w:rsid w:val="00613960"/>
    <w:rsid w:val="00615F2D"/>
    <w:rsid w:val="006174EA"/>
    <w:rsid w:val="00622A1D"/>
    <w:rsid w:val="00624104"/>
    <w:rsid w:val="0063450B"/>
    <w:rsid w:val="00634631"/>
    <w:rsid w:val="00634915"/>
    <w:rsid w:val="0064224F"/>
    <w:rsid w:val="006427DF"/>
    <w:rsid w:val="00642F95"/>
    <w:rsid w:val="0064653C"/>
    <w:rsid w:val="0064769E"/>
    <w:rsid w:val="00660EBD"/>
    <w:rsid w:val="00663B46"/>
    <w:rsid w:val="00671F06"/>
    <w:rsid w:val="00676F5C"/>
    <w:rsid w:val="00685963"/>
    <w:rsid w:val="006873C0"/>
    <w:rsid w:val="0069587F"/>
    <w:rsid w:val="006A58A9"/>
    <w:rsid w:val="006B486C"/>
    <w:rsid w:val="006C440F"/>
    <w:rsid w:val="006D677B"/>
    <w:rsid w:val="006D6997"/>
    <w:rsid w:val="006E3427"/>
    <w:rsid w:val="006E4612"/>
    <w:rsid w:val="006F4856"/>
    <w:rsid w:val="006F6F28"/>
    <w:rsid w:val="00700F59"/>
    <w:rsid w:val="00706C28"/>
    <w:rsid w:val="00710534"/>
    <w:rsid w:val="007200AF"/>
    <w:rsid w:val="00724A84"/>
    <w:rsid w:val="00730B90"/>
    <w:rsid w:val="00737CF6"/>
    <w:rsid w:val="0074622F"/>
    <w:rsid w:val="00752135"/>
    <w:rsid w:val="007538EA"/>
    <w:rsid w:val="00753AF5"/>
    <w:rsid w:val="00754862"/>
    <w:rsid w:val="007657E5"/>
    <w:rsid w:val="00771658"/>
    <w:rsid w:val="0077302C"/>
    <w:rsid w:val="00781618"/>
    <w:rsid w:val="007A40D2"/>
    <w:rsid w:val="007B1E14"/>
    <w:rsid w:val="007B78C8"/>
    <w:rsid w:val="007C7C53"/>
    <w:rsid w:val="007D6E92"/>
    <w:rsid w:val="008076E3"/>
    <w:rsid w:val="0081169C"/>
    <w:rsid w:val="008228AD"/>
    <w:rsid w:val="00832A87"/>
    <w:rsid w:val="00847AFE"/>
    <w:rsid w:val="00854D0D"/>
    <w:rsid w:val="00856B7E"/>
    <w:rsid w:val="00862BE9"/>
    <w:rsid w:val="00867188"/>
    <w:rsid w:val="00871BE6"/>
    <w:rsid w:val="00875231"/>
    <w:rsid w:val="00875B42"/>
    <w:rsid w:val="00886D69"/>
    <w:rsid w:val="00896A26"/>
    <w:rsid w:val="008A130A"/>
    <w:rsid w:val="008B10A8"/>
    <w:rsid w:val="008B2837"/>
    <w:rsid w:val="008C3C28"/>
    <w:rsid w:val="008C7353"/>
    <w:rsid w:val="008D0C14"/>
    <w:rsid w:val="008D3D94"/>
    <w:rsid w:val="008F6799"/>
    <w:rsid w:val="00922F34"/>
    <w:rsid w:val="009244D8"/>
    <w:rsid w:val="00931811"/>
    <w:rsid w:val="009430BB"/>
    <w:rsid w:val="00946694"/>
    <w:rsid w:val="009534E4"/>
    <w:rsid w:val="00957500"/>
    <w:rsid w:val="00961B5A"/>
    <w:rsid w:val="00975D5A"/>
    <w:rsid w:val="009860C6"/>
    <w:rsid w:val="00987B1D"/>
    <w:rsid w:val="00994744"/>
    <w:rsid w:val="0099514A"/>
    <w:rsid w:val="00997E16"/>
    <w:rsid w:val="009A0680"/>
    <w:rsid w:val="009A3247"/>
    <w:rsid w:val="009B4477"/>
    <w:rsid w:val="009D1092"/>
    <w:rsid w:val="009D2FE6"/>
    <w:rsid w:val="00A04B71"/>
    <w:rsid w:val="00A16AA8"/>
    <w:rsid w:val="00A26EB1"/>
    <w:rsid w:val="00A32016"/>
    <w:rsid w:val="00A37EE3"/>
    <w:rsid w:val="00A4202E"/>
    <w:rsid w:val="00A44BE4"/>
    <w:rsid w:val="00A74E36"/>
    <w:rsid w:val="00A75374"/>
    <w:rsid w:val="00A93F70"/>
    <w:rsid w:val="00A951D1"/>
    <w:rsid w:val="00AA0671"/>
    <w:rsid w:val="00AA23A5"/>
    <w:rsid w:val="00AB02DA"/>
    <w:rsid w:val="00AB29F6"/>
    <w:rsid w:val="00AB416D"/>
    <w:rsid w:val="00AB6DC5"/>
    <w:rsid w:val="00AC7FAD"/>
    <w:rsid w:val="00AF2B75"/>
    <w:rsid w:val="00AF5B3F"/>
    <w:rsid w:val="00B011C2"/>
    <w:rsid w:val="00B12D35"/>
    <w:rsid w:val="00B15FB2"/>
    <w:rsid w:val="00B17230"/>
    <w:rsid w:val="00B24EF3"/>
    <w:rsid w:val="00B32378"/>
    <w:rsid w:val="00B33E6D"/>
    <w:rsid w:val="00B40AC5"/>
    <w:rsid w:val="00B43E48"/>
    <w:rsid w:val="00B578D9"/>
    <w:rsid w:val="00B678D4"/>
    <w:rsid w:val="00B720C3"/>
    <w:rsid w:val="00B8560F"/>
    <w:rsid w:val="00B94160"/>
    <w:rsid w:val="00BB15CF"/>
    <w:rsid w:val="00BC391D"/>
    <w:rsid w:val="00BC4712"/>
    <w:rsid w:val="00BC66F0"/>
    <w:rsid w:val="00BE0DA3"/>
    <w:rsid w:val="00BE2942"/>
    <w:rsid w:val="00BF3642"/>
    <w:rsid w:val="00BF4D47"/>
    <w:rsid w:val="00C00155"/>
    <w:rsid w:val="00C123C1"/>
    <w:rsid w:val="00C20878"/>
    <w:rsid w:val="00C21303"/>
    <w:rsid w:val="00C31208"/>
    <w:rsid w:val="00C31EB6"/>
    <w:rsid w:val="00C51447"/>
    <w:rsid w:val="00C6148D"/>
    <w:rsid w:val="00C64AA8"/>
    <w:rsid w:val="00C70352"/>
    <w:rsid w:val="00C75B92"/>
    <w:rsid w:val="00C76542"/>
    <w:rsid w:val="00C8333B"/>
    <w:rsid w:val="00CC32D4"/>
    <w:rsid w:val="00CE203C"/>
    <w:rsid w:val="00CE295C"/>
    <w:rsid w:val="00CF2DBC"/>
    <w:rsid w:val="00D04037"/>
    <w:rsid w:val="00D11A75"/>
    <w:rsid w:val="00D20ADF"/>
    <w:rsid w:val="00D36B12"/>
    <w:rsid w:val="00D447BE"/>
    <w:rsid w:val="00D61D2D"/>
    <w:rsid w:val="00D84561"/>
    <w:rsid w:val="00D866EB"/>
    <w:rsid w:val="00D959BC"/>
    <w:rsid w:val="00D96ABF"/>
    <w:rsid w:val="00DA2A1B"/>
    <w:rsid w:val="00DA3E4A"/>
    <w:rsid w:val="00DB1ACA"/>
    <w:rsid w:val="00DB3C8E"/>
    <w:rsid w:val="00DD374B"/>
    <w:rsid w:val="00DE2A51"/>
    <w:rsid w:val="00DF6F28"/>
    <w:rsid w:val="00E0697D"/>
    <w:rsid w:val="00E07BC4"/>
    <w:rsid w:val="00E1650B"/>
    <w:rsid w:val="00E16777"/>
    <w:rsid w:val="00E16C6D"/>
    <w:rsid w:val="00E2354D"/>
    <w:rsid w:val="00E26212"/>
    <w:rsid w:val="00E33534"/>
    <w:rsid w:val="00E36BC3"/>
    <w:rsid w:val="00E373A7"/>
    <w:rsid w:val="00E421AA"/>
    <w:rsid w:val="00E513E1"/>
    <w:rsid w:val="00E55291"/>
    <w:rsid w:val="00E61429"/>
    <w:rsid w:val="00E638F9"/>
    <w:rsid w:val="00E66C14"/>
    <w:rsid w:val="00E72347"/>
    <w:rsid w:val="00E85CC0"/>
    <w:rsid w:val="00E900FC"/>
    <w:rsid w:val="00E9196C"/>
    <w:rsid w:val="00E93738"/>
    <w:rsid w:val="00EB04EF"/>
    <w:rsid w:val="00EB4A41"/>
    <w:rsid w:val="00EC062D"/>
    <w:rsid w:val="00EC0F3D"/>
    <w:rsid w:val="00EC5CFC"/>
    <w:rsid w:val="00EC6A9D"/>
    <w:rsid w:val="00EC7A31"/>
    <w:rsid w:val="00ED1F68"/>
    <w:rsid w:val="00ED2EC8"/>
    <w:rsid w:val="00ED3516"/>
    <w:rsid w:val="00ED3A38"/>
    <w:rsid w:val="00ED6B93"/>
    <w:rsid w:val="00EF1E81"/>
    <w:rsid w:val="00F0767D"/>
    <w:rsid w:val="00F408F1"/>
    <w:rsid w:val="00F446AC"/>
    <w:rsid w:val="00F5738F"/>
    <w:rsid w:val="00F62917"/>
    <w:rsid w:val="00F6311B"/>
    <w:rsid w:val="00F6716B"/>
    <w:rsid w:val="00F70150"/>
    <w:rsid w:val="00F7469B"/>
    <w:rsid w:val="00F83393"/>
    <w:rsid w:val="00F9242C"/>
    <w:rsid w:val="00F93619"/>
    <w:rsid w:val="00FB1F4F"/>
    <w:rsid w:val="00FD2187"/>
    <w:rsid w:val="00FD7277"/>
    <w:rsid w:val="00FE6C41"/>
    <w:rsid w:val="00FE76A5"/>
    <w:rsid w:val="00FF3A36"/>
    <w:rsid w:val="00FF4A3D"/>
    <w:rsid w:val="00FF5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3231B1-5AC1-4C44-9C1A-04290D18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F95"/>
    <w:rPr>
      <w:rFonts w:ascii="Times New Roman" w:hAnsi="Times New Roman"/>
      <w:sz w:val="24"/>
    </w:rPr>
  </w:style>
  <w:style w:type="paragraph" w:styleId="Heading1">
    <w:name w:val="heading 1"/>
    <w:basedOn w:val="Normal"/>
    <w:next w:val="Normal"/>
    <w:link w:val="Heading1Char"/>
    <w:uiPriority w:val="9"/>
    <w:qFormat/>
    <w:rsid w:val="00642F95"/>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642F95"/>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D84561"/>
    <w:pPr>
      <w:keepNext/>
      <w:keepLines/>
      <w:spacing w:before="200" w:after="0"/>
      <w:outlineLvl w:val="2"/>
    </w:pPr>
    <w:rPr>
      <w:rFonts w:eastAsiaTheme="majorEastAsia" w:cstheme="majorBidi"/>
      <w:bCs/>
      <w:u w:val="single"/>
    </w:rPr>
  </w:style>
  <w:style w:type="paragraph" w:styleId="Heading4">
    <w:name w:val="heading 4"/>
    <w:basedOn w:val="Normal"/>
    <w:next w:val="Normal"/>
    <w:link w:val="Heading4Char"/>
    <w:uiPriority w:val="9"/>
    <w:unhideWhenUsed/>
    <w:qFormat/>
    <w:rsid w:val="008B10A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4653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4653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D101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D101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D10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hapter"/>
    <w:basedOn w:val="Normal"/>
    <w:next w:val="Normal"/>
    <w:link w:val="TitleChar"/>
    <w:uiPriority w:val="10"/>
    <w:qFormat/>
    <w:rsid w:val="00E36BC3"/>
    <w:pPr>
      <w:pBdr>
        <w:bottom w:val="single" w:sz="8" w:space="4" w:color="4F81BD" w:themeColor="accent1"/>
      </w:pBdr>
      <w:spacing w:after="300" w:line="240" w:lineRule="auto"/>
      <w:contextualSpacing/>
    </w:pPr>
    <w:rPr>
      <w:rFonts w:eastAsiaTheme="majorEastAsia" w:cstheme="majorBidi"/>
      <w:spacing w:val="5"/>
      <w:kern w:val="28"/>
      <w:sz w:val="28"/>
      <w:szCs w:val="52"/>
    </w:rPr>
  </w:style>
  <w:style w:type="character" w:customStyle="1" w:styleId="TitleChar">
    <w:name w:val="Title Char"/>
    <w:aliases w:val="Chapter Char"/>
    <w:basedOn w:val="DefaultParagraphFont"/>
    <w:link w:val="Title"/>
    <w:uiPriority w:val="10"/>
    <w:rsid w:val="00E36BC3"/>
    <w:rPr>
      <w:rFonts w:ascii="Times New Roman" w:eastAsiaTheme="majorEastAsia" w:hAnsi="Times New Roman" w:cstheme="majorBidi"/>
      <w:spacing w:val="5"/>
      <w:kern w:val="28"/>
      <w:sz w:val="28"/>
      <w:szCs w:val="52"/>
    </w:rPr>
  </w:style>
  <w:style w:type="character" w:customStyle="1" w:styleId="Heading2Char">
    <w:name w:val="Heading 2 Char"/>
    <w:basedOn w:val="DefaultParagraphFont"/>
    <w:link w:val="Heading2"/>
    <w:uiPriority w:val="9"/>
    <w:rsid w:val="00642F95"/>
    <w:rPr>
      <w:rFonts w:ascii="Times New Roman" w:eastAsiaTheme="majorEastAsia" w:hAnsi="Times New Roman" w:cstheme="majorBidi"/>
      <w:b/>
      <w:bCs/>
      <w:sz w:val="28"/>
      <w:szCs w:val="26"/>
    </w:rPr>
  </w:style>
  <w:style w:type="paragraph" w:styleId="ListParagraph">
    <w:name w:val="List Paragraph"/>
    <w:basedOn w:val="Normal"/>
    <w:uiPriority w:val="34"/>
    <w:qFormat/>
    <w:rsid w:val="00754862"/>
    <w:pPr>
      <w:ind w:left="720"/>
      <w:contextualSpacing/>
    </w:pPr>
  </w:style>
  <w:style w:type="character" w:customStyle="1" w:styleId="Heading1Char">
    <w:name w:val="Heading 1 Char"/>
    <w:basedOn w:val="DefaultParagraphFont"/>
    <w:link w:val="Heading1"/>
    <w:uiPriority w:val="9"/>
    <w:rsid w:val="00642F95"/>
    <w:rPr>
      <w:rFonts w:ascii="Times New Roman" w:eastAsiaTheme="majorEastAsia" w:hAnsi="Times New Roman" w:cstheme="majorBidi"/>
      <w:b/>
      <w:bCs/>
      <w:sz w:val="32"/>
      <w:szCs w:val="28"/>
    </w:rPr>
  </w:style>
  <w:style w:type="paragraph" w:styleId="TOCHeading">
    <w:name w:val="TOC Heading"/>
    <w:basedOn w:val="Heading1"/>
    <w:next w:val="Normal"/>
    <w:uiPriority w:val="39"/>
    <w:unhideWhenUsed/>
    <w:qFormat/>
    <w:rsid w:val="00BC4712"/>
    <w:pPr>
      <w:outlineLvl w:val="9"/>
    </w:pPr>
  </w:style>
  <w:style w:type="paragraph" w:styleId="TOC2">
    <w:name w:val="toc 2"/>
    <w:basedOn w:val="Normal"/>
    <w:next w:val="Normal"/>
    <w:autoRedefine/>
    <w:uiPriority w:val="39"/>
    <w:unhideWhenUsed/>
    <w:qFormat/>
    <w:rsid w:val="00BC4712"/>
    <w:pPr>
      <w:spacing w:after="100"/>
      <w:ind w:left="220"/>
    </w:pPr>
  </w:style>
  <w:style w:type="character" w:styleId="Hyperlink">
    <w:name w:val="Hyperlink"/>
    <w:basedOn w:val="DefaultParagraphFont"/>
    <w:uiPriority w:val="99"/>
    <w:unhideWhenUsed/>
    <w:rsid w:val="00BC4712"/>
    <w:rPr>
      <w:color w:val="0000FF" w:themeColor="hyperlink"/>
      <w:u w:val="single"/>
    </w:rPr>
  </w:style>
  <w:style w:type="paragraph" w:styleId="BalloonText">
    <w:name w:val="Balloon Text"/>
    <w:basedOn w:val="Normal"/>
    <w:link w:val="BalloonTextChar"/>
    <w:uiPriority w:val="99"/>
    <w:semiHidden/>
    <w:unhideWhenUsed/>
    <w:rsid w:val="00BC4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712"/>
    <w:rPr>
      <w:rFonts w:ascii="Tahoma" w:hAnsi="Tahoma" w:cs="Tahoma"/>
      <w:sz w:val="16"/>
      <w:szCs w:val="16"/>
    </w:rPr>
  </w:style>
  <w:style w:type="character" w:customStyle="1" w:styleId="Heading3Char">
    <w:name w:val="Heading 3 Char"/>
    <w:basedOn w:val="DefaultParagraphFont"/>
    <w:link w:val="Heading3"/>
    <w:uiPriority w:val="9"/>
    <w:rsid w:val="00D84561"/>
    <w:rPr>
      <w:rFonts w:ascii="Times New Roman" w:eastAsiaTheme="majorEastAsia" w:hAnsi="Times New Roman" w:cstheme="majorBidi"/>
      <w:bCs/>
      <w:sz w:val="24"/>
      <w:u w:val="single"/>
    </w:rPr>
  </w:style>
  <w:style w:type="paragraph" w:styleId="TOC1">
    <w:name w:val="toc 1"/>
    <w:basedOn w:val="Normal"/>
    <w:next w:val="Normal"/>
    <w:autoRedefine/>
    <w:uiPriority w:val="39"/>
    <w:unhideWhenUsed/>
    <w:qFormat/>
    <w:rsid w:val="008B10A8"/>
    <w:pPr>
      <w:spacing w:after="100"/>
    </w:pPr>
  </w:style>
  <w:style w:type="paragraph" w:styleId="TOC3">
    <w:name w:val="toc 3"/>
    <w:basedOn w:val="Normal"/>
    <w:next w:val="Normal"/>
    <w:autoRedefine/>
    <w:uiPriority w:val="39"/>
    <w:unhideWhenUsed/>
    <w:qFormat/>
    <w:rsid w:val="008B10A8"/>
    <w:pPr>
      <w:spacing w:after="100"/>
      <w:ind w:left="440"/>
    </w:pPr>
  </w:style>
  <w:style w:type="character" w:customStyle="1" w:styleId="Heading4Char">
    <w:name w:val="Heading 4 Char"/>
    <w:basedOn w:val="DefaultParagraphFont"/>
    <w:link w:val="Heading4"/>
    <w:uiPriority w:val="9"/>
    <w:rsid w:val="008B10A8"/>
    <w:rPr>
      <w:rFonts w:asciiTheme="majorHAnsi" w:eastAsiaTheme="majorEastAsia" w:hAnsiTheme="majorHAnsi" w:cstheme="majorBidi"/>
      <w:b/>
      <w:bCs/>
      <w:i/>
      <w:iCs/>
      <w:color w:val="4F81BD" w:themeColor="accent1"/>
    </w:rPr>
  </w:style>
  <w:style w:type="paragraph" w:styleId="Quote">
    <w:name w:val="Quote"/>
    <w:basedOn w:val="Normal"/>
    <w:next w:val="Normal"/>
    <w:link w:val="QuoteChar"/>
    <w:uiPriority w:val="29"/>
    <w:qFormat/>
    <w:rsid w:val="007200AF"/>
    <w:rPr>
      <w:i/>
      <w:iCs/>
      <w:color w:val="000000" w:themeColor="text1"/>
    </w:rPr>
  </w:style>
  <w:style w:type="character" w:customStyle="1" w:styleId="QuoteChar">
    <w:name w:val="Quote Char"/>
    <w:basedOn w:val="DefaultParagraphFont"/>
    <w:link w:val="Quote"/>
    <w:uiPriority w:val="29"/>
    <w:rsid w:val="007200AF"/>
    <w:rPr>
      <w:i/>
      <w:iCs/>
      <w:color w:val="000000" w:themeColor="text1"/>
    </w:rPr>
  </w:style>
  <w:style w:type="character" w:styleId="CommentReference">
    <w:name w:val="annotation reference"/>
    <w:basedOn w:val="DefaultParagraphFont"/>
    <w:uiPriority w:val="99"/>
    <w:semiHidden/>
    <w:unhideWhenUsed/>
    <w:rsid w:val="00ED3A38"/>
    <w:rPr>
      <w:sz w:val="16"/>
      <w:szCs w:val="16"/>
    </w:rPr>
  </w:style>
  <w:style w:type="paragraph" w:styleId="CommentText">
    <w:name w:val="annotation text"/>
    <w:basedOn w:val="Normal"/>
    <w:link w:val="CommentTextChar"/>
    <w:uiPriority w:val="99"/>
    <w:semiHidden/>
    <w:unhideWhenUsed/>
    <w:rsid w:val="00ED3A38"/>
    <w:pPr>
      <w:spacing w:line="240" w:lineRule="auto"/>
    </w:pPr>
    <w:rPr>
      <w:sz w:val="20"/>
      <w:szCs w:val="20"/>
    </w:rPr>
  </w:style>
  <w:style w:type="character" w:customStyle="1" w:styleId="CommentTextChar">
    <w:name w:val="Comment Text Char"/>
    <w:basedOn w:val="DefaultParagraphFont"/>
    <w:link w:val="CommentText"/>
    <w:uiPriority w:val="99"/>
    <w:semiHidden/>
    <w:rsid w:val="00ED3A38"/>
    <w:rPr>
      <w:sz w:val="20"/>
      <w:szCs w:val="20"/>
    </w:rPr>
  </w:style>
  <w:style w:type="paragraph" w:styleId="CommentSubject">
    <w:name w:val="annotation subject"/>
    <w:basedOn w:val="CommentText"/>
    <w:next w:val="CommentText"/>
    <w:link w:val="CommentSubjectChar"/>
    <w:uiPriority w:val="99"/>
    <w:semiHidden/>
    <w:unhideWhenUsed/>
    <w:rsid w:val="00ED3A38"/>
    <w:rPr>
      <w:b/>
      <w:bCs/>
    </w:rPr>
  </w:style>
  <w:style w:type="character" w:customStyle="1" w:styleId="CommentSubjectChar">
    <w:name w:val="Comment Subject Char"/>
    <w:basedOn w:val="CommentTextChar"/>
    <w:link w:val="CommentSubject"/>
    <w:uiPriority w:val="99"/>
    <w:semiHidden/>
    <w:rsid w:val="00ED3A38"/>
    <w:rPr>
      <w:b/>
      <w:bCs/>
      <w:sz w:val="20"/>
      <w:szCs w:val="20"/>
    </w:rPr>
  </w:style>
  <w:style w:type="paragraph" w:styleId="FootnoteText">
    <w:name w:val="footnote text"/>
    <w:basedOn w:val="Normal"/>
    <w:link w:val="FootnoteTextChar"/>
    <w:uiPriority w:val="99"/>
    <w:semiHidden/>
    <w:unhideWhenUsed/>
    <w:rsid w:val="00E335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3534"/>
    <w:rPr>
      <w:sz w:val="20"/>
      <w:szCs w:val="20"/>
    </w:rPr>
  </w:style>
  <w:style w:type="character" w:styleId="FootnoteReference">
    <w:name w:val="footnote reference"/>
    <w:basedOn w:val="DefaultParagraphFont"/>
    <w:uiPriority w:val="99"/>
    <w:semiHidden/>
    <w:unhideWhenUsed/>
    <w:rsid w:val="00E33534"/>
    <w:rPr>
      <w:vertAlign w:val="superscript"/>
    </w:rPr>
  </w:style>
  <w:style w:type="character" w:styleId="Emphasis">
    <w:name w:val="Emphasis"/>
    <w:basedOn w:val="DefaultParagraphFont"/>
    <w:uiPriority w:val="20"/>
    <w:qFormat/>
    <w:rsid w:val="00EC6A9D"/>
    <w:rPr>
      <w:i/>
      <w:iCs/>
    </w:rPr>
  </w:style>
  <w:style w:type="paragraph" w:styleId="Subtitle">
    <w:name w:val="Subtitle"/>
    <w:basedOn w:val="Normal"/>
    <w:next w:val="Normal"/>
    <w:link w:val="SubtitleChar"/>
    <w:uiPriority w:val="11"/>
    <w:qFormat/>
    <w:rsid w:val="00F6716B"/>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6716B"/>
    <w:rPr>
      <w:rFonts w:asciiTheme="majorHAnsi" w:eastAsiaTheme="majorEastAsia" w:hAnsiTheme="majorHAnsi" w:cstheme="majorBidi"/>
      <w:i/>
      <w:iCs/>
      <w:color w:val="4F81BD" w:themeColor="accent1"/>
      <w:spacing w:val="15"/>
      <w:sz w:val="24"/>
      <w:szCs w:val="24"/>
    </w:rPr>
  </w:style>
  <w:style w:type="character" w:customStyle="1" w:styleId="Heading5Char">
    <w:name w:val="Heading 5 Char"/>
    <w:basedOn w:val="DefaultParagraphFont"/>
    <w:link w:val="Heading5"/>
    <w:uiPriority w:val="9"/>
    <w:rsid w:val="0064653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4653C"/>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AC7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FAD"/>
  </w:style>
  <w:style w:type="paragraph" w:styleId="Footer">
    <w:name w:val="footer"/>
    <w:basedOn w:val="Normal"/>
    <w:link w:val="FooterChar"/>
    <w:uiPriority w:val="99"/>
    <w:unhideWhenUsed/>
    <w:rsid w:val="00AC7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FAD"/>
  </w:style>
  <w:style w:type="character" w:customStyle="1" w:styleId="Heading7Char">
    <w:name w:val="Heading 7 Char"/>
    <w:basedOn w:val="DefaultParagraphFont"/>
    <w:link w:val="Heading7"/>
    <w:uiPriority w:val="9"/>
    <w:rsid w:val="005D101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D10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D1010"/>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C123C1"/>
    <w:pPr>
      <w:spacing w:after="0" w:line="240" w:lineRule="auto"/>
    </w:pPr>
  </w:style>
  <w:style w:type="character" w:styleId="Strong">
    <w:name w:val="Strong"/>
    <w:basedOn w:val="DefaultParagraphFont"/>
    <w:uiPriority w:val="22"/>
    <w:qFormat/>
    <w:rsid w:val="00AA0671"/>
    <w:rPr>
      <w:b/>
      <w:bCs/>
    </w:rPr>
  </w:style>
  <w:style w:type="paragraph" w:styleId="Caption">
    <w:name w:val="caption"/>
    <w:basedOn w:val="Normal"/>
    <w:next w:val="Normal"/>
    <w:link w:val="CaptionChar"/>
    <w:uiPriority w:val="35"/>
    <w:unhideWhenUsed/>
    <w:qFormat/>
    <w:rsid w:val="0022381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223810"/>
    <w:pPr>
      <w:spacing w:after="0"/>
    </w:pPr>
  </w:style>
  <w:style w:type="paragraph" w:customStyle="1" w:styleId="Thesis">
    <w:name w:val="Thesis"/>
    <w:basedOn w:val="Caption"/>
    <w:link w:val="ThesisChar"/>
    <w:qFormat/>
    <w:rsid w:val="00223810"/>
    <w:pPr>
      <w:spacing w:after="0"/>
      <w:jc w:val="center"/>
    </w:pPr>
    <w:rPr>
      <w:color w:val="auto"/>
    </w:rPr>
  </w:style>
  <w:style w:type="character" w:customStyle="1" w:styleId="CaptionChar">
    <w:name w:val="Caption Char"/>
    <w:basedOn w:val="DefaultParagraphFont"/>
    <w:link w:val="Caption"/>
    <w:uiPriority w:val="35"/>
    <w:rsid w:val="00223810"/>
    <w:rPr>
      <w:rFonts w:ascii="Times New Roman" w:hAnsi="Times New Roman"/>
      <w:b/>
      <w:bCs/>
      <w:color w:val="4F81BD" w:themeColor="accent1"/>
      <w:sz w:val="18"/>
      <w:szCs w:val="18"/>
    </w:rPr>
  </w:style>
  <w:style w:type="character" w:customStyle="1" w:styleId="ThesisChar">
    <w:name w:val="Thesis Char"/>
    <w:basedOn w:val="CaptionChar"/>
    <w:link w:val="Thesis"/>
    <w:rsid w:val="00223810"/>
    <w:rPr>
      <w:rFonts w:ascii="Times New Roman" w:hAnsi="Times New Roman"/>
      <w:b/>
      <w:bCs/>
      <w:color w:val="4F81BD" w:themeColor="accent1"/>
      <w:sz w:val="18"/>
      <w:szCs w:val="18"/>
    </w:rPr>
  </w:style>
  <w:style w:type="table" w:styleId="ColorfulList-Accent4">
    <w:name w:val="Colorful List Accent 4"/>
    <w:basedOn w:val="TableNormal"/>
    <w:uiPriority w:val="72"/>
    <w:rsid w:val="00EC062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file:///C:\Users\Meagan\Desktop\More%20thesis\Chapter%207.docx"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file:///C:\Users\meagan.dennison\Desktop\Dennison_Thesis_Full_Trace_2-25_Consultant_Review.docx"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D9502-34E0-4284-B173-9757BB48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52257</Words>
  <Characters>297870</Characters>
  <Application>Microsoft Office Word</Application>
  <DocSecurity>0</DocSecurity>
  <Lines>2482</Lines>
  <Paragraphs>698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Meagan</dc:creator>
  <cp:lastModifiedBy>meagan.dennison</cp:lastModifiedBy>
  <cp:revision>13</cp:revision>
  <cp:lastPrinted>2012-12-15T18:33:00Z</cp:lastPrinted>
  <dcterms:created xsi:type="dcterms:W3CDTF">2013-02-24T23:30:00Z</dcterms:created>
  <dcterms:modified xsi:type="dcterms:W3CDTF">2013-02-25T03:12:00Z</dcterms:modified>
</cp:coreProperties>
</file>