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2B8F4" w14:textId="77777777" w:rsidR="00657ADA" w:rsidRDefault="00657ADA" w:rsidP="00657ADA">
      <w:pPr>
        <w:spacing w:line="240" w:lineRule="auto"/>
        <w:jc w:val="center"/>
        <w:rPr>
          <w:b/>
          <w:sz w:val="24"/>
          <w:szCs w:val="24"/>
        </w:rPr>
      </w:pPr>
    </w:p>
    <w:p w14:paraId="790E416D" w14:textId="77777777" w:rsidR="00657ADA" w:rsidRDefault="00657ADA" w:rsidP="00657ADA">
      <w:pPr>
        <w:spacing w:line="240" w:lineRule="auto"/>
        <w:jc w:val="center"/>
        <w:rPr>
          <w:b/>
          <w:sz w:val="24"/>
          <w:szCs w:val="24"/>
        </w:rPr>
      </w:pPr>
    </w:p>
    <w:p w14:paraId="32F0FC2B" w14:textId="77777777" w:rsidR="00657ADA" w:rsidRPr="00657ADA" w:rsidRDefault="00657ADA" w:rsidP="00657ADA">
      <w:pPr>
        <w:spacing w:line="240" w:lineRule="auto"/>
        <w:jc w:val="center"/>
        <w:rPr>
          <w:b/>
          <w:sz w:val="32"/>
          <w:szCs w:val="32"/>
        </w:rPr>
      </w:pPr>
    </w:p>
    <w:p w14:paraId="0C4996A9" w14:textId="7E259474" w:rsidR="00657ADA" w:rsidRPr="00657ADA" w:rsidRDefault="00657ADA" w:rsidP="00657ADA">
      <w:pPr>
        <w:spacing w:line="240" w:lineRule="auto"/>
        <w:jc w:val="center"/>
        <w:rPr>
          <w:b/>
          <w:sz w:val="32"/>
          <w:szCs w:val="32"/>
        </w:rPr>
      </w:pPr>
      <w:r w:rsidRPr="00657ADA">
        <w:rPr>
          <w:b/>
          <w:sz w:val="32"/>
          <w:szCs w:val="32"/>
        </w:rPr>
        <w:t>University of Tennessee</w:t>
      </w:r>
    </w:p>
    <w:p w14:paraId="6807694A" w14:textId="17D249BF" w:rsidR="00657ADA" w:rsidRPr="00657ADA" w:rsidRDefault="00657ADA" w:rsidP="00657ADA">
      <w:pPr>
        <w:spacing w:line="240" w:lineRule="auto"/>
        <w:jc w:val="center"/>
        <w:rPr>
          <w:b/>
          <w:sz w:val="32"/>
          <w:szCs w:val="32"/>
        </w:rPr>
      </w:pPr>
      <w:r>
        <w:rPr>
          <w:b/>
          <w:sz w:val="32"/>
          <w:szCs w:val="32"/>
        </w:rPr>
        <w:t>How to Decrease Employee</w:t>
      </w:r>
      <w:r w:rsidRPr="00657ADA">
        <w:rPr>
          <w:b/>
          <w:sz w:val="32"/>
          <w:szCs w:val="32"/>
        </w:rPr>
        <w:t xml:space="preserve"> Turnover Rates </w:t>
      </w:r>
      <w:r w:rsidR="002F16E3">
        <w:rPr>
          <w:b/>
          <w:sz w:val="32"/>
          <w:szCs w:val="32"/>
        </w:rPr>
        <w:t>Within</w:t>
      </w:r>
      <w:r w:rsidRPr="00657ADA">
        <w:rPr>
          <w:b/>
          <w:sz w:val="32"/>
          <w:szCs w:val="32"/>
        </w:rPr>
        <w:t xml:space="preserve"> Public Accounting Firms</w:t>
      </w:r>
    </w:p>
    <w:p w14:paraId="4C099388" w14:textId="77777777" w:rsidR="00657ADA" w:rsidRDefault="00657ADA" w:rsidP="00B454B0">
      <w:pPr>
        <w:spacing w:line="240" w:lineRule="auto"/>
      </w:pPr>
    </w:p>
    <w:p w14:paraId="5E642422" w14:textId="77777777" w:rsidR="00657ADA" w:rsidRPr="00657ADA" w:rsidRDefault="00657ADA" w:rsidP="00B454B0">
      <w:pPr>
        <w:spacing w:line="240" w:lineRule="auto"/>
        <w:rPr>
          <w:b/>
          <w:sz w:val="32"/>
          <w:szCs w:val="32"/>
        </w:rPr>
      </w:pPr>
    </w:p>
    <w:p w14:paraId="42CB0871" w14:textId="48C00513" w:rsidR="00657ADA" w:rsidRPr="00657ADA" w:rsidRDefault="00657ADA" w:rsidP="00657ADA">
      <w:pPr>
        <w:spacing w:line="240" w:lineRule="auto"/>
        <w:jc w:val="center"/>
        <w:rPr>
          <w:b/>
          <w:sz w:val="32"/>
          <w:szCs w:val="32"/>
        </w:rPr>
      </w:pPr>
      <w:r w:rsidRPr="00657ADA">
        <w:rPr>
          <w:b/>
          <w:sz w:val="32"/>
          <w:szCs w:val="32"/>
        </w:rPr>
        <w:t>Submitted to:</w:t>
      </w:r>
    </w:p>
    <w:p w14:paraId="2E10775D" w14:textId="647B4223" w:rsidR="00657ADA" w:rsidRPr="00657ADA" w:rsidRDefault="00657ADA" w:rsidP="00657ADA">
      <w:pPr>
        <w:spacing w:line="240" w:lineRule="auto"/>
        <w:jc w:val="center"/>
        <w:rPr>
          <w:b/>
          <w:sz w:val="32"/>
          <w:szCs w:val="32"/>
        </w:rPr>
      </w:pPr>
      <w:r w:rsidRPr="00657ADA">
        <w:rPr>
          <w:b/>
          <w:sz w:val="32"/>
          <w:szCs w:val="32"/>
        </w:rPr>
        <w:t>Professor Izabela VanDeest</w:t>
      </w:r>
    </w:p>
    <w:p w14:paraId="098F9607" w14:textId="473DAFC9" w:rsidR="00657ADA" w:rsidRPr="00657ADA" w:rsidRDefault="00657ADA" w:rsidP="00657ADA">
      <w:pPr>
        <w:spacing w:line="240" w:lineRule="auto"/>
        <w:jc w:val="center"/>
        <w:rPr>
          <w:b/>
          <w:sz w:val="32"/>
          <w:szCs w:val="32"/>
        </w:rPr>
      </w:pPr>
      <w:r w:rsidRPr="00657ADA">
        <w:rPr>
          <w:b/>
          <w:sz w:val="32"/>
          <w:szCs w:val="32"/>
        </w:rPr>
        <w:t>By</w:t>
      </w:r>
    </w:p>
    <w:p w14:paraId="67A53060" w14:textId="248D94DA" w:rsidR="00657ADA" w:rsidRPr="00657ADA" w:rsidRDefault="00657ADA" w:rsidP="00657ADA">
      <w:pPr>
        <w:spacing w:line="240" w:lineRule="auto"/>
        <w:jc w:val="center"/>
        <w:rPr>
          <w:b/>
          <w:sz w:val="32"/>
          <w:szCs w:val="32"/>
        </w:rPr>
      </w:pPr>
      <w:r w:rsidRPr="00657ADA">
        <w:rPr>
          <w:b/>
          <w:sz w:val="32"/>
          <w:szCs w:val="32"/>
        </w:rPr>
        <w:t>Lexie Jankowski</w:t>
      </w:r>
    </w:p>
    <w:p w14:paraId="66943913" w14:textId="77777777" w:rsidR="00657ADA" w:rsidRPr="00657ADA" w:rsidRDefault="00657ADA" w:rsidP="00657ADA">
      <w:pPr>
        <w:spacing w:line="240" w:lineRule="auto"/>
        <w:jc w:val="center"/>
        <w:rPr>
          <w:b/>
          <w:sz w:val="32"/>
          <w:szCs w:val="32"/>
        </w:rPr>
      </w:pPr>
    </w:p>
    <w:p w14:paraId="5F5E6B7C" w14:textId="100DF597" w:rsidR="00657ADA" w:rsidRPr="00657ADA" w:rsidRDefault="00657ADA" w:rsidP="00657ADA">
      <w:pPr>
        <w:spacing w:line="240" w:lineRule="auto"/>
        <w:jc w:val="center"/>
        <w:rPr>
          <w:b/>
          <w:sz w:val="32"/>
          <w:szCs w:val="32"/>
        </w:rPr>
      </w:pPr>
      <w:r w:rsidRPr="00657ADA">
        <w:rPr>
          <w:b/>
          <w:sz w:val="32"/>
          <w:szCs w:val="32"/>
        </w:rPr>
        <w:t>For:</w:t>
      </w:r>
    </w:p>
    <w:p w14:paraId="444E6F3B" w14:textId="48349072" w:rsidR="00657ADA" w:rsidRPr="00657ADA" w:rsidRDefault="00657ADA" w:rsidP="00657ADA">
      <w:pPr>
        <w:spacing w:line="240" w:lineRule="auto"/>
        <w:jc w:val="center"/>
        <w:rPr>
          <w:b/>
          <w:sz w:val="32"/>
          <w:szCs w:val="32"/>
        </w:rPr>
      </w:pPr>
      <w:r w:rsidRPr="00657ADA">
        <w:rPr>
          <w:b/>
          <w:sz w:val="32"/>
          <w:szCs w:val="32"/>
        </w:rPr>
        <w:t>Chancellor’s Honors Program Thesis</w:t>
      </w:r>
    </w:p>
    <w:p w14:paraId="08192888" w14:textId="1C8EDA5C" w:rsidR="00657ADA" w:rsidRPr="00657ADA" w:rsidRDefault="00657ADA" w:rsidP="00657ADA">
      <w:pPr>
        <w:spacing w:line="240" w:lineRule="auto"/>
        <w:jc w:val="center"/>
        <w:rPr>
          <w:b/>
          <w:sz w:val="32"/>
          <w:szCs w:val="32"/>
          <w:u w:val="single"/>
        </w:rPr>
      </w:pPr>
      <w:r w:rsidRPr="00657ADA">
        <w:rPr>
          <w:b/>
          <w:sz w:val="32"/>
          <w:szCs w:val="32"/>
        </w:rPr>
        <w:t>Spring 2016</w:t>
      </w:r>
    </w:p>
    <w:p w14:paraId="266DB115" w14:textId="77777777" w:rsidR="00657ADA" w:rsidRDefault="00657ADA" w:rsidP="00B454B0">
      <w:pPr>
        <w:spacing w:line="240" w:lineRule="auto"/>
        <w:rPr>
          <w:b/>
          <w:u w:val="single"/>
        </w:rPr>
      </w:pPr>
    </w:p>
    <w:p w14:paraId="592F42F3" w14:textId="77777777" w:rsidR="00657ADA" w:rsidRDefault="00657ADA" w:rsidP="00B454B0">
      <w:pPr>
        <w:spacing w:line="240" w:lineRule="auto"/>
        <w:rPr>
          <w:b/>
          <w:u w:val="single"/>
        </w:rPr>
      </w:pPr>
    </w:p>
    <w:p w14:paraId="052859B2" w14:textId="77777777" w:rsidR="00657ADA" w:rsidRDefault="00657ADA" w:rsidP="00B454B0">
      <w:pPr>
        <w:spacing w:line="240" w:lineRule="auto"/>
        <w:rPr>
          <w:b/>
          <w:u w:val="single"/>
        </w:rPr>
      </w:pPr>
    </w:p>
    <w:p w14:paraId="7805A6FA" w14:textId="77777777" w:rsidR="00657ADA" w:rsidRDefault="00657ADA" w:rsidP="00B454B0">
      <w:pPr>
        <w:spacing w:line="240" w:lineRule="auto"/>
        <w:rPr>
          <w:b/>
          <w:u w:val="single"/>
        </w:rPr>
      </w:pPr>
    </w:p>
    <w:p w14:paraId="0BE3B032" w14:textId="77777777" w:rsidR="00657ADA" w:rsidRDefault="00657ADA" w:rsidP="00B454B0">
      <w:pPr>
        <w:spacing w:line="240" w:lineRule="auto"/>
        <w:rPr>
          <w:b/>
          <w:u w:val="single"/>
        </w:rPr>
      </w:pPr>
    </w:p>
    <w:p w14:paraId="38EB2CE1" w14:textId="77777777" w:rsidR="00657ADA" w:rsidRDefault="00657ADA" w:rsidP="00B454B0">
      <w:pPr>
        <w:spacing w:line="240" w:lineRule="auto"/>
        <w:rPr>
          <w:b/>
          <w:u w:val="single"/>
        </w:rPr>
      </w:pPr>
    </w:p>
    <w:p w14:paraId="31258EDA" w14:textId="77777777" w:rsidR="00657ADA" w:rsidRDefault="00657ADA" w:rsidP="00B454B0">
      <w:pPr>
        <w:spacing w:line="240" w:lineRule="auto"/>
        <w:rPr>
          <w:b/>
          <w:u w:val="single"/>
        </w:rPr>
      </w:pPr>
    </w:p>
    <w:p w14:paraId="08E6163E" w14:textId="77777777" w:rsidR="00657ADA" w:rsidRDefault="00657ADA" w:rsidP="00B454B0">
      <w:pPr>
        <w:spacing w:line="240" w:lineRule="auto"/>
        <w:rPr>
          <w:b/>
          <w:u w:val="single"/>
        </w:rPr>
      </w:pPr>
    </w:p>
    <w:p w14:paraId="7DF00237" w14:textId="77777777" w:rsidR="00657ADA" w:rsidRDefault="00657ADA" w:rsidP="00B454B0">
      <w:pPr>
        <w:spacing w:line="240" w:lineRule="auto"/>
        <w:rPr>
          <w:b/>
          <w:u w:val="single"/>
        </w:rPr>
      </w:pPr>
    </w:p>
    <w:p w14:paraId="7B91F2EF" w14:textId="77777777" w:rsidR="00657ADA" w:rsidRDefault="00657ADA" w:rsidP="00B454B0">
      <w:pPr>
        <w:spacing w:line="240" w:lineRule="auto"/>
        <w:rPr>
          <w:b/>
          <w:u w:val="single"/>
        </w:rPr>
      </w:pPr>
    </w:p>
    <w:p w14:paraId="2921BDE0" w14:textId="77777777" w:rsidR="00657ADA" w:rsidRDefault="00657ADA" w:rsidP="00B454B0">
      <w:pPr>
        <w:spacing w:line="240" w:lineRule="auto"/>
        <w:rPr>
          <w:b/>
          <w:u w:val="single"/>
        </w:rPr>
      </w:pPr>
    </w:p>
    <w:p w14:paraId="53FFD371" w14:textId="34B3FE70" w:rsidR="00657ADA" w:rsidRPr="00657ADA" w:rsidRDefault="00657ADA" w:rsidP="00B454B0">
      <w:pPr>
        <w:spacing w:line="240" w:lineRule="auto"/>
        <w:rPr>
          <w:b/>
          <w:color w:val="538135" w:themeColor="accent6" w:themeShade="BF"/>
          <w:sz w:val="40"/>
          <w:szCs w:val="40"/>
        </w:rPr>
      </w:pPr>
      <w:r w:rsidRPr="00657ADA">
        <w:rPr>
          <w:b/>
          <w:color w:val="538135" w:themeColor="accent6" w:themeShade="BF"/>
          <w:sz w:val="40"/>
          <w:szCs w:val="40"/>
        </w:rPr>
        <w:lastRenderedPageBreak/>
        <w:t>Contents</w:t>
      </w:r>
    </w:p>
    <w:p w14:paraId="4372509A" w14:textId="77777777" w:rsidR="00567F76" w:rsidRDefault="00567F76" w:rsidP="00567F76">
      <w:pPr>
        <w:spacing w:line="240" w:lineRule="auto"/>
        <w:rPr>
          <w:b/>
          <w:sz w:val="24"/>
          <w:szCs w:val="24"/>
        </w:rPr>
      </w:pPr>
      <w:r>
        <w:rPr>
          <w:b/>
          <w:sz w:val="24"/>
          <w:szCs w:val="24"/>
        </w:rPr>
        <w:t>Abstract……………………………………………………………………………………………………………………………….3</w:t>
      </w:r>
    </w:p>
    <w:p w14:paraId="138AF89E" w14:textId="77777777" w:rsidR="00567F76" w:rsidRDefault="00567F76" w:rsidP="00567F76">
      <w:pPr>
        <w:spacing w:line="240" w:lineRule="auto"/>
        <w:ind w:firstLine="720"/>
        <w:rPr>
          <w:b/>
          <w:sz w:val="24"/>
          <w:szCs w:val="24"/>
        </w:rPr>
      </w:pPr>
      <w:r>
        <w:rPr>
          <w:b/>
          <w:sz w:val="24"/>
          <w:szCs w:val="24"/>
        </w:rPr>
        <w:t>Section I: Background Information…………………………………………………………………………...4</w:t>
      </w:r>
    </w:p>
    <w:p w14:paraId="5570829D" w14:textId="77777777" w:rsidR="00567F76" w:rsidRDefault="00567F76" w:rsidP="00567F76">
      <w:pPr>
        <w:spacing w:line="240" w:lineRule="auto"/>
        <w:rPr>
          <w:b/>
          <w:sz w:val="24"/>
          <w:szCs w:val="24"/>
        </w:rPr>
      </w:pPr>
      <w:r>
        <w:rPr>
          <w:b/>
          <w:sz w:val="24"/>
          <w:szCs w:val="24"/>
        </w:rPr>
        <w:t>Characteristics of Big 4 Accounting Firms and Their Employees…………………………………………….7</w:t>
      </w:r>
    </w:p>
    <w:p w14:paraId="584FAA3C" w14:textId="77777777" w:rsidR="00567F76" w:rsidRDefault="00567F76" w:rsidP="00567F76">
      <w:pPr>
        <w:spacing w:line="240" w:lineRule="auto"/>
        <w:rPr>
          <w:b/>
          <w:sz w:val="24"/>
          <w:szCs w:val="24"/>
        </w:rPr>
      </w:pPr>
      <w:r>
        <w:rPr>
          <w:b/>
          <w:sz w:val="24"/>
          <w:szCs w:val="24"/>
        </w:rPr>
        <w:t>Women in Public Accounting………………………………………………………………………………………………..8</w:t>
      </w:r>
    </w:p>
    <w:p w14:paraId="03429A8A" w14:textId="77777777" w:rsidR="00567F76" w:rsidRDefault="00567F76" w:rsidP="00567F76">
      <w:pPr>
        <w:spacing w:line="240" w:lineRule="auto"/>
        <w:rPr>
          <w:b/>
          <w:sz w:val="24"/>
          <w:szCs w:val="24"/>
        </w:rPr>
      </w:pPr>
      <w:r>
        <w:rPr>
          <w:b/>
          <w:sz w:val="24"/>
          <w:szCs w:val="24"/>
        </w:rPr>
        <w:t>Millennials…………………………………………………………………………………………………………………………..11</w:t>
      </w:r>
    </w:p>
    <w:p w14:paraId="2D2F5256" w14:textId="77777777" w:rsidR="00567F76" w:rsidRDefault="00567F76" w:rsidP="00567F76">
      <w:pPr>
        <w:spacing w:line="240" w:lineRule="auto"/>
        <w:rPr>
          <w:b/>
          <w:sz w:val="24"/>
          <w:szCs w:val="24"/>
        </w:rPr>
      </w:pPr>
      <w:r>
        <w:rPr>
          <w:b/>
          <w:sz w:val="24"/>
          <w:szCs w:val="24"/>
        </w:rPr>
        <w:t>Promotional Structure…………………………………………………………………………………………………………13</w:t>
      </w:r>
    </w:p>
    <w:p w14:paraId="0B767B8C" w14:textId="77777777" w:rsidR="00567F76" w:rsidRDefault="00567F76" w:rsidP="00567F76">
      <w:pPr>
        <w:spacing w:line="240" w:lineRule="auto"/>
        <w:rPr>
          <w:b/>
          <w:sz w:val="24"/>
          <w:szCs w:val="24"/>
        </w:rPr>
      </w:pPr>
      <w:r>
        <w:rPr>
          <w:b/>
          <w:sz w:val="24"/>
          <w:szCs w:val="24"/>
        </w:rPr>
        <w:t>Average Age and Salary……………………………………………………………………………………………………….14</w:t>
      </w:r>
    </w:p>
    <w:p w14:paraId="5B6E6D38" w14:textId="77777777" w:rsidR="00567F76" w:rsidRDefault="00567F76" w:rsidP="00567F76">
      <w:pPr>
        <w:spacing w:line="240" w:lineRule="auto"/>
        <w:rPr>
          <w:b/>
          <w:sz w:val="24"/>
          <w:szCs w:val="24"/>
        </w:rPr>
      </w:pPr>
      <w:r>
        <w:rPr>
          <w:b/>
          <w:sz w:val="24"/>
          <w:szCs w:val="24"/>
        </w:rPr>
        <w:t>Legislation Affecting the Accounting Profession…………………………………………………………………..16</w:t>
      </w:r>
    </w:p>
    <w:p w14:paraId="3660E27F" w14:textId="77777777" w:rsidR="00567F76" w:rsidRDefault="00567F76" w:rsidP="00567F76">
      <w:pPr>
        <w:spacing w:line="240" w:lineRule="auto"/>
        <w:rPr>
          <w:b/>
          <w:sz w:val="24"/>
          <w:szCs w:val="24"/>
        </w:rPr>
      </w:pPr>
      <w:r>
        <w:rPr>
          <w:b/>
          <w:sz w:val="24"/>
          <w:szCs w:val="24"/>
        </w:rPr>
        <w:tab/>
        <w:t>Section II: Reasons for Turnover……………………………………………………………………………….19</w:t>
      </w:r>
    </w:p>
    <w:p w14:paraId="3DDE0438" w14:textId="77777777" w:rsidR="00567F76" w:rsidRDefault="00567F76" w:rsidP="00567F76">
      <w:pPr>
        <w:spacing w:line="240" w:lineRule="auto"/>
        <w:rPr>
          <w:b/>
          <w:sz w:val="24"/>
          <w:szCs w:val="24"/>
        </w:rPr>
      </w:pPr>
      <w:r>
        <w:rPr>
          <w:b/>
          <w:sz w:val="24"/>
          <w:szCs w:val="24"/>
        </w:rPr>
        <w:t>Burnout……………………………………………………………………………………………………………………………….19</w:t>
      </w:r>
    </w:p>
    <w:p w14:paraId="0954A945" w14:textId="77777777" w:rsidR="00567F76" w:rsidRDefault="00567F76" w:rsidP="00567F76">
      <w:pPr>
        <w:spacing w:line="240" w:lineRule="auto"/>
        <w:rPr>
          <w:b/>
          <w:sz w:val="24"/>
          <w:szCs w:val="24"/>
        </w:rPr>
      </w:pPr>
      <w:r>
        <w:rPr>
          <w:b/>
          <w:sz w:val="24"/>
          <w:szCs w:val="24"/>
        </w:rPr>
        <w:t>The Attractiveness of Industry……………………………………………………………………………………………..20</w:t>
      </w:r>
    </w:p>
    <w:p w14:paraId="0FEE7624" w14:textId="77777777" w:rsidR="00567F76" w:rsidRDefault="00567F76" w:rsidP="00567F76">
      <w:pPr>
        <w:spacing w:line="240" w:lineRule="auto"/>
        <w:rPr>
          <w:b/>
          <w:sz w:val="24"/>
          <w:szCs w:val="24"/>
        </w:rPr>
      </w:pPr>
      <w:r>
        <w:rPr>
          <w:b/>
          <w:sz w:val="24"/>
          <w:szCs w:val="24"/>
        </w:rPr>
        <w:t>Leaving Becomes the Norm………………………………………………………………………………………………….21</w:t>
      </w:r>
    </w:p>
    <w:p w14:paraId="4A36EDC9" w14:textId="5BCF2D8F" w:rsidR="00567F76" w:rsidRDefault="00567F76" w:rsidP="00567F76">
      <w:pPr>
        <w:spacing w:line="240" w:lineRule="auto"/>
        <w:rPr>
          <w:b/>
          <w:sz w:val="24"/>
          <w:szCs w:val="24"/>
        </w:rPr>
      </w:pPr>
      <w:r>
        <w:rPr>
          <w:b/>
          <w:sz w:val="24"/>
          <w:szCs w:val="24"/>
        </w:rPr>
        <w:tab/>
        <w:t>Section III: How to Decrease Turnover Rates……………………………………………………………</w:t>
      </w:r>
      <w:r>
        <w:rPr>
          <w:b/>
          <w:sz w:val="24"/>
          <w:szCs w:val="24"/>
        </w:rPr>
        <w:t>.</w:t>
      </w:r>
      <w:r>
        <w:rPr>
          <w:b/>
          <w:sz w:val="24"/>
          <w:szCs w:val="24"/>
        </w:rPr>
        <w:t>22</w:t>
      </w:r>
    </w:p>
    <w:p w14:paraId="384D2664" w14:textId="4AFE13D7" w:rsidR="00567F76" w:rsidRDefault="00567F76" w:rsidP="00567F76">
      <w:pPr>
        <w:spacing w:line="240" w:lineRule="auto"/>
        <w:rPr>
          <w:b/>
          <w:sz w:val="24"/>
          <w:szCs w:val="24"/>
        </w:rPr>
      </w:pPr>
      <w:r>
        <w:rPr>
          <w:b/>
          <w:sz w:val="24"/>
          <w:szCs w:val="24"/>
        </w:rPr>
        <w:t>Suggestions for Increased Retention……………………………………………………………………………………</w:t>
      </w:r>
      <w:r>
        <w:rPr>
          <w:b/>
          <w:sz w:val="24"/>
          <w:szCs w:val="24"/>
        </w:rPr>
        <w:t>.</w:t>
      </w:r>
      <w:r>
        <w:rPr>
          <w:b/>
          <w:sz w:val="24"/>
          <w:szCs w:val="24"/>
        </w:rPr>
        <w:t>22</w:t>
      </w:r>
    </w:p>
    <w:p w14:paraId="02C6932A" w14:textId="77777777" w:rsidR="00567F76" w:rsidRDefault="00567F76" w:rsidP="00567F76">
      <w:pPr>
        <w:spacing w:line="240" w:lineRule="auto"/>
        <w:rPr>
          <w:b/>
          <w:sz w:val="24"/>
          <w:szCs w:val="24"/>
        </w:rPr>
      </w:pPr>
      <w:r>
        <w:rPr>
          <w:b/>
          <w:sz w:val="24"/>
          <w:szCs w:val="24"/>
        </w:rPr>
        <w:t>Additional Suggestions: Retaining Millennials ……………………………………………………………………. 24</w:t>
      </w:r>
    </w:p>
    <w:p w14:paraId="170854A7" w14:textId="77777777" w:rsidR="00567F76" w:rsidRDefault="00567F76" w:rsidP="00567F76">
      <w:pPr>
        <w:spacing w:line="240" w:lineRule="auto"/>
        <w:rPr>
          <w:b/>
          <w:sz w:val="24"/>
          <w:szCs w:val="24"/>
        </w:rPr>
      </w:pPr>
      <w:r>
        <w:rPr>
          <w:b/>
          <w:sz w:val="24"/>
          <w:szCs w:val="24"/>
        </w:rPr>
        <w:t>Additional Suggestions: Retaining Women ………………………………………………………………………….25</w:t>
      </w:r>
    </w:p>
    <w:p w14:paraId="35A44C75" w14:textId="77777777" w:rsidR="00567F76" w:rsidRDefault="00567F76" w:rsidP="00567F76">
      <w:pPr>
        <w:rPr>
          <w:b/>
          <w:sz w:val="24"/>
          <w:szCs w:val="24"/>
        </w:rPr>
      </w:pPr>
      <w:r w:rsidRPr="00C86101">
        <w:rPr>
          <w:b/>
          <w:sz w:val="24"/>
          <w:szCs w:val="24"/>
        </w:rPr>
        <w:t>Conclusion</w:t>
      </w:r>
      <w:r>
        <w:rPr>
          <w:b/>
          <w:sz w:val="24"/>
          <w:szCs w:val="24"/>
        </w:rPr>
        <w:t>…………………………………………………………………………………………………………………………..26</w:t>
      </w:r>
    </w:p>
    <w:p w14:paraId="7B160169" w14:textId="77777777" w:rsidR="00567F76" w:rsidRPr="00753EC1" w:rsidRDefault="00567F76" w:rsidP="00567F76">
      <w:pPr>
        <w:rPr>
          <w:sz w:val="24"/>
          <w:szCs w:val="24"/>
        </w:rPr>
      </w:pPr>
      <w:r>
        <w:rPr>
          <w:b/>
          <w:sz w:val="24"/>
          <w:szCs w:val="24"/>
        </w:rPr>
        <w:t>Works Cited…………………………………………………………………………………………………………………………27</w:t>
      </w:r>
    </w:p>
    <w:p w14:paraId="09467D4F" w14:textId="77777777" w:rsidR="00657ADA" w:rsidRPr="00657ADA" w:rsidRDefault="00657ADA" w:rsidP="00B454B0">
      <w:pPr>
        <w:spacing w:line="240" w:lineRule="auto"/>
        <w:rPr>
          <w:b/>
          <w:sz w:val="24"/>
          <w:szCs w:val="24"/>
        </w:rPr>
      </w:pPr>
    </w:p>
    <w:p w14:paraId="185F6F38" w14:textId="77777777" w:rsidR="00657ADA" w:rsidRDefault="00657ADA" w:rsidP="00B454B0">
      <w:pPr>
        <w:spacing w:line="240" w:lineRule="auto"/>
        <w:rPr>
          <w:b/>
          <w:u w:val="single"/>
        </w:rPr>
      </w:pPr>
    </w:p>
    <w:p w14:paraId="203A70AB" w14:textId="77777777" w:rsidR="00657ADA" w:rsidRDefault="00657ADA" w:rsidP="00B454B0">
      <w:pPr>
        <w:spacing w:line="240" w:lineRule="auto"/>
        <w:rPr>
          <w:b/>
          <w:u w:val="single"/>
        </w:rPr>
      </w:pPr>
    </w:p>
    <w:p w14:paraId="7D0101DF" w14:textId="77777777" w:rsidR="00657ADA" w:rsidRDefault="00657ADA" w:rsidP="00B454B0">
      <w:pPr>
        <w:spacing w:line="240" w:lineRule="auto"/>
        <w:rPr>
          <w:b/>
          <w:u w:val="single"/>
        </w:rPr>
      </w:pPr>
    </w:p>
    <w:p w14:paraId="2AB1B93B" w14:textId="77777777" w:rsidR="00657ADA" w:rsidRDefault="00657ADA" w:rsidP="00B454B0">
      <w:pPr>
        <w:spacing w:line="240" w:lineRule="auto"/>
        <w:rPr>
          <w:b/>
          <w:u w:val="single"/>
        </w:rPr>
      </w:pPr>
    </w:p>
    <w:p w14:paraId="7F1BD197" w14:textId="77777777" w:rsidR="00657ADA" w:rsidRDefault="00657ADA" w:rsidP="00B454B0">
      <w:pPr>
        <w:spacing w:line="240" w:lineRule="auto"/>
        <w:rPr>
          <w:b/>
          <w:u w:val="single"/>
        </w:rPr>
      </w:pPr>
    </w:p>
    <w:p w14:paraId="694480CB" w14:textId="77777777" w:rsidR="00657ADA" w:rsidRDefault="00657ADA" w:rsidP="00B454B0">
      <w:pPr>
        <w:spacing w:line="240" w:lineRule="auto"/>
        <w:rPr>
          <w:b/>
          <w:u w:val="single"/>
        </w:rPr>
      </w:pPr>
    </w:p>
    <w:p w14:paraId="040DDE2A" w14:textId="77777777" w:rsidR="00657ADA" w:rsidRDefault="00657ADA" w:rsidP="00B454B0">
      <w:pPr>
        <w:spacing w:line="240" w:lineRule="auto"/>
        <w:rPr>
          <w:b/>
          <w:u w:val="single"/>
        </w:rPr>
      </w:pPr>
    </w:p>
    <w:p w14:paraId="2310B2BF" w14:textId="77777777" w:rsidR="00657ADA" w:rsidRDefault="00657ADA" w:rsidP="00B454B0">
      <w:pPr>
        <w:spacing w:line="240" w:lineRule="auto"/>
        <w:rPr>
          <w:b/>
          <w:u w:val="single"/>
        </w:rPr>
      </w:pPr>
    </w:p>
    <w:p w14:paraId="3324C28C" w14:textId="77777777" w:rsidR="00C61465" w:rsidRDefault="00C61465" w:rsidP="00B454B0">
      <w:pPr>
        <w:spacing w:line="240" w:lineRule="auto"/>
        <w:rPr>
          <w:b/>
          <w:color w:val="538135" w:themeColor="accent6" w:themeShade="BF"/>
          <w:sz w:val="32"/>
          <w:szCs w:val="32"/>
        </w:rPr>
      </w:pPr>
    </w:p>
    <w:p w14:paraId="0BB4AD73" w14:textId="77777777" w:rsidR="00FC5089" w:rsidRPr="00657ADA" w:rsidRDefault="00FC5089" w:rsidP="00B454B0">
      <w:pPr>
        <w:spacing w:line="240" w:lineRule="auto"/>
        <w:rPr>
          <w:b/>
          <w:color w:val="538135" w:themeColor="accent6" w:themeShade="BF"/>
          <w:sz w:val="32"/>
          <w:szCs w:val="32"/>
        </w:rPr>
      </w:pPr>
      <w:r w:rsidRPr="00657ADA">
        <w:rPr>
          <w:b/>
          <w:color w:val="538135" w:themeColor="accent6" w:themeShade="BF"/>
          <w:sz w:val="32"/>
          <w:szCs w:val="32"/>
        </w:rPr>
        <w:t>Abstract</w:t>
      </w:r>
    </w:p>
    <w:p w14:paraId="3DAE7A86" w14:textId="663117C4" w:rsidR="00A90622" w:rsidRPr="00AE32B8" w:rsidRDefault="00557BB4" w:rsidP="00AE32B8">
      <w:pPr>
        <w:spacing w:line="480" w:lineRule="auto"/>
        <w:ind w:firstLine="720"/>
        <w:rPr>
          <w:sz w:val="24"/>
          <w:szCs w:val="24"/>
        </w:rPr>
      </w:pPr>
      <w:r w:rsidRPr="00AE32B8">
        <w:rPr>
          <w:sz w:val="24"/>
          <w:szCs w:val="24"/>
        </w:rPr>
        <w:t xml:space="preserve">All over the country, future college graduates are getting recruited to come work for Big 4 public accounting firms. The allure of a healthy salary post-graduation, the challenge of a demanding career, and the enticing perks that accompany a career in public accounting are a few of the reasons why young people ambitiously choose to join a profession that they know will </w:t>
      </w:r>
      <w:r w:rsidR="00C61465">
        <w:rPr>
          <w:sz w:val="24"/>
          <w:szCs w:val="24"/>
        </w:rPr>
        <w:t>comprise of</w:t>
      </w:r>
      <w:r w:rsidRPr="00AE32B8">
        <w:rPr>
          <w:sz w:val="24"/>
          <w:szCs w:val="24"/>
        </w:rPr>
        <w:t xml:space="preserve"> long work hours, demanding clients, and a lack of work-life balance. Often, college graduates will enter the workforce </w:t>
      </w:r>
      <w:r w:rsidR="002F16E3">
        <w:rPr>
          <w:sz w:val="24"/>
          <w:szCs w:val="24"/>
        </w:rPr>
        <w:t>excited about the future possibilities</w:t>
      </w:r>
      <w:r w:rsidR="00EE0AE7">
        <w:rPr>
          <w:sz w:val="24"/>
          <w:szCs w:val="24"/>
        </w:rPr>
        <w:t>, only to find out that public a</w:t>
      </w:r>
      <w:r w:rsidRPr="00AE32B8">
        <w:rPr>
          <w:sz w:val="24"/>
          <w:szCs w:val="24"/>
        </w:rPr>
        <w:t>ccounting is not what they had i</w:t>
      </w:r>
      <w:r w:rsidR="00EE0AE7">
        <w:rPr>
          <w:sz w:val="24"/>
          <w:szCs w:val="24"/>
        </w:rPr>
        <w:t xml:space="preserve">n mind for a long term career. Or, they </w:t>
      </w:r>
      <w:r w:rsidR="00C61465">
        <w:rPr>
          <w:sz w:val="24"/>
          <w:szCs w:val="24"/>
        </w:rPr>
        <w:t xml:space="preserve">already </w:t>
      </w:r>
      <w:r w:rsidR="00EE0AE7">
        <w:rPr>
          <w:sz w:val="24"/>
          <w:szCs w:val="24"/>
        </w:rPr>
        <w:t>h</w:t>
      </w:r>
      <w:r w:rsidR="00C61465">
        <w:rPr>
          <w:sz w:val="24"/>
          <w:szCs w:val="24"/>
        </w:rPr>
        <w:t>ave a predetermined mindset to work for</w:t>
      </w:r>
      <w:r w:rsidR="00EE0AE7">
        <w:rPr>
          <w:sz w:val="24"/>
          <w:szCs w:val="24"/>
        </w:rPr>
        <w:t xml:space="preserve"> a few years </w:t>
      </w:r>
      <w:r w:rsidR="00C61465">
        <w:rPr>
          <w:sz w:val="24"/>
          <w:szCs w:val="24"/>
        </w:rPr>
        <w:t>in order to obtain valuable</w:t>
      </w:r>
      <w:r w:rsidR="00EE0AE7">
        <w:rPr>
          <w:sz w:val="24"/>
          <w:szCs w:val="24"/>
        </w:rPr>
        <w:t xml:space="preserve"> experience be</w:t>
      </w:r>
      <w:r w:rsidR="00C61465">
        <w:rPr>
          <w:sz w:val="24"/>
          <w:szCs w:val="24"/>
        </w:rPr>
        <w:t>fore leaving for another accounting firm or company</w:t>
      </w:r>
      <w:r w:rsidR="00EE0AE7">
        <w:rPr>
          <w:sz w:val="24"/>
          <w:szCs w:val="24"/>
        </w:rPr>
        <w:t>.</w:t>
      </w:r>
    </w:p>
    <w:p w14:paraId="2D6EC868" w14:textId="6F2404B3" w:rsidR="00557BB4" w:rsidRPr="00AE32B8" w:rsidRDefault="00557BB4" w:rsidP="00AE32B8">
      <w:pPr>
        <w:spacing w:line="480" w:lineRule="auto"/>
        <w:ind w:firstLine="720"/>
        <w:rPr>
          <w:sz w:val="24"/>
          <w:szCs w:val="24"/>
        </w:rPr>
      </w:pPr>
      <w:r w:rsidRPr="00AE32B8">
        <w:rPr>
          <w:sz w:val="24"/>
          <w:szCs w:val="24"/>
        </w:rPr>
        <w:t>The purpose of this research</w:t>
      </w:r>
      <w:r w:rsidR="00C61465">
        <w:rPr>
          <w:sz w:val="24"/>
          <w:szCs w:val="24"/>
        </w:rPr>
        <w:t xml:space="preserve"> and analyzation</w:t>
      </w:r>
      <w:r w:rsidRPr="00AE32B8">
        <w:rPr>
          <w:sz w:val="24"/>
          <w:szCs w:val="24"/>
        </w:rPr>
        <w:t xml:space="preserve"> is to explore explanations for </w:t>
      </w:r>
      <w:r w:rsidRPr="00AE32B8">
        <w:rPr>
          <w:i/>
          <w:sz w:val="24"/>
          <w:szCs w:val="24"/>
        </w:rPr>
        <w:t>why</w:t>
      </w:r>
      <w:r w:rsidRPr="00AE32B8">
        <w:rPr>
          <w:sz w:val="24"/>
          <w:szCs w:val="24"/>
        </w:rPr>
        <w:t xml:space="preserve"> </w:t>
      </w:r>
      <w:r w:rsidR="00C61465">
        <w:rPr>
          <w:sz w:val="24"/>
          <w:szCs w:val="24"/>
        </w:rPr>
        <w:t>individuals</w:t>
      </w:r>
      <w:r w:rsidRPr="00AE32B8">
        <w:rPr>
          <w:sz w:val="24"/>
          <w:szCs w:val="24"/>
        </w:rPr>
        <w:t xml:space="preserve"> </w:t>
      </w:r>
      <w:r w:rsidR="006C2088">
        <w:rPr>
          <w:sz w:val="24"/>
          <w:szCs w:val="24"/>
        </w:rPr>
        <w:t>starting out</w:t>
      </w:r>
      <w:r w:rsidRPr="00AE32B8">
        <w:rPr>
          <w:sz w:val="24"/>
          <w:szCs w:val="24"/>
        </w:rPr>
        <w:t xml:space="preserve"> in public accounting typically only make it for a few years. </w:t>
      </w:r>
      <w:r w:rsidR="008A014E">
        <w:rPr>
          <w:sz w:val="24"/>
          <w:szCs w:val="24"/>
        </w:rPr>
        <w:t>I will be exploring why the</w:t>
      </w:r>
      <w:r w:rsidRPr="00AE32B8">
        <w:rPr>
          <w:sz w:val="24"/>
          <w:szCs w:val="24"/>
        </w:rPr>
        <w:t xml:space="preserve"> turnover rates </w:t>
      </w:r>
      <w:r w:rsidR="008A014E">
        <w:rPr>
          <w:sz w:val="24"/>
          <w:szCs w:val="24"/>
        </w:rPr>
        <w:t xml:space="preserve">are </w:t>
      </w:r>
      <w:r w:rsidRPr="00AE32B8">
        <w:rPr>
          <w:sz w:val="24"/>
          <w:szCs w:val="24"/>
        </w:rPr>
        <w:t>so high a</w:t>
      </w:r>
      <w:r w:rsidR="008A014E">
        <w:rPr>
          <w:sz w:val="24"/>
          <w:szCs w:val="24"/>
        </w:rPr>
        <w:t xml:space="preserve">nd the best ways for firms to </w:t>
      </w:r>
      <w:r w:rsidR="00C61465">
        <w:rPr>
          <w:sz w:val="24"/>
          <w:szCs w:val="24"/>
        </w:rPr>
        <w:t>adjust their organization</w:t>
      </w:r>
      <w:r w:rsidR="008A014E">
        <w:rPr>
          <w:sz w:val="24"/>
          <w:szCs w:val="24"/>
        </w:rPr>
        <w:t xml:space="preserve"> in order to retain their employees.</w:t>
      </w:r>
      <w:r w:rsidRPr="00AE32B8">
        <w:rPr>
          <w:sz w:val="24"/>
          <w:szCs w:val="24"/>
        </w:rPr>
        <w:t xml:space="preserve"> I will explore the history of public accounting, </w:t>
      </w:r>
      <w:r w:rsidRPr="00C61465">
        <w:rPr>
          <w:sz w:val="24"/>
          <w:szCs w:val="24"/>
        </w:rPr>
        <w:t>including specific legislation</w:t>
      </w:r>
      <w:r w:rsidRPr="00AE32B8">
        <w:rPr>
          <w:sz w:val="24"/>
          <w:szCs w:val="24"/>
        </w:rPr>
        <w:t xml:space="preserve"> that has impacted the rigor of work </w:t>
      </w:r>
      <w:r w:rsidR="008A014E">
        <w:rPr>
          <w:sz w:val="24"/>
          <w:szCs w:val="24"/>
        </w:rPr>
        <w:t>performed</w:t>
      </w:r>
      <w:r w:rsidRPr="00AE32B8">
        <w:rPr>
          <w:sz w:val="24"/>
          <w:szCs w:val="24"/>
        </w:rPr>
        <w:t xml:space="preserve">. Additionally, I will delve into surveys </w:t>
      </w:r>
      <w:r w:rsidR="003014A0" w:rsidRPr="00AE32B8">
        <w:rPr>
          <w:sz w:val="24"/>
          <w:szCs w:val="24"/>
        </w:rPr>
        <w:t xml:space="preserve">previously </w:t>
      </w:r>
      <w:r w:rsidRPr="00AE32B8">
        <w:rPr>
          <w:sz w:val="24"/>
          <w:szCs w:val="24"/>
        </w:rPr>
        <w:t>conducted and research written</w:t>
      </w:r>
      <w:r w:rsidR="003014A0" w:rsidRPr="00AE32B8">
        <w:rPr>
          <w:sz w:val="24"/>
          <w:szCs w:val="24"/>
        </w:rPr>
        <w:t xml:space="preserve"> on the opinions regarding</w:t>
      </w:r>
      <w:r w:rsidRPr="00AE32B8">
        <w:rPr>
          <w:sz w:val="24"/>
          <w:szCs w:val="24"/>
        </w:rPr>
        <w:t xml:space="preserve"> the accounting profession.</w:t>
      </w:r>
      <w:r w:rsidR="00EE0AE7">
        <w:rPr>
          <w:sz w:val="24"/>
          <w:szCs w:val="24"/>
        </w:rPr>
        <w:t xml:space="preserve"> I aim</w:t>
      </w:r>
      <w:r w:rsidR="003014A0" w:rsidRPr="00AE32B8">
        <w:rPr>
          <w:sz w:val="24"/>
          <w:szCs w:val="24"/>
        </w:rPr>
        <w:t xml:space="preserve"> to narrow it down to a few specific reasons that turnover rates are so alarmingly high in public accounting firms</w:t>
      </w:r>
      <w:r w:rsidR="0095133C" w:rsidRPr="00AE32B8">
        <w:rPr>
          <w:sz w:val="24"/>
          <w:szCs w:val="24"/>
        </w:rPr>
        <w:t xml:space="preserve">, and give suggestions to those firms wishing to </w:t>
      </w:r>
      <w:r w:rsidR="008A014E">
        <w:rPr>
          <w:sz w:val="24"/>
          <w:szCs w:val="24"/>
        </w:rPr>
        <w:t>reduce high turnover rates</w:t>
      </w:r>
      <w:r w:rsidR="00C61465">
        <w:rPr>
          <w:sz w:val="24"/>
          <w:szCs w:val="24"/>
        </w:rPr>
        <w:t xml:space="preserve"> within their organization</w:t>
      </w:r>
      <w:r w:rsidR="003014A0" w:rsidRPr="00AE32B8">
        <w:rPr>
          <w:sz w:val="24"/>
          <w:szCs w:val="24"/>
        </w:rPr>
        <w:t>.</w:t>
      </w:r>
    </w:p>
    <w:p w14:paraId="0E0AF708" w14:textId="4B29E929" w:rsidR="003014A0" w:rsidRDefault="00C61465" w:rsidP="00AE32B8">
      <w:pPr>
        <w:spacing w:line="480" w:lineRule="auto"/>
        <w:ind w:firstLine="720"/>
        <w:rPr>
          <w:sz w:val="24"/>
          <w:szCs w:val="24"/>
        </w:rPr>
      </w:pPr>
      <w:r>
        <w:rPr>
          <w:sz w:val="24"/>
          <w:szCs w:val="24"/>
        </w:rPr>
        <w:t>Like mentioned above, t</w:t>
      </w:r>
      <w:r w:rsidR="00FC5089" w:rsidRPr="00AE32B8">
        <w:rPr>
          <w:sz w:val="24"/>
          <w:szCs w:val="24"/>
        </w:rPr>
        <w:t>here are many factors that draw potential employees into a public accounting firm</w:t>
      </w:r>
      <w:r>
        <w:rPr>
          <w:sz w:val="24"/>
          <w:szCs w:val="24"/>
        </w:rPr>
        <w:t xml:space="preserve">. </w:t>
      </w:r>
      <w:r w:rsidR="00FC5089" w:rsidRPr="00AE32B8">
        <w:rPr>
          <w:sz w:val="24"/>
          <w:szCs w:val="24"/>
        </w:rPr>
        <w:t xml:space="preserve">However, it </w:t>
      </w:r>
      <w:r w:rsidR="009D1AD2" w:rsidRPr="00AE32B8">
        <w:rPr>
          <w:sz w:val="24"/>
          <w:szCs w:val="24"/>
        </w:rPr>
        <w:t>seems</w:t>
      </w:r>
      <w:r w:rsidR="00FC5089" w:rsidRPr="00AE32B8">
        <w:rPr>
          <w:sz w:val="24"/>
          <w:szCs w:val="24"/>
        </w:rPr>
        <w:t xml:space="preserve"> there </w:t>
      </w:r>
      <w:r w:rsidR="009D1AD2" w:rsidRPr="00AE32B8">
        <w:rPr>
          <w:sz w:val="24"/>
          <w:szCs w:val="24"/>
        </w:rPr>
        <w:t>are</w:t>
      </w:r>
      <w:r w:rsidR="00FC5089" w:rsidRPr="00AE32B8">
        <w:rPr>
          <w:sz w:val="24"/>
          <w:szCs w:val="24"/>
        </w:rPr>
        <w:t xml:space="preserve"> multiple influences that encourage public </w:t>
      </w:r>
      <w:r w:rsidR="00FC5089" w:rsidRPr="00AE32B8">
        <w:rPr>
          <w:sz w:val="24"/>
          <w:szCs w:val="24"/>
        </w:rPr>
        <w:lastRenderedPageBreak/>
        <w:t xml:space="preserve">accountants to withdraw from the illustrious career that once </w:t>
      </w:r>
      <w:r w:rsidR="009D1AD2" w:rsidRPr="00AE32B8">
        <w:rPr>
          <w:sz w:val="24"/>
          <w:szCs w:val="24"/>
        </w:rPr>
        <w:t>appeared</w:t>
      </w:r>
      <w:r w:rsidR="00FC5089" w:rsidRPr="00AE32B8">
        <w:rPr>
          <w:sz w:val="24"/>
          <w:szCs w:val="24"/>
        </w:rPr>
        <w:t xml:space="preserve"> attractive. To understand the reasons behind the high level of</w:t>
      </w:r>
      <w:r>
        <w:rPr>
          <w:sz w:val="24"/>
          <w:szCs w:val="24"/>
        </w:rPr>
        <w:t xml:space="preserve"> employee</w:t>
      </w:r>
      <w:r w:rsidR="00FC5089" w:rsidRPr="00AE32B8">
        <w:rPr>
          <w:sz w:val="24"/>
          <w:szCs w:val="24"/>
        </w:rPr>
        <w:t xml:space="preserve"> turnover rates, it is important to understand basic information and statistics existing wit</w:t>
      </w:r>
      <w:r>
        <w:rPr>
          <w:sz w:val="24"/>
          <w:szCs w:val="24"/>
        </w:rPr>
        <w:t>hin the</w:t>
      </w:r>
      <w:r w:rsidR="00FC5089" w:rsidRPr="00AE32B8">
        <w:rPr>
          <w:sz w:val="24"/>
          <w:szCs w:val="24"/>
        </w:rPr>
        <w:t xml:space="preserve"> public accounting </w:t>
      </w:r>
      <w:r>
        <w:rPr>
          <w:sz w:val="24"/>
          <w:szCs w:val="24"/>
        </w:rPr>
        <w:t>industry</w:t>
      </w:r>
      <w:r w:rsidR="00FC5089" w:rsidRPr="00AE32B8">
        <w:rPr>
          <w:sz w:val="24"/>
          <w:szCs w:val="24"/>
        </w:rPr>
        <w:t>.</w:t>
      </w:r>
    </w:p>
    <w:p w14:paraId="13CED655" w14:textId="01013CBF" w:rsidR="00657ADA" w:rsidRPr="003F0085" w:rsidRDefault="00657ADA" w:rsidP="00657ADA">
      <w:pPr>
        <w:spacing w:line="480" w:lineRule="auto"/>
        <w:rPr>
          <w:b/>
          <w:color w:val="538135" w:themeColor="accent6" w:themeShade="BF"/>
          <w:sz w:val="38"/>
          <w:szCs w:val="38"/>
        </w:rPr>
      </w:pPr>
      <w:r w:rsidRPr="003F0085">
        <w:rPr>
          <w:b/>
          <w:color w:val="538135" w:themeColor="accent6" w:themeShade="BF"/>
          <w:sz w:val="38"/>
          <w:szCs w:val="38"/>
        </w:rPr>
        <w:t>Section I: Background Information</w:t>
      </w:r>
    </w:p>
    <w:p w14:paraId="0AD0BF30" w14:textId="2C81DE07" w:rsidR="00C61465" w:rsidRDefault="00EE0AE7" w:rsidP="00911E73">
      <w:pPr>
        <w:spacing w:line="480" w:lineRule="auto"/>
        <w:ind w:firstLine="720"/>
        <w:rPr>
          <w:sz w:val="24"/>
          <w:szCs w:val="24"/>
        </w:rPr>
      </w:pPr>
      <w:r>
        <w:rPr>
          <w:sz w:val="24"/>
          <w:szCs w:val="24"/>
        </w:rPr>
        <w:t>Employee turnover describes the rate in which an employer has to replace its employees</w:t>
      </w:r>
      <w:r w:rsidR="002F16E3">
        <w:rPr>
          <w:sz w:val="24"/>
          <w:szCs w:val="24"/>
        </w:rPr>
        <w:t>.</w:t>
      </w:r>
      <w:r w:rsidR="002F16E3">
        <w:rPr>
          <w:rStyle w:val="FootnoteReference"/>
          <w:sz w:val="24"/>
          <w:szCs w:val="24"/>
        </w:rPr>
        <w:footnoteReference w:id="1"/>
      </w:r>
      <w:r w:rsidR="002F16E3">
        <w:rPr>
          <w:sz w:val="24"/>
          <w:szCs w:val="24"/>
        </w:rPr>
        <w:t xml:space="preserve"> </w:t>
      </w:r>
      <w:r w:rsidR="006C2088">
        <w:rPr>
          <w:sz w:val="24"/>
          <w:szCs w:val="24"/>
        </w:rPr>
        <w:t xml:space="preserve">There are three main phases regarding </w:t>
      </w:r>
      <w:r w:rsidR="002F16E3">
        <w:rPr>
          <w:sz w:val="24"/>
          <w:szCs w:val="24"/>
        </w:rPr>
        <w:t>an employee life cycle</w:t>
      </w:r>
      <w:r w:rsidR="006C2088">
        <w:rPr>
          <w:sz w:val="24"/>
          <w:szCs w:val="24"/>
        </w:rPr>
        <w:t>: Attraction</w:t>
      </w:r>
      <w:r w:rsidR="00BA11E4">
        <w:rPr>
          <w:sz w:val="24"/>
          <w:szCs w:val="24"/>
        </w:rPr>
        <w:t xml:space="preserve"> to the organization, d</w:t>
      </w:r>
      <w:r w:rsidR="006C2088">
        <w:rPr>
          <w:sz w:val="24"/>
          <w:szCs w:val="24"/>
        </w:rPr>
        <w:t>evelop</w:t>
      </w:r>
      <w:r w:rsidR="002F16E3">
        <w:rPr>
          <w:sz w:val="24"/>
          <w:szCs w:val="24"/>
        </w:rPr>
        <w:t>ing the talent they need</w:t>
      </w:r>
      <w:r w:rsidR="00BA11E4">
        <w:rPr>
          <w:sz w:val="24"/>
          <w:szCs w:val="24"/>
        </w:rPr>
        <w:t xml:space="preserve"> in order to execute </w:t>
      </w:r>
      <w:r w:rsidR="002F16E3">
        <w:rPr>
          <w:sz w:val="24"/>
          <w:szCs w:val="24"/>
        </w:rPr>
        <w:t>the</w:t>
      </w:r>
      <w:r w:rsidR="00BA11E4">
        <w:rPr>
          <w:sz w:val="24"/>
          <w:szCs w:val="24"/>
        </w:rPr>
        <w:t xml:space="preserve"> business</w:t>
      </w:r>
      <w:r w:rsidR="002F16E3">
        <w:rPr>
          <w:sz w:val="24"/>
          <w:szCs w:val="24"/>
        </w:rPr>
        <w:t>’s</w:t>
      </w:r>
      <w:r w:rsidR="00BA11E4">
        <w:rPr>
          <w:sz w:val="24"/>
          <w:szCs w:val="24"/>
        </w:rPr>
        <w:t xml:space="preserve"> strategy, and r</w:t>
      </w:r>
      <w:r w:rsidR="006C2088">
        <w:rPr>
          <w:sz w:val="24"/>
          <w:szCs w:val="24"/>
        </w:rPr>
        <w:t xml:space="preserve">etention. Retention </w:t>
      </w:r>
      <w:r w:rsidR="00C61465">
        <w:rPr>
          <w:sz w:val="24"/>
          <w:szCs w:val="24"/>
        </w:rPr>
        <w:t>is related to how</w:t>
      </w:r>
      <w:r w:rsidR="006C2088">
        <w:rPr>
          <w:sz w:val="24"/>
          <w:szCs w:val="24"/>
        </w:rPr>
        <w:t xml:space="preserve"> successful the organization is at keeping employees who have the </w:t>
      </w:r>
      <w:r w:rsidR="00BA11E4">
        <w:rPr>
          <w:sz w:val="24"/>
          <w:szCs w:val="24"/>
        </w:rPr>
        <w:t>best</w:t>
      </w:r>
      <w:r w:rsidR="006C2088">
        <w:rPr>
          <w:sz w:val="24"/>
          <w:szCs w:val="24"/>
        </w:rPr>
        <w:t xml:space="preserve"> capabilities and produce the highest value</w:t>
      </w:r>
      <w:r w:rsidR="00BA11E4">
        <w:rPr>
          <w:sz w:val="24"/>
          <w:szCs w:val="24"/>
        </w:rPr>
        <w:t xml:space="preserve"> while also keeping the general level of turnover low</w:t>
      </w:r>
      <w:r w:rsidR="00E47BA9">
        <w:rPr>
          <w:sz w:val="24"/>
          <w:szCs w:val="24"/>
        </w:rPr>
        <w:t>.</w:t>
      </w:r>
      <w:r w:rsidR="00E47BA9">
        <w:rPr>
          <w:rStyle w:val="FootnoteReference"/>
          <w:sz w:val="24"/>
          <w:szCs w:val="24"/>
        </w:rPr>
        <w:footnoteReference w:id="2"/>
      </w:r>
      <w:r w:rsidR="006C2088">
        <w:rPr>
          <w:sz w:val="24"/>
          <w:szCs w:val="24"/>
        </w:rPr>
        <w:t xml:space="preserve"> </w:t>
      </w:r>
    </w:p>
    <w:p w14:paraId="0B67560C" w14:textId="7E290719" w:rsidR="00AC60C7" w:rsidRDefault="00AC60C7" w:rsidP="00E47BA9">
      <w:pPr>
        <w:spacing w:line="480" w:lineRule="auto"/>
        <w:ind w:firstLine="720"/>
        <w:rPr>
          <w:sz w:val="24"/>
          <w:szCs w:val="24"/>
        </w:rPr>
      </w:pPr>
      <w:r>
        <w:rPr>
          <w:sz w:val="24"/>
          <w:szCs w:val="24"/>
        </w:rPr>
        <w:t>The average cost of replacing an employee who makes less than $50,000 a year equals about 20% of that person’s salary. These costs include productivity losses during training, recruiting, and work that’s lost while that employee’s position is empty</w:t>
      </w:r>
      <w:r w:rsidR="00E47BA9">
        <w:rPr>
          <w:sz w:val="24"/>
          <w:szCs w:val="24"/>
        </w:rPr>
        <w:t>.</w:t>
      </w:r>
      <w:r w:rsidR="00E47BA9">
        <w:rPr>
          <w:rStyle w:val="FootnoteReference"/>
          <w:sz w:val="24"/>
          <w:szCs w:val="24"/>
        </w:rPr>
        <w:footnoteReference w:id="3"/>
      </w:r>
      <w:r w:rsidR="00E47BA9">
        <w:rPr>
          <w:sz w:val="24"/>
          <w:szCs w:val="24"/>
        </w:rPr>
        <w:t xml:space="preserve"> </w:t>
      </w:r>
      <w:r>
        <w:rPr>
          <w:sz w:val="24"/>
          <w:szCs w:val="24"/>
        </w:rPr>
        <w:t xml:space="preserve">It would befit </w:t>
      </w:r>
      <w:r>
        <w:rPr>
          <w:sz w:val="24"/>
          <w:szCs w:val="24"/>
        </w:rPr>
        <w:lastRenderedPageBreak/>
        <w:t>organizations to pay attention to these high rates and implement various changes among their organization in an at</w:t>
      </w:r>
      <w:r w:rsidR="00E47BA9">
        <w:rPr>
          <w:sz w:val="24"/>
          <w:szCs w:val="24"/>
        </w:rPr>
        <w:t>tempt to keep employees around.</w:t>
      </w:r>
    </w:p>
    <w:p w14:paraId="135FA716" w14:textId="67F3203D" w:rsidR="00751F9B" w:rsidRDefault="009D1AD2" w:rsidP="00751F9B">
      <w:pPr>
        <w:spacing w:line="480" w:lineRule="auto"/>
        <w:ind w:firstLine="720"/>
        <w:rPr>
          <w:sz w:val="24"/>
          <w:szCs w:val="24"/>
        </w:rPr>
      </w:pPr>
      <w:r w:rsidRPr="00AE32B8">
        <w:rPr>
          <w:sz w:val="24"/>
          <w:szCs w:val="24"/>
        </w:rPr>
        <w:t xml:space="preserve">According to the 2015 National Benchmarking Report, </w:t>
      </w:r>
      <w:r w:rsidR="00BA4592" w:rsidRPr="00AE32B8">
        <w:rPr>
          <w:sz w:val="24"/>
          <w:szCs w:val="24"/>
        </w:rPr>
        <w:t>professional staff turnover rates in</w:t>
      </w:r>
      <w:r w:rsidR="008A014E">
        <w:rPr>
          <w:sz w:val="24"/>
          <w:szCs w:val="24"/>
        </w:rPr>
        <w:t xml:space="preserve"> accounting</w:t>
      </w:r>
      <w:r w:rsidR="00BA4592" w:rsidRPr="00AE32B8">
        <w:rPr>
          <w:sz w:val="24"/>
          <w:szCs w:val="24"/>
        </w:rPr>
        <w:t xml:space="preserve"> firms who make above</w:t>
      </w:r>
      <w:r w:rsidR="002F16E3">
        <w:rPr>
          <w:sz w:val="24"/>
          <w:szCs w:val="24"/>
        </w:rPr>
        <w:t xml:space="preserve"> $75 million averaged 17</w:t>
      </w:r>
      <w:r w:rsidR="008A014E">
        <w:rPr>
          <w:sz w:val="24"/>
          <w:szCs w:val="24"/>
        </w:rPr>
        <w:t>%</w:t>
      </w:r>
      <w:r w:rsidR="00BA4592" w:rsidRPr="00AE32B8">
        <w:rPr>
          <w:sz w:val="24"/>
          <w:szCs w:val="24"/>
        </w:rPr>
        <w:t>, while one in six of them experienced turnover rates above 20%. This turnover among staff has posed a challenge to partners- it forces them to take on certain work that they normally would allocate to other members of the team. This leads to billing rates increasing at a slower rate than staff salaries, ultimately leading to a more prominent pressur</w:t>
      </w:r>
      <w:r w:rsidR="00E47BA9">
        <w:rPr>
          <w:sz w:val="24"/>
          <w:szCs w:val="24"/>
        </w:rPr>
        <w:t>e to produce at a higher level.</w:t>
      </w:r>
      <w:r w:rsidR="00E47BA9">
        <w:rPr>
          <w:rStyle w:val="FootnoteReference"/>
          <w:sz w:val="24"/>
          <w:szCs w:val="24"/>
        </w:rPr>
        <w:footnoteReference w:id="4"/>
      </w:r>
      <w:r w:rsidR="00E47BA9">
        <w:rPr>
          <w:sz w:val="24"/>
          <w:szCs w:val="24"/>
        </w:rPr>
        <w:t xml:space="preserve"> </w:t>
      </w:r>
    </w:p>
    <w:p w14:paraId="022B72B1" w14:textId="77777777" w:rsidR="002F16E3" w:rsidRDefault="002F16E3" w:rsidP="002D6451">
      <w:pPr>
        <w:spacing w:line="480" w:lineRule="auto"/>
        <w:ind w:firstLine="720"/>
        <w:rPr>
          <w:sz w:val="24"/>
          <w:szCs w:val="24"/>
        </w:rPr>
      </w:pPr>
      <w:r w:rsidRPr="00A748E6">
        <w:rPr>
          <w:rFonts w:eastAsia="Times New Roman" w:cs="Arial"/>
          <w:noProof/>
          <w:sz w:val="24"/>
          <w:szCs w:val="24"/>
        </w:rPr>
        <mc:AlternateContent>
          <mc:Choice Requires="wps">
            <w:drawing>
              <wp:anchor distT="45720" distB="45720" distL="114300" distR="114300" simplePos="0" relativeHeight="251659264" behindDoc="0" locked="0" layoutInCell="1" allowOverlap="1" wp14:anchorId="14A0F5CB" wp14:editId="231540D3">
                <wp:simplePos x="0" y="0"/>
                <wp:positionH relativeFrom="column">
                  <wp:posOffset>578104</wp:posOffset>
                </wp:positionH>
                <wp:positionV relativeFrom="paragraph">
                  <wp:posOffset>3536823</wp:posOffset>
                </wp:positionV>
                <wp:extent cx="5320030" cy="534035"/>
                <wp:effectExtent l="0" t="0" r="1397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534035"/>
                        </a:xfrm>
                        <a:prstGeom prst="rect">
                          <a:avLst/>
                        </a:prstGeom>
                        <a:solidFill>
                          <a:srgbClr val="FFFFFF"/>
                        </a:solidFill>
                        <a:ln w="9525">
                          <a:solidFill>
                            <a:srgbClr val="000000"/>
                          </a:solidFill>
                          <a:miter lim="800000"/>
                          <a:headEnd/>
                          <a:tailEnd/>
                        </a:ln>
                      </wps:spPr>
                      <wps:txbx>
                        <w:txbxContent>
                          <w:p w14:paraId="3BF9303A" w14:textId="562CD1A5" w:rsidR="00A748E6" w:rsidRPr="00A748E6" w:rsidRDefault="00A748E6" w:rsidP="00A748E6">
                            <w:pPr>
                              <w:rPr>
                                <w:sz w:val="18"/>
                                <w:szCs w:val="18"/>
                              </w:rPr>
                            </w:pPr>
                            <w:r w:rsidRPr="00A748E6">
                              <w:rPr>
                                <w:sz w:val="18"/>
                                <w:szCs w:val="18"/>
                              </w:rPr>
                              <w:t>F</w:t>
                            </w:r>
                            <w:r>
                              <w:rPr>
                                <w:sz w:val="18"/>
                                <w:szCs w:val="18"/>
                              </w:rPr>
                              <w:t>igure 1:</w:t>
                            </w:r>
                            <w:r w:rsidRPr="00A748E6">
                              <w:rPr>
                                <w:sz w:val="18"/>
                                <w:szCs w:val="18"/>
                              </w:rPr>
                              <w:t xml:space="preserve"> </w:t>
                            </w:r>
                            <w:r w:rsidRPr="00A748E6">
                              <w:rPr>
                                <w:sz w:val="18"/>
                                <w:szCs w:val="18"/>
                              </w:rPr>
                              <w:t>Elkjaer, D., &amp; Filmer, S. (n.d.). Trends and Drivers of Workforce Turnover. Retrieved May 7, 2016, from http://www.mercer.com/content/dam/mercer/attachments/global/webcasts/trends-and-drivers-of-workforce-turnover-results-from-mercers-2014-turnover-survey.pdf</w:t>
                            </w:r>
                          </w:p>
                          <w:p w14:paraId="69E22278" w14:textId="7F38AAB0" w:rsidR="00A748E6" w:rsidRDefault="00A748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0F5CB" id="_x0000_t202" coordsize="21600,21600" o:spt="202" path="m,l,21600r21600,l21600,xe">
                <v:stroke joinstyle="miter"/>
                <v:path gradientshapeok="t" o:connecttype="rect"/>
              </v:shapetype>
              <v:shape id="Text Box 2" o:spid="_x0000_s1026" type="#_x0000_t202" style="position:absolute;left:0;text-align:left;margin-left:45.5pt;margin-top:278.5pt;width:418.9pt;height:42.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">
                <v:textbox>
                  <w:txbxContent>
                    <w:p w14:paraId="3BF9303A" w14:textId="562CD1A5" w:rsidR="00A748E6" w:rsidRPr="00A748E6" w:rsidRDefault="00A748E6" w:rsidP="00A748E6">
                      <w:pPr>
                        <w:rPr>
                          <w:sz w:val="18"/>
                          <w:szCs w:val="18"/>
                        </w:rPr>
                      </w:pPr>
                      <w:r w:rsidRPr="00A748E6">
                        <w:rPr>
                          <w:sz w:val="18"/>
                          <w:szCs w:val="18"/>
                        </w:rPr>
                        <w:t>F</w:t>
                      </w:r>
                      <w:r>
                        <w:rPr>
                          <w:sz w:val="18"/>
                          <w:szCs w:val="18"/>
                        </w:rPr>
                        <w:t>igure 1:</w:t>
                      </w:r>
                      <w:r w:rsidRPr="00A748E6">
                        <w:rPr>
                          <w:sz w:val="18"/>
                          <w:szCs w:val="18"/>
                        </w:rPr>
                        <w:t xml:space="preserve"> </w:t>
                      </w:r>
                      <w:r w:rsidRPr="00A748E6">
                        <w:rPr>
                          <w:sz w:val="18"/>
                          <w:szCs w:val="18"/>
                        </w:rPr>
                        <w:t>Elkjaer, D., &amp; Filmer, S. (n.d.). Trends and Drivers of Workforce Turnover. Retrieved May 7, 2016, from http://www.mercer.com/content/dam/mercer/attachments/global/webcasts/trends-and-drivers-of-workforce-turnover-results-from-mercers-2014-turnover-survey.pdf</w:t>
                      </w:r>
                    </w:p>
                    <w:p w14:paraId="69E22278" w14:textId="7F38AAB0" w:rsidR="00A748E6" w:rsidRDefault="00A748E6"/>
                  </w:txbxContent>
                </v:textbox>
                <w10:wrap type="square"/>
              </v:shape>
            </w:pict>
          </mc:Fallback>
        </mc:AlternateContent>
      </w:r>
      <w:r w:rsidR="00D96139">
        <w:rPr>
          <w:sz w:val="24"/>
          <w:szCs w:val="24"/>
        </w:rPr>
        <w:t>Listed below are the voluntary turnover rates of various countries</w:t>
      </w:r>
      <w:r w:rsidR="00FE0F4D">
        <w:rPr>
          <w:sz w:val="24"/>
          <w:szCs w:val="24"/>
        </w:rPr>
        <w:t xml:space="preserve"> from “Trends and</w:t>
      </w:r>
      <w:r w:rsidR="00751F9B">
        <w:rPr>
          <w:sz w:val="24"/>
          <w:szCs w:val="24"/>
        </w:rPr>
        <w:t xml:space="preserve"> Drivers in Workforce Turnover”</w:t>
      </w:r>
      <w:r w:rsidR="00D96139">
        <w:rPr>
          <w:sz w:val="24"/>
          <w:szCs w:val="24"/>
        </w:rPr>
        <w:t>. The United States has shown increasing rates since the recess</w:t>
      </w:r>
      <w:r w:rsidR="00751F9B">
        <w:rPr>
          <w:sz w:val="24"/>
          <w:szCs w:val="24"/>
        </w:rPr>
        <w:t>ion, and has t</w:t>
      </w:r>
      <w:r w:rsidR="00E47BA9">
        <w:rPr>
          <w:sz w:val="24"/>
          <w:szCs w:val="24"/>
        </w:rPr>
        <w:t>he highest rates- at about 13%.</w:t>
      </w:r>
    </w:p>
    <w:p w14:paraId="456FC9B6" w14:textId="57DB9936" w:rsidR="00D96139" w:rsidRDefault="002F16E3" w:rsidP="002F16E3">
      <w:pPr>
        <w:spacing w:line="480" w:lineRule="auto"/>
        <w:rPr>
          <w:sz w:val="24"/>
          <w:szCs w:val="24"/>
        </w:rPr>
      </w:pPr>
      <w:r>
        <w:rPr>
          <w:noProof/>
        </w:rPr>
        <w:drawing>
          <wp:inline distT="0" distB="0" distL="0" distR="0" wp14:anchorId="607A5183" wp14:editId="386A7ABB">
            <wp:extent cx="6034447" cy="2182368"/>
            <wp:effectExtent l="0" t="0" r="444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43610" cy="2185682"/>
                    </a:xfrm>
                    <a:prstGeom prst="rect">
                      <a:avLst/>
                    </a:prstGeom>
                  </pic:spPr>
                </pic:pic>
              </a:graphicData>
            </a:graphic>
          </wp:inline>
        </w:drawing>
      </w:r>
    </w:p>
    <w:p w14:paraId="519811AA" w14:textId="13FF03ED" w:rsidR="00751F9B" w:rsidRPr="002F16E3" w:rsidRDefault="002F16E3" w:rsidP="002F16E3">
      <w:pPr>
        <w:spacing w:line="480" w:lineRule="auto"/>
        <w:ind w:firstLine="720"/>
        <w:rPr>
          <w:sz w:val="24"/>
          <w:szCs w:val="24"/>
        </w:rPr>
      </w:pPr>
      <w:r>
        <w:rPr>
          <w:sz w:val="24"/>
          <w:szCs w:val="24"/>
        </w:rPr>
        <w:lastRenderedPageBreak/>
        <w:t>While Figure 1</w:t>
      </w:r>
      <w:r w:rsidR="00751F9B">
        <w:rPr>
          <w:sz w:val="24"/>
          <w:szCs w:val="24"/>
        </w:rPr>
        <w:t xml:space="preserve"> shows a big-picture scenario among various countries, </w:t>
      </w:r>
      <w:r w:rsidR="00A748E6">
        <w:rPr>
          <w:sz w:val="24"/>
          <w:szCs w:val="24"/>
        </w:rPr>
        <w:t xml:space="preserve">Figure 2 </w:t>
      </w:r>
      <w:r w:rsidR="00751F9B">
        <w:rPr>
          <w:sz w:val="24"/>
          <w:szCs w:val="24"/>
        </w:rPr>
        <w:t xml:space="preserve">below drills down to specific industries to show </w:t>
      </w:r>
      <w:r w:rsidR="00E47BA9">
        <w:rPr>
          <w:sz w:val="24"/>
          <w:szCs w:val="24"/>
        </w:rPr>
        <w:t>their respective turnover rates.</w:t>
      </w:r>
      <w:r w:rsidR="00E47BA9">
        <w:rPr>
          <w:rStyle w:val="FootnoteReference"/>
          <w:sz w:val="24"/>
          <w:szCs w:val="24"/>
        </w:rPr>
        <w:footnoteReference w:id="5"/>
      </w:r>
      <w:r>
        <w:rPr>
          <w:sz w:val="24"/>
          <w:szCs w:val="24"/>
        </w:rPr>
        <w:t xml:space="preserve"> </w:t>
      </w:r>
      <w:r w:rsidR="00751F9B">
        <w:rPr>
          <w:sz w:val="24"/>
          <w:szCs w:val="24"/>
        </w:rPr>
        <w:t xml:space="preserve">The banking and finance industry has the second largest rate of turnover amongst all industries at 13.3%, which is about 2% higher than the average across all industries (11%). This is noticeably lower than </w:t>
      </w:r>
      <w:r>
        <w:rPr>
          <w:sz w:val="24"/>
          <w:szCs w:val="24"/>
        </w:rPr>
        <w:t>the average turnover rate of</w:t>
      </w:r>
      <w:r w:rsidR="00751F9B">
        <w:rPr>
          <w:sz w:val="24"/>
          <w:szCs w:val="24"/>
        </w:rPr>
        <w:t xml:space="preserve"> public accounting </w:t>
      </w:r>
      <w:r>
        <w:rPr>
          <w:sz w:val="24"/>
          <w:szCs w:val="24"/>
        </w:rPr>
        <w:t>firms</w:t>
      </w:r>
      <w:r w:rsidR="00751F9B">
        <w:rPr>
          <w:sz w:val="24"/>
          <w:szCs w:val="24"/>
        </w:rPr>
        <w:t xml:space="preserve"> (at 17%).</w:t>
      </w:r>
    </w:p>
    <w:p w14:paraId="199DB0E5" w14:textId="5BA83BCC" w:rsidR="00751F9B" w:rsidRPr="00751F9B" w:rsidRDefault="00A748E6" w:rsidP="00751F9B">
      <w:pPr>
        <w:spacing w:line="480" w:lineRule="auto"/>
        <w:ind w:firstLine="720"/>
        <w:rPr>
          <w:sz w:val="24"/>
          <w:szCs w:val="24"/>
        </w:rPr>
      </w:pPr>
      <w:r w:rsidRPr="00A748E6">
        <w:rPr>
          <w:rFonts w:eastAsia="Times New Roman" w:cs="Arial"/>
          <w:noProof/>
          <w:sz w:val="24"/>
          <w:szCs w:val="24"/>
        </w:rPr>
        <mc:AlternateContent>
          <mc:Choice Requires="wps">
            <w:drawing>
              <wp:anchor distT="45720" distB="45720" distL="114300" distR="114300" simplePos="0" relativeHeight="251661312" behindDoc="0" locked="0" layoutInCell="1" allowOverlap="1" wp14:anchorId="79C9CD46" wp14:editId="7D33981F">
                <wp:simplePos x="0" y="0"/>
                <wp:positionH relativeFrom="margin">
                  <wp:align>left</wp:align>
                </wp:positionH>
                <wp:positionV relativeFrom="paragraph">
                  <wp:posOffset>2742565</wp:posOffset>
                </wp:positionV>
                <wp:extent cx="5320030" cy="427355"/>
                <wp:effectExtent l="0" t="0" r="13970" b="1079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27355"/>
                        </a:xfrm>
                        <a:prstGeom prst="rect">
                          <a:avLst/>
                        </a:prstGeom>
                        <a:solidFill>
                          <a:srgbClr val="FFFFFF"/>
                        </a:solidFill>
                        <a:ln w="9525">
                          <a:solidFill>
                            <a:srgbClr val="000000"/>
                          </a:solidFill>
                          <a:miter lim="800000"/>
                          <a:headEnd/>
                          <a:tailEnd/>
                        </a:ln>
                      </wps:spPr>
                      <wps:txbx>
                        <w:txbxContent>
                          <w:p w14:paraId="76ACDE28" w14:textId="77777777" w:rsidR="00A748E6" w:rsidRPr="00A748E6" w:rsidRDefault="00A748E6" w:rsidP="00A748E6">
                            <w:pPr>
                              <w:rPr>
                                <w:b/>
                                <w:sz w:val="18"/>
                                <w:szCs w:val="18"/>
                                <w:u w:val="single"/>
                              </w:rPr>
                            </w:pPr>
                            <w:r w:rsidRPr="00A748E6">
                              <w:rPr>
                                <w:sz w:val="18"/>
                                <w:szCs w:val="18"/>
                              </w:rPr>
                              <w:t>F</w:t>
                            </w:r>
                            <w:r w:rsidRPr="00A748E6">
                              <w:rPr>
                                <w:sz w:val="18"/>
                                <w:szCs w:val="18"/>
                              </w:rPr>
                              <w:t>igure 2</w:t>
                            </w:r>
                            <w:r w:rsidRPr="00A748E6">
                              <w:rPr>
                                <w:sz w:val="18"/>
                                <w:szCs w:val="18"/>
                              </w:rPr>
                              <w:t xml:space="preserve">: </w:t>
                            </w:r>
                            <w:r w:rsidRPr="00A748E6">
                              <w:rPr>
                                <w:rStyle w:val="citationtext"/>
                                <w:sz w:val="18"/>
                                <w:szCs w:val="18"/>
                                <w:lang w:val="en"/>
                              </w:rPr>
                              <w:t xml:space="preserve">Bares, Ann. "2014 Turnover Rates by Industry." </w:t>
                            </w:r>
                            <w:r w:rsidRPr="00A748E6">
                              <w:rPr>
                                <w:rStyle w:val="citationtext"/>
                                <w:i/>
                                <w:iCs/>
                                <w:sz w:val="18"/>
                                <w:szCs w:val="18"/>
                                <w:lang w:val="en"/>
                              </w:rPr>
                              <w:t>'Compensation Force'</w:t>
                            </w:r>
                            <w:r w:rsidRPr="00A748E6">
                              <w:rPr>
                                <w:rStyle w:val="citationtext"/>
                                <w:sz w:val="18"/>
                                <w:szCs w:val="18"/>
                                <w:lang w:val="en"/>
                              </w:rPr>
                              <w:t xml:space="preserve"> N.p., 27 Mar. 2015. Web. 08 May 2016</w:t>
                            </w:r>
                          </w:p>
                          <w:p w14:paraId="5C868608" w14:textId="3CFDFBAD" w:rsidR="00A748E6" w:rsidRPr="00A748E6" w:rsidRDefault="00A748E6" w:rsidP="00A748E6">
                            <w:pPr>
                              <w:rPr>
                                <w:sz w:val="18"/>
                                <w:szCs w:val="18"/>
                              </w:rPr>
                            </w:pPr>
                          </w:p>
                          <w:p w14:paraId="2FD0C217" w14:textId="77777777" w:rsidR="00A748E6" w:rsidRDefault="00A748E6" w:rsidP="00A748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9CD46" id="_x0000_s1027" type="#_x0000_t202" style="position:absolute;left:0;text-align:left;margin-left:0;margin-top:215.95pt;width:418.9pt;height:33.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">
                <v:textbox>
                  <w:txbxContent>
                    <w:p w14:paraId="76ACDE28" w14:textId="77777777" w:rsidR="00A748E6" w:rsidRPr="00A748E6" w:rsidRDefault="00A748E6" w:rsidP="00A748E6">
                      <w:pPr>
                        <w:rPr>
                          <w:b/>
                          <w:sz w:val="18"/>
                          <w:szCs w:val="18"/>
                          <w:u w:val="single"/>
                        </w:rPr>
                      </w:pPr>
                      <w:r w:rsidRPr="00A748E6">
                        <w:rPr>
                          <w:sz w:val="18"/>
                          <w:szCs w:val="18"/>
                        </w:rPr>
                        <w:t>F</w:t>
                      </w:r>
                      <w:r w:rsidRPr="00A748E6">
                        <w:rPr>
                          <w:sz w:val="18"/>
                          <w:szCs w:val="18"/>
                        </w:rPr>
                        <w:t>igure 2</w:t>
                      </w:r>
                      <w:r w:rsidRPr="00A748E6">
                        <w:rPr>
                          <w:sz w:val="18"/>
                          <w:szCs w:val="18"/>
                        </w:rPr>
                        <w:t xml:space="preserve">: </w:t>
                      </w:r>
                      <w:r w:rsidRPr="00A748E6">
                        <w:rPr>
                          <w:rStyle w:val="citationtext"/>
                          <w:sz w:val="18"/>
                          <w:szCs w:val="18"/>
                          <w:lang w:val="en"/>
                        </w:rPr>
                        <w:t xml:space="preserve">Bares, Ann. "2014 Turnover Rates by Industry." </w:t>
                      </w:r>
                      <w:r w:rsidRPr="00A748E6">
                        <w:rPr>
                          <w:rStyle w:val="citationtext"/>
                          <w:i/>
                          <w:iCs/>
                          <w:sz w:val="18"/>
                          <w:szCs w:val="18"/>
                          <w:lang w:val="en"/>
                        </w:rPr>
                        <w:t>'Compensation Force'</w:t>
                      </w:r>
                      <w:r w:rsidRPr="00A748E6">
                        <w:rPr>
                          <w:rStyle w:val="citationtext"/>
                          <w:sz w:val="18"/>
                          <w:szCs w:val="18"/>
                          <w:lang w:val="en"/>
                        </w:rPr>
                        <w:t xml:space="preserve"> N.p., 27 Mar. 2015. Web. 08 May 2016</w:t>
                      </w:r>
                    </w:p>
                    <w:p w14:paraId="5C868608" w14:textId="3CFDFBAD" w:rsidR="00A748E6" w:rsidRPr="00A748E6" w:rsidRDefault="00A748E6" w:rsidP="00A748E6">
                      <w:pPr>
                        <w:rPr>
                          <w:sz w:val="18"/>
                          <w:szCs w:val="18"/>
                        </w:rPr>
                      </w:pPr>
                    </w:p>
                    <w:p w14:paraId="2FD0C217" w14:textId="77777777" w:rsidR="00A748E6" w:rsidRDefault="00A748E6" w:rsidP="00A748E6"/>
                  </w:txbxContent>
                </v:textbox>
                <w10:wrap type="square" anchorx="margin"/>
              </v:shape>
            </w:pict>
          </mc:Fallback>
        </mc:AlternateContent>
      </w:r>
      <w:r w:rsidR="00751F9B">
        <w:rPr>
          <w:noProof/>
        </w:rPr>
        <w:drawing>
          <wp:inline distT="0" distB="0" distL="0" distR="0" wp14:anchorId="211A6DAD" wp14:editId="292CCD18">
            <wp:extent cx="4305300" cy="2457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05300" cy="2457450"/>
                    </a:xfrm>
                    <a:prstGeom prst="rect">
                      <a:avLst/>
                    </a:prstGeom>
                  </pic:spPr>
                </pic:pic>
              </a:graphicData>
            </a:graphic>
          </wp:inline>
        </w:drawing>
      </w:r>
    </w:p>
    <w:p w14:paraId="1DBA969A" w14:textId="22C10B69" w:rsidR="002D6451" w:rsidRDefault="00D96139" w:rsidP="00A748E6">
      <w:pPr>
        <w:spacing w:after="0" w:line="480" w:lineRule="auto"/>
        <w:ind w:firstLine="720"/>
        <w:rPr>
          <w:rFonts w:eastAsia="Times New Roman" w:cs="Arial"/>
          <w:sz w:val="24"/>
          <w:szCs w:val="24"/>
        </w:rPr>
      </w:pPr>
      <w:r>
        <w:rPr>
          <w:rFonts w:eastAsia="Times New Roman" w:cs="Arial"/>
          <w:sz w:val="24"/>
          <w:szCs w:val="24"/>
        </w:rPr>
        <w:t xml:space="preserve">There are various “push and pull” factors that contribute to </w:t>
      </w:r>
      <w:r w:rsidR="00751F9B">
        <w:rPr>
          <w:rFonts w:eastAsia="Times New Roman" w:cs="Arial"/>
          <w:sz w:val="24"/>
          <w:szCs w:val="24"/>
        </w:rPr>
        <w:t xml:space="preserve">the excessive </w:t>
      </w:r>
      <w:r>
        <w:rPr>
          <w:rFonts w:eastAsia="Times New Roman" w:cs="Arial"/>
          <w:sz w:val="24"/>
          <w:szCs w:val="24"/>
        </w:rPr>
        <w:t>voluntary turnover</w:t>
      </w:r>
      <w:r w:rsidR="00751F9B">
        <w:rPr>
          <w:rFonts w:eastAsia="Times New Roman" w:cs="Arial"/>
          <w:sz w:val="24"/>
          <w:szCs w:val="24"/>
        </w:rPr>
        <w:t xml:space="preserve"> rates within the accounting industry</w:t>
      </w:r>
      <w:r>
        <w:rPr>
          <w:rFonts w:eastAsia="Times New Roman" w:cs="Arial"/>
          <w:sz w:val="24"/>
          <w:szCs w:val="24"/>
        </w:rPr>
        <w:t>. For example, a pull factor is the attraction of a new job or new experiences. A push factor would be the dissatisfaction with the current job, co-worker, or manager, etc</w:t>
      </w:r>
      <w:r w:rsidR="00A84835">
        <w:rPr>
          <w:rFonts w:eastAsia="Times New Roman" w:cs="Arial"/>
          <w:sz w:val="24"/>
          <w:szCs w:val="24"/>
        </w:rPr>
        <w:t>.</w:t>
      </w:r>
      <w:r w:rsidR="00FE0F4D">
        <w:rPr>
          <w:rFonts w:eastAsia="Times New Roman" w:cs="Arial"/>
          <w:sz w:val="24"/>
          <w:szCs w:val="24"/>
        </w:rPr>
        <w:t xml:space="preserve"> These factors will be discussed at length throughout </w:t>
      </w:r>
      <w:r w:rsidR="002F16E3">
        <w:rPr>
          <w:rFonts w:eastAsia="Times New Roman" w:cs="Arial"/>
          <w:sz w:val="24"/>
          <w:szCs w:val="24"/>
        </w:rPr>
        <w:t>this examination.</w:t>
      </w:r>
    </w:p>
    <w:p w14:paraId="6D6E3B3B" w14:textId="40AC93F5" w:rsidR="00E42706" w:rsidRDefault="00BA11E4" w:rsidP="00E42706">
      <w:pPr>
        <w:spacing w:line="480" w:lineRule="auto"/>
        <w:ind w:firstLine="720"/>
        <w:rPr>
          <w:sz w:val="24"/>
          <w:szCs w:val="24"/>
        </w:rPr>
      </w:pPr>
      <w:r w:rsidRPr="00AE32B8">
        <w:rPr>
          <w:sz w:val="24"/>
          <w:szCs w:val="24"/>
        </w:rPr>
        <w:lastRenderedPageBreak/>
        <w:t xml:space="preserve">Businesses must adjust how they </w:t>
      </w:r>
      <w:r>
        <w:rPr>
          <w:sz w:val="24"/>
          <w:szCs w:val="24"/>
        </w:rPr>
        <w:t>encourage</w:t>
      </w:r>
      <w:r w:rsidRPr="00AE32B8">
        <w:rPr>
          <w:sz w:val="24"/>
          <w:szCs w:val="24"/>
        </w:rPr>
        <w:t xml:space="preserve"> loyalty with employees, </w:t>
      </w:r>
      <w:r w:rsidRPr="00E35227">
        <w:rPr>
          <w:sz w:val="24"/>
          <w:szCs w:val="24"/>
        </w:rPr>
        <w:t>specifically millennials,</w:t>
      </w:r>
      <w:r w:rsidRPr="00AE32B8">
        <w:rPr>
          <w:sz w:val="24"/>
          <w:szCs w:val="24"/>
        </w:rPr>
        <w:t xml:space="preserve"> or they risk a dwindling workforce. According to Deloitte’s 2016 Mil</w:t>
      </w:r>
      <w:r w:rsidR="00FE0F4D">
        <w:rPr>
          <w:sz w:val="24"/>
          <w:szCs w:val="24"/>
        </w:rPr>
        <w:t>lennial Survey, two-thirds of mi</w:t>
      </w:r>
      <w:r w:rsidRPr="00AE32B8">
        <w:rPr>
          <w:sz w:val="24"/>
          <w:szCs w:val="24"/>
        </w:rPr>
        <w:t>llennials express a desire to leave their organizations by 2020.</w:t>
      </w:r>
      <w:r w:rsidR="00E47BA9">
        <w:rPr>
          <w:rStyle w:val="FootnoteReference"/>
          <w:sz w:val="24"/>
          <w:szCs w:val="24"/>
        </w:rPr>
        <w:footnoteReference w:id="6"/>
      </w:r>
      <w:r w:rsidRPr="00AE32B8">
        <w:rPr>
          <w:sz w:val="24"/>
          <w:szCs w:val="24"/>
        </w:rPr>
        <w:t xml:space="preserve"> </w:t>
      </w:r>
      <w:r w:rsidR="00751F9B">
        <w:rPr>
          <w:sz w:val="24"/>
          <w:szCs w:val="24"/>
        </w:rPr>
        <w:t>Companies that are able to understand the</w:t>
      </w:r>
      <w:r w:rsidR="00751F9B" w:rsidRPr="00AC60C7">
        <w:rPr>
          <w:i/>
          <w:sz w:val="24"/>
          <w:szCs w:val="24"/>
        </w:rPr>
        <w:t xml:space="preserve"> </w:t>
      </w:r>
      <w:r w:rsidR="00751F9B" w:rsidRPr="002F16E3">
        <w:rPr>
          <w:sz w:val="24"/>
          <w:szCs w:val="24"/>
        </w:rPr>
        <w:t>reasons</w:t>
      </w:r>
      <w:r w:rsidR="00751F9B">
        <w:rPr>
          <w:sz w:val="24"/>
          <w:szCs w:val="24"/>
        </w:rPr>
        <w:t xml:space="preserve"> that employees wish to leave will have an adv</w:t>
      </w:r>
      <w:r w:rsidR="002F16E3">
        <w:rPr>
          <w:sz w:val="24"/>
          <w:szCs w:val="24"/>
        </w:rPr>
        <w:t>antage</w:t>
      </w:r>
      <w:r w:rsidR="00AC60C7">
        <w:rPr>
          <w:sz w:val="24"/>
          <w:szCs w:val="24"/>
        </w:rPr>
        <w:t xml:space="preserve"> among their competitors.</w:t>
      </w:r>
      <w:r w:rsidR="00751F9B">
        <w:rPr>
          <w:sz w:val="24"/>
          <w:szCs w:val="24"/>
        </w:rPr>
        <w:t xml:space="preserve"> </w:t>
      </w:r>
      <w:r w:rsidR="00AC60C7">
        <w:rPr>
          <w:sz w:val="24"/>
          <w:szCs w:val="24"/>
        </w:rPr>
        <w:t xml:space="preserve"> </w:t>
      </w:r>
      <w:r w:rsidRPr="00AE32B8">
        <w:rPr>
          <w:sz w:val="24"/>
          <w:szCs w:val="24"/>
        </w:rPr>
        <w:t xml:space="preserve">There seems to be a stereotype regarding the negative characteristics of the accounting profession like those mentioned above- long hours, lack of work-life balance, </w:t>
      </w:r>
      <w:r w:rsidR="002F16E3">
        <w:rPr>
          <w:sz w:val="24"/>
          <w:szCs w:val="24"/>
        </w:rPr>
        <w:t xml:space="preserve">and a </w:t>
      </w:r>
      <w:r w:rsidRPr="00AE32B8">
        <w:rPr>
          <w:sz w:val="24"/>
          <w:szCs w:val="24"/>
        </w:rPr>
        <w:t xml:space="preserve">challenging work environment. </w:t>
      </w:r>
      <w:r w:rsidR="00E42706">
        <w:rPr>
          <w:sz w:val="24"/>
          <w:szCs w:val="24"/>
        </w:rPr>
        <w:t>Because</w:t>
      </w:r>
      <w:r w:rsidR="002F16E3">
        <w:rPr>
          <w:sz w:val="24"/>
          <w:szCs w:val="24"/>
        </w:rPr>
        <w:t xml:space="preserve"> accounting is a public service</w:t>
      </w:r>
      <w:r w:rsidR="00E42706">
        <w:rPr>
          <w:sz w:val="24"/>
          <w:szCs w:val="24"/>
        </w:rPr>
        <w:t xml:space="preserve"> business, employees make up the most important part of the organization. Investing in strong talent by rewarding and encouraging employees should be a core part of a company</w:t>
      </w:r>
      <w:r w:rsidR="002F16E3">
        <w:rPr>
          <w:sz w:val="24"/>
          <w:szCs w:val="24"/>
        </w:rPr>
        <w:t>’s mission</w:t>
      </w:r>
      <w:r w:rsidR="00E47BA9">
        <w:rPr>
          <w:sz w:val="24"/>
          <w:szCs w:val="24"/>
        </w:rPr>
        <w:t>.</w:t>
      </w:r>
      <w:r w:rsidR="00E47BA9">
        <w:rPr>
          <w:rStyle w:val="FootnoteReference"/>
          <w:sz w:val="24"/>
          <w:szCs w:val="24"/>
        </w:rPr>
        <w:footnoteReference w:id="7"/>
      </w:r>
      <w:r w:rsidR="00E47BA9">
        <w:rPr>
          <w:sz w:val="24"/>
          <w:szCs w:val="24"/>
        </w:rPr>
        <w:t xml:space="preserve"> </w:t>
      </w:r>
      <w:r w:rsidR="00E42706">
        <w:rPr>
          <w:sz w:val="24"/>
          <w:szCs w:val="24"/>
        </w:rPr>
        <w:t>This investment will aid in retaining the best-performing personnel and ultimately will lead to sustaining the firm within a competitive industry.</w:t>
      </w:r>
    </w:p>
    <w:p w14:paraId="3185D8C0" w14:textId="44DF1B41" w:rsidR="00E35227" w:rsidRPr="00657ADA" w:rsidRDefault="00E35227" w:rsidP="00E35227">
      <w:pPr>
        <w:spacing w:line="480" w:lineRule="auto"/>
        <w:rPr>
          <w:b/>
          <w:color w:val="538135" w:themeColor="accent6" w:themeShade="BF"/>
          <w:sz w:val="32"/>
          <w:szCs w:val="32"/>
        </w:rPr>
      </w:pPr>
      <w:r w:rsidRPr="00657ADA">
        <w:rPr>
          <w:b/>
          <w:color w:val="538135" w:themeColor="accent6" w:themeShade="BF"/>
          <w:sz w:val="32"/>
          <w:szCs w:val="32"/>
        </w:rPr>
        <w:t>Characteristic</w:t>
      </w:r>
      <w:r w:rsidR="00657ADA">
        <w:rPr>
          <w:b/>
          <w:color w:val="538135" w:themeColor="accent6" w:themeShade="BF"/>
          <w:sz w:val="32"/>
          <w:szCs w:val="32"/>
        </w:rPr>
        <w:t>s of Big 4 Accounting Employees</w:t>
      </w:r>
    </w:p>
    <w:p w14:paraId="2935FB07" w14:textId="1DA7366F" w:rsidR="00871DE4" w:rsidRDefault="00E35227" w:rsidP="00E35227">
      <w:pPr>
        <w:spacing w:line="480" w:lineRule="auto"/>
        <w:ind w:firstLine="360"/>
        <w:rPr>
          <w:sz w:val="24"/>
          <w:szCs w:val="24"/>
        </w:rPr>
      </w:pPr>
      <w:r w:rsidRPr="00AE32B8">
        <w:rPr>
          <w:sz w:val="24"/>
          <w:szCs w:val="24"/>
        </w:rPr>
        <w:t xml:space="preserve">The people that make up </w:t>
      </w:r>
      <w:r w:rsidR="00C361E0">
        <w:rPr>
          <w:sz w:val="24"/>
          <w:szCs w:val="24"/>
        </w:rPr>
        <w:t xml:space="preserve">the Big 4 </w:t>
      </w:r>
      <w:r w:rsidRPr="00AE32B8">
        <w:rPr>
          <w:sz w:val="24"/>
          <w:szCs w:val="24"/>
        </w:rPr>
        <w:t xml:space="preserve">public accounting firms, </w:t>
      </w:r>
      <w:r w:rsidR="00C361E0">
        <w:rPr>
          <w:sz w:val="24"/>
          <w:szCs w:val="24"/>
        </w:rPr>
        <w:t>which are EY, KPMG, PwC, and Deloitte</w:t>
      </w:r>
      <w:r w:rsidRPr="00AE32B8">
        <w:rPr>
          <w:sz w:val="24"/>
          <w:szCs w:val="24"/>
        </w:rPr>
        <w:t xml:space="preserve"> are among various ages and backgrounds. For example, if you were to plot the ages of EY’s 25,000 US personnel, you would see a barbell-shape. That is, there are a lot of younger people, while the middle aged workers only make up a small portion. According to</w:t>
      </w:r>
      <w:r w:rsidR="00077DBB">
        <w:rPr>
          <w:sz w:val="24"/>
          <w:szCs w:val="24"/>
        </w:rPr>
        <w:t xml:space="preserve"> Mary </w:t>
      </w:r>
      <w:r w:rsidR="00077DBB">
        <w:rPr>
          <w:sz w:val="24"/>
          <w:szCs w:val="24"/>
        </w:rPr>
        <w:lastRenderedPageBreak/>
        <w:t>Stringfield,</w:t>
      </w:r>
      <w:r w:rsidRPr="00AE32B8">
        <w:rPr>
          <w:sz w:val="24"/>
          <w:szCs w:val="24"/>
        </w:rPr>
        <w:t xml:space="preserve"> 40% of EY’s workforce is made up of employees younger than 30</w:t>
      </w:r>
      <w:r w:rsidR="00E47BA9">
        <w:rPr>
          <w:sz w:val="24"/>
          <w:szCs w:val="24"/>
        </w:rPr>
        <w:t>.</w:t>
      </w:r>
      <w:r w:rsidR="00E47BA9">
        <w:rPr>
          <w:rStyle w:val="FootnoteReference"/>
          <w:sz w:val="24"/>
          <w:szCs w:val="24"/>
        </w:rPr>
        <w:footnoteReference w:id="8"/>
      </w:r>
      <w:r w:rsidR="00E47BA9">
        <w:rPr>
          <w:sz w:val="24"/>
          <w:szCs w:val="24"/>
        </w:rPr>
        <w:t xml:space="preserve"> </w:t>
      </w:r>
      <w:r w:rsidRPr="00AE32B8">
        <w:rPr>
          <w:sz w:val="24"/>
          <w:szCs w:val="24"/>
        </w:rPr>
        <w:t xml:space="preserve">To give even more of a background, the average age at PwC is 27, while the average age of KPMG in the UK is 34. </w:t>
      </w:r>
      <w:r w:rsidR="005363BE">
        <w:rPr>
          <w:sz w:val="24"/>
          <w:szCs w:val="24"/>
        </w:rPr>
        <w:t>Based on these numbers, it’s easy to see that employees at the firms tend to be younger. Recognizing the age of employees</w:t>
      </w:r>
      <w:r w:rsidR="002F16E3">
        <w:rPr>
          <w:sz w:val="24"/>
          <w:szCs w:val="24"/>
        </w:rPr>
        <w:t xml:space="preserve"> within an</w:t>
      </w:r>
      <w:r w:rsidR="00871DE4">
        <w:rPr>
          <w:sz w:val="24"/>
          <w:szCs w:val="24"/>
        </w:rPr>
        <w:t xml:space="preserve"> organization</w:t>
      </w:r>
      <w:r w:rsidR="005363BE">
        <w:rPr>
          <w:sz w:val="24"/>
          <w:szCs w:val="24"/>
        </w:rPr>
        <w:t xml:space="preserve"> is crucial to be a</w:t>
      </w:r>
      <w:r w:rsidR="00871DE4">
        <w:rPr>
          <w:sz w:val="24"/>
          <w:szCs w:val="24"/>
        </w:rPr>
        <w:t xml:space="preserve">ble to cater to employees’ needs and implement </w:t>
      </w:r>
      <w:r w:rsidR="002F16E3">
        <w:rPr>
          <w:sz w:val="24"/>
          <w:szCs w:val="24"/>
        </w:rPr>
        <w:t>necessary changes.</w:t>
      </w:r>
      <w:r w:rsidR="00871DE4">
        <w:rPr>
          <w:sz w:val="24"/>
          <w:szCs w:val="24"/>
        </w:rPr>
        <w:t xml:space="preserve"> </w:t>
      </w:r>
    </w:p>
    <w:p w14:paraId="7B2C821E" w14:textId="33872F0B" w:rsidR="00871DE4" w:rsidRDefault="00C361E0" w:rsidP="00C361E0">
      <w:pPr>
        <w:spacing w:line="480" w:lineRule="auto"/>
        <w:ind w:firstLine="360"/>
        <w:rPr>
          <w:sz w:val="24"/>
          <w:szCs w:val="24"/>
        </w:rPr>
      </w:pPr>
      <w:r>
        <w:rPr>
          <w:sz w:val="24"/>
          <w:szCs w:val="24"/>
        </w:rPr>
        <w:t>Big 4 firms have already begun to implement various programs incentivizing employees to stay around longer. They have flexible work programs, bonus incentives, mentorship opportunities, and programs set in place to aid in work-life balance.</w:t>
      </w:r>
      <w:r w:rsidR="002F16E3">
        <w:rPr>
          <w:rStyle w:val="FootnoteReference"/>
          <w:sz w:val="24"/>
          <w:szCs w:val="24"/>
        </w:rPr>
        <w:footnoteReference w:id="9"/>
      </w:r>
      <w:r>
        <w:rPr>
          <w:sz w:val="24"/>
          <w:szCs w:val="24"/>
        </w:rPr>
        <w:t xml:space="preserve"> While these initiatives will begin to decrease the turnover rates, there are still ways to improve and drill down to specific issues that need to be addressed. Specifically, businesses will benefit from focusing on the retention of women and millennials in the workforce. Both of these groups make up a large portion of the </w:t>
      </w:r>
      <w:r w:rsidR="002F16E3">
        <w:rPr>
          <w:sz w:val="24"/>
          <w:szCs w:val="24"/>
        </w:rPr>
        <w:t>entrance-level positions</w:t>
      </w:r>
      <w:r>
        <w:rPr>
          <w:sz w:val="24"/>
          <w:szCs w:val="24"/>
        </w:rPr>
        <w:t xml:space="preserve"> in public accounting and need to be catered to in order to have these high numbers preserved. The following research and examination will bring to light several suggestions that will improve the retention of </w:t>
      </w:r>
      <w:r w:rsidR="00106431">
        <w:rPr>
          <w:sz w:val="24"/>
          <w:szCs w:val="24"/>
        </w:rPr>
        <w:t>these target groups.</w:t>
      </w:r>
    </w:p>
    <w:p w14:paraId="7D2D2733" w14:textId="77777777" w:rsidR="00E47BA9" w:rsidRDefault="00E47BA9" w:rsidP="00E47BA9">
      <w:pPr>
        <w:spacing w:line="480" w:lineRule="auto"/>
        <w:rPr>
          <w:b/>
          <w:color w:val="538135" w:themeColor="accent6" w:themeShade="BF"/>
          <w:sz w:val="36"/>
          <w:szCs w:val="36"/>
        </w:rPr>
      </w:pPr>
      <w:bookmarkStart w:id="0" w:name="_GoBack"/>
      <w:bookmarkEnd w:id="0"/>
      <w:r w:rsidRPr="00657ADA">
        <w:rPr>
          <w:b/>
          <w:color w:val="538135" w:themeColor="accent6" w:themeShade="BF"/>
          <w:sz w:val="36"/>
          <w:szCs w:val="36"/>
        </w:rPr>
        <w:t>Women in Public Accounting</w:t>
      </w:r>
    </w:p>
    <w:p w14:paraId="4845D4E6" w14:textId="2DC9FFB1" w:rsidR="00E47BA9" w:rsidRDefault="00E47BA9" w:rsidP="00E47BA9">
      <w:pPr>
        <w:spacing w:line="480" w:lineRule="auto"/>
        <w:ind w:firstLine="360"/>
        <w:rPr>
          <w:sz w:val="24"/>
          <w:szCs w:val="24"/>
        </w:rPr>
      </w:pPr>
      <w:r w:rsidRPr="00AE32B8">
        <w:rPr>
          <w:sz w:val="24"/>
          <w:szCs w:val="24"/>
        </w:rPr>
        <w:t xml:space="preserve">In addition to salaries and average ages within public accounting, it is important to understand the gender and race make-up of the firms. According to the AICPA, women and </w:t>
      </w:r>
      <w:r w:rsidRPr="00AE32B8">
        <w:rPr>
          <w:sz w:val="24"/>
          <w:szCs w:val="24"/>
        </w:rPr>
        <w:lastRenderedPageBreak/>
        <w:t xml:space="preserve">men have </w:t>
      </w:r>
      <w:r>
        <w:rPr>
          <w:sz w:val="24"/>
          <w:szCs w:val="24"/>
        </w:rPr>
        <w:t>been entering</w:t>
      </w:r>
      <w:r w:rsidRPr="00AE32B8">
        <w:rPr>
          <w:sz w:val="24"/>
          <w:szCs w:val="24"/>
        </w:rPr>
        <w:t xml:space="preserve"> the profession in equal numbers, but </w:t>
      </w:r>
      <w:r>
        <w:rPr>
          <w:sz w:val="24"/>
          <w:szCs w:val="24"/>
        </w:rPr>
        <w:t>a higher percentage of males stay around to make partner while women tend to leave the firms at an earlier age.</w:t>
      </w:r>
      <w:r>
        <w:rPr>
          <w:rStyle w:val="FootnoteReference"/>
          <w:sz w:val="24"/>
          <w:szCs w:val="24"/>
        </w:rPr>
        <w:footnoteReference w:id="10"/>
      </w:r>
    </w:p>
    <w:p w14:paraId="3A0561AF" w14:textId="2C6F4B1E" w:rsidR="00E47BA9" w:rsidRPr="001349EF" w:rsidRDefault="00A748E6" w:rsidP="00E47BA9">
      <w:pPr>
        <w:spacing w:line="480" w:lineRule="auto"/>
        <w:ind w:firstLine="360"/>
        <w:rPr>
          <w:sz w:val="24"/>
          <w:szCs w:val="24"/>
        </w:rPr>
      </w:pPr>
      <w:r>
        <w:rPr>
          <w:sz w:val="24"/>
          <w:szCs w:val="24"/>
        </w:rPr>
        <w:t>Figure 3 below shows there are</w:t>
      </w:r>
      <w:r w:rsidR="00E47BA9" w:rsidRPr="00AE32B8">
        <w:rPr>
          <w:sz w:val="24"/>
          <w:szCs w:val="24"/>
        </w:rPr>
        <w:t xml:space="preserve"> more women partners in smaller firms. </w:t>
      </w:r>
      <w:r w:rsidR="00E47BA9">
        <w:rPr>
          <w:sz w:val="24"/>
          <w:szCs w:val="24"/>
        </w:rPr>
        <w:t>That is, t</w:t>
      </w:r>
      <w:r w:rsidR="00E47BA9" w:rsidRPr="00AE32B8">
        <w:rPr>
          <w:sz w:val="24"/>
          <w:szCs w:val="24"/>
        </w:rPr>
        <w:t>he larger the accounting firm is, the smaller percentage of women making partners</w:t>
      </w:r>
      <w:r w:rsidR="00E47BA9">
        <w:rPr>
          <w:sz w:val="24"/>
          <w:szCs w:val="24"/>
        </w:rPr>
        <w:t>.</w:t>
      </w:r>
    </w:p>
    <w:p w14:paraId="7B814027" w14:textId="70D6D54E" w:rsidR="00E47BA9" w:rsidRPr="00AE32B8" w:rsidRDefault="00A748E6" w:rsidP="00E47BA9">
      <w:pPr>
        <w:spacing w:line="480" w:lineRule="auto"/>
        <w:ind w:firstLine="360"/>
        <w:rPr>
          <w:sz w:val="24"/>
          <w:szCs w:val="24"/>
        </w:rPr>
      </w:pPr>
      <w:r w:rsidRPr="00A748E6">
        <w:rPr>
          <w:rFonts w:eastAsia="Times New Roman" w:cs="Arial"/>
          <w:noProof/>
          <w:sz w:val="24"/>
          <w:szCs w:val="24"/>
        </w:rPr>
        <mc:AlternateContent>
          <mc:Choice Requires="wps">
            <w:drawing>
              <wp:anchor distT="45720" distB="45720" distL="114300" distR="114300" simplePos="0" relativeHeight="251663360" behindDoc="0" locked="0" layoutInCell="1" allowOverlap="1" wp14:anchorId="156D5C21" wp14:editId="6C91D61F">
                <wp:simplePos x="0" y="0"/>
                <wp:positionH relativeFrom="margin">
                  <wp:align>left</wp:align>
                </wp:positionH>
                <wp:positionV relativeFrom="paragraph">
                  <wp:posOffset>3381629</wp:posOffset>
                </wp:positionV>
                <wp:extent cx="5320030" cy="427355"/>
                <wp:effectExtent l="0" t="0" r="13970" b="1079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27355"/>
                        </a:xfrm>
                        <a:prstGeom prst="rect">
                          <a:avLst/>
                        </a:prstGeom>
                        <a:solidFill>
                          <a:srgbClr val="FFFFFF"/>
                        </a:solidFill>
                        <a:ln w="9525">
                          <a:solidFill>
                            <a:srgbClr val="000000"/>
                          </a:solidFill>
                          <a:miter lim="800000"/>
                          <a:headEnd/>
                          <a:tailEnd/>
                        </a:ln>
                      </wps:spPr>
                      <wps:txbx>
                        <w:txbxContent>
                          <w:p w14:paraId="71A22A82" w14:textId="77777777" w:rsidR="00A748E6" w:rsidRPr="00A748E6" w:rsidRDefault="00A748E6" w:rsidP="00A748E6">
                            <w:pPr>
                              <w:rPr>
                                <w:rStyle w:val="Hyperlink"/>
                                <w:color w:val="auto"/>
                                <w:sz w:val="18"/>
                                <w:szCs w:val="18"/>
                              </w:rPr>
                            </w:pPr>
                            <w:r w:rsidRPr="00A748E6">
                              <w:rPr>
                                <w:sz w:val="18"/>
                                <w:szCs w:val="18"/>
                              </w:rPr>
                              <w:t xml:space="preserve">Figure 3: </w:t>
                            </w:r>
                            <w:r w:rsidRPr="00A748E6">
                              <w:rPr>
                                <w:sz w:val="18"/>
                                <w:szCs w:val="18"/>
                              </w:rPr>
                              <w:t xml:space="preserve">Newquist, C. (2015, November 16). Going Concern. Retrieved April 26, 2016, from </w:t>
                            </w:r>
                            <w:hyperlink r:id="rId10" w:history="1">
                              <w:r w:rsidRPr="00A748E6">
                                <w:rPr>
                                  <w:rStyle w:val="Hyperlink"/>
                                  <w:color w:val="auto"/>
                                  <w:sz w:val="18"/>
                                  <w:szCs w:val="18"/>
                                </w:rPr>
                                <w:t>http://goingconcern.com/post/here-s-another-lousy-stat-number-women-partners-accounting-firms</w:t>
                              </w:r>
                            </w:hyperlink>
                          </w:p>
                          <w:p w14:paraId="7362DE52" w14:textId="3DB8B26F" w:rsidR="00A748E6" w:rsidRPr="00A748E6" w:rsidRDefault="00A748E6" w:rsidP="00A748E6">
                            <w:pPr>
                              <w:rPr>
                                <w:sz w:val="18"/>
                                <w:szCs w:val="18"/>
                              </w:rPr>
                            </w:pPr>
                          </w:p>
                          <w:p w14:paraId="32F7EC8C" w14:textId="77777777" w:rsidR="00A748E6" w:rsidRDefault="00A748E6" w:rsidP="00A748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D5C21" id="_x0000_s1028" type="#_x0000_t202" style="position:absolute;left:0;text-align:left;margin-left:0;margin-top:266.25pt;width:418.9pt;height:33.6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">
                <v:textbox>
                  <w:txbxContent>
                    <w:p w14:paraId="71A22A82" w14:textId="77777777" w:rsidR="00A748E6" w:rsidRPr="00A748E6" w:rsidRDefault="00A748E6" w:rsidP="00A748E6">
                      <w:pPr>
                        <w:rPr>
                          <w:rStyle w:val="Hyperlink"/>
                          <w:color w:val="auto"/>
                          <w:sz w:val="18"/>
                          <w:szCs w:val="18"/>
                        </w:rPr>
                      </w:pPr>
                      <w:r w:rsidRPr="00A748E6">
                        <w:rPr>
                          <w:sz w:val="18"/>
                          <w:szCs w:val="18"/>
                        </w:rPr>
                        <w:t xml:space="preserve">Figure 3: </w:t>
                      </w:r>
                      <w:r w:rsidRPr="00A748E6">
                        <w:rPr>
                          <w:sz w:val="18"/>
                          <w:szCs w:val="18"/>
                        </w:rPr>
                        <w:t xml:space="preserve">Newquist, C. (2015, November 16). Going Concern. Retrieved April 26, 2016, from </w:t>
                      </w:r>
                      <w:hyperlink r:id="rId11" w:history="1">
                        <w:r w:rsidRPr="00A748E6">
                          <w:rPr>
                            <w:rStyle w:val="Hyperlink"/>
                            <w:color w:val="auto"/>
                            <w:sz w:val="18"/>
                            <w:szCs w:val="18"/>
                          </w:rPr>
                          <w:t>http://goingconcern.com/post/here-s-another-lousy-stat-number-women-partners-accounting-firms</w:t>
                        </w:r>
                      </w:hyperlink>
                    </w:p>
                    <w:p w14:paraId="7362DE52" w14:textId="3DB8B26F" w:rsidR="00A748E6" w:rsidRPr="00A748E6" w:rsidRDefault="00A748E6" w:rsidP="00A748E6">
                      <w:pPr>
                        <w:rPr>
                          <w:sz w:val="18"/>
                          <w:szCs w:val="18"/>
                        </w:rPr>
                      </w:pPr>
                    </w:p>
                    <w:p w14:paraId="32F7EC8C" w14:textId="77777777" w:rsidR="00A748E6" w:rsidRDefault="00A748E6" w:rsidP="00A748E6"/>
                  </w:txbxContent>
                </v:textbox>
                <w10:wrap type="square" anchorx="margin"/>
              </v:shape>
            </w:pict>
          </mc:Fallback>
        </mc:AlternateContent>
      </w:r>
      <w:r w:rsidR="00E47BA9" w:rsidRPr="00AE32B8">
        <w:rPr>
          <w:noProof/>
          <w:sz w:val="24"/>
          <w:szCs w:val="24"/>
        </w:rPr>
        <w:drawing>
          <wp:inline distT="0" distB="0" distL="0" distR="0" wp14:anchorId="7FA8D51C" wp14:editId="0B04873D">
            <wp:extent cx="5010150" cy="3209925"/>
            <wp:effectExtent l="0" t="0" r="0" b="9525"/>
            <wp:docPr id="3" name="Picture 3" descr="http://goingconcern.com/sites/default/files/equity_parnt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ingconcern.com/sites/default/files/equity_parnter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0" cy="3209925"/>
                    </a:xfrm>
                    <a:prstGeom prst="rect">
                      <a:avLst/>
                    </a:prstGeom>
                    <a:noFill/>
                    <a:ln>
                      <a:noFill/>
                    </a:ln>
                  </pic:spPr>
                </pic:pic>
              </a:graphicData>
            </a:graphic>
          </wp:inline>
        </w:drawing>
      </w:r>
    </w:p>
    <w:p w14:paraId="2887003F" w14:textId="425169D6" w:rsidR="00E47BA9" w:rsidRDefault="00E47BA9" w:rsidP="00A748E6">
      <w:pPr>
        <w:spacing w:line="480" w:lineRule="auto"/>
        <w:ind w:firstLine="360"/>
        <w:rPr>
          <w:sz w:val="24"/>
          <w:szCs w:val="24"/>
        </w:rPr>
      </w:pPr>
      <w:r w:rsidRPr="00AE32B8">
        <w:rPr>
          <w:sz w:val="24"/>
          <w:szCs w:val="24"/>
        </w:rPr>
        <w:t xml:space="preserve">Women are well-represented at entry level positions within accounting firms, but the numbers dwindle as they move up the career ladder. While it is slightly unclear where women go after they leave the larger firms, these statistics suggest that women who don’t advance in larger firms decide to transition to smaller firms, or even create their own </w:t>
      </w:r>
      <w:r>
        <w:rPr>
          <w:sz w:val="24"/>
          <w:szCs w:val="24"/>
        </w:rPr>
        <w:t>business</w:t>
      </w:r>
      <w:r>
        <w:rPr>
          <w:sz w:val="24"/>
          <w:szCs w:val="24"/>
        </w:rPr>
        <w:t xml:space="preserve"> as an </w:t>
      </w:r>
      <w:r>
        <w:rPr>
          <w:sz w:val="24"/>
          <w:szCs w:val="24"/>
        </w:rPr>
        <w:lastRenderedPageBreak/>
        <w:t>alternative.</w:t>
      </w:r>
      <w:r>
        <w:rPr>
          <w:rStyle w:val="FootnoteReference"/>
          <w:sz w:val="24"/>
          <w:szCs w:val="24"/>
        </w:rPr>
        <w:footnoteReference w:id="11"/>
      </w:r>
      <w:r>
        <w:rPr>
          <w:sz w:val="24"/>
          <w:szCs w:val="24"/>
        </w:rPr>
        <w:t xml:space="preserve"> </w:t>
      </w:r>
      <w:r w:rsidRPr="00AE32B8">
        <w:rPr>
          <w:sz w:val="24"/>
          <w:szCs w:val="24"/>
        </w:rPr>
        <w:t>Women have come extremely far in the accounting profession</w:t>
      </w:r>
      <w:r>
        <w:rPr>
          <w:sz w:val="24"/>
          <w:szCs w:val="24"/>
        </w:rPr>
        <w:t xml:space="preserve"> over the years</w:t>
      </w:r>
      <w:r w:rsidRPr="00AE32B8">
        <w:rPr>
          <w:sz w:val="24"/>
          <w:szCs w:val="24"/>
        </w:rPr>
        <w:t>, but this does not mean there aren’t ways to constantly improve retention and happiness within the workplace.</w:t>
      </w:r>
      <w:r>
        <w:rPr>
          <w:sz w:val="24"/>
          <w:szCs w:val="24"/>
        </w:rPr>
        <w:t xml:space="preserve"> Women hold a lot of the talent within accounting firms and it’s crucial to retain this top talent </w:t>
      </w:r>
      <w:r w:rsidRPr="00AE32B8">
        <w:rPr>
          <w:sz w:val="24"/>
          <w:szCs w:val="24"/>
        </w:rPr>
        <w:t>to sustain the industry for the future.</w:t>
      </w:r>
      <w:r w:rsidR="00106431">
        <w:rPr>
          <w:sz w:val="24"/>
          <w:szCs w:val="24"/>
        </w:rPr>
        <w:t>.</w:t>
      </w:r>
    </w:p>
    <w:p w14:paraId="5E212FE6" w14:textId="7DB05E80" w:rsidR="00E47BA9" w:rsidRDefault="00E47BA9" w:rsidP="00E47BA9">
      <w:pPr>
        <w:spacing w:line="480" w:lineRule="auto"/>
        <w:ind w:firstLine="360"/>
        <w:rPr>
          <w:sz w:val="24"/>
          <w:szCs w:val="24"/>
        </w:rPr>
      </w:pPr>
      <w:r>
        <w:rPr>
          <w:sz w:val="24"/>
          <w:szCs w:val="24"/>
        </w:rPr>
        <w:t>Women</w:t>
      </w:r>
      <w:r w:rsidRPr="00AE32B8">
        <w:rPr>
          <w:sz w:val="24"/>
          <w:szCs w:val="24"/>
        </w:rPr>
        <w:t xml:space="preserve"> have made up about 50% of the new Certified Public Accountants</w:t>
      </w:r>
      <w:r>
        <w:rPr>
          <w:sz w:val="24"/>
          <w:szCs w:val="24"/>
        </w:rPr>
        <w:t xml:space="preserve"> (CPAs) over the past 20 years.</w:t>
      </w:r>
      <w:r>
        <w:rPr>
          <w:rStyle w:val="FootnoteReference"/>
          <w:sz w:val="24"/>
          <w:szCs w:val="24"/>
        </w:rPr>
        <w:footnoteReference w:id="12"/>
      </w:r>
      <w:r>
        <w:rPr>
          <w:sz w:val="24"/>
          <w:szCs w:val="24"/>
        </w:rPr>
        <w:t xml:space="preserve"> </w:t>
      </w:r>
      <w:r w:rsidRPr="00AE32B8">
        <w:rPr>
          <w:sz w:val="24"/>
          <w:szCs w:val="24"/>
        </w:rPr>
        <w:t xml:space="preserve">Additionally, women are making up 51% of managers within the firm, suggesting that there are many qualified women who have the potential to make partner. The issue is that women seem to “evaporate” from the partnership pipeline and tend to leave public accounting after a </w:t>
      </w:r>
      <w:r w:rsidR="00106431">
        <w:rPr>
          <w:sz w:val="24"/>
          <w:szCs w:val="24"/>
        </w:rPr>
        <w:t>few years in order to</w:t>
      </w:r>
      <w:r w:rsidRPr="00AE32B8">
        <w:rPr>
          <w:sz w:val="24"/>
          <w:szCs w:val="24"/>
        </w:rPr>
        <w:t xml:space="preserve"> take advantage of careers </w:t>
      </w:r>
      <w:r>
        <w:rPr>
          <w:sz w:val="24"/>
          <w:szCs w:val="24"/>
        </w:rPr>
        <w:t>in industry or entrepreneurship.</w:t>
      </w:r>
      <w:r>
        <w:rPr>
          <w:rStyle w:val="FootnoteReference"/>
          <w:sz w:val="24"/>
          <w:szCs w:val="24"/>
        </w:rPr>
        <w:footnoteReference w:id="13"/>
      </w:r>
      <w:r>
        <w:rPr>
          <w:sz w:val="24"/>
          <w:szCs w:val="24"/>
        </w:rPr>
        <w:t xml:space="preserve"> </w:t>
      </w:r>
      <w:r w:rsidRPr="00AE32B8">
        <w:rPr>
          <w:sz w:val="24"/>
          <w:szCs w:val="24"/>
        </w:rPr>
        <w:t xml:space="preserve">Although there are many programs set in place for retention of employees, we need to see </w:t>
      </w:r>
      <w:r w:rsidRPr="00106431">
        <w:rPr>
          <w:sz w:val="24"/>
          <w:szCs w:val="24"/>
        </w:rPr>
        <w:t xml:space="preserve">more </w:t>
      </w:r>
      <w:r w:rsidRPr="00AE32B8">
        <w:rPr>
          <w:sz w:val="24"/>
          <w:szCs w:val="24"/>
        </w:rPr>
        <w:t xml:space="preserve">progress and results within the firms to retain employees, particularly </w:t>
      </w:r>
      <w:r>
        <w:rPr>
          <w:sz w:val="24"/>
          <w:szCs w:val="24"/>
        </w:rPr>
        <w:t xml:space="preserve">high-performing </w:t>
      </w:r>
      <w:r w:rsidRPr="00AE32B8">
        <w:rPr>
          <w:sz w:val="24"/>
          <w:szCs w:val="24"/>
        </w:rPr>
        <w:t>women</w:t>
      </w:r>
      <w:r>
        <w:rPr>
          <w:sz w:val="24"/>
          <w:szCs w:val="24"/>
        </w:rPr>
        <w:t>.</w:t>
      </w:r>
    </w:p>
    <w:p w14:paraId="6A0AD268" w14:textId="05340D01" w:rsidR="00A748E6" w:rsidRPr="00106431" w:rsidRDefault="00E47BA9" w:rsidP="00106431">
      <w:pPr>
        <w:spacing w:line="480" w:lineRule="auto"/>
        <w:ind w:firstLine="360"/>
        <w:rPr>
          <w:sz w:val="24"/>
          <w:szCs w:val="24"/>
        </w:rPr>
      </w:pPr>
      <w:r>
        <w:rPr>
          <w:sz w:val="24"/>
          <w:szCs w:val="24"/>
        </w:rPr>
        <w:t xml:space="preserve">Although there is a significantly smaller number of </w:t>
      </w:r>
      <w:r w:rsidR="00106431">
        <w:rPr>
          <w:sz w:val="24"/>
          <w:szCs w:val="24"/>
        </w:rPr>
        <w:t>females</w:t>
      </w:r>
      <w:r>
        <w:rPr>
          <w:sz w:val="24"/>
          <w:szCs w:val="24"/>
        </w:rPr>
        <w:t xml:space="preserve"> who make it to partner level, there is something to be learned from those who have made it the whole way. According to the AICPA, the percentage of partners using flexible work arrangements (FWAs) is largely skewed towards women in larger firms. This suggests that although there are more women partners at </w:t>
      </w:r>
      <w:r>
        <w:rPr>
          <w:sz w:val="24"/>
          <w:szCs w:val="24"/>
        </w:rPr>
        <w:lastRenderedPageBreak/>
        <w:t>the small firm level, those at the large firm level take advantage of programs set in place that allow a flexible work schedule. Smaller firms with ad hoc arrangements should consider developing more structured app</w:t>
      </w:r>
      <w:r>
        <w:rPr>
          <w:sz w:val="24"/>
          <w:szCs w:val="24"/>
        </w:rPr>
        <w:t>roaches to encourage wider use</w:t>
      </w:r>
      <w:r w:rsidR="00106431">
        <w:rPr>
          <w:sz w:val="24"/>
          <w:szCs w:val="24"/>
        </w:rPr>
        <w:t xml:space="preserve"> and large firms should recognize the importance of encouraging their employees to make use of FWAs</w:t>
      </w:r>
      <w:r>
        <w:rPr>
          <w:sz w:val="24"/>
          <w:szCs w:val="24"/>
        </w:rPr>
        <w:t>.</w:t>
      </w:r>
      <w:r>
        <w:rPr>
          <w:rStyle w:val="FootnoteReference"/>
          <w:sz w:val="24"/>
          <w:szCs w:val="24"/>
        </w:rPr>
        <w:footnoteReference w:id="14"/>
      </w:r>
    </w:p>
    <w:p w14:paraId="61CAD8A4" w14:textId="77777777" w:rsidR="00E47BA9" w:rsidRPr="006D30D4" w:rsidRDefault="00E47BA9" w:rsidP="00E47BA9">
      <w:pPr>
        <w:spacing w:line="480" w:lineRule="auto"/>
        <w:rPr>
          <w:b/>
          <w:color w:val="538135" w:themeColor="accent6" w:themeShade="BF"/>
          <w:sz w:val="32"/>
          <w:szCs w:val="32"/>
        </w:rPr>
      </w:pPr>
      <w:r w:rsidRPr="006D30D4">
        <w:rPr>
          <w:b/>
          <w:color w:val="538135" w:themeColor="accent6" w:themeShade="BF"/>
          <w:sz w:val="32"/>
          <w:szCs w:val="32"/>
        </w:rPr>
        <w:t>Millennials</w:t>
      </w:r>
    </w:p>
    <w:p w14:paraId="3DE5F899" w14:textId="7A92211F" w:rsidR="00E47BA9" w:rsidRPr="00AE32B8" w:rsidRDefault="00E47BA9" w:rsidP="00E47BA9">
      <w:pPr>
        <w:spacing w:line="480" w:lineRule="auto"/>
        <w:rPr>
          <w:sz w:val="24"/>
          <w:szCs w:val="24"/>
        </w:rPr>
      </w:pPr>
      <w:r w:rsidRPr="00AE32B8">
        <w:rPr>
          <w:sz w:val="24"/>
          <w:szCs w:val="24"/>
        </w:rPr>
        <w:tab/>
        <w:t xml:space="preserve">Millennials (those born between 1981 and 1997) are a huge generation, even passing Generation X’ers as the largest generation in the workforce. Because of this, it’s vital to know how to relate to </w:t>
      </w:r>
      <w:r>
        <w:rPr>
          <w:sz w:val="24"/>
          <w:szCs w:val="24"/>
        </w:rPr>
        <w:t>m</w:t>
      </w:r>
      <w:r w:rsidRPr="00AE32B8">
        <w:rPr>
          <w:sz w:val="24"/>
          <w:szCs w:val="24"/>
        </w:rPr>
        <w:t>illennials in order to entice workers to stay in the firm and to create a sustainable future within a firm.</w:t>
      </w:r>
      <w:r>
        <w:rPr>
          <w:sz w:val="24"/>
          <w:szCs w:val="24"/>
        </w:rPr>
        <w:t xml:space="preserve"> Companies need to figure out the priorities and expectations of this generation in order to cater to them in the </w:t>
      </w:r>
      <w:r w:rsidR="00106431">
        <w:rPr>
          <w:sz w:val="24"/>
          <w:szCs w:val="24"/>
        </w:rPr>
        <w:t>most effective</w:t>
      </w:r>
      <w:r>
        <w:rPr>
          <w:sz w:val="24"/>
          <w:szCs w:val="24"/>
        </w:rPr>
        <w:t xml:space="preserve"> way. </w:t>
      </w:r>
      <w:r w:rsidRPr="00AE32B8">
        <w:rPr>
          <w:sz w:val="24"/>
          <w:szCs w:val="24"/>
        </w:rPr>
        <w:t>As a young adult, different priorities</w:t>
      </w:r>
      <w:r>
        <w:rPr>
          <w:sz w:val="24"/>
          <w:szCs w:val="24"/>
        </w:rPr>
        <w:t xml:space="preserve"> are more prevalent than others when compared to someone</w:t>
      </w:r>
      <w:r w:rsidRPr="00AE32B8">
        <w:rPr>
          <w:sz w:val="24"/>
          <w:szCs w:val="24"/>
        </w:rPr>
        <w:t xml:space="preserve"> that has been </w:t>
      </w:r>
      <w:r>
        <w:rPr>
          <w:sz w:val="24"/>
          <w:szCs w:val="24"/>
        </w:rPr>
        <w:t xml:space="preserve">in the workforce </w:t>
      </w:r>
      <w:r w:rsidRPr="00AE32B8">
        <w:rPr>
          <w:sz w:val="24"/>
          <w:szCs w:val="24"/>
        </w:rPr>
        <w:t>for many years. Time is split between work, family, friends, social lif</w:t>
      </w:r>
      <w:r>
        <w:rPr>
          <w:sz w:val="24"/>
          <w:szCs w:val="24"/>
        </w:rPr>
        <w:t>e, etc.</w:t>
      </w:r>
      <w:r>
        <w:rPr>
          <w:rStyle w:val="FootnoteReference"/>
          <w:sz w:val="24"/>
          <w:szCs w:val="24"/>
        </w:rPr>
        <w:footnoteReference w:id="15"/>
      </w:r>
      <w:r w:rsidR="00106431">
        <w:rPr>
          <w:sz w:val="24"/>
          <w:szCs w:val="24"/>
        </w:rPr>
        <w:t xml:space="preserve"> </w:t>
      </w:r>
      <w:r>
        <w:rPr>
          <w:sz w:val="24"/>
          <w:szCs w:val="24"/>
        </w:rPr>
        <w:t>This makes it</w:t>
      </w:r>
      <w:r w:rsidRPr="00AE32B8">
        <w:rPr>
          <w:sz w:val="24"/>
          <w:szCs w:val="24"/>
        </w:rPr>
        <w:t xml:space="preserve"> difficult to dedicate every </w:t>
      </w:r>
      <w:r>
        <w:rPr>
          <w:sz w:val="24"/>
          <w:szCs w:val="24"/>
        </w:rPr>
        <w:t xml:space="preserve">important </w:t>
      </w:r>
      <w:r w:rsidRPr="00AE32B8">
        <w:rPr>
          <w:sz w:val="24"/>
          <w:szCs w:val="24"/>
        </w:rPr>
        <w:t>resource to excel in a career</w:t>
      </w:r>
      <w:r>
        <w:rPr>
          <w:sz w:val="24"/>
          <w:szCs w:val="24"/>
        </w:rPr>
        <w:t>, especially at the beginning</w:t>
      </w:r>
      <w:r w:rsidRPr="00AE32B8">
        <w:rPr>
          <w:sz w:val="24"/>
          <w:szCs w:val="24"/>
        </w:rPr>
        <w:t>.</w:t>
      </w:r>
      <w:r>
        <w:rPr>
          <w:sz w:val="24"/>
          <w:szCs w:val="24"/>
        </w:rPr>
        <w:t xml:space="preserve"> </w:t>
      </w:r>
    </w:p>
    <w:p w14:paraId="3A7EEA70" w14:textId="73A22406" w:rsidR="00E47BA9" w:rsidRDefault="00E47BA9" w:rsidP="00E47BA9">
      <w:pPr>
        <w:spacing w:line="480" w:lineRule="auto"/>
        <w:rPr>
          <w:sz w:val="24"/>
          <w:szCs w:val="24"/>
        </w:rPr>
      </w:pPr>
      <w:r>
        <w:rPr>
          <w:sz w:val="24"/>
          <w:szCs w:val="24"/>
        </w:rPr>
        <w:tab/>
        <w:t>According to a recent global survey conducted by EY, m</w:t>
      </w:r>
      <w:r w:rsidRPr="00AE32B8">
        <w:rPr>
          <w:sz w:val="24"/>
          <w:szCs w:val="24"/>
        </w:rPr>
        <w:t xml:space="preserve">illennials expect </w:t>
      </w:r>
      <w:r>
        <w:rPr>
          <w:sz w:val="24"/>
          <w:szCs w:val="24"/>
        </w:rPr>
        <w:t xml:space="preserve">a high level of </w:t>
      </w:r>
      <w:r w:rsidRPr="00AE32B8">
        <w:rPr>
          <w:sz w:val="24"/>
          <w:szCs w:val="24"/>
        </w:rPr>
        <w:t>flexibility within a job</w:t>
      </w:r>
      <w:r>
        <w:rPr>
          <w:sz w:val="24"/>
          <w:szCs w:val="24"/>
        </w:rPr>
        <w:t xml:space="preserve">. Flexibility is becoming increasingly more important to the current workforce; 80% of millennials said their top reason to stay in a job was competitive pay and </w:t>
      </w:r>
      <w:r>
        <w:rPr>
          <w:sz w:val="24"/>
          <w:szCs w:val="24"/>
        </w:rPr>
        <w:lastRenderedPageBreak/>
        <w:t>benefits, including flexibility. Additionally, 74% of this generation want colleagues and supervisors who support their being able to work flexibly without stigma. Millennials still want to have the options to have flexible work arrangements while being on track for promotion. Another important factor is parental leave; 86% of US millennials are less likely to quit if paid parental leave is offered</w:t>
      </w:r>
      <w:r>
        <w:rPr>
          <w:sz w:val="24"/>
          <w:szCs w:val="24"/>
        </w:rPr>
        <w:t>.</w:t>
      </w:r>
      <w:r>
        <w:rPr>
          <w:rStyle w:val="FootnoteReference"/>
          <w:sz w:val="24"/>
          <w:szCs w:val="24"/>
        </w:rPr>
        <w:footnoteReference w:id="16"/>
      </w:r>
      <w:r>
        <w:rPr>
          <w:sz w:val="24"/>
          <w:szCs w:val="24"/>
        </w:rPr>
        <w:t xml:space="preserve"> </w:t>
      </w:r>
      <w:r>
        <w:rPr>
          <w:sz w:val="24"/>
          <w:szCs w:val="24"/>
        </w:rPr>
        <w:t xml:space="preserve">They are twice as likely as Baby Boomers to have a spouse/partner working at least-full time. Consequently, “finding time for me” is the most dominant challenge faced by US millennial parents who are managers. </w:t>
      </w:r>
    </w:p>
    <w:p w14:paraId="31F490E6" w14:textId="6F28A4AD" w:rsidR="00E47BA9" w:rsidRDefault="00E47BA9" w:rsidP="00E47BA9">
      <w:pPr>
        <w:spacing w:line="480" w:lineRule="auto"/>
        <w:rPr>
          <w:sz w:val="24"/>
          <w:szCs w:val="24"/>
        </w:rPr>
      </w:pPr>
      <w:r>
        <w:rPr>
          <w:sz w:val="24"/>
          <w:szCs w:val="24"/>
        </w:rPr>
        <w:tab/>
      </w:r>
      <w:r w:rsidR="00106431">
        <w:rPr>
          <w:sz w:val="24"/>
          <w:szCs w:val="24"/>
        </w:rPr>
        <w:t xml:space="preserve">Figure 4 shows </w:t>
      </w:r>
      <w:r>
        <w:rPr>
          <w:sz w:val="24"/>
          <w:szCs w:val="24"/>
        </w:rPr>
        <w:t>the turnover rates among different generations. Clearly, millennials are not as content to stay in one job as Generation X’ers or Baby Boomers.</w:t>
      </w:r>
    </w:p>
    <w:p w14:paraId="0E67829A" w14:textId="0454C88C" w:rsidR="00E47BA9" w:rsidRDefault="00A748E6" w:rsidP="00E47BA9">
      <w:pPr>
        <w:spacing w:line="480" w:lineRule="auto"/>
        <w:rPr>
          <w:sz w:val="24"/>
          <w:szCs w:val="24"/>
        </w:rPr>
      </w:pPr>
      <w:r w:rsidRPr="00A748E6">
        <w:rPr>
          <w:rFonts w:eastAsia="Times New Roman" w:cs="Arial"/>
          <w:noProof/>
          <w:sz w:val="24"/>
          <w:szCs w:val="24"/>
        </w:rPr>
        <mc:AlternateContent>
          <mc:Choice Requires="wps">
            <w:drawing>
              <wp:anchor distT="45720" distB="45720" distL="114300" distR="114300" simplePos="0" relativeHeight="251665408" behindDoc="0" locked="0" layoutInCell="1" allowOverlap="1" wp14:anchorId="3FF76488" wp14:editId="02AC7AC3">
                <wp:simplePos x="0" y="0"/>
                <wp:positionH relativeFrom="margin">
                  <wp:posOffset>463931</wp:posOffset>
                </wp:positionH>
                <wp:positionV relativeFrom="paragraph">
                  <wp:posOffset>3331972</wp:posOffset>
                </wp:positionV>
                <wp:extent cx="5320030" cy="427355"/>
                <wp:effectExtent l="0" t="0" r="13970" b="1079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27355"/>
                        </a:xfrm>
                        <a:prstGeom prst="rect">
                          <a:avLst/>
                        </a:prstGeom>
                        <a:solidFill>
                          <a:srgbClr val="FFFFFF"/>
                        </a:solidFill>
                        <a:ln w="9525">
                          <a:solidFill>
                            <a:srgbClr val="000000"/>
                          </a:solidFill>
                          <a:miter lim="800000"/>
                          <a:headEnd/>
                          <a:tailEnd/>
                        </a:ln>
                      </wps:spPr>
                      <wps:txbx>
                        <w:txbxContent>
                          <w:p w14:paraId="1F80C0A1" w14:textId="6424499C" w:rsidR="00A748E6" w:rsidRPr="00A748E6" w:rsidRDefault="00A748E6" w:rsidP="00A748E6">
                            <w:pPr>
                              <w:rPr>
                                <w:sz w:val="18"/>
                                <w:szCs w:val="18"/>
                              </w:rPr>
                            </w:pPr>
                            <w:r w:rsidRPr="00A748E6">
                              <w:rPr>
                                <w:sz w:val="18"/>
                                <w:szCs w:val="18"/>
                              </w:rPr>
                              <w:t xml:space="preserve">Figure 4: </w:t>
                            </w:r>
                            <w:r w:rsidRPr="00A748E6">
                              <w:rPr>
                                <w:sz w:val="18"/>
                                <w:szCs w:val="18"/>
                              </w:rPr>
                              <w:t xml:space="preserve">EY - Infographic: Millennials Generation Go. (n.d.). Retrieved April 29, 2016, from </w:t>
                            </w:r>
                            <w:hyperlink r:id="rId13" w:history="1">
                              <w:r w:rsidRPr="00A748E6">
                                <w:rPr>
                                  <w:rStyle w:val="Hyperlink"/>
                                  <w:color w:val="auto"/>
                                  <w:sz w:val="18"/>
                                  <w:szCs w:val="18"/>
                                </w:rPr>
                                <w:t>http://www.ey.com/US/en/About-us/Our-people-and-culture/EY-infographic-millennials-generation-go</w:t>
                              </w:r>
                            </w:hyperlink>
                          </w:p>
                          <w:p w14:paraId="296A92D8" w14:textId="77777777" w:rsidR="00A748E6" w:rsidRPr="00A748E6" w:rsidRDefault="00A748E6" w:rsidP="00A748E6">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76488" id="_x0000_s1029" type="#_x0000_t202" style="position:absolute;margin-left:36.55pt;margin-top:262.35pt;width:418.9pt;height:33.6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">
                <v:textbox>
                  <w:txbxContent>
                    <w:p w14:paraId="1F80C0A1" w14:textId="6424499C" w:rsidR="00A748E6" w:rsidRPr="00A748E6" w:rsidRDefault="00A748E6" w:rsidP="00A748E6">
                      <w:pPr>
                        <w:rPr>
                          <w:sz w:val="18"/>
                          <w:szCs w:val="18"/>
                        </w:rPr>
                      </w:pPr>
                      <w:r w:rsidRPr="00A748E6">
                        <w:rPr>
                          <w:sz w:val="18"/>
                          <w:szCs w:val="18"/>
                        </w:rPr>
                        <w:t xml:space="preserve">Figure 4: </w:t>
                      </w:r>
                      <w:r w:rsidRPr="00A748E6">
                        <w:rPr>
                          <w:sz w:val="18"/>
                          <w:szCs w:val="18"/>
                        </w:rPr>
                        <w:t xml:space="preserve">EY - Infographic: Millennials Generation Go. (n.d.). Retrieved April 29, 2016, from </w:t>
                      </w:r>
                      <w:hyperlink r:id="rId14" w:history="1">
                        <w:r w:rsidRPr="00A748E6">
                          <w:rPr>
                            <w:rStyle w:val="Hyperlink"/>
                            <w:color w:val="auto"/>
                            <w:sz w:val="18"/>
                            <w:szCs w:val="18"/>
                          </w:rPr>
                          <w:t>http://www.ey.com/US/en/About-us/Our-people-and-culture/EY-infographic-millennials-generation-go</w:t>
                        </w:r>
                      </w:hyperlink>
                    </w:p>
                    <w:p w14:paraId="296A92D8" w14:textId="77777777" w:rsidR="00A748E6" w:rsidRPr="00A748E6" w:rsidRDefault="00A748E6" w:rsidP="00A748E6">
                      <w:pPr>
                        <w:rPr>
                          <w:sz w:val="18"/>
                          <w:szCs w:val="18"/>
                        </w:rPr>
                      </w:pPr>
                    </w:p>
                  </w:txbxContent>
                </v:textbox>
                <w10:wrap type="square" anchorx="margin"/>
              </v:shape>
            </w:pict>
          </mc:Fallback>
        </mc:AlternateContent>
      </w:r>
      <w:r w:rsidR="00E47BA9">
        <w:rPr>
          <w:noProof/>
        </w:rPr>
        <w:drawing>
          <wp:inline distT="0" distB="0" distL="0" distR="0" wp14:anchorId="47C4F093" wp14:editId="68165207">
            <wp:extent cx="5577840" cy="3218213"/>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77954" cy="3218279"/>
                    </a:xfrm>
                    <a:prstGeom prst="rect">
                      <a:avLst/>
                    </a:prstGeom>
                  </pic:spPr>
                </pic:pic>
              </a:graphicData>
            </a:graphic>
          </wp:inline>
        </w:drawing>
      </w:r>
    </w:p>
    <w:p w14:paraId="29CB445F" w14:textId="77777777" w:rsidR="00A748E6" w:rsidRDefault="00A748E6" w:rsidP="00E47BA9">
      <w:pPr>
        <w:spacing w:line="480" w:lineRule="auto"/>
        <w:ind w:firstLine="360"/>
        <w:rPr>
          <w:sz w:val="24"/>
          <w:szCs w:val="24"/>
        </w:rPr>
      </w:pPr>
    </w:p>
    <w:p w14:paraId="340A0684" w14:textId="2235C860" w:rsidR="00E47BA9" w:rsidRDefault="00E47BA9" w:rsidP="00E47BA9">
      <w:pPr>
        <w:spacing w:line="480" w:lineRule="auto"/>
        <w:ind w:firstLine="360"/>
        <w:rPr>
          <w:sz w:val="24"/>
          <w:szCs w:val="24"/>
        </w:rPr>
      </w:pPr>
      <w:r>
        <w:rPr>
          <w:sz w:val="24"/>
          <w:szCs w:val="24"/>
        </w:rPr>
        <w:t>EY has dubbed this huge generation as “Generation Go”; they claim that if companies don’t keep pace with millennials, they could be missing out on top talent within the generation.</w:t>
      </w:r>
    </w:p>
    <w:p w14:paraId="5BD1D45C" w14:textId="75F12FDD" w:rsidR="00871DE4" w:rsidRPr="00657ADA" w:rsidRDefault="00871DE4" w:rsidP="00871DE4">
      <w:pPr>
        <w:spacing w:line="480" w:lineRule="auto"/>
        <w:rPr>
          <w:b/>
          <w:color w:val="538135" w:themeColor="accent6" w:themeShade="BF"/>
          <w:sz w:val="32"/>
          <w:szCs w:val="32"/>
        </w:rPr>
      </w:pPr>
      <w:r w:rsidRPr="00657ADA">
        <w:rPr>
          <w:b/>
          <w:color w:val="538135" w:themeColor="accent6" w:themeShade="BF"/>
          <w:sz w:val="32"/>
          <w:szCs w:val="32"/>
        </w:rPr>
        <w:t>Promotional Structure within Pu</w:t>
      </w:r>
      <w:r w:rsidR="00657ADA" w:rsidRPr="00657ADA">
        <w:rPr>
          <w:b/>
          <w:color w:val="538135" w:themeColor="accent6" w:themeShade="BF"/>
          <w:sz w:val="32"/>
          <w:szCs w:val="32"/>
        </w:rPr>
        <w:t>blic Accounting</w:t>
      </w:r>
    </w:p>
    <w:p w14:paraId="1BCCC2B0" w14:textId="62AA151A" w:rsidR="00871DE4" w:rsidRPr="00AE32B8" w:rsidRDefault="00871DE4" w:rsidP="00871DE4">
      <w:pPr>
        <w:spacing w:line="480" w:lineRule="auto"/>
        <w:rPr>
          <w:sz w:val="24"/>
          <w:szCs w:val="24"/>
        </w:rPr>
      </w:pPr>
      <w:r w:rsidRPr="00AE32B8">
        <w:rPr>
          <w:sz w:val="24"/>
          <w:szCs w:val="24"/>
        </w:rPr>
        <w:tab/>
      </w:r>
      <w:r w:rsidR="00F357EA">
        <w:rPr>
          <w:sz w:val="24"/>
          <w:szCs w:val="24"/>
        </w:rPr>
        <w:t>The promotional structure within public accounting firms is transparent and well-known; you know what you’re getting yourself into from the start. For example, if</w:t>
      </w:r>
      <w:r w:rsidRPr="00AE32B8">
        <w:rPr>
          <w:sz w:val="24"/>
          <w:szCs w:val="24"/>
        </w:rPr>
        <w:t xml:space="preserve"> you were to join an accounting firm as an audit professional, you would expect to start as a staff before moving to a senior audito</w:t>
      </w:r>
      <w:r w:rsidR="00106431">
        <w:rPr>
          <w:sz w:val="24"/>
          <w:szCs w:val="24"/>
        </w:rPr>
        <w:t>r a few years later, then becoming</w:t>
      </w:r>
      <w:r w:rsidRPr="00AE32B8">
        <w:rPr>
          <w:sz w:val="24"/>
          <w:szCs w:val="24"/>
        </w:rPr>
        <w:t xml:space="preserve"> an audit manager about 6 years from the time you began with the firm. After the manager position</w:t>
      </w:r>
      <w:r w:rsidR="00106431">
        <w:rPr>
          <w:sz w:val="24"/>
          <w:szCs w:val="24"/>
        </w:rPr>
        <w:t>,</w:t>
      </w:r>
      <w:r w:rsidRPr="00AE32B8">
        <w:rPr>
          <w:sz w:val="24"/>
          <w:szCs w:val="24"/>
        </w:rPr>
        <w:t xml:space="preserve"> </w:t>
      </w:r>
      <w:r w:rsidR="00C361E0">
        <w:rPr>
          <w:sz w:val="24"/>
          <w:szCs w:val="24"/>
        </w:rPr>
        <w:t>an employee becomes a</w:t>
      </w:r>
      <w:r w:rsidRPr="00AE32B8">
        <w:rPr>
          <w:sz w:val="24"/>
          <w:szCs w:val="24"/>
        </w:rPr>
        <w:t xml:space="preserve"> senior manager, and then sometime after that is when the c</w:t>
      </w:r>
      <w:r w:rsidR="00946D8B">
        <w:rPr>
          <w:sz w:val="24"/>
          <w:szCs w:val="24"/>
        </w:rPr>
        <w:t>oveted partner level is reached.</w:t>
      </w:r>
      <w:r w:rsidR="00946D8B">
        <w:rPr>
          <w:rStyle w:val="FootnoteReference"/>
          <w:sz w:val="24"/>
          <w:szCs w:val="24"/>
        </w:rPr>
        <w:footnoteReference w:id="17"/>
      </w:r>
      <w:r w:rsidR="00946D8B">
        <w:rPr>
          <w:sz w:val="24"/>
          <w:szCs w:val="24"/>
        </w:rPr>
        <w:t xml:space="preserve"> </w:t>
      </w:r>
      <w:r w:rsidR="00F357EA">
        <w:rPr>
          <w:sz w:val="24"/>
          <w:szCs w:val="24"/>
        </w:rPr>
        <w:t xml:space="preserve">At each </w:t>
      </w:r>
      <w:r w:rsidR="00A83600">
        <w:rPr>
          <w:sz w:val="24"/>
          <w:szCs w:val="24"/>
        </w:rPr>
        <w:t>of these promotional levels,</w:t>
      </w:r>
      <w:r w:rsidR="00F357EA">
        <w:rPr>
          <w:sz w:val="24"/>
          <w:szCs w:val="24"/>
        </w:rPr>
        <w:t xml:space="preserve"> </w:t>
      </w:r>
      <w:r w:rsidR="00A83600">
        <w:rPr>
          <w:sz w:val="24"/>
          <w:szCs w:val="24"/>
        </w:rPr>
        <w:t>new experiences lead to new skills</w:t>
      </w:r>
      <w:r w:rsidR="00F357EA">
        <w:rPr>
          <w:sz w:val="24"/>
          <w:szCs w:val="24"/>
        </w:rPr>
        <w:t xml:space="preserve"> and responsibiliti</w:t>
      </w:r>
      <w:r w:rsidR="00A83600">
        <w:rPr>
          <w:sz w:val="24"/>
          <w:szCs w:val="24"/>
        </w:rPr>
        <w:t>es that help encourage expertise</w:t>
      </w:r>
      <w:r w:rsidR="00F357EA">
        <w:rPr>
          <w:sz w:val="24"/>
          <w:szCs w:val="24"/>
        </w:rPr>
        <w:t xml:space="preserve"> and</w:t>
      </w:r>
      <w:r w:rsidR="00A83600">
        <w:rPr>
          <w:sz w:val="24"/>
          <w:szCs w:val="24"/>
        </w:rPr>
        <w:t xml:space="preserve"> increase</w:t>
      </w:r>
      <w:r w:rsidR="00F357EA">
        <w:rPr>
          <w:sz w:val="24"/>
          <w:szCs w:val="24"/>
        </w:rPr>
        <w:t xml:space="preserve"> </w:t>
      </w:r>
      <w:r w:rsidR="00A83600">
        <w:rPr>
          <w:sz w:val="24"/>
          <w:szCs w:val="24"/>
        </w:rPr>
        <w:t>an employee’s marketability to other firms and companies.</w:t>
      </w:r>
    </w:p>
    <w:p w14:paraId="195597AE" w14:textId="31F87557" w:rsidR="00871DE4" w:rsidRPr="00AE32B8" w:rsidRDefault="00871DE4" w:rsidP="00871DE4">
      <w:pPr>
        <w:spacing w:line="480" w:lineRule="auto"/>
        <w:rPr>
          <w:sz w:val="24"/>
          <w:szCs w:val="24"/>
        </w:rPr>
      </w:pPr>
      <w:r w:rsidRPr="00AE32B8">
        <w:rPr>
          <w:sz w:val="24"/>
          <w:szCs w:val="24"/>
        </w:rPr>
        <w:t xml:space="preserve"> </w:t>
      </w:r>
      <w:r w:rsidRPr="00AE32B8">
        <w:rPr>
          <w:sz w:val="24"/>
          <w:szCs w:val="24"/>
        </w:rPr>
        <w:tab/>
        <w:t>The positions in the beginning of your career,</w:t>
      </w:r>
      <w:r w:rsidR="00A83600">
        <w:rPr>
          <w:sz w:val="24"/>
          <w:szCs w:val="24"/>
        </w:rPr>
        <w:t xml:space="preserve"> like</w:t>
      </w:r>
      <w:r w:rsidRPr="00AE32B8">
        <w:rPr>
          <w:sz w:val="24"/>
          <w:szCs w:val="24"/>
        </w:rPr>
        <w:t xml:space="preserve"> the promotion from staff to senior to manager is pretty set in stone, unless you either stand out or screw up. The higher up you go in the firm, the less structured it appears (in terms of time). That is, making partner completely depends on your work ethic and accomplishments thus far in your career</w:t>
      </w:r>
      <w:r w:rsidR="00106431">
        <w:rPr>
          <w:sz w:val="24"/>
          <w:szCs w:val="24"/>
        </w:rPr>
        <w:t xml:space="preserve">, instead of mostly </w:t>
      </w:r>
      <w:r w:rsidR="00106431">
        <w:rPr>
          <w:sz w:val="24"/>
          <w:szCs w:val="24"/>
        </w:rPr>
        <w:lastRenderedPageBreak/>
        <w:t>based on time at the firm</w:t>
      </w:r>
      <w:r w:rsidRPr="00AE32B8">
        <w:rPr>
          <w:sz w:val="24"/>
          <w:szCs w:val="24"/>
        </w:rPr>
        <w:t>. Only 2% of people entering CPA firms will reach this goal; clearly, not many people stick around to try to make it</w:t>
      </w:r>
      <w:r w:rsidR="00946D8B">
        <w:rPr>
          <w:sz w:val="24"/>
          <w:szCs w:val="24"/>
        </w:rPr>
        <w:t>.</w:t>
      </w:r>
      <w:r w:rsidR="00946D8B">
        <w:rPr>
          <w:rStyle w:val="FootnoteReference"/>
          <w:sz w:val="24"/>
          <w:szCs w:val="24"/>
        </w:rPr>
        <w:footnoteReference w:id="18"/>
      </w:r>
    </w:p>
    <w:p w14:paraId="09C7C3E5" w14:textId="2704AFFC" w:rsidR="00C361E0" w:rsidRPr="00E47BA9" w:rsidRDefault="00871DE4" w:rsidP="003F0085">
      <w:pPr>
        <w:spacing w:line="480" w:lineRule="auto"/>
        <w:rPr>
          <w:sz w:val="24"/>
          <w:szCs w:val="24"/>
        </w:rPr>
      </w:pPr>
      <w:r w:rsidRPr="00AE32B8">
        <w:rPr>
          <w:sz w:val="24"/>
          <w:szCs w:val="24"/>
        </w:rPr>
        <w:tab/>
      </w:r>
      <w:r w:rsidR="00A83600">
        <w:rPr>
          <w:sz w:val="24"/>
          <w:szCs w:val="24"/>
        </w:rPr>
        <w:t>Recent research has revealed that if an employee has plans to leave public accounting, the best time to do it would be after 3-6 years</w:t>
      </w:r>
      <w:r w:rsidRPr="00AE32B8">
        <w:rPr>
          <w:sz w:val="24"/>
          <w:szCs w:val="24"/>
        </w:rPr>
        <w:t>, prior to receiving the title as manager. At this point in an accountant’s career, they have maximized their current position and learned a large amount of relevan</w:t>
      </w:r>
      <w:r w:rsidR="00106431">
        <w:rPr>
          <w:sz w:val="24"/>
          <w:szCs w:val="24"/>
        </w:rPr>
        <w:t>t and useful information, but they are</w:t>
      </w:r>
      <w:r w:rsidRPr="00AE32B8">
        <w:rPr>
          <w:sz w:val="24"/>
          <w:szCs w:val="24"/>
        </w:rPr>
        <w:t xml:space="preserve"> still able to</w:t>
      </w:r>
      <w:r w:rsidR="00946D8B">
        <w:rPr>
          <w:sz w:val="24"/>
          <w:szCs w:val="24"/>
        </w:rPr>
        <w:t xml:space="preserve"> be molded within a new career.</w:t>
      </w:r>
      <w:r w:rsidR="00946D8B">
        <w:rPr>
          <w:rStyle w:val="FootnoteReference"/>
          <w:sz w:val="24"/>
          <w:szCs w:val="24"/>
        </w:rPr>
        <w:footnoteReference w:id="19"/>
      </w:r>
      <w:r w:rsidR="00946D8B">
        <w:rPr>
          <w:sz w:val="24"/>
          <w:szCs w:val="24"/>
        </w:rPr>
        <w:t xml:space="preserve"> </w:t>
      </w:r>
      <w:r w:rsidRPr="00AE32B8">
        <w:rPr>
          <w:sz w:val="24"/>
          <w:szCs w:val="24"/>
        </w:rPr>
        <w:t>For example, General Mills typically hires 3-4 seniors from public accounting each year, compared to hiring just one at the manager level every three year</w:t>
      </w:r>
      <w:r w:rsidRPr="00C361E0">
        <w:rPr>
          <w:sz w:val="24"/>
          <w:szCs w:val="24"/>
        </w:rPr>
        <w:t>s</w:t>
      </w:r>
      <w:r w:rsidR="00C361E0" w:rsidRPr="00C361E0">
        <w:rPr>
          <w:sz w:val="24"/>
          <w:szCs w:val="24"/>
        </w:rPr>
        <w:t>.</w:t>
      </w:r>
      <w:r w:rsidR="00C361E0">
        <w:rPr>
          <w:sz w:val="24"/>
          <w:szCs w:val="24"/>
        </w:rPr>
        <w:t xml:space="preserve"> Often times, employees will stick around to hit this threshold, so that their marketability is maximized and they are extremely attractive in the open market.</w:t>
      </w:r>
    </w:p>
    <w:p w14:paraId="1692FB21" w14:textId="4A651315" w:rsidR="00795F47" w:rsidRPr="00657ADA" w:rsidRDefault="00C61465" w:rsidP="003F0085">
      <w:pPr>
        <w:spacing w:line="480" w:lineRule="auto"/>
        <w:rPr>
          <w:color w:val="538135" w:themeColor="accent6" w:themeShade="BF"/>
          <w:sz w:val="32"/>
          <w:szCs w:val="32"/>
        </w:rPr>
      </w:pPr>
      <w:r>
        <w:rPr>
          <w:b/>
          <w:color w:val="538135" w:themeColor="accent6" w:themeShade="BF"/>
          <w:sz w:val="32"/>
          <w:szCs w:val="32"/>
        </w:rPr>
        <w:t xml:space="preserve"> </w:t>
      </w:r>
      <w:r w:rsidR="00657ADA">
        <w:rPr>
          <w:b/>
          <w:color w:val="538135" w:themeColor="accent6" w:themeShade="BF"/>
          <w:sz w:val="32"/>
          <w:szCs w:val="32"/>
        </w:rPr>
        <w:t>Average Age and Salary</w:t>
      </w:r>
    </w:p>
    <w:p w14:paraId="31919BC9" w14:textId="77777777" w:rsidR="00106431" w:rsidRDefault="00795F47" w:rsidP="00106431">
      <w:pPr>
        <w:spacing w:line="480" w:lineRule="auto"/>
        <w:ind w:firstLine="360"/>
        <w:rPr>
          <w:sz w:val="24"/>
          <w:szCs w:val="24"/>
        </w:rPr>
      </w:pPr>
      <w:r>
        <w:rPr>
          <w:sz w:val="24"/>
          <w:szCs w:val="24"/>
        </w:rPr>
        <w:t>One of the largest</w:t>
      </w:r>
      <w:r w:rsidR="00C361E0">
        <w:rPr>
          <w:sz w:val="24"/>
          <w:szCs w:val="24"/>
        </w:rPr>
        <w:t xml:space="preserve"> pulls</w:t>
      </w:r>
      <w:r>
        <w:rPr>
          <w:sz w:val="24"/>
          <w:szCs w:val="24"/>
        </w:rPr>
        <w:t xml:space="preserve"> to public accounting has to do with </w:t>
      </w:r>
      <w:r w:rsidR="00C361E0">
        <w:rPr>
          <w:sz w:val="24"/>
          <w:szCs w:val="24"/>
        </w:rPr>
        <w:t>the attractive salary offering, especially to those coming straight out of school</w:t>
      </w:r>
      <w:r>
        <w:rPr>
          <w:sz w:val="24"/>
          <w:szCs w:val="24"/>
        </w:rPr>
        <w:t>. Additionally, just as the promotional structure is fairly set in stone, so are the salary</w:t>
      </w:r>
      <w:r w:rsidR="001349EF">
        <w:rPr>
          <w:sz w:val="24"/>
          <w:szCs w:val="24"/>
        </w:rPr>
        <w:t xml:space="preserve"> increases as you get promoted. </w:t>
      </w:r>
      <w:r w:rsidR="00A748E6">
        <w:rPr>
          <w:sz w:val="24"/>
          <w:szCs w:val="24"/>
        </w:rPr>
        <w:t>Figure 5</w:t>
      </w:r>
      <w:r w:rsidR="00106431">
        <w:rPr>
          <w:sz w:val="24"/>
          <w:szCs w:val="24"/>
        </w:rPr>
        <w:t xml:space="preserve"> shows salaries </w:t>
      </w:r>
      <w:r>
        <w:rPr>
          <w:sz w:val="24"/>
          <w:szCs w:val="24"/>
        </w:rPr>
        <w:t xml:space="preserve">from the promotional perspective. It also touches on the average raise per </w:t>
      </w:r>
      <w:r w:rsidR="00C361E0">
        <w:rPr>
          <w:sz w:val="24"/>
          <w:szCs w:val="24"/>
        </w:rPr>
        <w:t>position- 17% by average raise.</w:t>
      </w:r>
    </w:p>
    <w:p w14:paraId="036D7C10" w14:textId="4B4D3925" w:rsidR="00A748E6" w:rsidRDefault="00106431" w:rsidP="00106431">
      <w:pPr>
        <w:spacing w:line="480" w:lineRule="auto"/>
        <w:rPr>
          <w:sz w:val="24"/>
          <w:szCs w:val="24"/>
        </w:rPr>
      </w:pPr>
      <w:r w:rsidRPr="00A748E6">
        <w:rPr>
          <w:rFonts w:eastAsia="Times New Roman" w:cs="Arial"/>
          <w:noProof/>
          <w:sz w:val="24"/>
          <w:szCs w:val="24"/>
        </w:rPr>
        <w:lastRenderedPageBreak/>
        <mc:AlternateContent>
          <mc:Choice Requires="wps">
            <w:drawing>
              <wp:anchor distT="45720" distB="45720" distL="114300" distR="114300" simplePos="0" relativeHeight="251667456" behindDoc="0" locked="0" layoutInCell="1" allowOverlap="1" wp14:anchorId="638AABB6" wp14:editId="544FABB0">
                <wp:simplePos x="0" y="0"/>
                <wp:positionH relativeFrom="margin">
                  <wp:posOffset>414020</wp:posOffset>
                </wp:positionH>
                <wp:positionV relativeFrom="paragraph">
                  <wp:posOffset>2485263</wp:posOffset>
                </wp:positionV>
                <wp:extent cx="5320030" cy="499745"/>
                <wp:effectExtent l="0" t="0" r="13970" b="1460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99745"/>
                        </a:xfrm>
                        <a:prstGeom prst="rect">
                          <a:avLst/>
                        </a:prstGeom>
                        <a:solidFill>
                          <a:srgbClr val="FFFFFF"/>
                        </a:solidFill>
                        <a:ln w="9525">
                          <a:solidFill>
                            <a:srgbClr val="000000"/>
                          </a:solidFill>
                          <a:miter lim="800000"/>
                          <a:headEnd/>
                          <a:tailEnd/>
                        </a:ln>
                      </wps:spPr>
                      <wps:txbx>
                        <w:txbxContent>
                          <w:p w14:paraId="21AA34CF" w14:textId="77777777" w:rsidR="00A748E6" w:rsidRPr="00A748E6" w:rsidRDefault="00A748E6" w:rsidP="00A748E6">
                            <w:pPr>
                              <w:rPr>
                                <w:sz w:val="18"/>
                                <w:szCs w:val="18"/>
                              </w:rPr>
                            </w:pPr>
                            <w:r>
                              <w:rPr>
                                <w:sz w:val="18"/>
                                <w:szCs w:val="18"/>
                              </w:rPr>
                              <w:t>Figure 5</w:t>
                            </w:r>
                            <w:r w:rsidRPr="00A748E6">
                              <w:rPr>
                                <w:sz w:val="18"/>
                                <w:szCs w:val="18"/>
                              </w:rPr>
                              <w:t xml:space="preserve">: </w:t>
                            </w:r>
                            <w:r w:rsidRPr="00A748E6">
                              <w:rPr>
                                <w:rFonts w:cs="Arial"/>
                                <w:sz w:val="18"/>
                                <w:szCs w:val="18"/>
                              </w:rPr>
                              <w:t>Newquist, C. (2012, January 25). And Now, Let's Compare Three Different Compensation Scenarios. Retrieved May 08, 2016, from http://goingconcern.com/post/and-now-lets-compare-three-different-15-year-compensation-scenarios</w:t>
                            </w:r>
                          </w:p>
                          <w:p w14:paraId="6A36E12A" w14:textId="0168845A" w:rsidR="00A748E6" w:rsidRPr="00A748E6" w:rsidRDefault="00A748E6" w:rsidP="00A748E6">
                            <w:pPr>
                              <w:rPr>
                                <w:sz w:val="18"/>
                                <w:szCs w:val="18"/>
                              </w:rPr>
                            </w:pPr>
                          </w:p>
                          <w:p w14:paraId="5668F2F4" w14:textId="77777777" w:rsidR="00A748E6" w:rsidRPr="00A748E6" w:rsidRDefault="00A748E6" w:rsidP="00A748E6">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AABB6" id="_x0000_s1030" type="#_x0000_t202" style="position:absolute;margin-left:32.6pt;margin-top:195.7pt;width:418.9pt;height:39.3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">
                <v:textbox>
                  <w:txbxContent>
                    <w:p w14:paraId="21AA34CF" w14:textId="77777777" w:rsidR="00A748E6" w:rsidRPr="00A748E6" w:rsidRDefault="00A748E6" w:rsidP="00A748E6">
                      <w:pPr>
                        <w:rPr>
                          <w:sz w:val="18"/>
                          <w:szCs w:val="18"/>
                        </w:rPr>
                      </w:pPr>
                      <w:r>
                        <w:rPr>
                          <w:sz w:val="18"/>
                          <w:szCs w:val="18"/>
                        </w:rPr>
                        <w:t>Figure 5</w:t>
                      </w:r>
                      <w:r w:rsidRPr="00A748E6">
                        <w:rPr>
                          <w:sz w:val="18"/>
                          <w:szCs w:val="18"/>
                        </w:rPr>
                        <w:t xml:space="preserve">: </w:t>
                      </w:r>
                      <w:r w:rsidRPr="00A748E6">
                        <w:rPr>
                          <w:rFonts w:cs="Arial"/>
                          <w:sz w:val="18"/>
                          <w:szCs w:val="18"/>
                        </w:rPr>
                        <w:t>Newquist, C. (2012, January 25). And Now, Let's Compare Three Different Compensation Scenarios. Retrieved May 08, 2016, from http://goingconcern.com/post/and-now-lets-compare-three-different-15-year-compensation-scenarios</w:t>
                      </w:r>
                    </w:p>
                    <w:p w14:paraId="6A36E12A" w14:textId="0168845A" w:rsidR="00A748E6" w:rsidRPr="00A748E6" w:rsidRDefault="00A748E6" w:rsidP="00A748E6">
                      <w:pPr>
                        <w:rPr>
                          <w:sz w:val="18"/>
                          <w:szCs w:val="18"/>
                        </w:rPr>
                      </w:pPr>
                    </w:p>
                    <w:p w14:paraId="5668F2F4" w14:textId="77777777" w:rsidR="00A748E6" w:rsidRPr="00A748E6" w:rsidRDefault="00A748E6" w:rsidP="00A748E6">
                      <w:pPr>
                        <w:rPr>
                          <w:sz w:val="18"/>
                          <w:szCs w:val="18"/>
                        </w:rPr>
                      </w:pPr>
                    </w:p>
                  </w:txbxContent>
                </v:textbox>
                <w10:wrap type="square" anchorx="margin"/>
              </v:shape>
            </w:pict>
          </mc:Fallback>
        </mc:AlternateContent>
      </w:r>
      <w:r w:rsidR="00E35227" w:rsidRPr="00AE32B8">
        <w:rPr>
          <w:rFonts w:ascii="Arial" w:eastAsia="Times New Roman" w:hAnsi="Arial" w:cs="Arial"/>
          <w:noProof/>
          <w:sz w:val="24"/>
          <w:szCs w:val="24"/>
        </w:rPr>
        <w:drawing>
          <wp:inline distT="0" distB="0" distL="0" distR="0" wp14:anchorId="7642B8FD" wp14:editId="1D618F1A">
            <wp:extent cx="6403850" cy="2401443"/>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9"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8464" cy="2406923"/>
                    </a:xfrm>
                    <a:prstGeom prst="rect">
                      <a:avLst/>
                    </a:prstGeom>
                    <a:noFill/>
                    <a:ln>
                      <a:noFill/>
                    </a:ln>
                    <a:extLst/>
                  </pic:spPr>
                </pic:pic>
              </a:graphicData>
            </a:graphic>
          </wp:inline>
        </w:drawing>
      </w:r>
    </w:p>
    <w:p w14:paraId="71B44667" w14:textId="39A35DAB" w:rsidR="00A748E6" w:rsidRDefault="00A748E6" w:rsidP="00A748E6">
      <w:pPr>
        <w:spacing w:line="480" w:lineRule="auto"/>
        <w:ind w:firstLine="360"/>
        <w:rPr>
          <w:sz w:val="24"/>
          <w:szCs w:val="24"/>
        </w:rPr>
      </w:pPr>
    </w:p>
    <w:p w14:paraId="6E8B9B9F" w14:textId="25764DEE" w:rsidR="00946D8B" w:rsidRDefault="001349EF" w:rsidP="00A748E6">
      <w:pPr>
        <w:spacing w:line="480" w:lineRule="auto"/>
        <w:ind w:firstLine="360"/>
        <w:rPr>
          <w:noProof/>
        </w:rPr>
      </w:pPr>
      <w:r>
        <w:rPr>
          <w:sz w:val="24"/>
          <w:szCs w:val="24"/>
        </w:rPr>
        <w:t xml:space="preserve">For the employees wishing to jump ship after a few years to move on from public accounting, there are many alluring factors to do so. One of the main reasons: a nice </w:t>
      </w:r>
      <w:r w:rsidR="00106431">
        <w:rPr>
          <w:sz w:val="24"/>
          <w:szCs w:val="24"/>
        </w:rPr>
        <w:t>increase</w:t>
      </w:r>
      <w:r>
        <w:rPr>
          <w:sz w:val="24"/>
          <w:szCs w:val="24"/>
        </w:rPr>
        <w:t xml:space="preserve"> in salary. </w:t>
      </w:r>
      <w:r w:rsidR="00A748E6">
        <w:rPr>
          <w:sz w:val="24"/>
          <w:szCs w:val="24"/>
        </w:rPr>
        <w:t>Figure 6</w:t>
      </w:r>
      <w:r>
        <w:rPr>
          <w:sz w:val="24"/>
          <w:szCs w:val="24"/>
        </w:rPr>
        <w:t xml:space="preserve"> compares the salaries for those employees that stay in public accounting as opposed to those who do a “Quick Quit” at year three to go private and also those who quit aft</w:t>
      </w:r>
      <w:r w:rsidR="00106431">
        <w:rPr>
          <w:sz w:val="24"/>
          <w:szCs w:val="24"/>
        </w:rPr>
        <w:t>er one year as manager to go</w:t>
      </w:r>
      <w:r>
        <w:rPr>
          <w:sz w:val="24"/>
          <w:szCs w:val="24"/>
        </w:rPr>
        <w:t xml:space="preserve"> private</w:t>
      </w:r>
      <w:r w:rsidR="00946D8B">
        <w:rPr>
          <w:sz w:val="24"/>
          <w:szCs w:val="24"/>
        </w:rPr>
        <w:t>.</w:t>
      </w:r>
    </w:p>
    <w:p w14:paraId="4DEA0EC1" w14:textId="0C1BA9E3" w:rsidR="001349EF" w:rsidRDefault="00A748E6" w:rsidP="00946D8B">
      <w:pPr>
        <w:spacing w:line="480" w:lineRule="auto"/>
        <w:ind w:firstLine="360"/>
        <w:rPr>
          <w:sz w:val="24"/>
          <w:szCs w:val="24"/>
        </w:rPr>
      </w:pPr>
      <w:r w:rsidRPr="00A748E6">
        <w:rPr>
          <w:rFonts w:eastAsia="Times New Roman" w:cs="Arial"/>
          <w:noProof/>
          <w:sz w:val="24"/>
          <w:szCs w:val="24"/>
        </w:rPr>
        <mc:AlternateContent>
          <mc:Choice Requires="wps">
            <w:drawing>
              <wp:anchor distT="45720" distB="45720" distL="114300" distR="114300" simplePos="0" relativeHeight="251669504" behindDoc="0" locked="0" layoutInCell="1" allowOverlap="1" wp14:anchorId="4E320D60" wp14:editId="4622E78C">
                <wp:simplePos x="0" y="0"/>
                <wp:positionH relativeFrom="margin">
                  <wp:align>center</wp:align>
                </wp:positionH>
                <wp:positionV relativeFrom="paragraph">
                  <wp:posOffset>2153539</wp:posOffset>
                </wp:positionV>
                <wp:extent cx="5320030" cy="499745"/>
                <wp:effectExtent l="0" t="0" r="13970" b="1460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99745"/>
                        </a:xfrm>
                        <a:prstGeom prst="rect">
                          <a:avLst/>
                        </a:prstGeom>
                        <a:solidFill>
                          <a:srgbClr val="FFFFFF"/>
                        </a:solidFill>
                        <a:ln w="9525">
                          <a:solidFill>
                            <a:srgbClr val="000000"/>
                          </a:solidFill>
                          <a:miter lim="800000"/>
                          <a:headEnd/>
                          <a:tailEnd/>
                        </a:ln>
                      </wps:spPr>
                      <wps:txbx>
                        <w:txbxContent>
                          <w:p w14:paraId="3C460FC5" w14:textId="26E256F6" w:rsidR="00A748E6" w:rsidRPr="00A748E6" w:rsidRDefault="00A748E6" w:rsidP="00A748E6">
                            <w:pPr>
                              <w:rPr>
                                <w:sz w:val="18"/>
                                <w:szCs w:val="18"/>
                              </w:rPr>
                            </w:pPr>
                            <w:r>
                              <w:rPr>
                                <w:sz w:val="18"/>
                                <w:szCs w:val="18"/>
                              </w:rPr>
                              <w:t>Figure 6</w:t>
                            </w:r>
                            <w:r w:rsidRPr="00A748E6">
                              <w:rPr>
                                <w:sz w:val="18"/>
                                <w:szCs w:val="18"/>
                              </w:rPr>
                              <w:t xml:space="preserve">: </w:t>
                            </w:r>
                            <w:r w:rsidRPr="00A748E6">
                              <w:rPr>
                                <w:rFonts w:cs="Arial"/>
                                <w:sz w:val="18"/>
                                <w:szCs w:val="18"/>
                              </w:rPr>
                              <w:t>Newquist, C. (2012, January 25). And Now, Let's Compare Three Different Compensation Scenarios. Retrieved May 08, 2016, from http://goingconcern.com/post/and-now-lets-compare-three-different-15-year-compensation-scenarios</w:t>
                            </w:r>
                          </w:p>
                          <w:p w14:paraId="66D7BBA0" w14:textId="77777777" w:rsidR="00A748E6" w:rsidRPr="00A748E6" w:rsidRDefault="00A748E6" w:rsidP="00A748E6">
                            <w:pPr>
                              <w:rPr>
                                <w:sz w:val="18"/>
                                <w:szCs w:val="18"/>
                              </w:rPr>
                            </w:pPr>
                          </w:p>
                          <w:p w14:paraId="7D45D8C4" w14:textId="77777777" w:rsidR="00A748E6" w:rsidRPr="00A748E6" w:rsidRDefault="00A748E6" w:rsidP="00A748E6">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20D60" id="_x0000_s1031" type="#_x0000_t202" style="position:absolute;left:0;text-align:left;margin-left:0;margin-top:169.55pt;width:418.9pt;height:39.35pt;z-index:2516695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">
                <v:textbox>
                  <w:txbxContent>
                    <w:p w14:paraId="3C460FC5" w14:textId="26E256F6" w:rsidR="00A748E6" w:rsidRPr="00A748E6" w:rsidRDefault="00A748E6" w:rsidP="00A748E6">
                      <w:pPr>
                        <w:rPr>
                          <w:sz w:val="18"/>
                          <w:szCs w:val="18"/>
                        </w:rPr>
                      </w:pPr>
                      <w:r>
                        <w:rPr>
                          <w:sz w:val="18"/>
                          <w:szCs w:val="18"/>
                        </w:rPr>
                        <w:t>Figure 6</w:t>
                      </w:r>
                      <w:r w:rsidRPr="00A748E6">
                        <w:rPr>
                          <w:sz w:val="18"/>
                          <w:szCs w:val="18"/>
                        </w:rPr>
                        <w:t xml:space="preserve">: </w:t>
                      </w:r>
                      <w:r w:rsidRPr="00A748E6">
                        <w:rPr>
                          <w:rFonts w:cs="Arial"/>
                          <w:sz w:val="18"/>
                          <w:szCs w:val="18"/>
                        </w:rPr>
                        <w:t>Newquist, C. (2012, January 25). And Now, Let's Compare Three Different Compensation Scenarios. Retrieved May 08, 2016, from http://goingconcern.com/post/and-now-lets-compare-three-different-15-year-compensation-scenarios</w:t>
                      </w:r>
                    </w:p>
                    <w:p w14:paraId="66D7BBA0" w14:textId="77777777" w:rsidR="00A748E6" w:rsidRPr="00A748E6" w:rsidRDefault="00A748E6" w:rsidP="00A748E6">
                      <w:pPr>
                        <w:rPr>
                          <w:sz w:val="18"/>
                          <w:szCs w:val="18"/>
                        </w:rPr>
                      </w:pPr>
                    </w:p>
                    <w:p w14:paraId="7D45D8C4" w14:textId="77777777" w:rsidR="00A748E6" w:rsidRPr="00A748E6" w:rsidRDefault="00A748E6" w:rsidP="00A748E6">
                      <w:pPr>
                        <w:rPr>
                          <w:sz w:val="18"/>
                          <w:szCs w:val="18"/>
                        </w:rPr>
                      </w:pPr>
                    </w:p>
                  </w:txbxContent>
                </v:textbox>
                <w10:wrap type="square" anchorx="margin"/>
              </v:shape>
            </w:pict>
          </mc:Fallback>
        </mc:AlternateContent>
      </w:r>
      <w:r w:rsidR="00946D8B">
        <w:rPr>
          <w:noProof/>
        </w:rPr>
        <w:drawing>
          <wp:inline distT="0" distB="0" distL="0" distR="0" wp14:anchorId="3E5D9C68" wp14:editId="65035543">
            <wp:extent cx="5791200" cy="1982902"/>
            <wp:effectExtent l="0" t="0" r="0" b="0"/>
            <wp:docPr id="9" name="Picture 9" descr="http://goingconcern.com/sites/default/files/node6268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ingconcern.com/sites/default/files/node62687b.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0819" cy="1989619"/>
                    </a:xfrm>
                    <a:prstGeom prst="rect">
                      <a:avLst/>
                    </a:prstGeom>
                    <a:noFill/>
                    <a:ln>
                      <a:noFill/>
                    </a:ln>
                  </pic:spPr>
                </pic:pic>
              </a:graphicData>
            </a:graphic>
          </wp:inline>
        </w:drawing>
      </w:r>
    </w:p>
    <w:p w14:paraId="768A8CBC" w14:textId="24BB140C" w:rsidR="00A748E6" w:rsidRDefault="00A748E6" w:rsidP="00946D8B">
      <w:pPr>
        <w:spacing w:line="480" w:lineRule="auto"/>
        <w:ind w:firstLine="360"/>
        <w:rPr>
          <w:sz w:val="24"/>
          <w:szCs w:val="24"/>
        </w:rPr>
      </w:pPr>
    </w:p>
    <w:p w14:paraId="736643BC" w14:textId="1115EF6B" w:rsidR="001349EF" w:rsidRDefault="001349EF" w:rsidP="001349EF">
      <w:pPr>
        <w:spacing w:line="480" w:lineRule="auto"/>
        <w:ind w:firstLine="360"/>
        <w:rPr>
          <w:sz w:val="24"/>
          <w:szCs w:val="24"/>
        </w:rPr>
      </w:pPr>
      <w:r>
        <w:rPr>
          <w:sz w:val="24"/>
          <w:szCs w:val="24"/>
        </w:rPr>
        <w:lastRenderedPageBreak/>
        <w:t>Quitting after year 3 brings a jump in salary that you would be able to enjoy until age 37, or partner level within the Big 4 firms. Leaving public accounting after a year at manager brings an even larger jump in salary after switching careers. This increase in salary at an early point in one’s career is extremely attractive, especially for those who know they don’t have goals to make it through the partner pipeline.</w:t>
      </w:r>
    </w:p>
    <w:p w14:paraId="7645BFBB" w14:textId="2B996186" w:rsidR="00077DBB" w:rsidRPr="003F0085" w:rsidRDefault="00077DBB" w:rsidP="00077DBB">
      <w:pPr>
        <w:spacing w:line="480" w:lineRule="auto"/>
        <w:rPr>
          <w:b/>
          <w:color w:val="538135" w:themeColor="accent6" w:themeShade="BF"/>
          <w:sz w:val="32"/>
          <w:szCs w:val="32"/>
        </w:rPr>
      </w:pPr>
      <w:r w:rsidRPr="003F0085">
        <w:rPr>
          <w:b/>
          <w:color w:val="538135" w:themeColor="accent6" w:themeShade="BF"/>
          <w:sz w:val="32"/>
          <w:szCs w:val="32"/>
        </w:rPr>
        <w:t>L</w:t>
      </w:r>
      <w:r w:rsidR="003F0085">
        <w:rPr>
          <w:b/>
          <w:color w:val="538135" w:themeColor="accent6" w:themeShade="BF"/>
          <w:sz w:val="32"/>
          <w:szCs w:val="32"/>
        </w:rPr>
        <w:t>egislation Af</w:t>
      </w:r>
      <w:r w:rsidR="006D30D4">
        <w:rPr>
          <w:b/>
          <w:color w:val="538135" w:themeColor="accent6" w:themeShade="BF"/>
          <w:sz w:val="32"/>
          <w:szCs w:val="32"/>
        </w:rPr>
        <w:t>fecting the Accounting P</w:t>
      </w:r>
      <w:r w:rsidRPr="003F0085">
        <w:rPr>
          <w:b/>
          <w:color w:val="538135" w:themeColor="accent6" w:themeShade="BF"/>
          <w:sz w:val="32"/>
          <w:szCs w:val="32"/>
        </w:rPr>
        <w:t>rofession</w:t>
      </w:r>
    </w:p>
    <w:p w14:paraId="1B62B575" w14:textId="1785FBDB" w:rsidR="00C462B2" w:rsidRDefault="00077DBB" w:rsidP="00AE32B8">
      <w:pPr>
        <w:spacing w:line="480" w:lineRule="auto"/>
        <w:rPr>
          <w:sz w:val="24"/>
          <w:szCs w:val="24"/>
        </w:rPr>
      </w:pPr>
      <w:r>
        <w:rPr>
          <w:b/>
          <w:sz w:val="24"/>
          <w:szCs w:val="24"/>
        </w:rPr>
        <w:tab/>
      </w:r>
      <w:r>
        <w:rPr>
          <w:sz w:val="24"/>
          <w:szCs w:val="24"/>
        </w:rPr>
        <w:t>There are many factors that have changed the accoun</w:t>
      </w:r>
      <w:r w:rsidR="00106431">
        <w:rPr>
          <w:sz w:val="24"/>
          <w:szCs w:val="24"/>
        </w:rPr>
        <w:t>ting profession over the years. T</w:t>
      </w:r>
      <w:r w:rsidR="000D7AAA">
        <w:rPr>
          <w:sz w:val="24"/>
          <w:szCs w:val="24"/>
        </w:rPr>
        <w:t xml:space="preserve">he following is a timeline of various accounting milestones that have affected the industry. </w:t>
      </w:r>
      <w:r w:rsidRPr="00D564FF">
        <w:rPr>
          <w:rFonts w:ascii="Arial" w:eastAsia="Times New Roman" w:hAnsi="Arial" w:cs="Arial"/>
          <w:noProof/>
        </w:rPr>
        <w:drawing>
          <wp:inline distT="0" distB="0" distL="0" distR="0" wp14:anchorId="1B0F7849" wp14:editId="7B505A1A">
            <wp:extent cx="6367145" cy="2499360"/>
            <wp:effectExtent l="0" t="0" r="1460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000D7AAA">
        <w:rPr>
          <w:sz w:val="24"/>
          <w:szCs w:val="24"/>
        </w:rPr>
        <w:tab/>
        <w:t xml:space="preserve">One of the biggest factors affecting the entire accounting profession was Congress’s implementation of the Sarbanes Oxley Act (SOX) in 2002. This was enacted due to </w:t>
      </w:r>
      <w:r w:rsidR="009D342C">
        <w:rPr>
          <w:sz w:val="24"/>
          <w:szCs w:val="24"/>
        </w:rPr>
        <w:t>various fraudulent activities within corporations and also related to the lack of transparency within</w:t>
      </w:r>
      <w:r w:rsidR="00106431">
        <w:rPr>
          <w:sz w:val="24"/>
          <w:szCs w:val="24"/>
        </w:rPr>
        <w:t xml:space="preserve"> large public accounting firms who provided services</w:t>
      </w:r>
      <w:r w:rsidR="009D342C">
        <w:rPr>
          <w:sz w:val="24"/>
          <w:szCs w:val="24"/>
        </w:rPr>
        <w:t xml:space="preserve"> to these organizations. </w:t>
      </w:r>
    </w:p>
    <w:p w14:paraId="16FD12F6" w14:textId="0EB4E01A" w:rsidR="000D7AAA" w:rsidRDefault="00C72A19" w:rsidP="00C462B2">
      <w:pPr>
        <w:spacing w:line="480" w:lineRule="auto"/>
        <w:ind w:firstLine="720"/>
        <w:rPr>
          <w:sz w:val="24"/>
          <w:szCs w:val="24"/>
        </w:rPr>
      </w:pPr>
      <w:r>
        <w:rPr>
          <w:sz w:val="24"/>
          <w:szCs w:val="24"/>
        </w:rPr>
        <w:t>One of the contributing frauds was the one associated with</w:t>
      </w:r>
      <w:r w:rsidR="009D342C">
        <w:rPr>
          <w:sz w:val="24"/>
          <w:szCs w:val="24"/>
        </w:rPr>
        <w:t xml:space="preserve"> Enron Corporation</w:t>
      </w:r>
      <w:r>
        <w:rPr>
          <w:sz w:val="24"/>
          <w:szCs w:val="24"/>
        </w:rPr>
        <w:t>. They were</w:t>
      </w:r>
      <w:r w:rsidR="009D342C">
        <w:rPr>
          <w:sz w:val="24"/>
          <w:szCs w:val="24"/>
        </w:rPr>
        <w:t xml:space="preserve"> able to find accounting loopholes while using poor financial reporting to hide billions of </w:t>
      </w:r>
      <w:r w:rsidR="009D342C">
        <w:rPr>
          <w:sz w:val="24"/>
          <w:szCs w:val="24"/>
        </w:rPr>
        <w:lastRenderedPageBreak/>
        <w:t xml:space="preserve">dollars of debt within the company. Additionally, their CFO and other high level executives intentionally misled the </w:t>
      </w:r>
      <w:r w:rsidR="00C462B2">
        <w:rPr>
          <w:sz w:val="24"/>
          <w:szCs w:val="24"/>
        </w:rPr>
        <w:t xml:space="preserve">audit committee and </w:t>
      </w:r>
      <w:r w:rsidR="009D342C">
        <w:rPr>
          <w:sz w:val="24"/>
          <w:szCs w:val="24"/>
        </w:rPr>
        <w:t>board of directors</w:t>
      </w:r>
      <w:r w:rsidR="00C462B2">
        <w:rPr>
          <w:sz w:val="24"/>
          <w:szCs w:val="24"/>
        </w:rPr>
        <w:t xml:space="preserve"> in regards to various high-risk accounting practices.</w:t>
      </w:r>
      <w:r w:rsidR="009D342C">
        <w:rPr>
          <w:sz w:val="24"/>
          <w:szCs w:val="24"/>
        </w:rPr>
        <w:t xml:space="preserve"> </w:t>
      </w:r>
      <w:r>
        <w:rPr>
          <w:sz w:val="24"/>
          <w:szCs w:val="24"/>
        </w:rPr>
        <w:t>The company ended up filing for bankruptcy, which led</w:t>
      </w:r>
      <w:r w:rsidR="00C462B2">
        <w:rPr>
          <w:sz w:val="24"/>
          <w:szCs w:val="24"/>
        </w:rPr>
        <w:t xml:space="preserve"> to 20,000 employees losing their jobs and $2 billion in pensions and retiremen</w:t>
      </w:r>
      <w:r w:rsidR="00106431">
        <w:rPr>
          <w:sz w:val="24"/>
          <w:szCs w:val="24"/>
        </w:rPr>
        <w:t>t funds</w:t>
      </w:r>
      <w:r w:rsidR="00946D8B">
        <w:rPr>
          <w:sz w:val="24"/>
          <w:szCs w:val="24"/>
        </w:rPr>
        <w:t xml:space="preserve"> lost.</w:t>
      </w:r>
      <w:r w:rsidR="00946D8B">
        <w:rPr>
          <w:rStyle w:val="FootnoteReference"/>
          <w:sz w:val="24"/>
          <w:szCs w:val="24"/>
        </w:rPr>
        <w:footnoteReference w:id="20"/>
      </w:r>
      <w:r w:rsidR="00946D8B">
        <w:rPr>
          <w:sz w:val="24"/>
          <w:szCs w:val="24"/>
        </w:rPr>
        <w:t xml:space="preserve"> </w:t>
      </w:r>
      <w:r w:rsidR="009D342C">
        <w:rPr>
          <w:sz w:val="24"/>
          <w:szCs w:val="24"/>
        </w:rPr>
        <w:t xml:space="preserve">The accounting firm that audited their financial statements was Arthur Anderson, one of the </w:t>
      </w:r>
      <w:r w:rsidR="00C462B2">
        <w:rPr>
          <w:sz w:val="24"/>
          <w:szCs w:val="24"/>
        </w:rPr>
        <w:t>largest five public firms at the time.</w:t>
      </w:r>
      <w:r w:rsidR="009D342C">
        <w:rPr>
          <w:sz w:val="24"/>
          <w:szCs w:val="24"/>
        </w:rPr>
        <w:t xml:space="preserve"> They </w:t>
      </w:r>
      <w:r w:rsidR="00C462B2">
        <w:rPr>
          <w:sz w:val="24"/>
          <w:szCs w:val="24"/>
        </w:rPr>
        <w:t>were charged with illegally destroying documents that would’ve aided in the SEC investigation. This voided its license to audit public companies which ultimately l</w:t>
      </w:r>
      <w:r w:rsidR="00946D8B">
        <w:rPr>
          <w:sz w:val="24"/>
          <w:szCs w:val="24"/>
        </w:rPr>
        <w:t>ed to the demise of the company.</w:t>
      </w:r>
      <w:r w:rsidR="00946D8B">
        <w:rPr>
          <w:rStyle w:val="FootnoteReference"/>
          <w:sz w:val="24"/>
          <w:szCs w:val="24"/>
        </w:rPr>
        <w:footnoteReference w:id="21"/>
      </w:r>
    </w:p>
    <w:p w14:paraId="60D9CD4A" w14:textId="19E2FD26" w:rsidR="00C462B2" w:rsidRDefault="00C462B2" w:rsidP="00AE32B8">
      <w:pPr>
        <w:spacing w:line="480" w:lineRule="auto"/>
        <w:rPr>
          <w:sz w:val="24"/>
          <w:szCs w:val="24"/>
        </w:rPr>
      </w:pPr>
      <w:r>
        <w:rPr>
          <w:sz w:val="24"/>
          <w:szCs w:val="24"/>
        </w:rPr>
        <w:tab/>
        <w:t xml:space="preserve">Very soon after, WorldCom’s executives inflated the earnings in the company as the telecommunications industry began to decline and they became pressured to maintain a high level of earnings. The executives of the company used fraudulent accounting methods like inflating revenues and capitalizing items on the balance sheet instead of adding expenses to the income statement. The total number of assets had been inflated by about $11 billion total, which caused the company to file for bankruptcy in 2002. </w:t>
      </w:r>
      <w:r w:rsidR="00106431">
        <w:rPr>
          <w:sz w:val="24"/>
          <w:szCs w:val="24"/>
        </w:rPr>
        <w:t xml:space="preserve">Arthur Anderson was largely blamed for signing off on financial reports that didn’t accurately reflect the company’s financial position. </w:t>
      </w:r>
      <w:r>
        <w:rPr>
          <w:sz w:val="24"/>
          <w:szCs w:val="24"/>
        </w:rPr>
        <w:t>This large number of assets made this scandal the largest accounting fraud at the time.</w:t>
      </w:r>
    </w:p>
    <w:p w14:paraId="6B61CE76" w14:textId="4923DABD" w:rsidR="006639BE" w:rsidRDefault="00C462B2" w:rsidP="00AE32B8">
      <w:pPr>
        <w:spacing w:line="480" w:lineRule="auto"/>
        <w:rPr>
          <w:sz w:val="24"/>
          <w:szCs w:val="24"/>
        </w:rPr>
      </w:pPr>
      <w:r>
        <w:rPr>
          <w:sz w:val="24"/>
          <w:szCs w:val="24"/>
        </w:rPr>
        <w:lastRenderedPageBreak/>
        <w:tab/>
        <w:t xml:space="preserve">The lack of transparency within these companies and their respective audit firms led to the implementation of SOX and other legislation that attempted to increase the confidence in capital markets. One of the specific </w:t>
      </w:r>
      <w:r w:rsidR="003B5D47">
        <w:rPr>
          <w:sz w:val="24"/>
          <w:szCs w:val="24"/>
        </w:rPr>
        <w:t>impli</w:t>
      </w:r>
      <w:r w:rsidR="00F8114E">
        <w:rPr>
          <w:sz w:val="24"/>
          <w:szCs w:val="24"/>
        </w:rPr>
        <w:t>cations of this new law included</w:t>
      </w:r>
      <w:r w:rsidR="003B5D47">
        <w:rPr>
          <w:sz w:val="24"/>
          <w:szCs w:val="24"/>
        </w:rPr>
        <w:t xml:space="preserve"> Section 404, which requires CPA firms to perform additional audit work on client’s internal control system</w:t>
      </w:r>
      <w:r w:rsidR="0026775E">
        <w:rPr>
          <w:sz w:val="24"/>
          <w:szCs w:val="24"/>
        </w:rPr>
        <w:t>.</w:t>
      </w:r>
      <w:r w:rsidR="0026775E">
        <w:rPr>
          <w:rStyle w:val="FootnoteReference"/>
          <w:sz w:val="24"/>
          <w:szCs w:val="24"/>
        </w:rPr>
        <w:footnoteReference w:id="22"/>
      </w:r>
      <w:r w:rsidR="0026775E">
        <w:rPr>
          <w:sz w:val="24"/>
          <w:szCs w:val="24"/>
        </w:rPr>
        <w:t xml:space="preserve"> </w:t>
      </w:r>
      <w:r w:rsidR="003B5D47">
        <w:rPr>
          <w:sz w:val="24"/>
          <w:szCs w:val="24"/>
        </w:rPr>
        <w:t xml:space="preserve">This leads to increased audit fees charged for audit services, as well as </w:t>
      </w:r>
      <w:r w:rsidR="00E5596D">
        <w:rPr>
          <w:sz w:val="24"/>
          <w:szCs w:val="24"/>
        </w:rPr>
        <w:t>a shift towards developing more personal relationships with clients to increase transparency. Additionally, audit teams are encouraged to increase interpersonal relationships within the team in order to encourage more honest financial reporting.</w:t>
      </w:r>
    </w:p>
    <w:p w14:paraId="7E4C7EB5" w14:textId="32A34782" w:rsidR="00C61465" w:rsidRPr="008500EA" w:rsidRDefault="006639BE" w:rsidP="00AE32B8">
      <w:pPr>
        <w:spacing w:line="480" w:lineRule="auto"/>
        <w:rPr>
          <w:sz w:val="24"/>
          <w:szCs w:val="24"/>
        </w:rPr>
      </w:pPr>
      <w:r>
        <w:rPr>
          <w:sz w:val="24"/>
          <w:szCs w:val="24"/>
        </w:rPr>
        <w:tab/>
        <w:t xml:space="preserve">The heightened legislation and regulation within the </w:t>
      </w:r>
      <w:r w:rsidRPr="00657ADA">
        <w:rPr>
          <w:sz w:val="24"/>
          <w:szCs w:val="24"/>
        </w:rPr>
        <w:t>accounting industry could be one of the reasons</w:t>
      </w:r>
      <w:r w:rsidR="00657ADA" w:rsidRPr="00657ADA">
        <w:rPr>
          <w:sz w:val="24"/>
          <w:szCs w:val="24"/>
        </w:rPr>
        <w:t xml:space="preserve"> turnover has increased in recent years</w:t>
      </w:r>
      <w:r w:rsidR="008500EA">
        <w:rPr>
          <w:sz w:val="24"/>
          <w:szCs w:val="24"/>
        </w:rPr>
        <w:t>. The laws require that the audit teams do more work in order to ensure a successful and honest representation of the company’s financial statements</w:t>
      </w:r>
      <w:r w:rsidR="0026775E">
        <w:rPr>
          <w:sz w:val="24"/>
          <w:szCs w:val="24"/>
        </w:rPr>
        <w:t xml:space="preserve">. </w:t>
      </w:r>
      <w:r w:rsidR="008500EA">
        <w:rPr>
          <w:sz w:val="24"/>
          <w:szCs w:val="24"/>
        </w:rPr>
        <w:t>This increase in work potentially puts more pressure on employees to perform at a higher level in order to satisfy the new laws and regulations concerning financial reporting.</w:t>
      </w:r>
      <w:r w:rsidR="0026775E">
        <w:rPr>
          <w:rStyle w:val="FootnoteReference"/>
          <w:sz w:val="24"/>
          <w:szCs w:val="24"/>
        </w:rPr>
        <w:footnoteReference w:id="23"/>
      </w:r>
    </w:p>
    <w:p w14:paraId="6B3D7287" w14:textId="77777777" w:rsidR="0070779D" w:rsidRDefault="0070779D" w:rsidP="00AE32B8">
      <w:pPr>
        <w:spacing w:line="480" w:lineRule="auto"/>
        <w:rPr>
          <w:b/>
          <w:color w:val="538135" w:themeColor="accent6" w:themeShade="BF"/>
          <w:sz w:val="32"/>
          <w:szCs w:val="32"/>
        </w:rPr>
      </w:pPr>
    </w:p>
    <w:p w14:paraId="7F8B514F" w14:textId="77777777" w:rsidR="00F8114E" w:rsidRDefault="00F8114E" w:rsidP="00AE32B8">
      <w:pPr>
        <w:spacing w:line="480" w:lineRule="auto"/>
        <w:rPr>
          <w:b/>
          <w:color w:val="538135" w:themeColor="accent6" w:themeShade="BF"/>
          <w:sz w:val="32"/>
          <w:szCs w:val="32"/>
        </w:rPr>
      </w:pPr>
    </w:p>
    <w:p w14:paraId="4DED124E" w14:textId="1AE42915" w:rsidR="006D30D4" w:rsidRPr="006D30D4" w:rsidRDefault="006D30D4" w:rsidP="00AE32B8">
      <w:pPr>
        <w:spacing w:line="480" w:lineRule="auto"/>
        <w:rPr>
          <w:b/>
          <w:color w:val="538135" w:themeColor="accent6" w:themeShade="BF"/>
          <w:sz w:val="32"/>
          <w:szCs w:val="32"/>
        </w:rPr>
      </w:pPr>
      <w:r w:rsidRPr="006D30D4">
        <w:rPr>
          <w:b/>
          <w:color w:val="538135" w:themeColor="accent6" w:themeShade="BF"/>
          <w:sz w:val="32"/>
          <w:szCs w:val="32"/>
        </w:rPr>
        <w:lastRenderedPageBreak/>
        <w:t>Section II: Reasons for Turnover</w:t>
      </w:r>
    </w:p>
    <w:p w14:paraId="1839A181" w14:textId="427CEF17" w:rsidR="0095133C" w:rsidRPr="006D30D4" w:rsidRDefault="006D30D4" w:rsidP="00AE32B8">
      <w:pPr>
        <w:spacing w:line="480" w:lineRule="auto"/>
        <w:rPr>
          <w:b/>
          <w:color w:val="538135" w:themeColor="accent6" w:themeShade="BF"/>
          <w:sz w:val="32"/>
          <w:szCs w:val="32"/>
        </w:rPr>
      </w:pPr>
      <w:r>
        <w:rPr>
          <w:b/>
          <w:color w:val="538135" w:themeColor="accent6" w:themeShade="BF"/>
          <w:sz w:val="32"/>
          <w:szCs w:val="32"/>
        </w:rPr>
        <w:t>Burnout</w:t>
      </w:r>
    </w:p>
    <w:p w14:paraId="6D9DA21F" w14:textId="66BD3FC3" w:rsidR="00CC5344" w:rsidRPr="00AE32B8" w:rsidRDefault="00441196" w:rsidP="00AE32B8">
      <w:pPr>
        <w:spacing w:line="480" w:lineRule="auto"/>
        <w:ind w:firstLine="720"/>
        <w:rPr>
          <w:sz w:val="24"/>
          <w:szCs w:val="24"/>
        </w:rPr>
      </w:pPr>
      <w:r w:rsidRPr="00AE32B8">
        <w:rPr>
          <w:sz w:val="24"/>
          <w:szCs w:val="24"/>
        </w:rPr>
        <w:t xml:space="preserve">So, what exactly causes employees to come into a firm and then leave it a few years later in search of a more suitable career? After a few years in a demanding career, employees often experience a burned out sensation that leaves them wanting to change career paths. </w:t>
      </w:r>
      <w:r w:rsidR="006A6021">
        <w:rPr>
          <w:sz w:val="24"/>
          <w:szCs w:val="24"/>
        </w:rPr>
        <w:t xml:space="preserve">This sensation is one of the factors that contribute to the desire to switch career paths to something less demanding. </w:t>
      </w:r>
      <w:r w:rsidRPr="00AE32B8">
        <w:rPr>
          <w:sz w:val="24"/>
          <w:szCs w:val="24"/>
        </w:rPr>
        <w:t>There are three components that make up</w:t>
      </w:r>
      <w:r w:rsidR="00683972" w:rsidRPr="00AE32B8">
        <w:rPr>
          <w:sz w:val="24"/>
          <w:szCs w:val="24"/>
        </w:rPr>
        <w:t xml:space="preserve"> burnout: emotional exhaustion, reduced personal accompl</w:t>
      </w:r>
      <w:r w:rsidR="0026775E">
        <w:rPr>
          <w:sz w:val="24"/>
          <w:szCs w:val="24"/>
        </w:rPr>
        <w:t>ishment, and depersonalization.</w:t>
      </w:r>
      <w:r w:rsidR="0026775E">
        <w:rPr>
          <w:rStyle w:val="FootnoteReference"/>
          <w:sz w:val="24"/>
          <w:szCs w:val="24"/>
        </w:rPr>
        <w:footnoteReference w:id="24"/>
      </w:r>
      <w:r w:rsidR="000A0612" w:rsidRPr="00AE32B8">
        <w:rPr>
          <w:sz w:val="24"/>
          <w:szCs w:val="24"/>
        </w:rPr>
        <w:t xml:space="preserve"> </w:t>
      </w:r>
    </w:p>
    <w:p w14:paraId="60BA6A07" w14:textId="1C8DEC29" w:rsidR="00B454B0" w:rsidRPr="00AE32B8" w:rsidRDefault="000A0612" w:rsidP="00AE32B8">
      <w:pPr>
        <w:spacing w:line="480" w:lineRule="auto"/>
        <w:ind w:firstLine="720"/>
        <w:rPr>
          <w:sz w:val="24"/>
          <w:szCs w:val="24"/>
        </w:rPr>
      </w:pPr>
      <w:r w:rsidRPr="00AE32B8">
        <w:rPr>
          <w:sz w:val="24"/>
          <w:szCs w:val="24"/>
        </w:rPr>
        <w:t>Of these three components, emotional exhaustion and depersonalization are the most strongly related to job satisfa</w:t>
      </w:r>
      <w:r w:rsidR="00DB5790" w:rsidRPr="00AE32B8">
        <w:rPr>
          <w:sz w:val="24"/>
          <w:szCs w:val="24"/>
        </w:rPr>
        <w:t>ction and turnover intention</w:t>
      </w:r>
      <w:r w:rsidRPr="00AE32B8">
        <w:rPr>
          <w:sz w:val="24"/>
          <w:szCs w:val="24"/>
        </w:rPr>
        <w:t>.</w:t>
      </w:r>
      <w:r w:rsidR="00DB5790" w:rsidRPr="00AE32B8">
        <w:rPr>
          <w:sz w:val="24"/>
          <w:szCs w:val="24"/>
        </w:rPr>
        <w:t xml:space="preserve"> As it may appear, emotional exhaustion stems </w:t>
      </w:r>
      <w:r w:rsidR="0046067D" w:rsidRPr="00AE32B8">
        <w:rPr>
          <w:sz w:val="24"/>
          <w:szCs w:val="24"/>
        </w:rPr>
        <w:t>from an increase</w:t>
      </w:r>
      <w:r w:rsidR="00DB5790" w:rsidRPr="00AE32B8">
        <w:rPr>
          <w:sz w:val="24"/>
          <w:szCs w:val="24"/>
        </w:rPr>
        <w:t xml:space="preserve"> in work demands that drain emotional resources; this is</w:t>
      </w:r>
      <w:r w:rsidR="00C6332F" w:rsidRPr="00AE32B8">
        <w:rPr>
          <w:sz w:val="24"/>
          <w:szCs w:val="24"/>
        </w:rPr>
        <w:t xml:space="preserve"> the first phase of burnout associated </w:t>
      </w:r>
      <w:r w:rsidR="003522F5" w:rsidRPr="00AE32B8">
        <w:rPr>
          <w:sz w:val="24"/>
          <w:szCs w:val="24"/>
        </w:rPr>
        <w:t>within the workforce. After the increased emotional exhaustion, depersonalization creeps in as a protective coping tactic.</w:t>
      </w:r>
      <w:r w:rsidR="0046067D" w:rsidRPr="00AE32B8">
        <w:rPr>
          <w:sz w:val="24"/>
          <w:szCs w:val="24"/>
        </w:rPr>
        <w:t xml:space="preserve"> Lastly, self-assessment of reduced achievement is the result of the recognition of the inconsistency between expected and actual attitudes</w:t>
      </w:r>
      <w:r w:rsidR="0026775E">
        <w:rPr>
          <w:sz w:val="24"/>
          <w:szCs w:val="24"/>
        </w:rPr>
        <w:t>.</w:t>
      </w:r>
      <w:r w:rsidR="0026775E">
        <w:rPr>
          <w:rStyle w:val="FootnoteReference"/>
          <w:sz w:val="24"/>
          <w:szCs w:val="24"/>
        </w:rPr>
        <w:footnoteReference w:id="25"/>
      </w:r>
      <w:r w:rsidR="0026775E">
        <w:rPr>
          <w:sz w:val="24"/>
          <w:szCs w:val="24"/>
        </w:rPr>
        <w:t xml:space="preserve"> </w:t>
      </w:r>
      <w:r w:rsidR="0095133C" w:rsidRPr="00AE32B8">
        <w:rPr>
          <w:sz w:val="24"/>
          <w:szCs w:val="24"/>
        </w:rPr>
        <w:t>These characteristics often lead employees to seek other job opportunities to remedy this burned out sensation.</w:t>
      </w:r>
    </w:p>
    <w:p w14:paraId="2F5F9789" w14:textId="7AC27F42" w:rsidR="0070779D" w:rsidRPr="00F8114E" w:rsidRDefault="00CC5344" w:rsidP="00F8114E">
      <w:pPr>
        <w:spacing w:line="480" w:lineRule="auto"/>
        <w:ind w:firstLine="720"/>
        <w:rPr>
          <w:sz w:val="24"/>
          <w:szCs w:val="24"/>
        </w:rPr>
      </w:pPr>
      <w:r w:rsidRPr="00AE32B8">
        <w:rPr>
          <w:sz w:val="24"/>
          <w:szCs w:val="24"/>
        </w:rPr>
        <w:lastRenderedPageBreak/>
        <w:t xml:space="preserve">It is easy to understand how big of a role that burnout can play in the accounting profession, particularly </w:t>
      </w:r>
      <w:r w:rsidR="00A90622" w:rsidRPr="00AE32B8">
        <w:rPr>
          <w:sz w:val="24"/>
          <w:szCs w:val="24"/>
        </w:rPr>
        <w:t>in regards to</w:t>
      </w:r>
      <w:r w:rsidRPr="00AE32B8">
        <w:rPr>
          <w:sz w:val="24"/>
          <w:szCs w:val="24"/>
        </w:rPr>
        <w:t xml:space="preserve"> the busy season. Busy season is typically considered to be the first part of the year until mid-April. This is a time where professionals normally work at least 60 hour, 6 day weeks </w:t>
      </w:r>
      <w:r w:rsidR="008500EA">
        <w:rPr>
          <w:sz w:val="24"/>
          <w:szCs w:val="24"/>
        </w:rPr>
        <w:t xml:space="preserve">and is most likely the most </w:t>
      </w:r>
      <w:r w:rsidR="0026775E">
        <w:rPr>
          <w:sz w:val="24"/>
          <w:szCs w:val="24"/>
        </w:rPr>
        <w:t>challenging stretch of the year.</w:t>
      </w:r>
      <w:r w:rsidR="0026775E">
        <w:rPr>
          <w:rStyle w:val="FootnoteReference"/>
          <w:sz w:val="24"/>
          <w:szCs w:val="24"/>
        </w:rPr>
        <w:footnoteReference w:id="26"/>
      </w:r>
      <w:r w:rsidR="0026775E">
        <w:rPr>
          <w:sz w:val="24"/>
          <w:szCs w:val="24"/>
        </w:rPr>
        <w:t xml:space="preserve"> </w:t>
      </w:r>
      <w:r w:rsidR="008500EA">
        <w:rPr>
          <w:sz w:val="24"/>
          <w:szCs w:val="24"/>
        </w:rPr>
        <w:t>This is a time that really can test a new accounting professional and challenge them into new practicing new ways of handling stress. There are many people who are not suited for th</w:t>
      </w:r>
      <w:r w:rsidR="00F8114E">
        <w:rPr>
          <w:sz w:val="24"/>
          <w:szCs w:val="24"/>
        </w:rPr>
        <w:t>e rigor that accompanies this season</w:t>
      </w:r>
      <w:r w:rsidR="008500EA">
        <w:rPr>
          <w:sz w:val="24"/>
          <w:szCs w:val="24"/>
        </w:rPr>
        <w:t xml:space="preserve">, thus leading to extended burnout. Firms are aware of these challenging months and actively seek ways to help employees find a balance between work and life. However, firms need to </w:t>
      </w:r>
      <w:r w:rsidR="00F8114E">
        <w:rPr>
          <w:sz w:val="24"/>
          <w:szCs w:val="24"/>
        </w:rPr>
        <w:t xml:space="preserve">initially </w:t>
      </w:r>
      <w:r w:rsidR="008500EA">
        <w:rPr>
          <w:sz w:val="24"/>
          <w:szCs w:val="24"/>
        </w:rPr>
        <w:t>change the mantra by encouraging employees from the start to prepare themselves for the busy season</w:t>
      </w:r>
      <w:r w:rsidR="00F8114E">
        <w:rPr>
          <w:sz w:val="24"/>
          <w:szCs w:val="24"/>
        </w:rPr>
        <w:t>. When employees start to prepare earlier, they won’t be so shocked when the challenge arrives</w:t>
      </w:r>
      <w:r w:rsidR="008500EA">
        <w:rPr>
          <w:sz w:val="24"/>
          <w:szCs w:val="24"/>
        </w:rPr>
        <w:t xml:space="preserve">. Additionally, offering help to the employees regarding time management and work-life balance </w:t>
      </w:r>
      <w:r w:rsidR="00F8114E">
        <w:rPr>
          <w:sz w:val="24"/>
          <w:szCs w:val="24"/>
        </w:rPr>
        <w:t>will</w:t>
      </w:r>
      <w:r w:rsidR="008500EA">
        <w:rPr>
          <w:sz w:val="24"/>
          <w:szCs w:val="24"/>
        </w:rPr>
        <w:t xml:space="preserve"> encourage employees to have a positive attitude throughout the season.</w:t>
      </w:r>
    </w:p>
    <w:p w14:paraId="54BFF1A3" w14:textId="7B1D6E7E" w:rsidR="000A2FEE" w:rsidRPr="006D30D4" w:rsidRDefault="00C61465" w:rsidP="00AE32B8">
      <w:pPr>
        <w:spacing w:line="480" w:lineRule="auto"/>
        <w:rPr>
          <w:b/>
          <w:color w:val="538135" w:themeColor="accent6" w:themeShade="BF"/>
          <w:sz w:val="32"/>
          <w:szCs w:val="32"/>
        </w:rPr>
      </w:pPr>
      <w:r>
        <w:rPr>
          <w:b/>
          <w:color w:val="538135" w:themeColor="accent6" w:themeShade="BF"/>
          <w:sz w:val="32"/>
          <w:szCs w:val="32"/>
        </w:rPr>
        <w:t>The Attractiveness of</w:t>
      </w:r>
      <w:r w:rsidR="006D30D4">
        <w:rPr>
          <w:b/>
          <w:color w:val="538135" w:themeColor="accent6" w:themeShade="BF"/>
          <w:sz w:val="32"/>
          <w:szCs w:val="32"/>
        </w:rPr>
        <w:t xml:space="preserve"> Industry</w:t>
      </w:r>
    </w:p>
    <w:p w14:paraId="73E310A0" w14:textId="470543C0" w:rsidR="00C51EB3" w:rsidRDefault="000A2FEE" w:rsidP="00AE32B8">
      <w:pPr>
        <w:spacing w:line="480" w:lineRule="auto"/>
        <w:rPr>
          <w:sz w:val="24"/>
          <w:szCs w:val="24"/>
        </w:rPr>
      </w:pPr>
      <w:r w:rsidRPr="00AE32B8">
        <w:rPr>
          <w:b/>
          <w:sz w:val="24"/>
          <w:szCs w:val="24"/>
        </w:rPr>
        <w:tab/>
      </w:r>
      <w:r w:rsidRPr="00AE32B8">
        <w:rPr>
          <w:sz w:val="24"/>
          <w:szCs w:val="24"/>
        </w:rPr>
        <w:t xml:space="preserve">As mentioned </w:t>
      </w:r>
      <w:r w:rsidR="00AC0C41">
        <w:rPr>
          <w:sz w:val="24"/>
          <w:szCs w:val="24"/>
        </w:rPr>
        <w:t>above</w:t>
      </w:r>
      <w:r w:rsidRPr="00AE32B8">
        <w:rPr>
          <w:sz w:val="24"/>
          <w:szCs w:val="24"/>
        </w:rPr>
        <w:t xml:space="preserve">, there are several reasons why people choose to begin their career in accounting and then subsequently leave for industry or other career opportunities. </w:t>
      </w:r>
      <w:r w:rsidR="00E967AA" w:rsidRPr="00AE32B8">
        <w:rPr>
          <w:sz w:val="24"/>
          <w:szCs w:val="24"/>
        </w:rPr>
        <w:t xml:space="preserve">Jane Durant, a partner at WinterWyman Search, lists several reasons to go into industry from public accounting. </w:t>
      </w:r>
      <w:r w:rsidR="00AC0C41">
        <w:rPr>
          <w:sz w:val="24"/>
          <w:szCs w:val="24"/>
        </w:rPr>
        <w:t>She claims that</w:t>
      </w:r>
      <w:r w:rsidR="00E967AA" w:rsidRPr="00AE32B8">
        <w:rPr>
          <w:sz w:val="24"/>
          <w:szCs w:val="24"/>
        </w:rPr>
        <w:t xml:space="preserve"> there are opportunities </w:t>
      </w:r>
      <w:r w:rsidR="00AC0C41">
        <w:rPr>
          <w:sz w:val="24"/>
          <w:szCs w:val="24"/>
        </w:rPr>
        <w:t>available at every position</w:t>
      </w:r>
      <w:r w:rsidR="00E967AA" w:rsidRPr="00AE32B8">
        <w:rPr>
          <w:sz w:val="24"/>
          <w:szCs w:val="24"/>
        </w:rPr>
        <w:t xml:space="preserve">. When you come </w:t>
      </w:r>
      <w:r w:rsidR="00E967AA" w:rsidRPr="00AE32B8">
        <w:rPr>
          <w:sz w:val="24"/>
          <w:szCs w:val="24"/>
        </w:rPr>
        <w:lastRenderedPageBreak/>
        <w:t>out of public accounting, your skills are extremely marketable and usable at any level, whether</w:t>
      </w:r>
      <w:r w:rsidR="00C51EB3" w:rsidRPr="00AE32B8">
        <w:rPr>
          <w:sz w:val="24"/>
          <w:szCs w:val="24"/>
        </w:rPr>
        <w:t xml:space="preserve"> you worked at a </w:t>
      </w:r>
      <w:r w:rsidR="00E77E65">
        <w:rPr>
          <w:sz w:val="24"/>
          <w:szCs w:val="24"/>
        </w:rPr>
        <w:t>firm for two years or ten</w:t>
      </w:r>
      <w:r w:rsidR="00C51EB3" w:rsidRPr="00AE32B8">
        <w:rPr>
          <w:sz w:val="24"/>
          <w:szCs w:val="24"/>
        </w:rPr>
        <w:t xml:space="preserve"> years, you will still </w:t>
      </w:r>
      <w:r w:rsidR="00E77E65">
        <w:rPr>
          <w:sz w:val="24"/>
          <w:szCs w:val="24"/>
        </w:rPr>
        <w:t>find a wide range of opportunities</w:t>
      </w:r>
      <w:r w:rsidR="00C51EB3" w:rsidRPr="00AE32B8">
        <w:rPr>
          <w:sz w:val="24"/>
          <w:szCs w:val="24"/>
        </w:rPr>
        <w:t>. Additionally, there are multiple selection</w:t>
      </w:r>
      <w:r w:rsidR="00797B51">
        <w:rPr>
          <w:sz w:val="24"/>
          <w:szCs w:val="24"/>
        </w:rPr>
        <w:t xml:space="preserve">s within industry, </w:t>
      </w:r>
      <w:r w:rsidR="00D16818">
        <w:rPr>
          <w:sz w:val="24"/>
          <w:szCs w:val="24"/>
        </w:rPr>
        <w:t xml:space="preserve">so </w:t>
      </w:r>
      <w:r w:rsidR="00C51EB3" w:rsidRPr="00AE32B8">
        <w:rPr>
          <w:sz w:val="24"/>
          <w:szCs w:val="24"/>
        </w:rPr>
        <w:t xml:space="preserve">you have </w:t>
      </w:r>
      <w:r w:rsidR="00D16818">
        <w:rPr>
          <w:sz w:val="24"/>
          <w:szCs w:val="24"/>
        </w:rPr>
        <w:t>choices when considering where to work post-public accounting</w:t>
      </w:r>
      <w:r w:rsidR="00C51EB3" w:rsidRPr="00AE32B8">
        <w:rPr>
          <w:sz w:val="24"/>
          <w:szCs w:val="24"/>
        </w:rPr>
        <w:t xml:space="preserve">. </w:t>
      </w:r>
      <w:r w:rsidR="00D16818">
        <w:rPr>
          <w:sz w:val="24"/>
          <w:szCs w:val="24"/>
        </w:rPr>
        <w:t>An additional</w:t>
      </w:r>
      <w:r w:rsidR="00C51EB3" w:rsidRPr="00AE32B8">
        <w:rPr>
          <w:sz w:val="24"/>
          <w:szCs w:val="24"/>
        </w:rPr>
        <w:t xml:space="preserve"> difference </w:t>
      </w:r>
      <w:r w:rsidR="00D16818">
        <w:rPr>
          <w:sz w:val="24"/>
          <w:szCs w:val="24"/>
        </w:rPr>
        <w:t xml:space="preserve">within industry </w:t>
      </w:r>
      <w:r w:rsidR="00C51EB3" w:rsidRPr="00AE32B8">
        <w:rPr>
          <w:sz w:val="24"/>
          <w:szCs w:val="24"/>
        </w:rPr>
        <w:t xml:space="preserve">is that you </w:t>
      </w:r>
      <w:r w:rsidR="008500EA">
        <w:rPr>
          <w:sz w:val="24"/>
          <w:szCs w:val="24"/>
        </w:rPr>
        <w:t xml:space="preserve">would </w:t>
      </w:r>
      <w:r w:rsidR="00C51EB3" w:rsidRPr="00AE32B8">
        <w:rPr>
          <w:sz w:val="24"/>
          <w:szCs w:val="24"/>
        </w:rPr>
        <w:t xml:space="preserve">only have one “client”; you are immersed in an industry and have the chance to become an expert within that sector. Lastly, quality of life is said to improve because your hours </w:t>
      </w:r>
      <w:r w:rsidR="00D16818">
        <w:rPr>
          <w:sz w:val="24"/>
          <w:szCs w:val="24"/>
        </w:rPr>
        <w:t>are</w:t>
      </w:r>
      <w:r w:rsidR="00C51EB3" w:rsidRPr="00AE32B8">
        <w:rPr>
          <w:sz w:val="24"/>
          <w:szCs w:val="24"/>
        </w:rPr>
        <w:t xml:space="preserve"> less demanding and compensation has the potential to be better</w:t>
      </w:r>
      <w:r w:rsidR="00D16818">
        <w:rPr>
          <w:sz w:val="24"/>
          <w:szCs w:val="24"/>
        </w:rPr>
        <w:t xml:space="preserve"> than current pay</w:t>
      </w:r>
      <w:r w:rsidR="0026775E">
        <w:rPr>
          <w:sz w:val="24"/>
          <w:szCs w:val="24"/>
        </w:rPr>
        <w:t>.</w:t>
      </w:r>
      <w:r w:rsidR="0026775E">
        <w:rPr>
          <w:rStyle w:val="FootnoteReference"/>
          <w:sz w:val="24"/>
          <w:szCs w:val="24"/>
        </w:rPr>
        <w:footnoteReference w:id="27"/>
      </w:r>
    </w:p>
    <w:p w14:paraId="6686C797" w14:textId="5BA3CF49" w:rsidR="006D30D4" w:rsidRPr="006D30D4" w:rsidRDefault="006D30D4" w:rsidP="00AE32B8">
      <w:pPr>
        <w:spacing w:line="480" w:lineRule="auto"/>
        <w:rPr>
          <w:b/>
          <w:color w:val="538135" w:themeColor="accent6" w:themeShade="BF"/>
          <w:sz w:val="32"/>
          <w:szCs w:val="32"/>
        </w:rPr>
      </w:pPr>
      <w:r w:rsidRPr="006D30D4">
        <w:rPr>
          <w:b/>
          <w:color w:val="538135" w:themeColor="accent6" w:themeShade="BF"/>
          <w:sz w:val="32"/>
          <w:szCs w:val="32"/>
        </w:rPr>
        <w:t>Leaving Becomes the Norm</w:t>
      </w:r>
    </w:p>
    <w:p w14:paraId="688E4713" w14:textId="77777777" w:rsidR="008500EA" w:rsidRDefault="007D620E" w:rsidP="00AE32B8">
      <w:pPr>
        <w:spacing w:line="480" w:lineRule="auto"/>
        <w:rPr>
          <w:sz w:val="24"/>
          <w:szCs w:val="24"/>
        </w:rPr>
      </w:pPr>
      <w:r>
        <w:rPr>
          <w:sz w:val="24"/>
          <w:szCs w:val="24"/>
        </w:rPr>
        <w:tab/>
        <w:t xml:space="preserve">Another contributing factor to high turnover rates could also be that it becomes be the norm to leave after a few years. </w:t>
      </w:r>
      <w:r w:rsidR="00636ECD">
        <w:rPr>
          <w:sz w:val="24"/>
          <w:szCs w:val="24"/>
        </w:rPr>
        <w:t>That is, many people enter the profession knowing they only want to work a few years for the experience before using their newly padded resume to find a job elsewhere.</w:t>
      </w:r>
      <w:r w:rsidR="008500EA">
        <w:rPr>
          <w:sz w:val="24"/>
          <w:szCs w:val="24"/>
        </w:rPr>
        <w:t xml:space="preserve"> As evidenced by the charts listed in the “Average Age and Salary” section, there is large opportunity to make more money when switching to another industry after being in public accounting for a few years.</w:t>
      </w:r>
    </w:p>
    <w:p w14:paraId="76E545AE" w14:textId="77E13B71" w:rsidR="00766F99" w:rsidRDefault="00636ECD" w:rsidP="008500EA">
      <w:pPr>
        <w:spacing w:line="480" w:lineRule="auto"/>
        <w:ind w:firstLine="720"/>
        <w:rPr>
          <w:sz w:val="24"/>
          <w:szCs w:val="24"/>
        </w:rPr>
      </w:pPr>
      <w:r>
        <w:rPr>
          <w:sz w:val="24"/>
          <w:szCs w:val="24"/>
        </w:rPr>
        <w:t xml:space="preserve"> Starting from the recruiting process, it is important to </w:t>
      </w:r>
      <w:r w:rsidR="003C3098">
        <w:rPr>
          <w:sz w:val="24"/>
          <w:szCs w:val="24"/>
        </w:rPr>
        <w:t>have potential new employees form relationships with long-term employees. This will give the new employees a potential mentor that can encourage the positive characteristic</w:t>
      </w:r>
      <w:r w:rsidR="008500EA">
        <w:rPr>
          <w:sz w:val="24"/>
          <w:szCs w:val="24"/>
        </w:rPr>
        <w:t xml:space="preserve">s of the accounting profession and help the new employee visualize themselves staying at the firm longer than originally planned. </w:t>
      </w:r>
    </w:p>
    <w:p w14:paraId="0E9FDA07" w14:textId="64CEC125" w:rsidR="00D96139" w:rsidRDefault="008500EA" w:rsidP="00AE32B8">
      <w:pPr>
        <w:spacing w:line="480" w:lineRule="auto"/>
        <w:rPr>
          <w:sz w:val="24"/>
          <w:szCs w:val="24"/>
        </w:rPr>
      </w:pPr>
      <w:r>
        <w:rPr>
          <w:sz w:val="24"/>
          <w:szCs w:val="24"/>
        </w:rPr>
        <w:lastRenderedPageBreak/>
        <w:tab/>
        <w:t>If organizations</w:t>
      </w:r>
      <w:r w:rsidR="003C3098">
        <w:rPr>
          <w:sz w:val="24"/>
          <w:szCs w:val="24"/>
        </w:rPr>
        <w:t xml:space="preserve"> were to begin the mentor process from the beginning of a person’s career, it would be a way to foster </w:t>
      </w:r>
      <w:r w:rsidR="000F15F6">
        <w:rPr>
          <w:sz w:val="24"/>
          <w:szCs w:val="24"/>
        </w:rPr>
        <w:t xml:space="preserve">new ideals and stereotypes with the profession. It could change the way people think of the career as a whole, while also changing their expectation in terms of career goals within the firm. Fostering the mentor-mentee relationship should be the focus of accounting firms so that </w:t>
      </w:r>
      <w:r w:rsidR="00EE0AE7">
        <w:rPr>
          <w:sz w:val="24"/>
          <w:szCs w:val="24"/>
        </w:rPr>
        <w:t>employees can begin to see the worth in staying in public accounting long-term.</w:t>
      </w:r>
      <w:r w:rsidR="000D6C79" w:rsidRPr="00AE32B8">
        <w:rPr>
          <w:sz w:val="24"/>
          <w:szCs w:val="24"/>
        </w:rPr>
        <w:tab/>
      </w:r>
    </w:p>
    <w:p w14:paraId="653F023F" w14:textId="3D4626D2" w:rsidR="006D30D4" w:rsidRDefault="006D30D4" w:rsidP="00AE32B8">
      <w:pPr>
        <w:spacing w:line="480" w:lineRule="auto"/>
        <w:rPr>
          <w:b/>
          <w:color w:val="538135" w:themeColor="accent6" w:themeShade="BF"/>
          <w:sz w:val="32"/>
          <w:szCs w:val="32"/>
        </w:rPr>
      </w:pPr>
      <w:r w:rsidRPr="006D30D4">
        <w:rPr>
          <w:b/>
          <w:color w:val="538135" w:themeColor="accent6" w:themeShade="BF"/>
          <w:sz w:val="32"/>
          <w:szCs w:val="32"/>
        </w:rPr>
        <w:t>Section III: How to Decrease Turnover Rates</w:t>
      </w:r>
    </w:p>
    <w:p w14:paraId="78D97056" w14:textId="4C4EE778" w:rsidR="008500EA" w:rsidRPr="00D50F9E" w:rsidRDefault="008500EA" w:rsidP="00D50F9E">
      <w:pPr>
        <w:spacing w:line="480" w:lineRule="auto"/>
        <w:ind w:firstLine="720"/>
        <w:rPr>
          <w:sz w:val="24"/>
          <w:szCs w:val="24"/>
        </w:rPr>
      </w:pPr>
      <w:r>
        <w:rPr>
          <w:sz w:val="24"/>
          <w:szCs w:val="24"/>
        </w:rPr>
        <w:t>Taking into account the research presented about burnout, women and millennials in public accounting, legislation affecting the accounting profession, and the attractiveness of industry and other opportunities</w:t>
      </w:r>
      <w:r>
        <w:rPr>
          <w:sz w:val="24"/>
          <w:szCs w:val="24"/>
        </w:rPr>
        <w:t>, it is now time to discuss ways to combat these issues within the firms.</w:t>
      </w:r>
    </w:p>
    <w:p w14:paraId="11141171" w14:textId="13B61DFD" w:rsidR="00462DAF" w:rsidRPr="006D30D4" w:rsidRDefault="00657ADA" w:rsidP="00AE32B8">
      <w:pPr>
        <w:spacing w:line="480" w:lineRule="auto"/>
        <w:rPr>
          <w:b/>
          <w:color w:val="538135" w:themeColor="accent6" w:themeShade="BF"/>
          <w:sz w:val="32"/>
          <w:szCs w:val="32"/>
        </w:rPr>
      </w:pPr>
      <w:r w:rsidRPr="006D30D4">
        <w:rPr>
          <w:b/>
          <w:color w:val="538135" w:themeColor="accent6" w:themeShade="BF"/>
          <w:sz w:val="32"/>
          <w:szCs w:val="32"/>
        </w:rPr>
        <w:t>Main suggestions for increased retention</w:t>
      </w:r>
      <w:r w:rsidR="00462DAF">
        <w:rPr>
          <w:sz w:val="24"/>
          <w:szCs w:val="24"/>
        </w:rPr>
        <w:t xml:space="preserve"> </w:t>
      </w:r>
    </w:p>
    <w:p w14:paraId="69A339C3" w14:textId="0B9ED498" w:rsidR="00A84835" w:rsidRDefault="00A84835" w:rsidP="00AE32B8">
      <w:pPr>
        <w:spacing w:line="480" w:lineRule="auto"/>
        <w:rPr>
          <w:sz w:val="24"/>
          <w:szCs w:val="24"/>
        </w:rPr>
      </w:pPr>
      <w:r>
        <w:rPr>
          <w:sz w:val="24"/>
          <w:szCs w:val="24"/>
        </w:rPr>
        <w:tab/>
        <w:t xml:space="preserve">First, it is important to recruit employees who will be enjoyable people to work with, in order to foster a positive work culture. Establishing the mindset from the get-go with these new employees is crucial to maintaining a long-term relationship with them. </w:t>
      </w:r>
      <w:r w:rsidR="008500EA">
        <w:rPr>
          <w:sz w:val="24"/>
          <w:szCs w:val="24"/>
        </w:rPr>
        <w:t>Firms</w:t>
      </w:r>
      <w:r>
        <w:rPr>
          <w:sz w:val="24"/>
          <w:szCs w:val="24"/>
        </w:rPr>
        <w:t xml:space="preserve"> need to </w:t>
      </w:r>
      <w:r w:rsidR="008500EA">
        <w:rPr>
          <w:sz w:val="24"/>
          <w:szCs w:val="24"/>
        </w:rPr>
        <w:t>request that</w:t>
      </w:r>
      <w:r>
        <w:rPr>
          <w:sz w:val="24"/>
          <w:szCs w:val="24"/>
        </w:rPr>
        <w:t xml:space="preserve"> those </w:t>
      </w:r>
      <w:r w:rsidR="008500EA">
        <w:rPr>
          <w:sz w:val="24"/>
          <w:szCs w:val="24"/>
        </w:rPr>
        <w:t xml:space="preserve">long-term </w:t>
      </w:r>
      <w:r>
        <w:rPr>
          <w:sz w:val="24"/>
          <w:szCs w:val="24"/>
        </w:rPr>
        <w:t xml:space="preserve">employees </w:t>
      </w:r>
      <w:r w:rsidR="008500EA">
        <w:rPr>
          <w:sz w:val="24"/>
          <w:szCs w:val="24"/>
        </w:rPr>
        <w:t xml:space="preserve">undertake a </w:t>
      </w:r>
      <w:r>
        <w:rPr>
          <w:sz w:val="24"/>
          <w:szCs w:val="24"/>
        </w:rPr>
        <w:t>mentor</w:t>
      </w:r>
      <w:r w:rsidR="008500EA">
        <w:rPr>
          <w:sz w:val="24"/>
          <w:szCs w:val="24"/>
        </w:rPr>
        <w:t>ship role</w:t>
      </w:r>
      <w:r>
        <w:rPr>
          <w:sz w:val="24"/>
          <w:szCs w:val="24"/>
        </w:rPr>
        <w:t xml:space="preserve"> and be involved in the lives of the younger employees so that the </w:t>
      </w:r>
      <w:r w:rsidR="008500EA">
        <w:rPr>
          <w:sz w:val="24"/>
          <w:szCs w:val="24"/>
        </w:rPr>
        <w:t>new</w:t>
      </w:r>
      <w:r>
        <w:rPr>
          <w:sz w:val="24"/>
          <w:szCs w:val="24"/>
        </w:rPr>
        <w:t xml:space="preserve"> employees have an example of someone with a long career in accounting. </w:t>
      </w:r>
      <w:r w:rsidR="008500EA">
        <w:rPr>
          <w:sz w:val="24"/>
          <w:szCs w:val="24"/>
        </w:rPr>
        <w:t>Going hand in hand with mentorship roles</w:t>
      </w:r>
      <w:r>
        <w:rPr>
          <w:sz w:val="24"/>
          <w:szCs w:val="24"/>
        </w:rPr>
        <w:t>,</w:t>
      </w:r>
      <w:r w:rsidR="008500EA">
        <w:rPr>
          <w:sz w:val="24"/>
          <w:szCs w:val="24"/>
        </w:rPr>
        <w:t xml:space="preserve"> it is important to change</w:t>
      </w:r>
      <w:r>
        <w:rPr>
          <w:sz w:val="24"/>
          <w:szCs w:val="24"/>
        </w:rPr>
        <w:t xml:space="preserve"> the stereotype of those expecting to come in and work a few incredibly tough years just so they can turn around to an industry job to make more money.</w:t>
      </w:r>
      <w:r w:rsidR="008500EA">
        <w:rPr>
          <w:sz w:val="24"/>
          <w:szCs w:val="24"/>
        </w:rPr>
        <w:t xml:space="preserve"> Establishing examples within the firm of </w:t>
      </w:r>
      <w:r w:rsidR="008500EA">
        <w:rPr>
          <w:sz w:val="24"/>
          <w:szCs w:val="24"/>
        </w:rPr>
        <w:lastRenderedPageBreak/>
        <w:t>those who have experienced longevity within the company will ultimately help change this stereotype.</w:t>
      </w:r>
    </w:p>
    <w:p w14:paraId="6D4786DB" w14:textId="0A12C1EF" w:rsidR="006639BE" w:rsidRDefault="006639BE" w:rsidP="00AE32B8">
      <w:pPr>
        <w:spacing w:line="480" w:lineRule="auto"/>
        <w:rPr>
          <w:sz w:val="24"/>
          <w:szCs w:val="24"/>
        </w:rPr>
      </w:pPr>
      <w:r>
        <w:rPr>
          <w:sz w:val="24"/>
          <w:szCs w:val="24"/>
        </w:rPr>
        <w:tab/>
        <w:t xml:space="preserve">One of the most important factors in retention success has to do with promoting a culture within the firm that is focused on </w:t>
      </w:r>
      <w:r w:rsidR="00D50F9E">
        <w:rPr>
          <w:sz w:val="24"/>
          <w:szCs w:val="24"/>
        </w:rPr>
        <w:t xml:space="preserve">its </w:t>
      </w:r>
      <w:r>
        <w:rPr>
          <w:sz w:val="24"/>
          <w:szCs w:val="24"/>
        </w:rPr>
        <w:t>people. When employees experience a positive, welcoming culture, they are less likely to leave</w:t>
      </w:r>
      <w:r w:rsidR="008500EA">
        <w:rPr>
          <w:sz w:val="24"/>
          <w:szCs w:val="24"/>
        </w:rPr>
        <w:t xml:space="preserve"> for another job</w:t>
      </w:r>
      <w:r>
        <w:rPr>
          <w:sz w:val="24"/>
          <w:szCs w:val="24"/>
        </w:rPr>
        <w:t>. In order for the culture of an organization to be positive and encouraging, the positivity must start with the top of a company. Establishing a positive philosophy at the top of an</w:t>
      </w:r>
      <w:r w:rsidR="008500EA">
        <w:rPr>
          <w:sz w:val="24"/>
          <w:szCs w:val="24"/>
        </w:rPr>
        <w:t xml:space="preserve"> organization leads to </w:t>
      </w:r>
      <w:r>
        <w:rPr>
          <w:sz w:val="24"/>
          <w:szCs w:val="24"/>
        </w:rPr>
        <w:t>integration among all levels</w:t>
      </w:r>
      <w:r w:rsidR="008500EA">
        <w:rPr>
          <w:sz w:val="24"/>
          <w:szCs w:val="24"/>
        </w:rPr>
        <w:t xml:space="preserve"> of the organization</w:t>
      </w:r>
      <w:r>
        <w:rPr>
          <w:sz w:val="24"/>
          <w:szCs w:val="24"/>
        </w:rPr>
        <w:t>, thus maintaining a culture that employees want to be involved in. Firms should look at employee retention as an integral</w:t>
      </w:r>
      <w:r w:rsidR="0070779D">
        <w:rPr>
          <w:sz w:val="24"/>
          <w:szCs w:val="24"/>
        </w:rPr>
        <w:t xml:space="preserve"> </w:t>
      </w:r>
      <w:r>
        <w:rPr>
          <w:sz w:val="24"/>
          <w:szCs w:val="24"/>
        </w:rPr>
        <w:t>part of firm culture, not as a separate initiative</w:t>
      </w:r>
      <w:r w:rsidR="0026775E">
        <w:rPr>
          <w:sz w:val="24"/>
          <w:szCs w:val="24"/>
        </w:rPr>
        <w:t>.</w:t>
      </w:r>
      <w:r w:rsidR="0026775E">
        <w:rPr>
          <w:rStyle w:val="FootnoteReference"/>
          <w:sz w:val="24"/>
          <w:szCs w:val="24"/>
        </w:rPr>
        <w:footnoteReference w:id="28"/>
      </w:r>
      <w:r w:rsidR="0026775E">
        <w:rPr>
          <w:sz w:val="24"/>
          <w:szCs w:val="24"/>
        </w:rPr>
        <w:t xml:space="preserve"> </w:t>
      </w:r>
      <w:r>
        <w:rPr>
          <w:sz w:val="24"/>
          <w:szCs w:val="24"/>
        </w:rPr>
        <w:t>Once this mindset is established within an organization, firms will be able to retain employees at a higher rate.</w:t>
      </w:r>
    </w:p>
    <w:p w14:paraId="7E9F12DA" w14:textId="5295B9F9" w:rsidR="008500EA" w:rsidRDefault="008500EA" w:rsidP="00AE32B8">
      <w:pPr>
        <w:spacing w:line="480" w:lineRule="auto"/>
        <w:rPr>
          <w:sz w:val="24"/>
          <w:szCs w:val="24"/>
        </w:rPr>
      </w:pPr>
      <w:r>
        <w:rPr>
          <w:sz w:val="24"/>
          <w:szCs w:val="24"/>
        </w:rPr>
        <w:tab/>
        <w:t xml:space="preserve">Next, there is a perceived stereotype regarding busy season and the extreme stress it can put on a person. While firms have already made strides in improving the work-life balance among the organization during this stressful time, they need to make sure they’re catering to every employee, not just the masses. Each person deals with stress differently, which also means they need different methods to cope with pressure and anxiety. For example, some employees have children and other family members at home that they want to prioritize during work. Other employees wish to have more “time for me” in </w:t>
      </w:r>
      <w:r w:rsidR="00D50F9E">
        <w:rPr>
          <w:sz w:val="24"/>
          <w:szCs w:val="24"/>
        </w:rPr>
        <w:t xml:space="preserve">order to destress and wind down, </w:t>
      </w:r>
      <w:r w:rsidR="00D50F9E">
        <w:rPr>
          <w:sz w:val="24"/>
          <w:szCs w:val="24"/>
        </w:rPr>
        <w:lastRenderedPageBreak/>
        <w:t>while o</w:t>
      </w:r>
      <w:r>
        <w:rPr>
          <w:sz w:val="24"/>
          <w:szCs w:val="24"/>
        </w:rPr>
        <w:t>ther</w:t>
      </w:r>
      <w:r w:rsidR="00D50F9E">
        <w:rPr>
          <w:sz w:val="24"/>
          <w:szCs w:val="24"/>
        </w:rPr>
        <w:t>s e</w:t>
      </w:r>
      <w:r>
        <w:rPr>
          <w:sz w:val="24"/>
          <w:szCs w:val="24"/>
        </w:rPr>
        <w:t>njoy social activities to combat the pressure of the job. Whatever the coping mechanism may be, firms need to recognize these techniques and ensure they’re personalizing a strategy for each person to obtain a healthy work-life balance. When an employee has the opportunity to find the balance amongst a hectic work season, they are more likely to stay at the organization.</w:t>
      </w:r>
    </w:p>
    <w:p w14:paraId="0A55D201" w14:textId="57B92C62" w:rsidR="008500EA" w:rsidRPr="008500EA" w:rsidRDefault="008500EA" w:rsidP="00AE32B8">
      <w:pPr>
        <w:spacing w:line="480" w:lineRule="auto"/>
        <w:rPr>
          <w:b/>
          <w:color w:val="538135" w:themeColor="accent6" w:themeShade="BF"/>
          <w:sz w:val="32"/>
          <w:szCs w:val="32"/>
        </w:rPr>
      </w:pPr>
      <w:r w:rsidRPr="006D30D4">
        <w:rPr>
          <w:b/>
          <w:color w:val="538135" w:themeColor="accent6" w:themeShade="BF"/>
          <w:sz w:val="32"/>
          <w:szCs w:val="32"/>
        </w:rPr>
        <w:t>Additional Suggestions</w:t>
      </w:r>
      <w:r>
        <w:rPr>
          <w:b/>
          <w:color w:val="538135" w:themeColor="accent6" w:themeShade="BF"/>
          <w:sz w:val="32"/>
          <w:szCs w:val="32"/>
        </w:rPr>
        <w:t xml:space="preserve">: </w:t>
      </w:r>
      <w:r>
        <w:rPr>
          <w:b/>
          <w:color w:val="538135" w:themeColor="accent6" w:themeShade="BF"/>
          <w:sz w:val="32"/>
          <w:szCs w:val="32"/>
        </w:rPr>
        <w:t xml:space="preserve">Retaining </w:t>
      </w:r>
      <w:r>
        <w:rPr>
          <w:b/>
          <w:color w:val="538135" w:themeColor="accent6" w:themeShade="BF"/>
          <w:sz w:val="32"/>
          <w:szCs w:val="32"/>
        </w:rPr>
        <w:t>Millennials</w:t>
      </w:r>
      <w:r>
        <w:rPr>
          <w:b/>
          <w:color w:val="538135" w:themeColor="accent6" w:themeShade="BF"/>
          <w:sz w:val="32"/>
          <w:szCs w:val="32"/>
        </w:rPr>
        <w:t xml:space="preserve"> </w:t>
      </w:r>
    </w:p>
    <w:p w14:paraId="334FD5E6" w14:textId="1B1315B2" w:rsidR="006C2088" w:rsidRDefault="006C2088" w:rsidP="008500EA">
      <w:pPr>
        <w:spacing w:line="480" w:lineRule="auto"/>
        <w:ind w:firstLine="720"/>
        <w:rPr>
          <w:sz w:val="24"/>
          <w:szCs w:val="24"/>
        </w:rPr>
      </w:pPr>
      <w:r>
        <w:rPr>
          <w:sz w:val="24"/>
          <w:szCs w:val="24"/>
        </w:rPr>
        <w:t>Next, firms need to put in place various programs that cater to millennials in order to appeal to this huge working generation. For example, millennials show a huge desire for flexible work options</w:t>
      </w:r>
      <w:r w:rsidR="0026775E">
        <w:rPr>
          <w:sz w:val="24"/>
          <w:szCs w:val="24"/>
        </w:rPr>
        <w:t>.</w:t>
      </w:r>
      <w:r w:rsidR="0026775E">
        <w:rPr>
          <w:rStyle w:val="FootnoteReference"/>
          <w:sz w:val="24"/>
          <w:szCs w:val="24"/>
        </w:rPr>
        <w:footnoteReference w:id="29"/>
      </w:r>
      <w:r w:rsidR="0026775E">
        <w:rPr>
          <w:sz w:val="24"/>
          <w:szCs w:val="24"/>
        </w:rPr>
        <w:t xml:space="preserve"> </w:t>
      </w:r>
      <w:r>
        <w:rPr>
          <w:sz w:val="24"/>
          <w:szCs w:val="24"/>
        </w:rPr>
        <w:t xml:space="preserve">Fostering a culture where flexibility is a viable option would ensure that the work culture is one that is inviting and positive, thus leading to a </w:t>
      </w:r>
      <w:r w:rsidR="008500EA">
        <w:rPr>
          <w:sz w:val="24"/>
          <w:szCs w:val="24"/>
        </w:rPr>
        <w:t xml:space="preserve">larger draw to the career and </w:t>
      </w:r>
      <w:r>
        <w:rPr>
          <w:sz w:val="24"/>
          <w:szCs w:val="24"/>
        </w:rPr>
        <w:t xml:space="preserve">higher retention rates. </w:t>
      </w:r>
      <w:r w:rsidR="008500EA">
        <w:rPr>
          <w:sz w:val="24"/>
          <w:szCs w:val="24"/>
        </w:rPr>
        <w:t>Accounting firms have already made big moves attempting to retain this generation. However, it is important to continue i</w:t>
      </w:r>
      <w:r w:rsidR="00D50F9E">
        <w:rPr>
          <w:sz w:val="24"/>
          <w:szCs w:val="24"/>
        </w:rPr>
        <w:t>mproving</w:t>
      </w:r>
      <w:r w:rsidR="008500EA">
        <w:rPr>
          <w:sz w:val="24"/>
          <w:szCs w:val="24"/>
        </w:rPr>
        <w:t xml:space="preserve"> these changes in order to cater to the large influx of millennials in the workforce. </w:t>
      </w:r>
      <w:r>
        <w:rPr>
          <w:sz w:val="24"/>
          <w:szCs w:val="24"/>
        </w:rPr>
        <w:t xml:space="preserve">While those wishing to enter public accounting have an idea of how challenging and demanding the career can be, there’s still a way to </w:t>
      </w:r>
      <w:r w:rsidR="008500EA">
        <w:rPr>
          <w:sz w:val="24"/>
          <w:szCs w:val="24"/>
        </w:rPr>
        <w:t xml:space="preserve">balance out the hardships within this demanding profession. </w:t>
      </w:r>
    </w:p>
    <w:p w14:paraId="550C6630" w14:textId="77777777" w:rsidR="00D50F9E" w:rsidRDefault="00D50F9E" w:rsidP="006D30D4">
      <w:pPr>
        <w:spacing w:line="480" w:lineRule="auto"/>
        <w:rPr>
          <w:b/>
          <w:color w:val="538135" w:themeColor="accent6" w:themeShade="BF"/>
          <w:sz w:val="32"/>
          <w:szCs w:val="32"/>
        </w:rPr>
      </w:pPr>
    </w:p>
    <w:p w14:paraId="65DD7747" w14:textId="5724A89D" w:rsidR="006D30D4" w:rsidRPr="006D30D4" w:rsidRDefault="006D30D4" w:rsidP="006D30D4">
      <w:pPr>
        <w:spacing w:line="480" w:lineRule="auto"/>
        <w:rPr>
          <w:b/>
          <w:color w:val="538135" w:themeColor="accent6" w:themeShade="BF"/>
          <w:sz w:val="32"/>
          <w:szCs w:val="32"/>
        </w:rPr>
      </w:pPr>
      <w:r w:rsidRPr="006D30D4">
        <w:rPr>
          <w:b/>
          <w:color w:val="538135" w:themeColor="accent6" w:themeShade="BF"/>
          <w:sz w:val="32"/>
          <w:szCs w:val="32"/>
        </w:rPr>
        <w:lastRenderedPageBreak/>
        <w:t>Additional Suggestions</w:t>
      </w:r>
      <w:r w:rsidR="008500EA">
        <w:rPr>
          <w:b/>
          <w:color w:val="538135" w:themeColor="accent6" w:themeShade="BF"/>
          <w:sz w:val="32"/>
          <w:szCs w:val="32"/>
        </w:rPr>
        <w:t>: Retaining Women in the Workforce</w:t>
      </w:r>
    </w:p>
    <w:p w14:paraId="3050E117" w14:textId="49B21563" w:rsidR="00E80011" w:rsidRPr="00AE32B8" w:rsidRDefault="006C2088" w:rsidP="008500EA">
      <w:pPr>
        <w:spacing w:line="480" w:lineRule="auto"/>
        <w:ind w:firstLine="720"/>
        <w:rPr>
          <w:sz w:val="24"/>
          <w:szCs w:val="24"/>
        </w:rPr>
      </w:pPr>
      <w:r w:rsidRPr="00AE32B8">
        <w:rPr>
          <w:sz w:val="24"/>
          <w:szCs w:val="24"/>
        </w:rPr>
        <w:t xml:space="preserve">It is important to continue researching and educating firms and employees on the reasons behind turnover- whether it be due to perceived gender differences or characteristics within the accounting firms that lead to burnout. </w:t>
      </w:r>
      <w:r w:rsidR="003736CB" w:rsidRPr="00AE32B8">
        <w:rPr>
          <w:sz w:val="24"/>
          <w:szCs w:val="24"/>
        </w:rPr>
        <w:t xml:space="preserve">To ensure that this research and education is relevant, it is vital to get men and women working together to search for solutions. Obtaining various opinions from different perspectives will lead to the joint effort of improving conditions within the work force. For example, the American Institute of CPAs (AICPA) has created a Women’s Initiatives Executive Committee (WIEC), made up of men and women who are engaged in a variety of activities to help women in the accounting profession obtain higher leadership positions, while also </w:t>
      </w:r>
      <w:r w:rsidR="0026775E">
        <w:rPr>
          <w:sz w:val="24"/>
          <w:szCs w:val="24"/>
        </w:rPr>
        <w:t>engaging men and women equally.</w:t>
      </w:r>
      <w:r w:rsidR="0026775E">
        <w:rPr>
          <w:rStyle w:val="FootnoteReference"/>
          <w:sz w:val="24"/>
          <w:szCs w:val="24"/>
        </w:rPr>
        <w:footnoteReference w:id="30"/>
      </w:r>
      <w:r w:rsidR="0026775E">
        <w:rPr>
          <w:sz w:val="24"/>
          <w:szCs w:val="24"/>
        </w:rPr>
        <w:t xml:space="preserve"> </w:t>
      </w:r>
      <w:r w:rsidR="00E80011" w:rsidRPr="00AE32B8">
        <w:rPr>
          <w:sz w:val="24"/>
          <w:szCs w:val="24"/>
        </w:rPr>
        <w:t>The WIEC works on putting together workshops that educate firms on an organizational strategy to recruit, retain, and maximize women leaders</w:t>
      </w:r>
      <w:r w:rsidR="008500EA">
        <w:rPr>
          <w:sz w:val="24"/>
          <w:szCs w:val="24"/>
        </w:rPr>
        <w:t xml:space="preserve">. </w:t>
      </w:r>
      <w:r w:rsidR="00E80011" w:rsidRPr="00AE32B8">
        <w:rPr>
          <w:sz w:val="24"/>
          <w:szCs w:val="24"/>
        </w:rPr>
        <w:t>Resources like these programs encourage women in the workforce and help shape the roles of women within their careers.</w:t>
      </w:r>
    </w:p>
    <w:p w14:paraId="29D80E97" w14:textId="7A962183" w:rsidR="003736CB" w:rsidRDefault="00E80011" w:rsidP="00AE32B8">
      <w:pPr>
        <w:spacing w:line="480" w:lineRule="auto"/>
        <w:ind w:firstLine="720"/>
        <w:rPr>
          <w:sz w:val="24"/>
          <w:szCs w:val="24"/>
        </w:rPr>
      </w:pPr>
      <w:r w:rsidRPr="00AE32B8">
        <w:rPr>
          <w:sz w:val="24"/>
          <w:szCs w:val="24"/>
        </w:rPr>
        <w:t xml:space="preserve"> In order to continually combat women leaving the workforce, it is important to continue the creation of programs and resources targeted at women, </w:t>
      </w:r>
      <w:r w:rsidR="00462DAF">
        <w:rPr>
          <w:sz w:val="24"/>
          <w:szCs w:val="24"/>
        </w:rPr>
        <w:t xml:space="preserve">opening the door for growth </w:t>
      </w:r>
      <w:r w:rsidRPr="00AE32B8">
        <w:rPr>
          <w:sz w:val="24"/>
          <w:szCs w:val="24"/>
        </w:rPr>
        <w:t xml:space="preserve">and </w:t>
      </w:r>
      <w:r w:rsidR="00462DAF">
        <w:rPr>
          <w:sz w:val="24"/>
          <w:szCs w:val="24"/>
        </w:rPr>
        <w:t xml:space="preserve">the ability to </w:t>
      </w:r>
      <w:r w:rsidR="00B454B0" w:rsidRPr="00AE32B8">
        <w:rPr>
          <w:sz w:val="24"/>
          <w:szCs w:val="24"/>
        </w:rPr>
        <w:t xml:space="preserve">stay in public accounting. </w:t>
      </w:r>
      <w:r w:rsidR="008500EA">
        <w:rPr>
          <w:sz w:val="24"/>
          <w:szCs w:val="24"/>
        </w:rPr>
        <w:t>It’s important for an organization to structure their company so that they can withstand the challenges and avoid losing strong talent.</w:t>
      </w:r>
    </w:p>
    <w:p w14:paraId="356E9FB6" w14:textId="32BE9490" w:rsidR="006D30D4" w:rsidRDefault="006D30D4" w:rsidP="00AA45BB">
      <w:pPr>
        <w:spacing w:line="480" w:lineRule="auto"/>
        <w:rPr>
          <w:b/>
          <w:color w:val="538135" w:themeColor="accent6" w:themeShade="BF"/>
          <w:sz w:val="32"/>
          <w:szCs w:val="32"/>
        </w:rPr>
      </w:pPr>
      <w:r>
        <w:rPr>
          <w:b/>
          <w:color w:val="538135" w:themeColor="accent6" w:themeShade="BF"/>
          <w:sz w:val="32"/>
          <w:szCs w:val="32"/>
        </w:rPr>
        <w:lastRenderedPageBreak/>
        <w:t>Conclusion</w:t>
      </w:r>
    </w:p>
    <w:p w14:paraId="7B73FF1B" w14:textId="0B42120D" w:rsidR="0026775E" w:rsidRDefault="008500EA" w:rsidP="00AA45BB">
      <w:pPr>
        <w:spacing w:line="480" w:lineRule="auto"/>
        <w:rPr>
          <w:sz w:val="24"/>
          <w:szCs w:val="24"/>
        </w:rPr>
      </w:pPr>
      <w:r>
        <w:rPr>
          <w:b/>
          <w:color w:val="538135" w:themeColor="accent6" w:themeShade="BF"/>
          <w:sz w:val="32"/>
          <w:szCs w:val="32"/>
        </w:rPr>
        <w:tab/>
      </w:r>
      <w:r>
        <w:rPr>
          <w:sz w:val="24"/>
          <w:szCs w:val="24"/>
        </w:rPr>
        <w:t xml:space="preserve">The accounting profession is one that proves to be challenging, regardless of what position or promotional level you are at. </w:t>
      </w:r>
      <w:r w:rsidR="00D50F9E">
        <w:rPr>
          <w:sz w:val="24"/>
          <w:szCs w:val="24"/>
        </w:rPr>
        <w:t>It’s challenging but necessary to find the balance</w:t>
      </w:r>
      <w:r>
        <w:rPr>
          <w:sz w:val="24"/>
          <w:szCs w:val="24"/>
        </w:rPr>
        <w:t xml:space="preserve"> in a career that presents obstacles and high levels of pressure</w:t>
      </w:r>
      <w:r w:rsidR="00D50F9E">
        <w:rPr>
          <w:sz w:val="24"/>
          <w:szCs w:val="24"/>
        </w:rPr>
        <w:t xml:space="preserve">. </w:t>
      </w:r>
      <w:r>
        <w:rPr>
          <w:sz w:val="24"/>
          <w:szCs w:val="24"/>
        </w:rPr>
        <w:t xml:space="preserve">This ensures that while working a tough job, there are still opportunities to feel personally rewarded and content. Employers must take it upon themselves to make sure employees feel incentivized and rewarded within their occupation. </w:t>
      </w:r>
    </w:p>
    <w:p w14:paraId="08861112" w14:textId="7DCF96B5" w:rsidR="008500EA" w:rsidRDefault="008500EA" w:rsidP="0026775E">
      <w:pPr>
        <w:spacing w:line="480" w:lineRule="auto"/>
        <w:rPr>
          <w:sz w:val="24"/>
          <w:szCs w:val="24"/>
        </w:rPr>
      </w:pPr>
      <w:r>
        <w:rPr>
          <w:sz w:val="24"/>
          <w:szCs w:val="24"/>
        </w:rPr>
        <w:tab/>
        <w:t>Creating a positive work culture gives employees more of a reason to stay around and take advantage of the opportunities offered within public accounting industry. Additionally, firms need to integrate employee retention into their overall company mission and goals so that turnover fees are decreased, and top talent remains in the firm</w:t>
      </w:r>
      <w:r w:rsidR="003757D7">
        <w:rPr>
          <w:sz w:val="24"/>
          <w:szCs w:val="24"/>
        </w:rPr>
        <w:t>.</w:t>
      </w:r>
    </w:p>
    <w:p w14:paraId="72A3E9DB" w14:textId="2DA67EDE" w:rsidR="008500EA" w:rsidRPr="008500EA" w:rsidRDefault="008500EA" w:rsidP="0026775E">
      <w:pPr>
        <w:spacing w:line="480" w:lineRule="auto"/>
        <w:rPr>
          <w:sz w:val="24"/>
          <w:szCs w:val="24"/>
        </w:rPr>
      </w:pPr>
      <w:r>
        <w:rPr>
          <w:sz w:val="24"/>
          <w:szCs w:val="24"/>
        </w:rPr>
        <w:tab/>
        <w:t>Public accounting is not suited for everyone; however, it is crucial to cater to those employees who are best fit for the occupation by prioritizing employees as the number one resource within a public accounting company. Establishing this mindset will ultimately lead to fostering a culture within the company that is inviting and encourages longevity within the firm.</w:t>
      </w:r>
    </w:p>
    <w:p w14:paraId="5C16665E" w14:textId="372A3083" w:rsidR="00D21909" w:rsidRDefault="00D21909" w:rsidP="00D21909"/>
    <w:p w14:paraId="231DA7CF" w14:textId="77777777" w:rsidR="00993172" w:rsidRDefault="00993172" w:rsidP="00B22F48">
      <w:pPr>
        <w:rPr>
          <w:b/>
          <w:sz w:val="24"/>
          <w:szCs w:val="24"/>
          <w:u w:val="single"/>
        </w:rPr>
      </w:pPr>
    </w:p>
    <w:p w14:paraId="43BB76B5" w14:textId="77777777" w:rsidR="00993172" w:rsidRDefault="00993172" w:rsidP="00B22F48">
      <w:pPr>
        <w:rPr>
          <w:b/>
          <w:sz w:val="24"/>
          <w:szCs w:val="24"/>
          <w:u w:val="single"/>
        </w:rPr>
      </w:pPr>
    </w:p>
    <w:p w14:paraId="167B0537" w14:textId="77777777" w:rsidR="00E47BA9" w:rsidRDefault="00E47BA9" w:rsidP="00E47BA9">
      <w:pPr>
        <w:rPr>
          <w:b/>
          <w:sz w:val="24"/>
          <w:szCs w:val="24"/>
          <w:u w:val="single"/>
        </w:rPr>
      </w:pPr>
    </w:p>
    <w:p w14:paraId="01A57019" w14:textId="77777777" w:rsidR="0026775E" w:rsidRDefault="0026775E" w:rsidP="00E47BA9">
      <w:pPr>
        <w:rPr>
          <w:b/>
          <w:sz w:val="24"/>
          <w:szCs w:val="24"/>
          <w:u w:val="single"/>
        </w:rPr>
      </w:pPr>
    </w:p>
    <w:p w14:paraId="42CA23D5" w14:textId="77777777" w:rsidR="0026775E" w:rsidRDefault="0026775E" w:rsidP="00E47BA9">
      <w:pPr>
        <w:rPr>
          <w:b/>
          <w:sz w:val="24"/>
          <w:szCs w:val="24"/>
          <w:u w:val="single"/>
        </w:rPr>
      </w:pPr>
    </w:p>
    <w:p w14:paraId="5FCD776C" w14:textId="77777777" w:rsidR="0026775E" w:rsidRDefault="0026775E" w:rsidP="00E47BA9">
      <w:pPr>
        <w:rPr>
          <w:b/>
          <w:sz w:val="24"/>
          <w:szCs w:val="24"/>
          <w:u w:val="single"/>
        </w:rPr>
      </w:pPr>
    </w:p>
    <w:p w14:paraId="2FDD127C" w14:textId="77777777" w:rsidR="002F16E3" w:rsidRPr="001657CB" w:rsidRDefault="002F16E3" w:rsidP="002F16E3">
      <w:pPr>
        <w:rPr>
          <w:b/>
          <w:sz w:val="24"/>
          <w:szCs w:val="24"/>
          <w:u w:val="single"/>
        </w:rPr>
      </w:pPr>
      <w:r w:rsidRPr="001657CB">
        <w:rPr>
          <w:b/>
          <w:sz w:val="24"/>
          <w:szCs w:val="24"/>
          <w:u w:val="single"/>
        </w:rPr>
        <w:lastRenderedPageBreak/>
        <w:t>Works Cited</w:t>
      </w:r>
    </w:p>
    <w:p w14:paraId="4F1AE9F9" w14:textId="77777777" w:rsidR="002F16E3" w:rsidRPr="001657CB" w:rsidRDefault="002F16E3" w:rsidP="002F16E3">
      <w:pPr>
        <w:rPr>
          <w:b/>
          <w:sz w:val="24"/>
          <w:szCs w:val="24"/>
          <w:u w:val="single"/>
        </w:rPr>
      </w:pPr>
      <w:r w:rsidRPr="001657CB">
        <w:rPr>
          <w:rStyle w:val="citationtext"/>
          <w:sz w:val="24"/>
          <w:szCs w:val="24"/>
          <w:lang w:val="en"/>
        </w:rPr>
        <w:t xml:space="preserve">Bares, Ann. "2014 Turnover Rates by Industry." </w:t>
      </w:r>
      <w:r w:rsidRPr="001657CB">
        <w:rPr>
          <w:rStyle w:val="citationtext"/>
          <w:i/>
          <w:iCs/>
          <w:sz w:val="24"/>
          <w:szCs w:val="24"/>
          <w:lang w:val="en"/>
        </w:rPr>
        <w:t>'Compensation Force'</w:t>
      </w:r>
      <w:r w:rsidRPr="001657CB">
        <w:rPr>
          <w:rStyle w:val="citationtext"/>
          <w:sz w:val="24"/>
          <w:szCs w:val="24"/>
          <w:lang w:val="en"/>
        </w:rPr>
        <w:t xml:space="preserve"> N.p., 27 Mar. 2015. Web. 08 May 2016</w:t>
      </w:r>
    </w:p>
    <w:p w14:paraId="568EE7DF" w14:textId="77777777" w:rsidR="002F16E3" w:rsidRPr="001657CB" w:rsidRDefault="002F16E3" w:rsidP="002F16E3">
      <w:pPr>
        <w:rPr>
          <w:sz w:val="24"/>
          <w:szCs w:val="24"/>
        </w:rPr>
      </w:pPr>
      <w:r w:rsidRPr="001657CB">
        <w:rPr>
          <w:rStyle w:val="citationtext"/>
          <w:sz w:val="24"/>
          <w:szCs w:val="24"/>
        </w:rPr>
        <w:t xml:space="preserve">Brundage, Heidi, and Mark Koziel. "Retaining Top Talent Still a Requirement for Firms." </w:t>
      </w:r>
      <w:r w:rsidRPr="001657CB">
        <w:rPr>
          <w:rStyle w:val="citationtext"/>
          <w:i/>
          <w:iCs/>
          <w:sz w:val="24"/>
          <w:szCs w:val="24"/>
        </w:rPr>
        <w:t>Http://www.journalofaccountancy.com/issues/2010/may/20091931.html</w:t>
      </w:r>
      <w:r w:rsidRPr="001657CB">
        <w:rPr>
          <w:rStyle w:val="citationtext"/>
          <w:sz w:val="24"/>
          <w:szCs w:val="24"/>
        </w:rPr>
        <w:t>. Journal of Accountancy, 1 May 2010. Web. 7 May 2016.</w:t>
      </w:r>
    </w:p>
    <w:p w14:paraId="43623DDD" w14:textId="77777777" w:rsidR="002F16E3" w:rsidRPr="001657CB" w:rsidRDefault="002F16E3" w:rsidP="002F16E3">
      <w:pPr>
        <w:rPr>
          <w:rStyle w:val="Hyperlink"/>
          <w:color w:val="auto"/>
          <w:sz w:val="24"/>
          <w:szCs w:val="24"/>
        </w:rPr>
      </w:pPr>
      <w:r w:rsidRPr="001657CB">
        <w:rPr>
          <w:sz w:val="24"/>
          <w:szCs w:val="24"/>
        </w:rPr>
        <w:t xml:space="preserve">Buckley, P., Dr., Viechnicki, P., Dr., &amp; Barua, A. (2015, October 16). A New Understanding of Millennials: Generational Differences Reexamined. Retrieved April 25, 2016, from </w:t>
      </w:r>
      <w:hyperlink r:id="rId23" w:history="1">
        <w:r w:rsidRPr="001657CB">
          <w:rPr>
            <w:rStyle w:val="Hyperlink"/>
            <w:color w:val="auto"/>
            <w:sz w:val="24"/>
            <w:szCs w:val="24"/>
          </w:rPr>
          <w:t>http://dupress.com/articles/understanding-millennials-generational-differences/</w:t>
        </w:r>
      </w:hyperlink>
    </w:p>
    <w:p w14:paraId="2AEC17AF" w14:textId="77777777" w:rsidR="002F16E3" w:rsidRPr="001657CB" w:rsidRDefault="002F16E3" w:rsidP="002F16E3">
      <w:pPr>
        <w:rPr>
          <w:sz w:val="24"/>
          <w:szCs w:val="24"/>
        </w:rPr>
      </w:pPr>
      <w:r w:rsidRPr="001657CB">
        <w:rPr>
          <w:rStyle w:val="citationtext"/>
          <w:sz w:val="24"/>
          <w:szCs w:val="24"/>
          <w:lang w:val="en"/>
        </w:rPr>
        <w:t xml:space="preserve">Chang, Hsihui, Hiu Lam Choy, and Iny Hwang. "Annals of Operations Research." </w:t>
      </w:r>
      <w:r w:rsidRPr="001657CB">
        <w:rPr>
          <w:rStyle w:val="citationtext"/>
          <w:i/>
          <w:iCs/>
          <w:sz w:val="24"/>
          <w:szCs w:val="24"/>
          <w:lang w:val="en"/>
        </w:rPr>
        <w:t>Annals of Operations Research</w:t>
      </w:r>
      <w:r w:rsidRPr="001657CB">
        <w:rPr>
          <w:rStyle w:val="citationtext"/>
          <w:sz w:val="24"/>
          <w:szCs w:val="24"/>
          <w:lang w:val="en"/>
        </w:rPr>
        <w:t xml:space="preserve"> 229.1 (2015): 253-64. Web. 25 Apr. 2016. &lt;http://link.springer.com.proxy.lib.utk.edu:90/article/10.1007/s10479-015-1826-4/fulltext.html&gt;.</w:t>
      </w:r>
    </w:p>
    <w:p w14:paraId="3E556A98" w14:textId="77777777" w:rsidR="002F16E3" w:rsidRPr="001657CB" w:rsidRDefault="002F16E3" w:rsidP="002F16E3">
      <w:pPr>
        <w:rPr>
          <w:sz w:val="24"/>
          <w:szCs w:val="24"/>
        </w:rPr>
      </w:pPr>
      <w:r w:rsidRPr="001657CB">
        <w:rPr>
          <w:sz w:val="24"/>
          <w:szCs w:val="24"/>
        </w:rPr>
        <w:t>Cohn, M. (2012, August 28). Leave Public Accounting after 3 to 6 Years, Says Research. Retrieved April 28, 2016, from http://www.accountingtoday.com/news/leave-public-accounting-coehnen-brothers-63814-1.html</w:t>
      </w:r>
    </w:p>
    <w:p w14:paraId="6DE710C6" w14:textId="77777777" w:rsidR="002F16E3" w:rsidRPr="001657CB" w:rsidRDefault="002F16E3" w:rsidP="002F16E3">
      <w:pPr>
        <w:rPr>
          <w:rStyle w:val="Hyperlink"/>
          <w:color w:val="auto"/>
          <w:sz w:val="24"/>
          <w:szCs w:val="24"/>
        </w:rPr>
      </w:pPr>
      <w:r w:rsidRPr="001657CB">
        <w:rPr>
          <w:sz w:val="24"/>
          <w:szCs w:val="24"/>
        </w:rPr>
        <w:t xml:space="preserve">Durant, J. (2013, April 17). Top 10 Reasons to Consider a Change from Public Accounting to Private Industry Now. Retrieved April 28, 2016, from </w:t>
      </w:r>
      <w:hyperlink r:id="rId24" w:history="1">
        <w:r w:rsidRPr="001657CB">
          <w:rPr>
            <w:rStyle w:val="Hyperlink"/>
            <w:color w:val="auto"/>
            <w:sz w:val="24"/>
            <w:szCs w:val="24"/>
          </w:rPr>
          <w:t>https://www.winterwyman.com/blog/top-10-reasons-consider-change-public-accounting-private-industry-now</w:t>
        </w:r>
      </w:hyperlink>
    </w:p>
    <w:p w14:paraId="547B67AD" w14:textId="77777777" w:rsidR="002F16E3" w:rsidRPr="001657CB" w:rsidRDefault="002F16E3" w:rsidP="002F16E3">
      <w:pPr>
        <w:rPr>
          <w:sz w:val="24"/>
          <w:szCs w:val="24"/>
        </w:rPr>
      </w:pPr>
      <w:r w:rsidRPr="001657CB">
        <w:rPr>
          <w:sz w:val="24"/>
          <w:szCs w:val="24"/>
          <w:lang w:val="es-BO"/>
        </w:rPr>
        <w:t xml:space="preserve">Elkjaer, D., &amp; Filmer, S. (n.d.). </w:t>
      </w:r>
      <w:r w:rsidRPr="001657CB">
        <w:rPr>
          <w:sz w:val="24"/>
          <w:szCs w:val="24"/>
        </w:rPr>
        <w:t>Trends and Drivers of Workforce Turnover. Retrieved May 7, 2016, from http://www.mercer.com/content/dam/mercer/attachments/global/webcasts/trends-and-drivers-of-workforce-turnover-results-from-mercers-2014-turnover-survey.pdf</w:t>
      </w:r>
    </w:p>
    <w:p w14:paraId="1D45397B" w14:textId="77777777" w:rsidR="002F16E3" w:rsidRPr="001657CB" w:rsidRDefault="002F16E3" w:rsidP="002F16E3">
      <w:pPr>
        <w:rPr>
          <w:sz w:val="24"/>
          <w:szCs w:val="24"/>
        </w:rPr>
      </w:pPr>
      <w:r w:rsidRPr="001657CB">
        <w:rPr>
          <w:sz w:val="24"/>
          <w:szCs w:val="24"/>
        </w:rPr>
        <w:t xml:space="preserve">EY - Infographic: Millennials Generation Go. (n.d.). Retrieved April 29, 2016, from </w:t>
      </w:r>
      <w:hyperlink r:id="rId25" w:history="1">
        <w:r w:rsidRPr="001657CB">
          <w:rPr>
            <w:rStyle w:val="Hyperlink"/>
            <w:color w:val="auto"/>
            <w:sz w:val="24"/>
            <w:szCs w:val="24"/>
          </w:rPr>
          <w:t>http://www.ey.com/US/en/About-us/Our-people-and-culture/EY-infographic-millennials-generation-go</w:t>
        </w:r>
      </w:hyperlink>
    </w:p>
    <w:p w14:paraId="03BAF12A" w14:textId="77777777" w:rsidR="002F16E3" w:rsidRPr="001657CB" w:rsidRDefault="002F16E3" w:rsidP="002F16E3">
      <w:pPr>
        <w:rPr>
          <w:sz w:val="24"/>
          <w:szCs w:val="24"/>
        </w:rPr>
      </w:pPr>
      <w:r w:rsidRPr="001657CB">
        <w:rPr>
          <w:rStyle w:val="pfn-body"/>
          <w:sz w:val="24"/>
          <w:szCs w:val="24"/>
        </w:rPr>
        <w:t xml:space="preserve">"Gender Issues and Business Case," American Institute of Public Accountants (AICPA), </w:t>
      </w:r>
      <w:hyperlink r:id="rId26" w:history="1">
        <w:r w:rsidRPr="001657CB">
          <w:rPr>
            <w:rStyle w:val="Hyperlink"/>
            <w:color w:val="auto"/>
            <w:sz w:val="24"/>
            <w:szCs w:val="24"/>
          </w:rPr>
          <w:t>http://www.aicpa.org/Career/WomenintheProfession/Pages/GenderIssues.aspx</w:t>
        </w:r>
      </w:hyperlink>
      <w:r w:rsidRPr="001657CB">
        <w:rPr>
          <w:rStyle w:val="pfn-body"/>
          <w:sz w:val="24"/>
          <w:szCs w:val="24"/>
        </w:rPr>
        <w:t>;</w:t>
      </w:r>
    </w:p>
    <w:p w14:paraId="35C284B1" w14:textId="77777777" w:rsidR="002F16E3" w:rsidRPr="001657CB" w:rsidRDefault="002F16E3" w:rsidP="002F16E3">
      <w:pPr>
        <w:rPr>
          <w:sz w:val="24"/>
          <w:szCs w:val="24"/>
        </w:rPr>
      </w:pPr>
      <w:r w:rsidRPr="001657CB">
        <w:rPr>
          <w:sz w:val="24"/>
          <w:szCs w:val="24"/>
        </w:rPr>
        <w:t xml:space="preserve">Gibney, A. (Director), &amp; Gibney, A., Elkind, P., McLean, B., &amp; Coyote, P. (Writers). (2005). </w:t>
      </w:r>
      <w:r w:rsidRPr="001657CB">
        <w:rPr>
          <w:i/>
          <w:iCs/>
          <w:sz w:val="24"/>
          <w:szCs w:val="24"/>
        </w:rPr>
        <w:t>Enron: The smartest guys in the room</w:t>
      </w:r>
      <w:r w:rsidRPr="001657CB">
        <w:rPr>
          <w:sz w:val="24"/>
          <w:szCs w:val="24"/>
        </w:rPr>
        <w:t xml:space="preserve"> [Motion picture on DVD]. United States: Magnolia Pictures</w:t>
      </w:r>
    </w:p>
    <w:p w14:paraId="02694921" w14:textId="77777777" w:rsidR="002F16E3" w:rsidRPr="001657CB" w:rsidRDefault="002F16E3" w:rsidP="002F16E3">
      <w:pPr>
        <w:spacing w:after="0" w:line="240" w:lineRule="auto"/>
        <w:rPr>
          <w:rFonts w:eastAsia="Times New Roman" w:cs="Arial"/>
          <w:sz w:val="24"/>
          <w:szCs w:val="24"/>
        </w:rPr>
      </w:pPr>
      <w:r w:rsidRPr="001657CB">
        <w:rPr>
          <w:rFonts w:eastAsia="Times New Roman" w:cs="Arial"/>
          <w:sz w:val="24"/>
          <w:szCs w:val="24"/>
        </w:rPr>
        <w:t>Greenhaus, Jeffrey H., Karen M. Collins, Romila Singh &amp; Saroj Parasurman. “Work and Family Influences on Departure from Public Accounting.” Journal of Vocational Behavior 50 (1997): 251.</w:t>
      </w:r>
    </w:p>
    <w:p w14:paraId="1C272DC3" w14:textId="77777777" w:rsidR="002F16E3" w:rsidRPr="001657CB" w:rsidRDefault="002F16E3" w:rsidP="002F16E3">
      <w:pPr>
        <w:spacing w:after="0" w:line="240" w:lineRule="auto"/>
        <w:rPr>
          <w:rFonts w:eastAsia="Times New Roman" w:cs="Arial"/>
          <w:sz w:val="24"/>
          <w:szCs w:val="24"/>
        </w:rPr>
      </w:pPr>
    </w:p>
    <w:p w14:paraId="26136337" w14:textId="77777777" w:rsidR="002F16E3" w:rsidRPr="001657CB" w:rsidRDefault="002F16E3" w:rsidP="002F16E3">
      <w:pPr>
        <w:rPr>
          <w:sz w:val="24"/>
          <w:szCs w:val="24"/>
        </w:rPr>
      </w:pPr>
      <w:r w:rsidRPr="001657CB">
        <w:rPr>
          <w:sz w:val="24"/>
          <w:szCs w:val="24"/>
        </w:rPr>
        <w:lastRenderedPageBreak/>
        <w:t xml:space="preserve">Guthrie, Cynthia P. and Jones, Ambrose III. "Job Burnout in Public Accounting: Understanding Gender Differences." </w:t>
      </w:r>
      <w:r w:rsidRPr="001657CB">
        <w:rPr>
          <w:rStyle w:val="Emphasis"/>
          <w:sz w:val="24"/>
          <w:szCs w:val="24"/>
        </w:rPr>
        <w:t>Journal of Managerial Issues</w:t>
      </w:r>
      <w:r w:rsidRPr="001657CB">
        <w:rPr>
          <w:sz w:val="24"/>
          <w:szCs w:val="24"/>
        </w:rPr>
        <w:t xml:space="preserve"> 24, no. 4 (2012) : 390-411.</w:t>
      </w:r>
    </w:p>
    <w:p w14:paraId="50D20980" w14:textId="77777777" w:rsidR="002F16E3" w:rsidRPr="001657CB" w:rsidRDefault="002F16E3" w:rsidP="002F16E3">
      <w:pPr>
        <w:rPr>
          <w:sz w:val="24"/>
          <w:szCs w:val="24"/>
        </w:rPr>
      </w:pPr>
      <w:r w:rsidRPr="001657CB">
        <w:rPr>
          <w:sz w:val="24"/>
          <w:szCs w:val="24"/>
        </w:rPr>
        <w:t xml:space="preserve">Hamel, G. (n.d.). The Effects of High Turnover in Companies. Retrieved May 07, 2016, from http://smallbusiness.chron.com/effects-high-turnover-companies-16572.html </w:t>
      </w:r>
    </w:p>
    <w:p w14:paraId="24C34925" w14:textId="77777777" w:rsidR="002F16E3" w:rsidRPr="001657CB" w:rsidRDefault="002F16E3" w:rsidP="002F16E3">
      <w:pPr>
        <w:rPr>
          <w:sz w:val="24"/>
          <w:szCs w:val="24"/>
        </w:rPr>
      </w:pPr>
      <w:r w:rsidRPr="001657CB">
        <w:rPr>
          <w:rFonts w:cs="Arial"/>
          <w:sz w:val="24"/>
          <w:szCs w:val="24"/>
        </w:rPr>
        <w:t>How CPA Firms Can Reduce Staff Turnover and Boost Profits. (2015, May 27). Retrieved May 08, 2016, from http://www.cpapracticeadvisor.com/news/12077704/how-cpa-firms-can-reduce-staff-turnover-and-boost-profits</w:t>
      </w:r>
    </w:p>
    <w:p w14:paraId="72D9DB84" w14:textId="77777777" w:rsidR="002F16E3" w:rsidRPr="001657CB" w:rsidRDefault="002F16E3" w:rsidP="002F16E3">
      <w:pPr>
        <w:rPr>
          <w:rStyle w:val="Hyperlink"/>
          <w:color w:val="auto"/>
          <w:sz w:val="24"/>
          <w:szCs w:val="24"/>
        </w:rPr>
      </w:pPr>
      <w:r w:rsidRPr="001657CB">
        <w:rPr>
          <w:sz w:val="24"/>
          <w:szCs w:val="24"/>
        </w:rPr>
        <w:t xml:space="preserve">(Inside Public) INSIDE Public Accounting Releases The 2015 National Benchmarking Report. (2015, October 1). Retrieved April 26, 2016, from </w:t>
      </w:r>
      <w:hyperlink r:id="rId27" w:history="1">
        <w:r w:rsidRPr="001657CB">
          <w:rPr>
            <w:rStyle w:val="Hyperlink"/>
            <w:color w:val="auto"/>
            <w:sz w:val="24"/>
            <w:szCs w:val="24"/>
          </w:rPr>
          <w:t>http://www.cpafma.org/articles/inside-public-accounting-releases-2015-national-benchmarking-report/</w:t>
        </w:r>
      </w:hyperlink>
    </w:p>
    <w:p w14:paraId="2AC7574F" w14:textId="77777777" w:rsidR="002F16E3" w:rsidRPr="001657CB" w:rsidRDefault="002F16E3" w:rsidP="002F16E3">
      <w:pPr>
        <w:rPr>
          <w:rStyle w:val="Hyperlink"/>
          <w:color w:val="auto"/>
          <w:sz w:val="24"/>
          <w:szCs w:val="24"/>
        </w:rPr>
      </w:pPr>
      <w:r w:rsidRPr="001657CB">
        <w:rPr>
          <w:sz w:val="24"/>
          <w:szCs w:val="24"/>
        </w:rPr>
        <w:t>Leadership in Public Accounting Firms: Why So Few Women?   //. (2014, March 13). Retrieved May 06, 2016, from http://pcaobus.org/News/Speech/Pages/03132014_Washington_Women.aspx</w:t>
      </w:r>
    </w:p>
    <w:p w14:paraId="3C6D2B05" w14:textId="77777777" w:rsidR="002F16E3" w:rsidRPr="001657CB" w:rsidRDefault="002F16E3" w:rsidP="002F16E3">
      <w:pPr>
        <w:spacing w:after="0" w:line="240" w:lineRule="auto"/>
        <w:rPr>
          <w:rFonts w:eastAsia="Times New Roman" w:cs="Arial"/>
          <w:sz w:val="24"/>
          <w:szCs w:val="24"/>
        </w:rPr>
      </w:pPr>
      <w:r w:rsidRPr="001657CB">
        <w:rPr>
          <w:rFonts w:eastAsia="Times New Roman" w:cs="Arial"/>
          <w:sz w:val="24"/>
          <w:szCs w:val="24"/>
        </w:rPr>
        <w:t>MacLean, Erin L., "Reducing Employee Turnover in the Big Four Public Accounting Firms" (2013).CMC Senior Theses.Paper 745.http://scholarship.claremont.edu/cmc_theses/745</w:t>
      </w:r>
    </w:p>
    <w:p w14:paraId="431836EF" w14:textId="77777777" w:rsidR="002F16E3" w:rsidRPr="001657CB" w:rsidRDefault="002F16E3" w:rsidP="002F16E3">
      <w:pPr>
        <w:spacing w:after="0" w:line="240" w:lineRule="auto"/>
        <w:rPr>
          <w:rFonts w:eastAsia="Times New Roman" w:cs="Arial"/>
          <w:sz w:val="24"/>
          <w:szCs w:val="24"/>
        </w:rPr>
      </w:pPr>
    </w:p>
    <w:p w14:paraId="130039AE" w14:textId="77777777" w:rsidR="002F16E3" w:rsidRPr="001657CB" w:rsidRDefault="002F16E3" w:rsidP="002F16E3">
      <w:pPr>
        <w:rPr>
          <w:rStyle w:val="Hyperlink"/>
          <w:color w:val="auto"/>
          <w:sz w:val="24"/>
          <w:szCs w:val="24"/>
        </w:rPr>
      </w:pPr>
      <w:r w:rsidRPr="001657CB">
        <w:rPr>
          <w:sz w:val="24"/>
          <w:szCs w:val="24"/>
        </w:rPr>
        <w:t xml:space="preserve">Millennial Survey 2016 | Deloitte | Social impact, Innovation. (n.d.). Retrieved April 25, 2016, from </w:t>
      </w:r>
      <w:hyperlink r:id="rId28" w:history="1">
        <w:r w:rsidRPr="001657CB">
          <w:rPr>
            <w:rStyle w:val="Hyperlink"/>
            <w:color w:val="auto"/>
            <w:sz w:val="24"/>
            <w:szCs w:val="24"/>
          </w:rPr>
          <w:t>http://www2.deloitte.com/global/en/pages/about-deloitte/articles/millennialsurvey.html</w:t>
        </w:r>
      </w:hyperlink>
    </w:p>
    <w:p w14:paraId="0AB18D4C" w14:textId="77777777" w:rsidR="002F16E3" w:rsidRPr="001657CB" w:rsidRDefault="002F16E3" w:rsidP="002F16E3">
      <w:pPr>
        <w:rPr>
          <w:sz w:val="24"/>
          <w:szCs w:val="24"/>
        </w:rPr>
      </w:pPr>
      <w:r w:rsidRPr="001657CB">
        <w:rPr>
          <w:rFonts w:cs="Arial"/>
          <w:sz w:val="24"/>
          <w:szCs w:val="24"/>
        </w:rPr>
        <w:t>Newquist, C. (2012, January 25). And Now, Let's Compare Three Different Compensation Scenarios. Retrieved May 08, 2016, from http://goingconcern.com/post/and-now-lets-compare-three-different-15-year-compensation-scenarios</w:t>
      </w:r>
    </w:p>
    <w:p w14:paraId="58866237" w14:textId="77777777" w:rsidR="002F16E3" w:rsidRPr="001657CB" w:rsidRDefault="002F16E3" w:rsidP="002F16E3">
      <w:pPr>
        <w:rPr>
          <w:rStyle w:val="Hyperlink"/>
          <w:color w:val="auto"/>
          <w:sz w:val="24"/>
          <w:szCs w:val="24"/>
        </w:rPr>
      </w:pPr>
      <w:r w:rsidRPr="001657CB">
        <w:rPr>
          <w:sz w:val="24"/>
          <w:szCs w:val="24"/>
        </w:rPr>
        <w:t xml:space="preserve">Newquist, C. (2015, November 16). Going Concern. Retrieved April 26, 2016, from </w:t>
      </w:r>
      <w:hyperlink r:id="rId29" w:history="1">
        <w:r w:rsidRPr="001657CB">
          <w:rPr>
            <w:rStyle w:val="Hyperlink"/>
            <w:color w:val="auto"/>
            <w:sz w:val="24"/>
            <w:szCs w:val="24"/>
          </w:rPr>
          <w:t>http://goingconcern.co</w:t>
        </w:r>
        <w:r w:rsidRPr="001657CB">
          <w:rPr>
            <w:rStyle w:val="Hyperlink"/>
            <w:color w:val="auto"/>
            <w:sz w:val="24"/>
            <w:szCs w:val="24"/>
          </w:rPr>
          <w:t>m</w:t>
        </w:r>
        <w:r w:rsidRPr="001657CB">
          <w:rPr>
            <w:rStyle w:val="Hyperlink"/>
            <w:color w:val="auto"/>
            <w:sz w:val="24"/>
            <w:szCs w:val="24"/>
          </w:rPr>
          <w:t>/post/here-s-another-lousy-stat-number-women-partners-accounting-firms</w:t>
        </w:r>
      </w:hyperlink>
    </w:p>
    <w:p w14:paraId="3672CE5E" w14:textId="77777777" w:rsidR="002F16E3" w:rsidRPr="001657CB" w:rsidRDefault="002F16E3" w:rsidP="002F16E3">
      <w:pPr>
        <w:rPr>
          <w:rStyle w:val="Hyperlink"/>
          <w:color w:val="auto"/>
          <w:sz w:val="24"/>
          <w:szCs w:val="24"/>
        </w:rPr>
      </w:pPr>
      <w:r w:rsidRPr="001657CB">
        <w:rPr>
          <w:rFonts w:cs="Arial"/>
          <w:sz w:val="24"/>
          <w:szCs w:val="24"/>
        </w:rPr>
        <w:t>Neywatch, U. (2012, November 21). How much does it cost companies to lose employees? Retrieved May 08, 2016, from http://www.cbsnews.com/news/how-much-does-it-cost-companies-to-lose-employees/</w:t>
      </w:r>
    </w:p>
    <w:p w14:paraId="6D63C5AF" w14:textId="77777777" w:rsidR="002F16E3" w:rsidRPr="001657CB" w:rsidRDefault="002F16E3" w:rsidP="002F16E3">
      <w:pPr>
        <w:rPr>
          <w:sz w:val="24"/>
          <w:szCs w:val="24"/>
        </w:rPr>
      </w:pPr>
      <w:r w:rsidRPr="001657CB">
        <w:rPr>
          <w:sz w:val="24"/>
          <w:szCs w:val="24"/>
        </w:rPr>
        <w:t xml:space="preserve">Positions in Public Accounting. (n.d.). Retrieved April 30, 2016, from </w:t>
      </w:r>
      <w:hyperlink r:id="rId30" w:history="1">
        <w:r w:rsidRPr="001657CB">
          <w:rPr>
            <w:rStyle w:val="Hyperlink"/>
            <w:color w:val="auto"/>
            <w:sz w:val="24"/>
            <w:szCs w:val="24"/>
          </w:rPr>
          <w:t>http://www.aicpa.org/CAREER/CAREERPATHS/PUBLICACCOUNTING/Pages/default.aspx</w:t>
        </w:r>
      </w:hyperlink>
    </w:p>
    <w:p w14:paraId="27A3CD1A" w14:textId="77777777" w:rsidR="002F16E3" w:rsidRPr="001657CB" w:rsidRDefault="002F16E3" w:rsidP="002F16E3">
      <w:pPr>
        <w:rPr>
          <w:rStyle w:val="Hyperlink"/>
          <w:color w:val="auto"/>
          <w:sz w:val="24"/>
          <w:szCs w:val="24"/>
        </w:rPr>
      </w:pPr>
      <w:r w:rsidRPr="001657CB">
        <w:rPr>
          <w:sz w:val="24"/>
          <w:szCs w:val="24"/>
        </w:rPr>
        <w:t>Stringfield, M. (n.d.). News By Topic. Retrieved May 07, 2016, from http://www.plansponsor.com/blank.aspx?id=6442477928</w:t>
      </w:r>
    </w:p>
    <w:p w14:paraId="5200221B" w14:textId="77777777" w:rsidR="002F16E3" w:rsidRPr="001657CB" w:rsidRDefault="002F16E3" w:rsidP="002F16E3">
      <w:pPr>
        <w:rPr>
          <w:sz w:val="24"/>
          <w:szCs w:val="24"/>
        </w:rPr>
      </w:pPr>
      <w:r w:rsidRPr="001657CB">
        <w:rPr>
          <w:sz w:val="24"/>
          <w:szCs w:val="24"/>
        </w:rPr>
        <w:t xml:space="preserve">The Most Important Issues for Women in the Accounting Profession . (n.d.). Retrieved May 06, 2016, from </w:t>
      </w:r>
      <w:hyperlink r:id="rId31" w:history="1">
        <w:r w:rsidRPr="001657CB">
          <w:rPr>
            <w:rStyle w:val="Hyperlink"/>
            <w:color w:val="auto"/>
            <w:sz w:val="24"/>
            <w:szCs w:val="24"/>
          </w:rPr>
          <w:t>https://www.aicpa.org/interestareas/youngcpanetwork/resources/career/pages/themostimportantissuesforwomenintheaccountingprofession.aspx</w:t>
        </w:r>
      </w:hyperlink>
    </w:p>
    <w:p w14:paraId="6A294078" w14:textId="77777777" w:rsidR="002F16E3" w:rsidRPr="001657CB" w:rsidRDefault="002F16E3" w:rsidP="002F16E3">
      <w:pPr>
        <w:spacing w:after="0" w:line="240" w:lineRule="auto"/>
        <w:rPr>
          <w:sz w:val="24"/>
          <w:szCs w:val="24"/>
        </w:rPr>
      </w:pPr>
      <w:r w:rsidRPr="001657CB">
        <w:rPr>
          <w:sz w:val="24"/>
          <w:szCs w:val="24"/>
        </w:rPr>
        <w:lastRenderedPageBreak/>
        <w:t xml:space="preserve">Wilson, S. (n.d.). 8 tips for surviving busy season . Retrieved May 06, 2016, from </w:t>
      </w:r>
      <w:hyperlink r:id="rId32" w:history="1">
        <w:r w:rsidRPr="001657CB">
          <w:rPr>
            <w:rStyle w:val="Hyperlink"/>
            <w:color w:val="auto"/>
            <w:sz w:val="24"/>
            <w:szCs w:val="24"/>
          </w:rPr>
          <w:t>https://www.aicpa.org/interestareas/youngcpanetwork/resources/professionalissues/pages/tips-for-surviving-tax-season.aspx</w:t>
        </w:r>
      </w:hyperlink>
    </w:p>
    <w:p w14:paraId="4B9B338E" w14:textId="77777777" w:rsidR="002F16E3" w:rsidRPr="001657CB" w:rsidRDefault="002F16E3" w:rsidP="002F16E3">
      <w:pPr>
        <w:spacing w:after="0" w:line="240" w:lineRule="auto"/>
        <w:rPr>
          <w:rStyle w:val="Hyperlink"/>
          <w:color w:val="auto"/>
          <w:sz w:val="24"/>
          <w:szCs w:val="24"/>
          <w:u w:val="none"/>
        </w:rPr>
      </w:pPr>
    </w:p>
    <w:p w14:paraId="1C15A102" w14:textId="77777777" w:rsidR="002F16E3" w:rsidRPr="001657CB" w:rsidRDefault="002F16E3" w:rsidP="002F16E3">
      <w:pPr>
        <w:rPr>
          <w:sz w:val="24"/>
          <w:szCs w:val="24"/>
        </w:rPr>
      </w:pPr>
      <w:r w:rsidRPr="001657CB">
        <w:rPr>
          <w:sz w:val="24"/>
          <w:szCs w:val="24"/>
        </w:rPr>
        <w:t xml:space="preserve">Women in the Profession. (2015, November). Retrieved April 28, 2016, from </w:t>
      </w:r>
      <w:hyperlink r:id="rId33" w:history="1">
        <w:r w:rsidRPr="001657CB">
          <w:rPr>
            <w:rStyle w:val="Hyperlink"/>
            <w:color w:val="auto"/>
            <w:sz w:val="24"/>
            <w:szCs w:val="24"/>
          </w:rPr>
          <w:t>http://www.aicpa.org/Career/WomenintheProfession/Pages/WomenintheProfession.aspx</w:t>
        </w:r>
      </w:hyperlink>
    </w:p>
    <w:p w14:paraId="3F19E519" w14:textId="77777777" w:rsidR="00FB2516" w:rsidRPr="00753EC1" w:rsidRDefault="00FB2516" w:rsidP="002F16E3">
      <w:pPr>
        <w:rPr>
          <w:sz w:val="24"/>
          <w:szCs w:val="24"/>
        </w:rPr>
      </w:pPr>
    </w:p>
    <w:sectPr w:rsidR="00FB2516" w:rsidRPr="00753EC1" w:rsidSect="002F16E3">
      <w:head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2260E" w14:textId="77777777" w:rsidR="00DE1D24" w:rsidRDefault="00DE1D24" w:rsidP="00DC6899">
      <w:pPr>
        <w:spacing w:after="0" w:line="240" w:lineRule="auto"/>
      </w:pPr>
      <w:r>
        <w:separator/>
      </w:r>
    </w:p>
  </w:endnote>
  <w:endnote w:type="continuationSeparator" w:id="0">
    <w:p w14:paraId="280110CE" w14:textId="77777777" w:rsidR="00DE1D24" w:rsidRDefault="00DE1D24" w:rsidP="00DC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BF162" w14:textId="77777777" w:rsidR="00DE1D24" w:rsidRDefault="00DE1D24" w:rsidP="00DC6899">
      <w:pPr>
        <w:spacing w:after="0" w:line="240" w:lineRule="auto"/>
      </w:pPr>
      <w:r>
        <w:separator/>
      </w:r>
    </w:p>
  </w:footnote>
  <w:footnote w:type="continuationSeparator" w:id="0">
    <w:p w14:paraId="75A81BF3" w14:textId="77777777" w:rsidR="00DE1D24" w:rsidRDefault="00DE1D24" w:rsidP="00DC6899">
      <w:pPr>
        <w:spacing w:after="0" w:line="240" w:lineRule="auto"/>
      </w:pPr>
      <w:r>
        <w:continuationSeparator/>
      </w:r>
    </w:p>
  </w:footnote>
  <w:footnote w:id="1">
    <w:p w14:paraId="28089E21" w14:textId="06164374" w:rsidR="002F16E3" w:rsidRPr="002F16E3" w:rsidRDefault="002F16E3" w:rsidP="002F16E3">
      <w:pPr>
        <w:rPr>
          <w:sz w:val="24"/>
          <w:szCs w:val="24"/>
        </w:rPr>
      </w:pPr>
      <w:r>
        <w:rPr>
          <w:rStyle w:val="FootnoteReference"/>
        </w:rPr>
        <w:footnoteRef/>
      </w:r>
      <w:r w:rsidRPr="002F16E3">
        <w:t xml:space="preserve"> </w:t>
      </w:r>
      <w:r w:rsidRPr="001657CB">
        <w:rPr>
          <w:sz w:val="24"/>
          <w:szCs w:val="24"/>
        </w:rPr>
        <w:t xml:space="preserve">Hamel, G. (n.d.). The Effects of High Turnover in Companies. Retrieved May 07, 2016, from http://smallbusiness.chron.com/effects-high-turnover-companies-16572.html </w:t>
      </w:r>
    </w:p>
  </w:footnote>
  <w:footnote w:id="2">
    <w:p w14:paraId="6088D658" w14:textId="50FFE276" w:rsidR="00E47BA9" w:rsidRPr="00E47BA9" w:rsidRDefault="00E47BA9" w:rsidP="00E47BA9">
      <w:pPr>
        <w:rPr>
          <w:sz w:val="24"/>
          <w:szCs w:val="24"/>
        </w:rPr>
      </w:pPr>
      <w:r>
        <w:rPr>
          <w:rStyle w:val="FootnoteReference"/>
        </w:rPr>
        <w:footnoteRef/>
      </w:r>
      <w:r w:rsidRPr="00E47BA9">
        <w:rPr>
          <w:lang w:val="es-BO"/>
        </w:rPr>
        <w:t xml:space="preserve"> </w:t>
      </w:r>
      <w:r w:rsidRPr="001657CB">
        <w:rPr>
          <w:sz w:val="24"/>
          <w:szCs w:val="24"/>
          <w:lang w:val="es-BO"/>
        </w:rPr>
        <w:t xml:space="preserve">Elkjaer, D., &amp; Filmer, S. (n.d.). </w:t>
      </w:r>
      <w:r w:rsidRPr="001657CB">
        <w:rPr>
          <w:sz w:val="24"/>
          <w:szCs w:val="24"/>
        </w:rPr>
        <w:t xml:space="preserve">Trends and Drivers of Workforce Turnover. </w:t>
      </w:r>
      <w:r>
        <w:rPr>
          <w:sz w:val="24"/>
          <w:szCs w:val="24"/>
        </w:rPr>
        <w:t>F</w:t>
      </w:r>
      <w:r w:rsidRPr="001657CB">
        <w:rPr>
          <w:sz w:val="24"/>
          <w:szCs w:val="24"/>
        </w:rPr>
        <w:t>rom http://www.mercer.com/content/dam/mercer/attachments/global/webcasts/trends-and-drivers-of-workforce-turnover-results-from-mercers-2014-turnover-survey.pdf</w:t>
      </w:r>
    </w:p>
  </w:footnote>
  <w:footnote w:id="3">
    <w:p w14:paraId="57F11540" w14:textId="77777777" w:rsidR="00E47BA9" w:rsidRPr="001657CB" w:rsidRDefault="00E47BA9" w:rsidP="00E47BA9">
      <w:pPr>
        <w:rPr>
          <w:rStyle w:val="Hyperlink"/>
          <w:color w:val="auto"/>
          <w:sz w:val="24"/>
          <w:szCs w:val="24"/>
        </w:rPr>
      </w:pPr>
      <w:r>
        <w:rPr>
          <w:rStyle w:val="FootnoteReference"/>
        </w:rPr>
        <w:footnoteRef/>
      </w:r>
      <w:r w:rsidRPr="001657CB">
        <w:rPr>
          <w:rFonts w:cs="Arial"/>
          <w:sz w:val="24"/>
          <w:szCs w:val="24"/>
        </w:rPr>
        <w:t>Neywatch, U. (2012, November 21). How much does it cost companies to lose employees? Retrieved May 08, 2016, from http://www.cbsnews.com/news/how-much-does-it-cost-companies-to-lose-employees/</w:t>
      </w:r>
    </w:p>
    <w:p w14:paraId="2246899C" w14:textId="612B5F3A" w:rsidR="00E47BA9" w:rsidRDefault="00E47BA9" w:rsidP="00E47BA9"/>
  </w:footnote>
  <w:footnote w:id="4">
    <w:p w14:paraId="490439E2" w14:textId="2F7A29E5" w:rsidR="00E47BA9" w:rsidRPr="00946D8B" w:rsidRDefault="00E47BA9" w:rsidP="00946D8B">
      <w:pPr>
        <w:rPr>
          <w:sz w:val="24"/>
          <w:szCs w:val="24"/>
          <w:u w:val="single"/>
        </w:rPr>
      </w:pPr>
      <w:r>
        <w:rPr>
          <w:rStyle w:val="FootnoteReference"/>
        </w:rPr>
        <w:footnoteRef/>
      </w:r>
      <w:r>
        <w:t xml:space="preserve"> </w:t>
      </w:r>
      <w:r w:rsidRPr="001657CB">
        <w:rPr>
          <w:sz w:val="24"/>
          <w:szCs w:val="24"/>
        </w:rPr>
        <w:t xml:space="preserve">(Inside Public) INSIDE Public Accounting Releases The 2015 National Benchmarking Report. (2015, October 1). Retrieved April 26, 2016, from </w:t>
      </w:r>
      <w:hyperlink r:id="rId1" w:history="1">
        <w:r w:rsidRPr="001657CB">
          <w:rPr>
            <w:rStyle w:val="Hyperlink"/>
            <w:color w:val="auto"/>
            <w:sz w:val="24"/>
            <w:szCs w:val="24"/>
          </w:rPr>
          <w:t>http://www.cpafma.org/articles/inside-public-accounting-releases-2015-national-benchmarking-report/</w:t>
        </w:r>
      </w:hyperlink>
    </w:p>
  </w:footnote>
  <w:footnote w:id="5">
    <w:p w14:paraId="214E603A" w14:textId="26598780" w:rsidR="00E47BA9" w:rsidRPr="00E47BA9" w:rsidRDefault="00E47BA9" w:rsidP="00E47BA9">
      <w:pPr>
        <w:rPr>
          <w:b/>
          <w:sz w:val="24"/>
          <w:szCs w:val="24"/>
          <w:u w:val="single"/>
        </w:rPr>
      </w:pPr>
      <w:r>
        <w:rPr>
          <w:rStyle w:val="FootnoteReference"/>
        </w:rPr>
        <w:footnoteRef/>
      </w:r>
      <w:r>
        <w:t xml:space="preserve"> </w:t>
      </w:r>
      <w:r w:rsidRPr="001657CB">
        <w:rPr>
          <w:rStyle w:val="citationtext"/>
          <w:sz w:val="24"/>
          <w:szCs w:val="24"/>
          <w:lang w:val="en"/>
        </w:rPr>
        <w:t xml:space="preserve">Bares, Ann. "2014 Turnover Rates by Industry." </w:t>
      </w:r>
      <w:r w:rsidRPr="001657CB">
        <w:rPr>
          <w:rStyle w:val="citationtext"/>
          <w:i/>
          <w:iCs/>
          <w:sz w:val="24"/>
          <w:szCs w:val="24"/>
          <w:lang w:val="en"/>
        </w:rPr>
        <w:t>'Compensation Force'</w:t>
      </w:r>
      <w:r w:rsidRPr="001657CB">
        <w:rPr>
          <w:rStyle w:val="citationtext"/>
          <w:sz w:val="24"/>
          <w:szCs w:val="24"/>
          <w:lang w:val="en"/>
        </w:rPr>
        <w:t xml:space="preserve"> N.p., 27 Mar. 2015. Web. 08 May 2016</w:t>
      </w:r>
    </w:p>
  </w:footnote>
  <w:footnote w:id="6">
    <w:p w14:paraId="77BAB497" w14:textId="34F04522" w:rsidR="00E47BA9" w:rsidRPr="00E47BA9" w:rsidRDefault="00E47BA9" w:rsidP="00E47BA9">
      <w:pPr>
        <w:spacing w:after="0" w:line="240" w:lineRule="auto"/>
        <w:rPr>
          <w:rFonts w:eastAsia="Times New Roman" w:cs="Arial"/>
          <w:sz w:val="24"/>
          <w:szCs w:val="24"/>
        </w:rPr>
      </w:pPr>
      <w:r>
        <w:rPr>
          <w:rStyle w:val="FootnoteReference"/>
        </w:rPr>
        <w:footnoteRef/>
      </w:r>
      <w:r>
        <w:t xml:space="preserve"> </w:t>
      </w:r>
      <w:r w:rsidRPr="001657CB">
        <w:rPr>
          <w:sz w:val="24"/>
          <w:szCs w:val="24"/>
        </w:rPr>
        <w:t xml:space="preserve">Millennial Survey 2016 | Deloitte | Social impact, Innovation. (n.d.). Retrieved April 25, 2016, from </w:t>
      </w:r>
      <w:hyperlink r:id="rId2" w:history="1">
        <w:r w:rsidRPr="001657CB">
          <w:rPr>
            <w:rStyle w:val="Hyperlink"/>
            <w:color w:val="auto"/>
            <w:sz w:val="24"/>
            <w:szCs w:val="24"/>
          </w:rPr>
          <w:t>http://www2.deloitte.com/global/en/pages/about-deloitte/articles/millennialsurvey.html</w:t>
        </w:r>
      </w:hyperlink>
    </w:p>
  </w:footnote>
  <w:footnote w:id="7">
    <w:p w14:paraId="136D6F42" w14:textId="582C1DA5" w:rsidR="00E47BA9" w:rsidRPr="00946D8B" w:rsidRDefault="00E47BA9" w:rsidP="00946D8B">
      <w:pPr>
        <w:rPr>
          <w:sz w:val="24"/>
          <w:szCs w:val="24"/>
        </w:rPr>
      </w:pPr>
      <w:r>
        <w:rPr>
          <w:rStyle w:val="FootnoteReference"/>
        </w:rPr>
        <w:footnoteRef/>
      </w:r>
      <w:r>
        <w:t xml:space="preserve"> </w:t>
      </w:r>
      <w:r w:rsidRPr="001657CB">
        <w:rPr>
          <w:rFonts w:cs="Arial"/>
          <w:sz w:val="24"/>
          <w:szCs w:val="24"/>
        </w:rPr>
        <w:t>How CPA Firms Can Reduce Staff Turnover and Boost Profits. (2015, May 27). Retrieved May 08, 2016, from http://www.cpapracticeadvisor.com/news/12077704/how-cpa-firms-can-reduce-staff-turnover-and-boost-profits</w:t>
      </w:r>
    </w:p>
  </w:footnote>
  <w:footnote w:id="8">
    <w:p w14:paraId="32E76AE0" w14:textId="610A0343" w:rsidR="00E47BA9" w:rsidRPr="00946D8B" w:rsidRDefault="00E47BA9" w:rsidP="00946D8B">
      <w:pPr>
        <w:rPr>
          <w:sz w:val="24"/>
          <w:szCs w:val="24"/>
          <w:u w:val="single"/>
        </w:rPr>
      </w:pPr>
      <w:r>
        <w:rPr>
          <w:rStyle w:val="FootnoteReference"/>
        </w:rPr>
        <w:footnoteRef/>
      </w:r>
      <w:r>
        <w:t xml:space="preserve"> </w:t>
      </w:r>
      <w:r w:rsidRPr="001657CB">
        <w:rPr>
          <w:sz w:val="24"/>
          <w:szCs w:val="24"/>
        </w:rPr>
        <w:t>Stringfield, M. (n.d.). News By Topic. Retrieved May 07, 2016, from http://www.plansponsor.com/blank.aspx?id=6442477928</w:t>
      </w:r>
    </w:p>
  </w:footnote>
  <w:footnote w:id="9">
    <w:p w14:paraId="543155CD" w14:textId="505E61DB" w:rsidR="002F16E3" w:rsidRPr="002F16E3" w:rsidRDefault="002F16E3" w:rsidP="002F16E3">
      <w:pPr>
        <w:spacing w:after="0" w:line="240" w:lineRule="auto"/>
        <w:rPr>
          <w:rFonts w:eastAsia="Times New Roman" w:cs="Arial"/>
          <w:sz w:val="24"/>
          <w:szCs w:val="24"/>
        </w:rPr>
      </w:pPr>
      <w:r>
        <w:rPr>
          <w:rStyle w:val="FootnoteReference"/>
        </w:rPr>
        <w:footnoteRef/>
      </w:r>
      <w:r>
        <w:t xml:space="preserve"> </w:t>
      </w:r>
      <w:r w:rsidRPr="001657CB">
        <w:rPr>
          <w:rFonts w:eastAsia="Times New Roman" w:cs="Arial"/>
          <w:sz w:val="24"/>
          <w:szCs w:val="24"/>
        </w:rPr>
        <w:t>MacLean, Erin L., "Reducing Employee Turnover in the Big Four Public Accounting Firms" (2013).CMC Senior Theses.Paper 745.http://scholarship.claremont.edu/cmc_theses/745</w:t>
      </w:r>
    </w:p>
  </w:footnote>
  <w:footnote w:id="10">
    <w:p w14:paraId="3963077D" w14:textId="6C119170" w:rsidR="00E47BA9" w:rsidRPr="00946D8B" w:rsidRDefault="00E47BA9" w:rsidP="00946D8B">
      <w:pPr>
        <w:rPr>
          <w:sz w:val="24"/>
          <w:szCs w:val="24"/>
        </w:rPr>
      </w:pPr>
      <w:r>
        <w:rPr>
          <w:rStyle w:val="FootnoteReference"/>
        </w:rPr>
        <w:footnoteRef/>
      </w:r>
      <w:r>
        <w:t xml:space="preserve"> </w:t>
      </w:r>
      <w:r w:rsidRPr="001657CB">
        <w:rPr>
          <w:rStyle w:val="pfn-body"/>
          <w:sz w:val="24"/>
          <w:szCs w:val="24"/>
        </w:rPr>
        <w:t xml:space="preserve">"Gender Issues and Business Case," American Institute of Public Accountants (AICPA), </w:t>
      </w:r>
      <w:hyperlink r:id="rId3" w:history="1">
        <w:r w:rsidRPr="001657CB">
          <w:rPr>
            <w:rStyle w:val="Hyperlink"/>
            <w:color w:val="auto"/>
            <w:sz w:val="24"/>
            <w:szCs w:val="24"/>
          </w:rPr>
          <w:t>http://www.aicpa.org/Career/WomenintheProfession/Pages/GenderIssues.aspx</w:t>
        </w:r>
      </w:hyperlink>
      <w:r w:rsidRPr="001657CB">
        <w:rPr>
          <w:rStyle w:val="pfn-body"/>
          <w:sz w:val="24"/>
          <w:szCs w:val="24"/>
        </w:rPr>
        <w:t>;</w:t>
      </w:r>
    </w:p>
  </w:footnote>
  <w:footnote w:id="11">
    <w:p w14:paraId="77B2FF0B" w14:textId="7CA3F97A" w:rsidR="00E47BA9" w:rsidRPr="00E47BA9" w:rsidRDefault="00E47BA9" w:rsidP="00E47BA9">
      <w:pPr>
        <w:rPr>
          <w:sz w:val="24"/>
          <w:szCs w:val="24"/>
        </w:rPr>
      </w:pPr>
      <w:r>
        <w:rPr>
          <w:rStyle w:val="FootnoteReference"/>
        </w:rPr>
        <w:footnoteRef/>
      </w:r>
      <w:r>
        <w:t xml:space="preserve"> </w:t>
      </w:r>
      <w:r w:rsidRPr="001657CB">
        <w:rPr>
          <w:sz w:val="24"/>
          <w:szCs w:val="24"/>
        </w:rPr>
        <w:t xml:space="preserve">Women in the Profession. (2015, November). Retrieved April 28, 2016, from </w:t>
      </w:r>
      <w:hyperlink r:id="rId4" w:history="1">
        <w:r w:rsidRPr="001657CB">
          <w:rPr>
            <w:rStyle w:val="Hyperlink"/>
            <w:color w:val="auto"/>
            <w:sz w:val="24"/>
            <w:szCs w:val="24"/>
          </w:rPr>
          <w:t>http://www.aicpa.org/Career/WomenintheProfession/Pages/WomenintheProfession.aspx</w:t>
        </w:r>
      </w:hyperlink>
    </w:p>
  </w:footnote>
  <w:footnote w:id="12">
    <w:p w14:paraId="23F0482C" w14:textId="39A6C265" w:rsidR="00E47BA9" w:rsidRPr="00E47BA9" w:rsidRDefault="00E47BA9" w:rsidP="00E47BA9">
      <w:pPr>
        <w:rPr>
          <w:sz w:val="24"/>
          <w:szCs w:val="24"/>
        </w:rPr>
      </w:pPr>
      <w:r>
        <w:rPr>
          <w:rStyle w:val="FootnoteReference"/>
        </w:rPr>
        <w:footnoteRef/>
      </w:r>
      <w:r>
        <w:t xml:space="preserve"> </w:t>
      </w:r>
      <w:r w:rsidRPr="001657CB">
        <w:rPr>
          <w:rStyle w:val="pfn-body"/>
          <w:sz w:val="24"/>
          <w:szCs w:val="24"/>
        </w:rPr>
        <w:t xml:space="preserve">"Gender Issues and Business Case," American Institute of Public Accountants (AICPA), </w:t>
      </w:r>
      <w:hyperlink r:id="rId5" w:history="1">
        <w:r w:rsidRPr="001657CB">
          <w:rPr>
            <w:rStyle w:val="Hyperlink"/>
            <w:color w:val="auto"/>
            <w:sz w:val="24"/>
            <w:szCs w:val="24"/>
          </w:rPr>
          <w:t>http://www.aicpa.org/Career/WomenintheProfession/Pages/GenderIssues.aspx</w:t>
        </w:r>
      </w:hyperlink>
      <w:r w:rsidRPr="001657CB">
        <w:rPr>
          <w:rStyle w:val="pfn-body"/>
          <w:sz w:val="24"/>
          <w:szCs w:val="24"/>
        </w:rPr>
        <w:t>;</w:t>
      </w:r>
    </w:p>
  </w:footnote>
  <w:footnote w:id="13">
    <w:p w14:paraId="1E1F96ED" w14:textId="5603D50F" w:rsidR="00E47BA9" w:rsidRPr="00946D8B" w:rsidRDefault="00E47BA9" w:rsidP="00946D8B">
      <w:pPr>
        <w:rPr>
          <w:sz w:val="24"/>
          <w:szCs w:val="24"/>
          <w:u w:val="single"/>
        </w:rPr>
      </w:pPr>
      <w:r>
        <w:rPr>
          <w:rStyle w:val="FootnoteReference"/>
        </w:rPr>
        <w:footnoteRef/>
      </w:r>
      <w:r>
        <w:t xml:space="preserve"> </w:t>
      </w:r>
      <w:r w:rsidRPr="001657CB">
        <w:rPr>
          <w:sz w:val="24"/>
          <w:szCs w:val="24"/>
        </w:rPr>
        <w:t>Leadership in Public Accounting Firms: Why So Few Women?   //. (2014, March 13). Retrieved May 06, 2016, from http://pcaobus.org/News/Speech/Pages/03132014_Washington_Women.aspx</w:t>
      </w:r>
    </w:p>
  </w:footnote>
  <w:footnote w:id="14">
    <w:p w14:paraId="1B43C873" w14:textId="1C802BE6" w:rsidR="00E47BA9" w:rsidRPr="00E47BA9" w:rsidRDefault="00E47BA9" w:rsidP="00E47BA9">
      <w:pPr>
        <w:rPr>
          <w:sz w:val="24"/>
          <w:szCs w:val="24"/>
        </w:rPr>
      </w:pPr>
      <w:r>
        <w:rPr>
          <w:rStyle w:val="FootnoteReference"/>
        </w:rPr>
        <w:footnoteRef/>
      </w:r>
      <w:r>
        <w:t xml:space="preserve"> </w:t>
      </w:r>
      <w:r w:rsidRPr="001657CB">
        <w:rPr>
          <w:sz w:val="24"/>
          <w:szCs w:val="24"/>
        </w:rPr>
        <w:t xml:space="preserve">Women in the Profession. (2015, November). Retrieved April 28, 2016, from </w:t>
      </w:r>
      <w:hyperlink r:id="rId6" w:history="1">
        <w:r w:rsidRPr="001657CB">
          <w:rPr>
            <w:rStyle w:val="Hyperlink"/>
            <w:color w:val="auto"/>
            <w:sz w:val="24"/>
            <w:szCs w:val="24"/>
          </w:rPr>
          <w:t>http://www.aicpa.org/Career/WomenintheProfession/Pages/WomenintheProfession.aspx</w:t>
        </w:r>
      </w:hyperlink>
    </w:p>
  </w:footnote>
  <w:footnote w:id="15">
    <w:p w14:paraId="38D53899" w14:textId="2A594E3A" w:rsidR="00E47BA9" w:rsidRPr="00946D8B" w:rsidRDefault="00E47BA9" w:rsidP="00946D8B">
      <w:pPr>
        <w:spacing w:after="0" w:line="240" w:lineRule="auto"/>
        <w:rPr>
          <w:rFonts w:eastAsia="Times New Roman" w:cs="Arial"/>
          <w:sz w:val="24"/>
          <w:szCs w:val="24"/>
        </w:rPr>
      </w:pPr>
      <w:r>
        <w:rPr>
          <w:rStyle w:val="FootnoteReference"/>
        </w:rPr>
        <w:footnoteRef/>
      </w:r>
      <w:r>
        <w:t xml:space="preserve"> </w:t>
      </w:r>
      <w:r w:rsidRPr="001657CB">
        <w:rPr>
          <w:rFonts w:eastAsia="Times New Roman" w:cs="Arial"/>
          <w:sz w:val="24"/>
          <w:szCs w:val="24"/>
        </w:rPr>
        <w:t>Greenhaus, Jeffrey H., Karen M. Collins, Romila Singh &amp; Saroj Parasurman. “Work and Family Influences on Departure from Public Accounting.” Journal of Vocational Behavior 50 (1997): 251</w:t>
      </w:r>
      <w:r w:rsidR="00946D8B">
        <w:rPr>
          <w:rFonts w:eastAsia="Times New Roman" w:cs="Arial"/>
          <w:sz w:val="24"/>
          <w:szCs w:val="24"/>
        </w:rPr>
        <w:t>.</w:t>
      </w:r>
    </w:p>
  </w:footnote>
  <w:footnote w:id="16">
    <w:p w14:paraId="2E4CF331" w14:textId="6E7790EF" w:rsidR="00E47BA9" w:rsidRPr="00946D8B" w:rsidRDefault="00E47BA9" w:rsidP="00946D8B">
      <w:pPr>
        <w:rPr>
          <w:sz w:val="24"/>
          <w:szCs w:val="24"/>
        </w:rPr>
      </w:pPr>
      <w:r>
        <w:rPr>
          <w:rStyle w:val="FootnoteReference"/>
        </w:rPr>
        <w:footnoteRef/>
      </w:r>
      <w:r>
        <w:t xml:space="preserve"> </w:t>
      </w:r>
      <w:r w:rsidRPr="001657CB">
        <w:rPr>
          <w:sz w:val="24"/>
          <w:szCs w:val="24"/>
        </w:rPr>
        <w:t xml:space="preserve">EY - Infographic: Millennials Generation Go. (n.d.). Retrieved April 29, 2016, from </w:t>
      </w:r>
      <w:hyperlink r:id="rId7" w:history="1">
        <w:r w:rsidRPr="001657CB">
          <w:rPr>
            <w:rStyle w:val="Hyperlink"/>
            <w:color w:val="auto"/>
            <w:sz w:val="24"/>
            <w:szCs w:val="24"/>
          </w:rPr>
          <w:t>http://www.ey.com/US/en/About-us/Our-people-and-culture/EY-infographic-millennials-generation-go</w:t>
        </w:r>
      </w:hyperlink>
    </w:p>
  </w:footnote>
  <w:footnote w:id="17">
    <w:p w14:paraId="35046AF2" w14:textId="09881743" w:rsidR="00946D8B" w:rsidRPr="00946D8B" w:rsidRDefault="00946D8B" w:rsidP="00946D8B">
      <w:pPr>
        <w:rPr>
          <w:sz w:val="24"/>
          <w:szCs w:val="24"/>
        </w:rPr>
      </w:pPr>
      <w:r>
        <w:rPr>
          <w:rStyle w:val="FootnoteReference"/>
        </w:rPr>
        <w:footnoteRef/>
      </w:r>
      <w:r>
        <w:t xml:space="preserve"> </w:t>
      </w:r>
      <w:r w:rsidRPr="001657CB">
        <w:rPr>
          <w:sz w:val="24"/>
          <w:szCs w:val="24"/>
        </w:rPr>
        <w:t xml:space="preserve">Positions in Public Accounting. (n.d.). Retrieved April 30, 2016, from </w:t>
      </w:r>
      <w:hyperlink r:id="rId8" w:history="1">
        <w:r w:rsidRPr="001657CB">
          <w:rPr>
            <w:rStyle w:val="Hyperlink"/>
            <w:color w:val="auto"/>
            <w:sz w:val="24"/>
            <w:szCs w:val="24"/>
          </w:rPr>
          <w:t>http://www.aicpa.org/CAREER/CAREERPATHS/PUBLICACCOUNTING/Pages/default.aspx</w:t>
        </w:r>
      </w:hyperlink>
    </w:p>
  </w:footnote>
  <w:footnote w:id="18">
    <w:p w14:paraId="3D1855AC" w14:textId="44F10C74" w:rsidR="00946D8B" w:rsidRPr="00946D8B" w:rsidRDefault="00946D8B" w:rsidP="00946D8B">
      <w:pPr>
        <w:rPr>
          <w:sz w:val="24"/>
          <w:szCs w:val="24"/>
        </w:rPr>
      </w:pPr>
      <w:r>
        <w:rPr>
          <w:rStyle w:val="FootnoteReference"/>
        </w:rPr>
        <w:footnoteRef/>
      </w:r>
      <w:r>
        <w:t xml:space="preserve"> </w:t>
      </w:r>
      <w:r w:rsidRPr="001657CB">
        <w:rPr>
          <w:sz w:val="24"/>
          <w:szCs w:val="24"/>
        </w:rPr>
        <w:t xml:space="preserve">Positions in Public Accounting. (n.d.). Retrieved April 30, 2016, from </w:t>
      </w:r>
      <w:hyperlink r:id="rId9" w:history="1">
        <w:r w:rsidRPr="001657CB">
          <w:rPr>
            <w:rStyle w:val="Hyperlink"/>
            <w:color w:val="auto"/>
            <w:sz w:val="24"/>
            <w:szCs w:val="24"/>
          </w:rPr>
          <w:t>http://www.aicpa.org/CAREER/CAREERPATHS/PUBLICACCOUNTING/Pages/default.aspx</w:t>
        </w:r>
      </w:hyperlink>
    </w:p>
  </w:footnote>
  <w:footnote w:id="19">
    <w:p w14:paraId="00EC842F" w14:textId="1AD57221" w:rsidR="00946D8B" w:rsidRPr="00946D8B" w:rsidRDefault="00946D8B" w:rsidP="00946D8B">
      <w:pPr>
        <w:rPr>
          <w:sz w:val="24"/>
          <w:szCs w:val="24"/>
        </w:rPr>
      </w:pPr>
      <w:r>
        <w:rPr>
          <w:rStyle w:val="FootnoteReference"/>
        </w:rPr>
        <w:footnoteRef/>
      </w:r>
      <w:r>
        <w:t xml:space="preserve"> </w:t>
      </w:r>
      <w:r w:rsidRPr="001657CB">
        <w:rPr>
          <w:sz w:val="24"/>
          <w:szCs w:val="24"/>
        </w:rPr>
        <w:t>Cohn, M. (2012, August 28). Leave Public Accounting after 3 to 6 Years, Says Research. Retrieved April 28, 2016, from http://www.accountingtoday.com/news/leave-public-accounting-coehnen-brothers-</w:t>
      </w:r>
      <w:r>
        <w:rPr>
          <w:sz w:val="24"/>
          <w:szCs w:val="24"/>
        </w:rPr>
        <w:t>63814-1.html</w:t>
      </w:r>
    </w:p>
  </w:footnote>
  <w:footnote w:id="20">
    <w:p w14:paraId="3466D31B" w14:textId="2DC54344" w:rsidR="00946D8B" w:rsidRPr="00946D8B" w:rsidRDefault="00946D8B" w:rsidP="00946D8B">
      <w:pPr>
        <w:rPr>
          <w:sz w:val="24"/>
          <w:szCs w:val="24"/>
        </w:rPr>
      </w:pPr>
      <w:r>
        <w:rPr>
          <w:rStyle w:val="FootnoteReference"/>
        </w:rPr>
        <w:footnoteRef/>
      </w:r>
      <w:r>
        <w:t xml:space="preserve"> </w:t>
      </w:r>
      <w:r w:rsidRPr="001657CB">
        <w:rPr>
          <w:sz w:val="24"/>
          <w:szCs w:val="24"/>
        </w:rPr>
        <w:t xml:space="preserve">Gibney, A. (Director), &amp; Gibney, A., Elkind, P., McLean, B., &amp; Coyote, P. (Writers). (2005). </w:t>
      </w:r>
      <w:r w:rsidRPr="001657CB">
        <w:rPr>
          <w:i/>
          <w:iCs/>
          <w:sz w:val="24"/>
          <w:szCs w:val="24"/>
        </w:rPr>
        <w:t>Enron: The smartest guys in the room</w:t>
      </w:r>
      <w:r w:rsidRPr="001657CB">
        <w:rPr>
          <w:sz w:val="24"/>
          <w:szCs w:val="24"/>
        </w:rPr>
        <w:t xml:space="preserve"> [Motion picture on DVD]. United States: Magnolia Pictures</w:t>
      </w:r>
    </w:p>
  </w:footnote>
  <w:footnote w:id="21">
    <w:p w14:paraId="17E839A1" w14:textId="03B24885" w:rsidR="00946D8B" w:rsidRPr="00946D8B" w:rsidRDefault="00946D8B" w:rsidP="00946D8B">
      <w:pPr>
        <w:rPr>
          <w:sz w:val="24"/>
          <w:szCs w:val="24"/>
        </w:rPr>
      </w:pPr>
      <w:r>
        <w:rPr>
          <w:rStyle w:val="FootnoteReference"/>
        </w:rPr>
        <w:footnoteRef/>
      </w:r>
      <w:r>
        <w:t xml:space="preserve"> </w:t>
      </w:r>
      <w:r w:rsidRPr="001657CB">
        <w:rPr>
          <w:sz w:val="24"/>
          <w:szCs w:val="24"/>
        </w:rPr>
        <w:t xml:space="preserve">Gibney, A. (Director), &amp; Gibney, A., Elkind, P., McLean, B., &amp; Coyote, P. (Writers). (2005). </w:t>
      </w:r>
      <w:r w:rsidRPr="001657CB">
        <w:rPr>
          <w:i/>
          <w:iCs/>
          <w:sz w:val="24"/>
          <w:szCs w:val="24"/>
        </w:rPr>
        <w:t>Enron: The smartest guys in the room</w:t>
      </w:r>
      <w:r w:rsidRPr="001657CB">
        <w:rPr>
          <w:sz w:val="24"/>
          <w:szCs w:val="24"/>
        </w:rPr>
        <w:t xml:space="preserve"> [Motion picture on DVD]. United States: Magnolia Pictures</w:t>
      </w:r>
    </w:p>
  </w:footnote>
  <w:footnote w:id="22">
    <w:p w14:paraId="628006AF" w14:textId="6DBEC790" w:rsidR="0026775E" w:rsidRPr="0026775E" w:rsidRDefault="0026775E" w:rsidP="0026775E">
      <w:pPr>
        <w:rPr>
          <w:sz w:val="24"/>
          <w:szCs w:val="24"/>
        </w:rPr>
      </w:pPr>
      <w:r>
        <w:rPr>
          <w:rStyle w:val="FootnoteReference"/>
        </w:rPr>
        <w:footnoteRef/>
      </w:r>
      <w:r>
        <w:t xml:space="preserve"> </w:t>
      </w:r>
      <w:r w:rsidRPr="001657CB">
        <w:rPr>
          <w:rStyle w:val="citationtext"/>
          <w:sz w:val="24"/>
          <w:szCs w:val="24"/>
          <w:lang w:val="en"/>
        </w:rPr>
        <w:t xml:space="preserve">Chang, Hsihui, Hiu Lam Choy, and Iny Hwang. "Annals of Operations Research." </w:t>
      </w:r>
      <w:r w:rsidRPr="001657CB">
        <w:rPr>
          <w:rStyle w:val="citationtext"/>
          <w:i/>
          <w:iCs/>
          <w:sz w:val="24"/>
          <w:szCs w:val="24"/>
          <w:lang w:val="en"/>
        </w:rPr>
        <w:t>Annals of Operations Research</w:t>
      </w:r>
      <w:r w:rsidRPr="001657CB">
        <w:rPr>
          <w:rStyle w:val="citationtext"/>
          <w:sz w:val="24"/>
          <w:szCs w:val="24"/>
          <w:lang w:val="en"/>
        </w:rPr>
        <w:t xml:space="preserve"> 229.1 (2015): 253-64. Web. 25 Apr. 2016. &lt;http://link.springer.com.proxy.lib.utk.edu:90/article/10.1007/s10479-015-1826-4/fulltext.html&gt;.</w:t>
      </w:r>
    </w:p>
  </w:footnote>
  <w:footnote w:id="23">
    <w:p w14:paraId="3CFB2636" w14:textId="2EA176C4" w:rsidR="0026775E" w:rsidRPr="0026775E" w:rsidRDefault="0026775E" w:rsidP="0026775E">
      <w:pPr>
        <w:rPr>
          <w:sz w:val="24"/>
          <w:szCs w:val="24"/>
        </w:rPr>
      </w:pPr>
      <w:r>
        <w:rPr>
          <w:rStyle w:val="FootnoteReference"/>
        </w:rPr>
        <w:footnoteRef/>
      </w:r>
      <w:r>
        <w:t xml:space="preserve"> </w:t>
      </w:r>
      <w:r w:rsidRPr="001657CB">
        <w:rPr>
          <w:rStyle w:val="citationtext"/>
          <w:sz w:val="24"/>
          <w:szCs w:val="24"/>
          <w:lang w:val="en"/>
        </w:rPr>
        <w:t xml:space="preserve">Chang, Hsihui, Hiu Lam Choy, and Iny Hwang. "Annals of Operations Research." </w:t>
      </w:r>
      <w:r w:rsidRPr="001657CB">
        <w:rPr>
          <w:rStyle w:val="citationtext"/>
          <w:i/>
          <w:iCs/>
          <w:sz w:val="24"/>
          <w:szCs w:val="24"/>
          <w:lang w:val="en"/>
        </w:rPr>
        <w:t>Annals of Operations Research</w:t>
      </w:r>
      <w:r w:rsidRPr="001657CB">
        <w:rPr>
          <w:rStyle w:val="citationtext"/>
          <w:sz w:val="24"/>
          <w:szCs w:val="24"/>
          <w:lang w:val="en"/>
        </w:rPr>
        <w:t xml:space="preserve"> 229.1 (2015): 253-64. Web. 25 Apr. 2016. &lt;http://link.springer.com.proxy.lib.utk.edu:90/article/10.1007/s10479-015-1826-4/fulltext.html&gt;.</w:t>
      </w:r>
    </w:p>
  </w:footnote>
  <w:footnote w:id="24">
    <w:p w14:paraId="05440E8F" w14:textId="3494F41B" w:rsidR="0026775E" w:rsidRPr="0026775E" w:rsidRDefault="0026775E" w:rsidP="0026775E">
      <w:pPr>
        <w:rPr>
          <w:sz w:val="24"/>
          <w:szCs w:val="24"/>
        </w:rPr>
      </w:pPr>
      <w:r>
        <w:rPr>
          <w:rStyle w:val="FootnoteReference"/>
        </w:rPr>
        <w:footnoteRef/>
      </w:r>
      <w:r>
        <w:t xml:space="preserve"> </w:t>
      </w:r>
      <w:r w:rsidRPr="001657CB">
        <w:rPr>
          <w:sz w:val="24"/>
          <w:szCs w:val="24"/>
        </w:rPr>
        <w:t xml:space="preserve">Guthrie, Cynthia P. and Jones, Ambrose III. "Job Burnout in Public Accounting: Understanding Gender Differences." </w:t>
      </w:r>
      <w:r w:rsidRPr="001657CB">
        <w:rPr>
          <w:rStyle w:val="Emphasis"/>
          <w:sz w:val="24"/>
          <w:szCs w:val="24"/>
        </w:rPr>
        <w:t>Journal of Managerial Issues</w:t>
      </w:r>
      <w:r>
        <w:rPr>
          <w:sz w:val="24"/>
          <w:szCs w:val="24"/>
        </w:rPr>
        <w:t xml:space="preserve"> 24, no. 4 (2012) : 390-411.</w:t>
      </w:r>
    </w:p>
  </w:footnote>
  <w:footnote w:id="25">
    <w:p w14:paraId="0BA99C3E" w14:textId="7FFBCB0B" w:rsidR="0026775E" w:rsidRPr="0026775E" w:rsidRDefault="0026775E" w:rsidP="0026775E">
      <w:pPr>
        <w:rPr>
          <w:sz w:val="24"/>
          <w:szCs w:val="24"/>
        </w:rPr>
      </w:pPr>
      <w:r>
        <w:rPr>
          <w:rStyle w:val="FootnoteReference"/>
        </w:rPr>
        <w:footnoteRef/>
      </w:r>
      <w:r>
        <w:t xml:space="preserve"> </w:t>
      </w:r>
      <w:r w:rsidRPr="001657CB">
        <w:rPr>
          <w:sz w:val="24"/>
          <w:szCs w:val="24"/>
        </w:rPr>
        <w:t xml:space="preserve">Guthrie, Cynthia P. and Jones, Ambrose III. "Job Burnout in Public Accounting: Understanding Gender Differences." </w:t>
      </w:r>
      <w:r w:rsidRPr="001657CB">
        <w:rPr>
          <w:rStyle w:val="Emphasis"/>
          <w:sz w:val="24"/>
          <w:szCs w:val="24"/>
        </w:rPr>
        <w:t>Journal of Managerial Issues</w:t>
      </w:r>
      <w:r>
        <w:rPr>
          <w:sz w:val="24"/>
          <w:szCs w:val="24"/>
        </w:rPr>
        <w:t xml:space="preserve"> 24, no. 4 (2012) : 390-411.</w:t>
      </w:r>
    </w:p>
  </w:footnote>
  <w:footnote w:id="26">
    <w:p w14:paraId="11B8A952" w14:textId="1ADD2D42" w:rsidR="0026775E" w:rsidRPr="001657CB" w:rsidRDefault="0026775E" w:rsidP="0026775E">
      <w:pPr>
        <w:spacing w:after="0" w:line="240" w:lineRule="auto"/>
        <w:rPr>
          <w:sz w:val="24"/>
          <w:szCs w:val="24"/>
        </w:rPr>
      </w:pPr>
      <w:r>
        <w:rPr>
          <w:rStyle w:val="FootnoteReference"/>
        </w:rPr>
        <w:footnoteRef/>
      </w:r>
      <w:r>
        <w:t xml:space="preserve"> </w:t>
      </w:r>
      <w:r w:rsidRPr="001657CB">
        <w:rPr>
          <w:sz w:val="24"/>
          <w:szCs w:val="24"/>
        </w:rPr>
        <w:t xml:space="preserve">Wilson, S. (n.d.). 8 tips for surviving busy season . Retrieved May 06, 2016, from </w:t>
      </w:r>
      <w:hyperlink r:id="rId10" w:history="1">
        <w:r w:rsidRPr="001657CB">
          <w:rPr>
            <w:rStyle w:val="Hyperlink"/>
            <w:color w:val="auto"/>
            <w:sz w:val="24"/>
            <w:szCs w:val="24"/>
          </w:rPr>
          <w:t>https://www.aicpa.org/interestareas/youngcpanetwork/resources/professionalissues/pages/tips-for-surviving-tax-season.aspx</w:t>
        </w:r>
      </w:hyperlink>
    </w:p>
    <w:p w14:paraId="73A3544F" w14:textId="2D93949A" w:rsidR="0026775E" w:rsidRDefault="0026775E">
      <w:pPr>
        <w:pStyle w:val="FootnoteText"/>
      </w:pPr>
    </w:p>
  </w:footnote>
  <w:footnote w:id="27">
    <w:p w14:paraId="3004E5E2" w14:textId="4D18EC9F" w:rsidR="0026775E" w:rsidRPr="0026775E" w:rsidRDefault="0026775E" w:rsidP="0026775E">
      <w:pPr>
        <w:rPr>
          <w:sz w:val="24"/>
          <w:szCs w:val="24"/>
          <w:u w:val="single"/>
        </w:rPr>
      </w:pPr>
      <w:r>
        <w:rPr>
          <w:rStyle w:val="FootnoteReference"/>
        </w:rPr>
        <w:footnoteRef/>
      </w:r>
      <w:r>
        <w:t xml:space="preserve"> </w:t>
      </w:r>
      <w:r w:rsidRPr="001657CB">
        <w:rPr>
          <w:sz w:val="24"/>
          <w:szCs w:val="24"/>
        </w:rPr>
        <w:t xml:space="preserve">Durant, J. (2013, April 17). Top 10 Reasons to Consider a Change from Public Accounting to Private Industry Now. Retrieved April 28, 2016, from </w:t>
      </w:r>
      <w:hyperlink r:id="rId11" w:history="1">
        <w:r w:rsidRPr="001657CB">
          <w:rPr>
            <w:rStyle w:val="Hyperlink"/>
            <w:color w:val="auto"/>
            <w:sz w:val="24"/>
            <w:szCs w:val="24"/>
          </w:rPr>
          <w:t>https://www.winterwyman.com/blog/top-10-reasons-consider-change-public-accounting-private-industry-now</w:t>
        </w:r>
      </w:hyperlink>
    </w:p>
  </w:footnote>
  <w:footnote w:id="28">
    <w:p w14:paraId="413A2C1C" w14:textId="77777777" w:rsidR="0026775E" w:rsidRPr="001657CB" w:rsidRDefault="0026775E" w:rsidP="0026775E">
      <w:pPr>
        <w:rPr>
          <w:sz w:val="24"/>
          <w:szCs w:val="24"/>
        </w:rPr>
      </w:pPr>
      <w:r>
        <w:rPr>
          <w:rStyle w:val="FootnoteReference"/>
        </w:rPr>
        <w:footnoteRef/>
      </w:r>
      <w:r>
        <w:t xml:space="preserve"> </w:t>
      </w:r>
      <w:r w:rsidRPr="001657CB">
        <w:rPr>
          <w:rStyle w:val="citationtext"/>
          <w:sz w:val="24"/>
          <w:szCs w:val="24"/>
        </w:rPr>
        <w:t xml:space="preserve">Brundage, Heidi, and Mark Koziel. "Retaining Top Talent Still a Requirement for Firms." </w:t>
      </w:r>
      <w:r w:rsidRPr="001657CB">
        <w:rPr>
          <w:rStyle w:val="citationtext"/>
          <w:i/>
          <w:iCs/>
          <w:sz w:val="24"/>
          <w:szCs w:val="24"/>
        </w:rPr>
        <w:t>Http://www.journalofaccountancy.com/issues/2010/may/20091931.html</w:t>
      </w:r>
      <w:r w:rsidRPr="001657CB">
        <w:rPr>
          <w:rStyle w:val="citationtext"/>
          <w:sz w:val="24"/>
          <w:szCs w:val="24"/>
        </w:rPr>
        <w:t>. Journal of Accountancy, 1 May 2010. Web. 7 May 2016.</w:t>
      </w:r>
    </w:p>
    <w:p w14:paraId="5E8496AE" w14:textId="41B46958" w:rsidR="0026775E" w:rsidRDefault="0026775E">
      <w:pPr>
        <w:pStyle w:val="FootnoteText"/>
      </w:pPr>
    </w:p>
  </w:footnote>
  <w:footnote w:id="29">
    <w:p w14:paraId="29234AB0" w14:textId="77777777" w:rsidR="0026775E" w:rsidRPr="001657CB" w:rsidRDefault="0026775E" w:rsidP="0026775E">
      <w:pPr>
        <w:rPr>
          <w:rStyle w:val="Hyperlink"/>
          <w:color w:val="auto"/>
          <w:sz w:val="24"/>
          <w:szCs w:val="24"/>
        </w:rPr>
      </w:pPr>
      <w:r>
        <w:rPr>
          <w:rStyle w:val="FootnoteReference"/>
        </w:rPr>
        <w:footnoteRef/>
      </w:r>
      <w:r>
        <w:t xml:space="preserve"> </w:t>
      </w:r>
      <w:r w:rsidRPr="001657CB">
        <w:rPr>
          <w:sz w:val="24"/>
          <w:szCs w:val="24"/>
        </w:rPr>
        <w:t xml:space="preserve">Buckley, P., Dr., Viechnicki, P., Dr., &amp; Barua, A. (2015, October 16). A New Understanding of Millennials: Generational Differences Reexamined. Retrieved April 25, 2016, from </w:t>
      </w:r>
      <w:hyperlink r:id="rId12" w:history="1">
        <w:r w:rsidRPr="001657CB">
          <w:rPr>
            <w:rStyle w:val="Hyperlink"/>
            <w:color w:val="auto"/>
            <w:sz w:val="24"/>
            <w:szCs w:val="24"/>
          </w:rPr>
          <w:t>http://dupress.com/articles/understanding-millennials-generational-differences/</w:t>
        </w:r>
      </w:hyperlink>
    </w:p>
    <w:p w14:paraId="564E48FD" w14:textId="4C9271C4" w:rsidR="0026775E" w:rsidRPr="001657CB" w:rsidRDefault="0026775E" w:rsidP="0026775E">
      <w:pPr>
        <w:rPr>
          <w:sz w:val="24"/>
          <w:szCs w:val="24"/>
        </w:rPr>
      </w:pPr>
    </w:p>
    <w:p w14:paraId="13374A61" w14:textId="1FBAA4BA" w:rsidR="0026775E" w:rsidRDefault="0026775E">
      <w:pPr>
        <w:pStyle w:val="FootnoteText"/>
      </w:pPr>
    </w:p>
  </w:footnote>
  <w:footnote w:id="30">
    <w:p w14:paraId="4FEB58E5" w14:textId="298F04BB" w:rsidR="0026775E" w:rsidRPr="0026775E" w:rsidRDefault="0026775E" w:rsidP="0026775E">
      <w:pPr>
        <w:rPr>
          <w:sz w:val="24"/>
          <w:szCs w:val="24"/>
        </w:rPr>
      </w:pPr>
      <w:r>
        <w:rPr>
          <w:rStyle w:val="FootnoteReference"/>
        </w:rPr>
        <w:footnoteRef/>
      </w:r>
      <w:r>
        <w:t xml:space="preserve"> </w:t>
      </w:r>
      <w:r w:rsidRPr="001657CB">
        <w:rPr>
          <w:sz w:val="24"/>
          <w:szCs w:val="24"/>
        </w:rPr>
        <w:t xml:space="preserve">The Most Important Issues for Women in the Accounting Profession . (n.d.). Retrieved May 06, 2016, from </w:t>
      </w:r>
      <w:hyperlink r:id="rId13" w:history="1">
        <w:r w:rsidRPr="001657CB">
          <w:rPr>
            <w:rStyle w:val="Hyperlink"/>
            <w:color w:val="auto"/>
            <w:sz w:val="24"/>
            <w:szCs w:val="24"/>
          </w:rPr>
          <w:t>https://www.aicpa.org/interestareas/youngcpanetwork/resources/career/pages/themostimportantissuesforwomenintheaccountingprofession.aspx</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4573010"/>
      <w:docPartObj>
        <w:docPartGallery w:val="Page Numbers (Top of Page)"/>
        <w:docPartUnique/>
      </w:docPartObj>
    </w:sdtPr>
    <w:sdtEndPr>
      <w:rPr>
        <w:noProof/>
      </w:rPr>
    </w:sdtEndPr>
    <w:sdtContent>
      <w:p w14:paraId="4C44B3C0" w14:textId="79E891D7" w:rsidR="00E42706" w:rsidRDefault="00E42706">
        <w:pPr>
          <w:pStyle w:val="Header"/>
          <w:jc w:val="right"/>
        </w:pPr>
        <w:r>
          <w:t xml:space="preserve">Jankowski </w:t>
        </w:r>
        <w:r>
          <w:fldChar w:fldCharType="begin"/>
        </w:r>
        <w:r>
          <w:instrText xml:space="preserve"> PAGE   \* MERGEFORMAT </w:instrText>
        </w:r>
        <w:r>
          <w:fldChar w:fldCharType="separate"/>
        </w:r>
        <w:r w:rsidR="00A07DCC">
          <w:rPr>
            <w:noProof/>
          </w:rPr>
          <w:t>21</w:t>
        </w:r>
        <w:r>
          <w:rPr>
            <w:noProof/>
          </w:rPr>
          <w:fldChar w:fldCharType="end"/>
        </w:r>
      </w:p>
    </w:sdtContent>
  </w:sdt>
  <w:p w14:paraId="0F931447" w14:textId="77777777" w:rsidR="00E42706" w:rsidRDefault="00E42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4278F"/>
    <w:multiLevelType w:val="hybridMultilevel"/>
    <w:tmpl w:val="AA44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B14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E2F7B4C"/>
    <w:multiLevelType w:val="hybridMultilevel"/>
    <w:tmpl w:val="B5A85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298"/>
    <w:rsid w:val="00007BEE"/>
    <w:rsid w:val="00077DBB"/>
    <w:rsid w:val="000A0612"/>
    <w:rsid w:val="000A2FEE"/>
    <w:rsid w:val="000A3453"/>
    <w:rsid w:val="000D6C79"/>
    <w:rsid w:val="000D7AAA"/>
    <w:rsid w:val="000F15F6"/>
    <w:rsid w:val="00106431"/>
    <w:rsid w:val="001349EF"/>
    <w:rsid w:val="00143366"/>
    <w:rsid w:val="001B3994"/>
    <w:rsid w:val="0026775E"/>
    <w:rsid w:val="002C2298"/>
    <w:rsid w:val="002C7A6C"/>
    <w:rsid w:val="002D45D5"/>
    <w:rsid w:val="002D6451"/>
    <w:rsid w:val="002F16E3"/>
    <w:rsid w:val="003014A0"/>
    <w:rsid w:val="003522F5"/>
    <w:rsid w:val="0036343F"/>
    <w:rsid w:val="003736CB"/>
    <w:rsid w:val="003757D7"/>
    <w:rsid w:val="00375BC1"/>
    <w:rsid w:val="003923F4"/>
    <w:rsid w:val="003B5D47"/>
    <w:rsid w:val="003C3098"/>
    <w:rsid w:val="003F0085"/>
    <w:rsid w:val="00404C28"/>
    <w:rsid w:val="0041253D"/>
    <w:rsid w:val="004236ED"/>
    <w:rsid w:val="00441196"/>
    <w:rsid w:val="00443F3B"/>
    <w:rsid w:val="00445921"/>
    <w:rsid w:val="0046067D"/>
    <w:rsid w:val="00462DAF"/>
    <w:rsid w:val="004A02A1"/>
    <w:rsid w:val="004C78D6"/>
    <w:rsid w:val="0052718E"/>
    <w:rsid w:val="005363BE"/>
    <w:rsid w:val="00536740"/>
    <w:rsid w:val="00545DB1"/>
    <w:rsid w:val="00557BB4"/>
    <w:rsid w:val="00567F76"/>
    <w:rsid w:val="005A0342"/>
    <w:rsid w:val="0062212F"/>
    <w:rsid w:val="00636ECD"/>
    <w:rsid w:val="00647D5B"/>
    <w:rsid w:val="00657ADA"/>
    <w:rsid w:val="006639BE"/>
    <w:rsid w:val="00683972"/>
    <w:rsid w:val="00695B63"/>
    <w:rsid w:val="006A4F49"/>
    <w:rsid w:val="006A6021"/>
    <w:rsid w:val="006C2088"/>
    <w:rsid w:val="006D30D4"/>
    <w:rsid w:val="006D381B"/>
    <w:rsid w:val="0070779D"/>
    <w:rsid w:val="00751F9B"/>
    <w:rsid w:val="00753EC1"/>
    <w:rsid w:val="00766F99"/>
    <w:rsid w:val="00776044"/>
    <w:rsid w:val="00795F47"/>
    <w:rsid w:val="00797B51"/>
    <w:rsid w:val="007D620E"/>
    <w:rsid w:val="008500EA"/>
    <w:rsid w:val="00851A07"/>
    <w:rsid w:val="00871DE4"/>
    <w:rsid w:val="008A014E"/>
    <w:rsid w:val="008D66C0"/>
    <w:rsid w:val="00911E73"/>
    <w:rsid w:val="00946D8B"/>
    <w:rsid w:val="0095133C"/>
    <w:rsid w:val="00993172"/>
    <w:rsid w:val="009D1AD2"/>
    <w:rsid w:val="009D342C"/>
    <w:rsid w:val="00A07DCC"/>
    <w:rsid w:val="00A73CBB"/>
    <w:rsid w:val="00A748E6"/>
    <w:rsid w:val="00A83600"/>
    <w:rsid w:val="00A84378"/>
    <w:rsid w:val="00A84835"/>
    <w:rsid w:val="00A90622"/>
    <w:rsid w:val="00AA45BB"/>
    <w:rsid w:val="00AC0C41"/>
    <w:rsid w:val="00AC60C7"/>
    <w:rsid w:val="00AE32B8"/>
    <w:rsid w:val="00AF18A9"/>
    <w:rsid w:val="00B01427"/>
    <w:rsid w:val="00B22F48"/>
    <w:rsid w:val="00B40A63"/>
    <w:rsid w:val="00B454B0"/>
    <w:rsid w:val="00B739A8"/>
    <w:rsid w:val="00BA11E4"/>
    <w:rsid w:val="00BA4592"/>
    <w:rsid w:val="00BD04AB"/>
    <w:rsid w:val="00BD0D84"/>
    <w:rsid w:val="00BE1803"/>
    <w:rsid w:val="00C2545F"/>
    <w:rsid w:val="00C361E0"/>
    <w:rsid w:val="00C454C6"/>
    <w:rsid w:val="00C462B2"/>
    <w:rsid w:val="00C51EB3"/>
    <w:rsid w:val="00C61465"/>
    <w:rsid w:val="00C6332F"/>
    <w:rsid w:val="00C72A19"/>
    <w:rsid w:val="00CC4430"/>
    <w:rsid w:val="00CC5344"/>
    <w:rsid w:val="00D15725"/>
    <w:rsid w:val="00D16818"/>
    <w:rsid w:val="00D21909"/>
    <w:rsid w:val="00D43246"/>
    <w:rsid w:val="00D50F9E"/>
    <w:rsid w:val="00D96139"/>
    <w:rsid w:val="00DB5790"/>
    <w:rsid w:val="00DC6899"/>
    <w:rsid w:val="00DE1D24"/>
    <w:rsid w:val="00E0709F"/>
    <w:rsid w:val="00E17F5E"/>
    <w:rsid w:val="00E35227"/>
    <w:rsid w:val="00E42706"/>
    <w:rsid w:val="00E43222"/>
    <w:rsid w:val="00E47BA9"/>
    <w:rsid w:val="00E5596D"/>
    <w:rsid w:val="00E70B44"/>
    <w:rsid w:val="00E77E65"/>
    <w:rsid w:val="00E80011"/>
    <w:rsid w:val="00E967AA"/>
    <w:rsid w:val="00EB538F"/>
    <w:rsid w:val="00EE0AE7"/>
    <w:rsid w:val="00F044F7"/>
    <w:rsid w:val="00F1022E"/>
    <w:rsid w:val="00F309E4"/>
    <w:rsid w:val="00F357EA"/>
    <w:rsid w:val="00F6047D"/>
    <w:rsid w:val="00F8114E"/>
    <w:rsid w:val="00FA7454"/>
    <w:rsid w:val="00FB2516"/>
    <w:rsid w:val="00FC41D9"/>
    <w:rsid w:val="00FC5089"/>
    <w:rsid w:val="00FD0E2D"/>
    <w:rsid w:val="00FE0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D1A75"/>
  <w15:chartTrackingRefBased/>
  <w15:docId w15:val="{37B731A4-EADC-4C70-97A2-3B1C0E09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298"/>
    <w:pPr>
      <w:ind w:left="720"/>
      <w:contextualSpacing/>
    </w:pPr>
  </w:style>
  <w:style w:type="character" w:styleId="Hyperlink">
    <w:name w:val="Hyperlink"/>
    <w:basedOn w:val="DefaultParagraphFont"/>
    <w:uiPriority w:val="99"/>
    <w:unhideWhenUsed/>
    <w:rsid w:val="00B22F48"/>
    <w:rPr>
      <w:color w:val="0563C1" w:themeColor="hyperlink"/>
      <w:u w:val="single"/>
    </w:rPr>
  </w:style>
  <w:style w:type="character" w:styleId="Emphasis">
    <w:name w:val="Emphasis"/>
    <w:basedOn w:val="DefaultParagraphFont"/>
    <w:uiPriority w:val="20"/>
    <w:qFormat/>
    <w:rsid w:val="00FB2516"/>
    <w:rPr>
      <w:i/>
      <w:iCs/>
    </w:rPr>
  </w:style>
  <w:style w:type="character" w:styleId="CommentReference">
    <w:name w:val="annotation reference"/>
    <w:basedOn w:val="DefaultParagraphFont"/>
    <w:uiPriority w:val="99"/>
    <w:semiHidden/>
    <w:unhideWhenUsed/>
    <w:rsid w:val="00C2545F"/>
    <w:rPr>
      <w:sz w:val="16"/>
      <w:szCs w:val="16"/>
    </w:rPr>
  </w:style>
  <w:style w:type="paragraph" w:styleId="CommentText">
    <w:name w:val="annotation text"/>
    <w:basedOn w:val="Normal"/>
    <w:link w:val="CommentTextChar"/>
    <w:uiPriority w:val="99"/>
    <w:semiHidden/>
    <w:unhideWhenUsed/>
    <w:rsid w:val="00C2545F"/>
    <w:pPr>
      <w:spacing w:line="240" w:lineRule="auto"/>
    </w:pPr>
    <w:rPr>
      <w:sz w:val="20"/>
      <w:szCs w:val="20"/>
    </w:rPr>
  </w:style>
  <w:style w:type="character" w:customStyle="1" w:styleId="CommentTextChar">
    <w:name w:val="Comment Text Char"/>
    <w:basedOn w:val="DefaultParagraphFont"/>
    <w:link w:val="CommentText"/>
    <w:uiPriority w:val="99"/>
    <w:semiHidden/>
    <w:rsid w:val="00C2545F"/>
    <w:rPr>
      <w:sz w:val="20"/>
      <w:szCs w:val="20"/>
    </w:rPr>
  </w:style>
  <w:style w:type="paragraph" w:styleId="CommentSubject">
    <w:name w:val="annotation subject"/>
    <w:basedOn w:val="CommentText"/>
    <w:next w:val="CommentText"/>
    <w:link w:val="CommentSubjectChar"/>
    <w:uiPriority w:val="99"/>
    <w:semiHidden/>
    <w:unhideWhenUsed/>
    <w:rsid w:val="00C2545F"/>
    <w:rPr>
      <w:b/>
      <w:bCs/>
    </w:rPr>
  </w:style>
  <w:style w:type="character" w:customStyle="1" w:styleId="CommentSubjectChar">
    <w:name w:val="Comment Subject Char"/>
    <w:basedOn w:val="CommentTextChar"/>
    <w:link w:val="CommentSubject"/>
    <w:uiPriority w:val="99"/>
    <w:semiHidden/>
    <w:rsid w:val="00C2545F"/>
    <w:rPr>
      <w:b/>
      <w:bCs/>
      <w:sz w:val="20"/>
      <w:szCs w:val="20"/>
    </w:rPr>
  </w:style>
  <w:style w:type="paragraph" w:styleId="BalloonText">
    <w:name w:val="Balloon Text"/>
    <w:basedOn w:val="Normal"/>
    <w:link w:val="BalloonTextChar"/>
    <w:uiPriority w:val="99"/>
    <w:semiHidden/>
    <w:unhideWhenUsed/>
    <w:rsid w:val="00C254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45F"/>
    <w:rPr>
      <w:rFonts w:ascii="Segoe UI" w:hAnsi="Segoe UI" w:cs="Segoe UI"/>
      <w:sz w:val="18"/>
      <w:szCs w:val="18"/>
    </w:rPr>
  </w:style>
  <w:style w:type="character" w:customStyle="1" w:styleId="pfn-body">
    <w:name w:val="pfn-body"/>
    <w:basedOn w:val="DefaultParagraphFont"/>
    <w:rsid w:val="00B40A63"/>
  </w:style>
  <w:style w:type="paragraph" w:styleId="Header">
    <w:name w:val="header"/>
    <w:basedOn w:val="Normal"/>
    <w:link w:val="HeaderChar"/>
    <w:uiPriority w:val="99"/>
    <w:unhideWhenUsed/>
    <w:rsid w:val="00DC6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99"/>
  </w:style>
  <w:style w:type="paragraph" w:styleId="Footer">
    <w:name w:val="footer"/>
    <w:basedOn w:val="Normal"/>
    <w:link w:val="FooterChar"/>
    <w:uiPriority w:val="99"/>
    <w:unhideWhenUsed/>
    <w:rsid w:val="00DC6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99"/>
  </w:style>
  <w:style w:type="character" w:customStyle="1" w:styleId="citationtext">
    <w:name w:val="citation_text"/>
    <w:basedOn w:val="DefaultParagraphFont"/>
    <w:rsid w:val="00753EC1"/>
  </w:style>
  <w:style w:type="character" w:styleId="FollowedHyperlink">
    <w:name w:val="FollowedHyperlink"/>
    <w:basedOn w:val="DefaultParagraphFont"/>
    <w:uiPriority w:val="99"/>
    <w:semiHidden/>
    <w:unhideWhenUsed/>
    <w:rsid w:val="00E47BA9"/>
    <w:rPr>
      <w:color w:val="954F72" w:themeColor="followedHyperlink"/>
      <w:u w:val="single"/>
    </w:rPr>
  </w:style>
  <w:style w:type="paragraph" w:styleId="FootnoteText">
    <w:name w:val="footnote text"/>
    <w:basedOn w:val="Normal"/>
    <w:link w:val="FootnoteTextChar"/>
    <w:uiPriority w:val="99"/>
    <w:semiHidden/>
    <w:unhideWhenUsed/>
    <w:rsid w:val="00E47B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BA9"/>
    <w:rPr>
      <w:sz w:val="20"/>
      <w:szCs w:val="20"/>
    </w:rPr>
  </w:style>
  <w:style w:type="character" w:styleId="FootnoteReference">
    <w:name w:val="footnote reference"/>
    <w:basedOn w:val="DefaultParagraphFont"/>
    <w:uiPriority w:val="99"/>
    <w:semiHidden/>
    <w:unhideWhenUsed/>
    <w:rsid w:val="00E47B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183899">
      <w:bodyDiv w:val="1"/>
      <w:marLeft w:val="0"/>
      <w:marRight w:val="0"/>
      <w:marTop w:val="0"/>
      <w:marBottom w:val="0"/>
      <w:divBdr>
        <w:top w:val="none" w:sz="0" w:space="0" w:color="auto"/>
        <w:left w:val="none" w:sz="0" w:space="0" w:color="auto"/>
        <w:bottom w:val="none" w:sz="0" w:space="0" w:color="auto"/>
        <w:right w:val="none" w:sz="0" w:space="0" w:color="auto"/>
      </w:divBdr>
      <w:divsChild>
        <w:div w:id="829445334">
          <w:marLeft w:val="0"/>
          <w:marRight w:val="0"/>
          <w:marTop w:val="0"/>
          <w:marBottom w:val="0"/>
          <w:divBdr>
            <w:top w:val="none" w:sz="0" w:space="0" w:color="auto"/>
            <w:left w:val="none" w:sz="0" w:space="0" w:color="auto"/>
            <w:bottom w:val="none" w:sz="0" w:space="0" w:color="auto"/>
            <w:right w:val="none" w:sz="0" w:space="0" w:color="auto"/>
          </w:divBdr>
        </w:div>
        <w:div w:id="853350145">
          <w:marLeft w:val="0"/>
          <w:marRight w:val="0"/>
          <w:marTop w:val="0"/>
          <w:marBottom w:val="0"/>
          <w:divBdr>
            <w:top w:val="none" w:sz="0" w:space="0" w:color="auto"/>
            <w:left w:val="none" w:sz="0" w:space="0" w:color="auto"/>
            <w:bottom w:val="none" w:sz="0" w:space="0" w:color="auto"/>
            <w:right w:val="none" w:sz="0" w:space="0" w:color="auto"/>
          </w:divBdr>
        </w:div>
        <w:div w:id="403184595">
          <w:marLeft w:val="0"/>
          <w:marRight w:val="0"/>
          <w:marTop w:val="0"/>
          <w:marBottom w:val="0"/>
          <w:divBdr>
            <w:top w:val="none" w:sz="0" w:space="0" w:color="auto"/>
            <w:left w:val="none" w:sz="0" w:space="0" w:color="auto"/>
            <w:bottom w:val="none" w:sz="0" w:space="0" w:color="auto"/>
            <w:right w:val="none" w:sz="0" w:space="0" w:color="auto"/>
          </w:divBdr>
        </w:div>
        <w:div w:id="1856377956">
          <w:marLeft w:val="0"/>
          <w:marRight w:val="0"/>
          <w:marTop w:val="0"/>
          <w:marBottom w:val="0"/>
          <w:divBdr>
            <w:top w:val="none" w:sz="0" w:space="0" w:color="auto"/>
            <w:left w:val="none" w:sz="0" w:space="0" w:color="auto"/>
            <w:bottom w:val="none" w:sz="0" w:space="0" w:color="auto"/>
            <w:right w:val="none" w:sz="0" w:space="0" w:color="auto"/>
          </w:divBdr>
        </w:div>
        <w:div w:id="1082801583">
          <w:marLeft w:val="0"/>
          <w:marRight w:val="0"/>
          <w:marTop w:val="0"/>
          <w:marBottom w:val="0"/>
          <w:divBdr>
            <w:top w:val="none" w:sz="0" w:space="0" w:color="auto"/>
            <w:left w:val="none" w:sz="0" w:space="0" w:color="auto"/>
            <w:bottom w:val="none" w:sz="0" w:space="0" w:color="auto"/>
            <w:right w:val="none" w:sz="0" w:space="0" w:color="auto"/>
          </w:divBdr>
        </w:div>
        <w:div w:id="1781868">
          <w:marLeft w:val="0"/>
          <w:marRight w:val="0"/>
          <w:marTop w:val="0"/>
          <w:marBottom w:val="0"/>
          <w:divBdr>
            <w:top w:val="none" w:sz="0" w:space="0" w:color="auto"/>
            <w:left w:val="none" w:sz="0" w:space="0" w:color="auto"/>
            <w:bottom w:val="none" w:sz="0" w:space="0" w:color="auto"/>
            <w:right w:val="none" w:sz="0" w:space="0" w:color="auto"/>
          </w:divBdr>
        </w:div>
        <w:div w:id="608204279">
          <w:marLeft w:val="0"/>
          <w:marRight w:val="0"/>
          <w:marTop w:val="0"/>
          <w:marBottom w:val="0"/>
          <w:divBdr>
            <w:top w:val="none" w:sz="0" w:space="0" w:color="auto"/>
            <w:left w:val="none" w:sz="0" w:space="0" w:color="auto"/>
            <w:bottom w:val="none" w:sz="0" w:space="0" w:color="auto"/>
            <w:right w:val="none" w:sz="0" w:space="0" w:color="auto"/>
          </w:divBdr>
        </w:div>
        <w:div w:id="1089276757">
          <w:marLeft w:val="0"/>
          <w:marRight w:val="0"/>
          <w:marTop w:val="0"/>
          <w:marBottom w:val="0"/>
          <w:divBdr>
            <w:top w:val="none" w:sz="0" w:space="0" w:color="auto"/>
            <w:left w:val="none" w:sz="0" w:space="0" w:color="auto"/>
            <w:bottom w:val="none" w:sz="0" w:space="0" w:color="auto"/>
            <w:right w:val="none" w:sz="0" w:space="0" w:color="auto"/>
          </w:divBdr>
        </w:div>
      </w:divsChild>
    </w:div>
    <w:div w:id="1971740236">
      <w:bodyDiv w:val="1"/>
      <w:marLeft w:val="0"/>
      <w:marRight w:val="0"/>
      <w:marTop w:val="0"/>
      <w:marBottom w:val="0"/>
      <w:divBdr>
        <w:top w:val="none" w:sz="0" w:space="0" w:color="auto"/>
        <w:left w:val="none" w:sz="0" w:space="0" w:color="auto"/>
        <w:bottom w:val="none" w:sz="0" w:space="0" w:color="auto"/>
        <w:right w:val="none" w:sz="0" w:space="0" w:color="auto"/>
      </w:divBdr>
      <w:divsChild>
        <w:div w:id="226690900">
          <w:marLeft w:val="0"/>
          <w:marRight w:val="0"/>
          <w:marTop w:val="0"/>
          <w:marBottom w:val="0"/>
          <w:divBdr>
            <w:top w:val="none" w:sz="0" w:space="0" w:color="auto"/>
            <w:left w:val="none" w:sz="0" w:space="0" w:color="auto"/>
            <w:bottom w:val="none" w:sz="0" w:space="0" w:color="auto"/>
            <w:right w:val="none" w:sz="0" w:space="0" w:color="auto"/>
          </w:divBdr>
          <w:divsChild>
            <w:div w:id="351615851">
              <w:marLeft w:val="0"/>
              <w:marRight w:val="0"/>
              <w:marTop w:val="0"/>
              <w:marBottom w:val="0"/>
              <w:divBdr>
                <w:top w:val="none" w:sz="0" w:space="0" w:color="auto"/>
                <w:left w:val="none" w:sz="0" w:space="0" w:color="auto"/>
                <w:bottom w:val="none" w:sz="0" w:space="0" w:color="auto"/>
                <w:right w:val="none" w:sz="0" w:space="0" w:color="auto"/>
              </w:divBdr>
              <w:divsChild>
                <w:div w:id="43347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200087">
          <w:marLeft w:val="0"/>
          <w:marRight w:val="0"/>
          <w:marTop w:val="0"/>
          <w:marBottom w:val="0"/>
          <w:divBdr>
            <w:top w:val="none" w:sz="0" w:space="0" w:color="auto"/>
            <w:left w:val="none" w:sz="0" w:space="0" w:color="auto"/>
            <w:bottom w:val="none" w:sz="0" w:space="0" w:color="auto"/>
            <w:right w:val="none" w:sz="0" w:space="0" w:color="auto"/>
          </w:divBdr>
        </w:div>
        <w:div w:id="1011182509">
          <w:marLeft w:val="0"/>
          <w:marRight w:val="0"/>
          <w:marTop w:val="0"/>
          <w:marBottom w:val="0"/>
          <w:divBdr>
            <w:top w:val="none" w:sz="0" w:space="0" w:color="auto"/>
            <w:left w:val="none" w:sz="0" w:space="0" w:color="auto"/>
            <w:bottom w:val="none" w:sz="0" w:space="0" w:color="auto"/>
            <w:right w:val="none" w:sz="0" w:space="0" w:color="auto"/>
          </w:divBdr>
        </w:div>
        <w:div w:id="88359348">
          <w:marLeft w:val="0"/>
          <w:marRight w:val="0"/>
          <w:marTop w:val="0"/>
          <w:marBottom w:val="0"/>
          <w:divBdr>
            <w:top w:val="none" w:sz="0" w:space="0" w:color="auto"/>
            <w:left w:val="none" w:sz="0" w:space="0" w:color="auto"/>
            <w:bottom w:val="none" w:sz="0" w:space="0" w:color="auto"/>
            <w:right w:val="none" w:sz="0" w:space="0" w:color="auto"/>
          </w:divBdr>
        </w:div>
        <w:div w:id="629047167">
          <w:marLeft w:val="0"/>
          <w:marRight w:val="0"/>
          <w:marTop w:val="0"/>
          <w:marBottom w:val="0"/>
          <w:divBdr>
            <w:top w:val="none" w:sz="0" w:space="0" w:color="auto"/>
            <w:left w:val="none" w:sz="0" w:space="0" w:color="auto"/>
            <w:bottom w:val="none" w:sz="0" w:space="0" w:color="auto"/>
            <w:right w:val="none" w:sz="0" w:space="0" w:color="auto"/>
          </w:divBdr>
        </w:div>
        <w:div w:id="1668168169">
          <w:marLeft w:val="0"/>
          <w:marRight w:val="0"/>
          <w:marTop w:val="0"/>
          <w:marBottom w:val="0"/>
          <w:divBdr>
            <w:top w:val="none" w:sz="0" w:space="0" w:color="auto"/>
            <w:left w:val="none" w:sz="0" w:space="0" w:color="auto"/>
            <w:bottom w:val="none" w:sz="0" w:space="0" w:color="auto"/>
            <w:right w:val="none" w:sz="0" w:space="0" w:color="auto"/>
          </w:divBdr>
        </w:div>
        <w:div w:id="799372893">
          <w:marLeft w:val="0"/>
          <w:marRight w:val="0"/>
          <w:marTop w:val="0"/>
          <w:marBottom w:val="0"/>
          <w:divBdr>
            <w:top w:val="none" w:sz="0" w:space="0" w:color="auto"/>
            <w:left w:val="none" w:sz="0" w:space="0" w:color="auto"/>
            <w:bottom w:val="none" w:sz="0" w:space="0" w:color="auto"/>
            <w:right w:val="none" w:sz="0" w:space="0" w:color="auto"/>
          </w:divBdr>
        </w:div>
        <w:div w:id="2036809712">
          <w:marLeft w:val="0"/>
          <w:marRight w:val="0"/>
          <w:marTop w:val="0"/>
          <w:marBottom w:val="0"/>
          <w:divBdr>
            <w:top w:val="none" w:sz="0" w:space="0" w:color="auto"/>
            <w:left w:val="none" w:sz="0" w:space="0" w:color="auto"/>
            <w:bottom w:val="none" w:sz="0" w:space="0" w:color="auto"/>
            <w:right w:val="none" w:sz="0" w:space="0" w:color="auto"/>
          </w:divBdr>
        </w:div>
        <w:div w:id="2057771961">
          <w:marLeft w:val="0"/>
          <w:marRight w:val="0"/>
          <w:marTop w:val="0"/>
          <w:marBottom w:val="0"/>
          <w:divBdr>
            <w:top w:val="none" w:sz="0" w:space="0" w:color="auto"/>
            <w:left w:val="none" w:sz="0" w:space="0" w:color="auto"/>
            <w:bottom w:val="none" w:sz="0" w:space="0" w:color="auto"/>
            <w:right w:val="none" w:sz="0" w:space="0" w:color="auto"/>
          </w:divBdr>
        </w:div>
        <w:div w:id="323515409">
          <w:marLeft w:val="0"/>
          <w:marRight w:val="0"/>
          <w:marTop w:val="0"/>
          <w:marBottom w:val="0"/>
          <w:divBdr>
            <w:top w:val="none" w:sz="0" w:space="0" w:color="auto"/>
            <w:left w:val="none" w:sz="0" w:space="0" w:color="auto"/>
            <w:bottom w:val="none" w:sz="0" w:space="0" w:color="auto"/>
            <w:right w:val="none" w:sz="0" w:space="0" w:color="auto"/>
          </w:divBdr>
        </w:div>
        <w:div w:id="1674145164">
          <w:marLeft w:val="0"/>
          <w:marRight w:val="0"/>
          <w:marTop w:val="0"/>
          <w:marBottom w:val="0"/>
          <w:divBdr>
            <w:top w:val="none" w:sz="0" w:space="0" w:color="auto"/>
            <w:left w:val="none" w:sz="0" w:space="0" w:color="auto"/>
            <w:bottom w:val="none" w:sz="0" w:space="0" w:color="auto"/>
            <w:right w:val="none" w:sz="0" w:space="0" w:color="auto"/>
          </w:divBdr>
        </w:div>
        <w:div w:id="1308049974">
          <w:marLeft w:val="0"/>
          <w:marRight w:val="0"/>
          <w:marTop w:val="0"/>
          <w:marBottom w:val="0"/>
          <w:divBdr>
            <w:top w:val="none" w:sz="0" w:space="0" w:color="auto"/>
            <w:left w:val="none" w:sz="0" w:space="0" w:color="auto"/>
            <w:bottom w:val="none" w:sz="0" w:space="0" w:color="auto"/>
            <w:right w:val="none" w:sz="0" w:space="0" w:color="auto"/>
          </w:divBdr>
        </w:div>
        <w:div w:id="1017192408">
          <w:marLeft w:val="0"/>
          <w:marRight w:val="0"/>
          <w:marTop w:val="0"/>
          <w:marBottom w:val="0"/>
          <w:divBdr>
            <w:top w:val="none" w:sz="0" w:space="0" w:color="auto"/>
            <w:left w:val="none" w:sz="0" w:space="0" w:color="auto"/>
            <w:bottom w:val="none" w:sz="0" w:space="0" w:color="auto"/>
            <w:right w:val="none" w:sz="0" w:space="0" w:color="auto"/>
          </w:divBdr>
        </w:div>
        <w:div w:id="1161701759">
          <w:marLeft w:val="0"/>
          <w:marRight w:val="0"/>
          <w:marTop w:val="0"/>
          <w:marBottom w:val="0"/>
          <w:divBdr>
            <w:top w:val="none" w:sz="0" w:space="0" w:color="auto"/>
            <w:left w:val="none" w:sz="0" w:space="0" w:color="auto"/>
            <w:bottom w:val="none" w:sz="0" w:space="0" w:color="auto"/>
            <w:right w:val="none" w:sz="0" w:space="0" w:color="auto"/>
          </w:divBdr>
        </w:div>
        <w:div w:id="169102768">
          <w:marLeft w:val="0"/>
          <w:marRight w:val="0"/>
          <w:marTop w:val="0"/>
          <w:marBottom w:val="0"/>
          <w:divBdr>
            <w:top w:val="none" w:sz="0" w:space="0" w:color="auto"/>
            <w:left w:val="none" w:sz="0" w:space="0" w:color="auto"/>
            <w:bottom w:val="none" w:sz="0" w:space="0" w:color="auto"/>
            <w:right w:val="none" w:sz="0" w:space="0" w:color="auto"/>
          </w:divBdr>
        </w:div>
        <w:div w:id="1993873921">
          <w:marLeft w:val="0"/>
          <w:marRight w:val="0"/>
          <w:marTop w:val="0"/>
          <w:marBottom w:val="0"/>
          <w:divBdr>
            <w:top w:val="none" w:sz="0" w:space="0" w:color="auto"/>
            <w:left w:val="none" w:sz="0" w:space="0" w:color="auto"/>
            <w:bottom w:val="none" w:sz="0" w:space="0" w:color="auto"/>
            <w:right w:val="none" w:sz="0" w:space="0" w:color="auto"/>
          </w:divBdr>
        </w:div>
        <w:div w:id="408311929">
          <w:marLeft w:val="0"/>
          <w:marRight w:val="0"/>
          <w:marTop w:val="0"/>
          <w:marBottom w:val="0"/>
          <w:divBdr>
            <w:top w:val="none" w:sz="0" w:space="0" w:color="auto"/>
            <w:left w:val="none" w:sz="0" w:space="0" w:color="auto"/>
            <w:bottom w:val="none" w:sz="0" w:space="0" w:color="auto"/>
            <w:right w:val="none" w:sz="0" w:space="0" w:color="auto"/>
          </w:divBdr>
        </w:div>
        <w:div w:id="1323394747">
          <w:marLeft w:val="0"/>
          <w:marRight w:val="0"/>
          <w:marTop w:val="0"/>
          <w:marBottom w:val="0"/>
          <w:divBdr>
            <w:top w:val="none" w:sz="0" w:space="0" w:color="auto"/>
            <w:left w:val="none" w:sz="0" w:space="0" w:color="auto"/>
            <w:bottom w:val="none" w:sz="0" w:space="0" w:color="auto"/>
            <w:right w:val="none" w:sz="0" w:space="0" w:color="auto"/>
          </w:divBdr>
        </w:div>
        <w:div w:id="987132533">
          <w:marLeft w:val="0"/>
          <w:marRight w:val="0"/>
          <w:marTop w:val="0"/>
          <w:marBottom w:val="0"/>
          <w:divBdr>
            <w:top w:val="none" w:sz="0" w:space="0" w:color="auto"/>
            <w:left w:val="none" w:sz="0" w:space="0" w:color="auto"/>
            <w:bottom w:val="none" w:sz="0" w:space="0" w:color="auto"/>
            <w:right w:val="none" w:sz="0" w:space="0" w:color="auto"/>
          </w:divBdr>
        </w:div>
        <w:div w:id="303776965">
          <w:marLeft w:val="0"/>
          <w:marRight w:val="0"/>
          <w:marTop w:val="0"/>
          <w:marBottom w:val="0"/>
          <w:divBdr>
            <w:top w:val="none" w:sz="0" w:space="0" w:color="auto"/>
            <w:left w:val="none" w:sz="0" w:space="0" w:color="auto"/>
            <w:bottom w:val="none" w:sz="0" w:space="0" w:color="auto"/>
            <w:right w:val="none" w:sz="0" w:space="0" w:color="auto"/>
          </w:divBdr>
        </w:div>
        <w:div w:id="1537237873">
          <w:marLeft w:val="0"/>
          <w:marRight w:val="0"/>
          <w:marTop w:val="0"/>
          <w:marBottom w:val="0"/>
          <w:divBdr>
            <w:top w:val="none" w:sz="0" w:space="0" w:color="auto"/>
            <w:left w:val="none" w:sz="0" w:space="0" w:color="auto"/>
            <w:bottom w:val="none" w:sz="0" w:space="0" w:color="auto"/>
            <w:right w:val="none" w:sz="0" w:space="0" w:color="auto"/>
          </w:divBdr>
        </w:div>
        <w:div w:id="472719175">
          <w:marLeft w:val="0"/>
          <w:marRight w:val="0"/>
          <w:marTop w:val="0"/>
          <w:marBottom w:val="0"/>
          <w:divBdr>
            <w:top w:val="none" w:sz="0" w:space="0" w:color="auto"/>
            <w:left w:val="none" w:sz="0" w:space="0" w:color="auto"/>
            <w:bottom w:val="none" w:sz="0" w:space="0" w:color="auto"/>
            <w:right w:val="none" w:sz="0" w:space="0" w:color="auto"/>
          </w:divBdr>
        </w:div>
        <w:div w:id="1985312172">
          <w:marLeft w:val="0"/>
          <w:marRight w:val="0"/>
          <w:marTop w:val="0"/>
          <w:marBottom w:val="0"/>
          <w:divBdr>
            <w:top w:val="none" w:sz="0" w:space="0" w:color="auto"/>
            <w:left w:val="none" w:sz="0" w:space="0" w:color="auto"/>
            <w:bottom w:val="none" w:sz="0" w:space="0" w:color="auto"/>
            <w:right w:val="none" w:sz="0" w:space="0" w:color="auto"/>
          </w:divBdr>
        </w:div>
        <w:div w:id="1735622456">
          <w:marLeft w:val="0"/>
          <w:marRight w:val="0"/>
          <w:marTop w:val="0"/>
          <w:marBottom w:val="0"/>
          <w:divBdr>
            <w:top w:val="none" w:sz="0" w:space="0" w:color="auto"/>
            <w:left w:val="none" w:sz="0" w:space="0" w:color="auto"/>
            <w:bottom w:val="none" w:sz="0" w:space="0" w:color="auto"/>
            <w:right w:val="none" w:sz="0" w:space="0" w:color="auto"/>
          </w:divBdr>
        </w:div>
        <w:div w:id="608586401">
          <w:marLeft w:val="0"/>
          <w:marRight w:val="0"/>
          <w:marTop w:val="0"/>
          <w:marBottom w:val="0"/>
          <w:divBdr>
            <w:top w:val="none" w:sz="0" w:space="0" w:color="auto"/>
            <w:left w:val="none" w:sz="0" w:space="0" w:color="auto"/>
            <w:bottom w:val="none" w:sz="0" w:space="0" w:color="auto"/>
            <w:right w:val="none" w:sz="0" w:space="0" w:color="auto"/>
          </w:divBdr>
        </w:div>
        <w:div w:id="288587087">
          <w:marLeft w:val="0"/>
          <w:marRight w:val="0"/>
          <w:marTop w:val="0"/>
          <w:marBottom w:val="0"/>
          <w:divBdr>
            <w:top w:val="none" w:sz="0" w:space="0" w:color="auto"/>
            <w:left w:val="none" w:sz="0" w:space="0" w:color="auto"/>
            <w:bottom w:val="none" w:sz="0" w:space="0" w:color="auto"/>
            <w:right w:val="none" w:sz="0" w:space="0" w:color="auto"/>
          </w:divBdr>
        </w:div>
        <w:div w:id="1782652140">
          <w:marLeft w:val="0"/>
          <w:marRight w:val="0"/>
          <w:marTop w:val="0"/>
          <w:marBottom w:val="0"/>
          <w:divBdr>
            <w:top w:val="none" w:sz="0" w:space="0" w:color="auto"/>
            <w:left w:val="none" w:sz="0" w:space="0" w:color="auto"/>
            <w:bottom w:val="none" w:sz="0" w:space="0" w:color="auto"/>
            <w:right w:val="none" w:sz="0" w:space="0" w:color="auto"/>
          </w:divBdr>
        </w:div>
        <w:div w:id="637347071">
          <w:marLeft w:val="0"/>
          <w:marRight w:val="0"/>
          <w:marTop w:val="0"/>
          <w:marBottom w:val="0"/>
          <w:divBdr>
            <w:top w:val="none" w:sz="0" w:space="0" w:color="auto"/>
            <w:left w:val="none" w:sz="0" w:space="0" w:color="auto"/>
            <w:bottom w:val="none" w:sz="0" w:space="0" w:color="auto"/>
            <w:right w:val="none" w:sz="0" w:space="0" w:color="auto"/>
          </w:divBdr>
        </w:div>
        <w:div w:id="1393968948">
          <w:marLeft w:val="0"/>
          <w:marRight w:val="0"/>
          <w:marTop w:val="0"/>
          <w:marBottom w:val="0"/>
          <w:divBdr>
            <w:top w:val="none" w:sz="0" w:space="0" w:color="auto"/>
            <w:left w:val="none" w:sz="0" w:space="0" w:color="auto"/>
            <w:bottom w:val="none" w:sz="0" w:space="0" w:color="auto"/>
            <w:right w:val="none" w:sz="0" w:space="0" w:color="auto"/>
          </w:divBdr>
        </w:div>
        <w:div w:id="567493209">
          <w:marLeft w:val="0"/>
          <w:marRight w:val="0"/>
          <w:marTop w:val="0"/>
          <w:marBottom w:val="0"/>
          <w:divBdr>
            <w:top w:val="none" w:sz="0" w:space="0" w:color="auto"/>
            <w:left w:val="none" w:sz="0" w:space="0" w:color="auto"/>
            <w:bottom w:val="none" w:sz="0" w:space="0" w:color="auto"/>
            <w:right w:val="none" w:sz="0" w:space="0" w:color="auto"/>
          </w:divBdr>
        </w:div>
        <w:div w:id="1683044455">
          <w:marLeft w:val="0"/>
          <w:marRight w:val="0"/>
          <w:marTop w:val="0"/>
          <w:marBottom w:val="0"/>
          <w:divBdr>
            <w:top w:val="none" w:sz="0" w:space="0" w:color="auto"/>
            <w:left w:val="none" w:sz="0" w:space="0" w:color="auto"/>
            <w:bottom w:val="none" w:sz="0" w:space="0" w:color="auto"/>
            <w:right w:val="none" w:sz="0" w:space="0" w:color="auto"/>
          </w:divBdr>
        </w:div>
        <w:div w:id="1720863955">
          <w:marLeft w:val="0"/>
          <w:marRight w:val="0"/>
          <w:marTop w:val="0"/>
          <w:marBottom w:val="0"/>
          <w:divBdr>
            <w:top w:val="none" w:sz="0" w:space="0" w:color="auto"/>
            <w:left w:val="none" w:sz="0" w:space="0" w:color="auto"/>
            <w:bottom w:val="none" w:sz="0" w:space="0" w:color="auto"/>
            <w:right w:val="none" w:sz="0" w:space="0" w:color="auto"/>
          </w:divBdr>
        </w:div>
        <w:div w:id="1399405084">
          <w:marLeft w:val="0"/>
          <w:marRight w:val="0"/>
          <w:marTop w:val="0"/>
          <w:marBottom w:val="0"/>
          <w:divBdr>
            <w:top w:val="none" w:sz="0" w:space="0" w:color="auto"/>
            <w:left w:val="none" w:sz="0" w:space="0" w:color="auto"/>
            <w:bottom w:val="none" w:sz="0" w:space="0" w:color="auto"/>
            <w:right w:val="none" w:sz="0" w:space="0" w:color="auto"/>
          </w:divBdr>
        </w:div>
        <w:div w:id="1888100408">
          <w:marLeft w:val="0"/>
          <w:marRight w:val="0"/>
          <w:marTop w:val="0"/>
          <w:marBottom w:val="0"/>
          <w:divBdr>
            <w:top w:val="none" w:sz="0" w:space="0" w:color="auto"/>
            <w:left w:val="none" w:sz="0" w:space="0" w:color="auto"/>
            <w:bottom w:val="none" w:sz="0" w:space="0" w:color="auto"/>
            <w:right w:val="none" w:sz="0" w:space="0" w:color="auto"/>
          </w:divBdr>
        </w:div>
        <w:div w:id="297880421">
          <w:marLeft w:val="0"/>
          <w:marRight w:val="0"/>
          <w:marTop w:val="0"/>
          <w:marBottom w:val="0"/>
          <w:divBdr>
            <w:top w:val="none" w:sz="0" w:space="0" w:color="auto"/>
            <w:left w:val="none" w:sz="0" w:space="0" w:color="auto"/>
            <w:bottom w:val="none" w:sz="0" w:space="0" w:color="auto"/>
            <w:right w:val="none" w:sz="0" w:space="0" w:color="auto"/>
          </w:divBdr>
        </w:div>
        <w:div w:id="262807668">
          <w:marLeft w:val="0"/>
          <w:marRight w:val="0"/>
          <w:marTop w:val="0"/>
          <w:marBottom w:val="0"/>
          <w:divBdr>
            <w:top w:val="none" w:sz="0" w:space="0" w:color="auto"/>
            <w:left w:val="none" w:sz="0" w:space="0" w:color="auto"/>
            <w:bottom w:val="none" w:sz="0" w:space="0" w:color="auto"/>
            <w:right w:val="none" w:sz="0" w:space="0" w:color="auto"/>
          </w:divBdr>
        </w:div>
        <w:div w:id="28189954">
          <w:marLeft w:val="0"/>
          <w:marRight w:val="0"/>
          <w:marTop w:val="0"/>
          <w:marBottom w:val="0"/>
          <w:divBdr>
            <w:top w:val="none" w:sz="0" w:space="0" w:color="auto"/>
            <w:left w:val="none" w:sz="0" w:space="0" w:color="auto"/>
            <w:bottom w:val="none" w:sz="0" w:space="0" w:color="auto"/>
            <w:right w:val="none" w:sz="0" w:space="0" w:color="auto"/>
          </w:divBdr>
        </w:div>
        <w:div w:id="1418290653">
          <w:marLeft w:val="0"/>
          <w:marRight w:val="0"/>
          <w:marTop w:val="0"/>
          <w:marBottom w:val="0"/>
          <w:divBdr>
            <w:top w:val="none" w:sz="0" w:space="0" w:color="auto"/>
            <w:left w:val="none" w:sz="0" w:space="0" w:color="auto"/>
            <w:bottom w:val="none" w:sz="0" w:space="0" w:color="auto"/>
            <w:right w:val="none" w:sz="0" w:space="0" w:color="auto"/>
          </w:divBdr>
        </w:div>
        <w:div w:id="1975255637">
          <w:marLeft w:val="0"/>
          <w:marRight w:val="0"/>
          <w:marTop w:val="0"/>
          <w:marBottom w:val="0"/>
          <w:divBdr>
            <w:top w:val="none" w:sz="0" w:space="0" w:color="auto"/>
            <w:left w:val="none" w:sz="0" w:space="0" w:color="auto"/>
            <w:bottom w:val="none" w:sz="0" w:space="0" w:color="auto"/>
            <w:right w:val="none" w:sz="0" w:space="0" w:color="auto"/>
          </w:divBdr>
        </w:div>
        <w:div w:id="2078018577">
          <w:marLeft w:val="0"/>
          <w:marRight w:val="0"/>
          <w:marTop w:val="0"/>
          <w:marBottom w:val="0"/>
          <w:divBdr>
            <w:top w:val="none" w:sz="0" w:space="0" w:color="auto"/>
            <w:left w:val="none" w:sz="0" w:space="0" w:color="auto"/>
            <w:bottom w:val="none" w:sz="0" w:space="0" w:color="auto"/>
            <w:right w:val="none" w:sz="0" w:space="0" w:color="auto"/>
          </w:divBdr>
        </w:div>
        <w:div w:id="1978147683">
          <w:marLeft w:val="0"/>
          <w:marRight w:val="0"/>
          <w:marTop w:val="0"/>
          <w:marBottom w:val="0"/>
          <w:divBdr>
            <w:top w:val="none" w:sz="0" w:space="0" w:color="auto"/>
            <w:left w:val="none" w:sz="0" w:space="0" w:color="auto"/>
            <w:bottom w:val="none" w:sz="0" w:space="0" w:color="auto"/>
            <w:right w:val="none" w:sz="0" w:space="0" w:color="auto"/>
          </w:divBdr>
        </w:div>
        <w:div w:id="664937152">
          <w:marLeft w:val="0"/>
          <w:marRight w:val="0"/>
          <w:marTop w:val="0"/>
          <w:marBottom w:val="0"/>
          <w:divBdr>
            <w:top w:val="none" w:sz="0" w:space="0" w:color="auto"/>
            <w:left w:val="none" w:sz="0" w:space="0" w:color="auto"/>
            <w:bottom w:val="none" w:sz="0" w:space="0" w:color="auto"/>
            <w:right w:val="none" w:sz="0" w:space="0" w:color="auto"/>
          </w:divBdr>
        </w:div>
        <w:div w:id="521551092">
          <w:marLeft w:val="0"/>
          <w:marRight w:val="0"/>
          <w:marTop w:val="0"/>
          <w:marBottom w:val="0"/>
          <w:divBdr>
            <w:top w:val="none" w:sz="0" w:space="0" w:color="auto"/>
            <w:left w:val="none" w:sz="0" w:space="0" w:color="auto"/>
            <w:bottom w:val="none" w:sz="0" w:space="0" w:color="auto"/>
            <w:right w:val="none" w:sz="0" w:space="0" w:color="auto"/>
          </w:divBdr>
        </w:div>
        <w:div w:id="1975132990">
          <w:marLeft w:val="0"/>
          <w:marRight w:val="0"/>
          <w:marTop w:val="0"/>
          <w:marBottom w:val="0"/>
          <w:divBdr>
            <w:top w:val="none" w:sz="0" w:space="0" w:color="auto"/>
            <w:left w:val="none" w:sz="0" w:space="0" w:color="auto"/>
            <w:bottom w:val="none" w:sz="0" w:space="0" w:color="auto"/>
            <w:right w:val="none" w:sz="0" w:space="0" w:color="auto"/>
          </w:divBdr>
        </w:div>
        <w:div w:id="483201302">
          <w:marLeft w:val="0"/>
          <w:marRight w:val="0"/>
          <w:marTop w:val="0"/>
          <w:marBottom w:val="0"/>
          <w:divBdr>
            <w:top w:val="none" w:sz="0" w:space="0" w:color="auto"/>
            <w:left w:val="none" w:sz="0" w:space="0" w:color="auto"/>
            <w:bottom w:val="none" w:sz="0" w:space="0" w:color="auto"/>
            <w:right w:val="none" w:sz="0" w:space="0" w:color="auto"/>
          </w:divBdr>
        </w:div>
        <w:div w:id="1978559884">
          <w:marLeft w:val="0"/>
          <w:marRight w:val="0"/>
          <w:marTop w:val="0"/>
          <w:marBottom w:val="0"/>
          <w:divBdr>
            <w:top w:val="none" w:sz="0" w:space="0" w:color="auto"/>
            <w:left w:val="none" w:sz="0" w:space="0" w:color="auto"/>
            <w:bottom w:val="none" w:sz="0" w:space="0" w:color="auto"/>
            <w:right w:val="none" w:sz="0" w:space="0" w:color="auto"/>
          </w:divBdr>
        </w:div>
        <w:div w:id="1304699488">
          <w:marLeft w:val="0"/>
          <w:marRight w:val="0"/>
          <w:marTop w:val="0"/>
          <w:marBottom w:val="0"/>
          <w:divBdr>
            <w:top w:val="none" w:sz="0" w:space="0" w:color="auto"/>
            <w:left w:val="none" w:sz="0" w:space="0" w:color="auto"/>
            <w:bottom w:val="none" w:sz="0" w:space="0" w:color="auto"/>
            <w:right w:val="none" w:sz="0" w:space="0" w:color="auto"/>
          </w:divBdr>
        </w:div>
        <w:div w:id="1382552808">
          <w:marLeft w:val="0"/>
          <w:marRight w:val="0"/>
          <w:marTop w:val="0"/>
          <w:marBottom w:val="0"/>
          <w:divBdr>
            <w:top w:val="none" w:sz="0" w:space="0" w:color="auto"/>
            <w:left w:val="none" w:sz="0" w:space="0" w:color="auto"/>
            <w:bottom w:val="none" w:sz="0" w:space="0" w:color="auto"/>
            <w:right w:val="none" w:sz="0" w:space="0" w:color="auto"/>
          </w:divBdr>
        </w:div>
        <w:div w:id="204147372">
          <w:marLeft w:val="0"/>
          <w:marRight w:val="0"/>
          <w:marTop w:val="0"/>
          <w:marBottom w:val="0"/>
          <w:divBdr>
            <w:top w:val="none" w:sz="0" w:space="0" w:color="auto"/>
            <w:left w:val="none" w:sz="0" w:space="0" w:color="auto"/>
            <w:bottom w:val="none" w:sz="0" w:space="0" w:color="auto"/>
            <w:right w:val="none" w:sz="0" w:space="0" w:color="auto"/>
          </w:divBdr>
        </w:div>
        <w:div w:id="1634287056">
          <w:marLeft w:val="0"/>
          <w:marRight w:val="0"/>
          <w:marTop w:val="0"/>
          <w:marBottom w:val="0"/>
          <w:divBdr>
            <w:top w:val="none" w:sz="0" w:space="0" w:color="auto"/>
            <w:left w:val="none" w:sz="0" w:space="0" w:color="auto"/>
            <w:bottom w:val="none" w:sz="0" w:space="0" w:color="auto"/>
            <w:right w:val="none" w:sz="0" w:space="0" w:color="auto"/>
          </w:divBdr>
        </w:div>
        <w:div w:id="1654064060">
          <w:marLeft w:val="0"/>
          <w:marRight w:val="0"/>
          <w:marTop w:val="0"/>
          <w:marBottom w:val="0"/>
          <w:divBdr>
            <w:top w:val="none" w:sz="0" w:space="0" w:color="auto"/>
            <w:left w:val="none" w:sz="0" w:space="0" w:color="auto"/>
            <w:bottom w:val="none" w:sz="0" w:space="0" w:color="auto"/>
            <w:right w:val="none" w:sz="0" w:space="0" w:color="auto"/>
          </w:divBdr>
        </w:div>
        <w:div w:id="1193149160">
          <w:marLeft w:val="0"/>
          <w:marRight w:val="0"/>
          <w:marTop w:val="0"/>
          <w:marBottom w:val="0"/>
          <w:divBdr>
            <w:top w:val="none" w:sz="0" w:space="0" w:color="auto"/>
            <w:left w:val="none" w:sz="0" w:space="0" w:color="auto"/>
            <w:bottom w:val="none" w:sz="0" w:space="0" w:color="auto"/>
            <w:right w:val="none" w:sz="0" w:space="0" w:color="auto"/>
          </w:divBdr>
        </w:div>
        <w:div w:id="350493031">
          <w:marLeft w:val="0"/>
          <w:marRight w:val="0"/>
          <w:marTop w:val="0"/>
          <w:marBottom w:val="0"/>
          <w:divBdr>
            <w:top w:val="none" w:sz="0" w:space="0" w:color="auto"/>
            <w:left w:val="none" w:sz="0" w:space="0" w:color="auto"/>
            <w:bottom w:val="none" w:sz="0" w:space="0" w:color="auto"/>
            <w:right w:val="none" w:sz="0" w:space="0" w:color="auto"/>
          </w:divBdr>
        </w:div>
        <w:div w:id="42801340">
          <w:marLeft w:val="0"/>
          <w:marRight w:val="0"/>
          <w:marTop w:val="0"/>
          <w:marBottom w:val="0"/>
          <w:divBdr>
            <w:top w:val="none" w:sz="0" w:space="0" w:color="auto"/>
            <w:left w:val="none" w:sz="0" w:space="0" w:color="auto"/>
            <w:bottom w:val="none" w:sz="0" w:space="0" w:color="auto"/>
            <w:right w:val="none" w:sz="0" w:space="0" w:color="auto"/>
          </w:divBdr>
        </w:div>
        <w:div w:id="2043699765">
          <w:marLeft w:val="0"/>
          <w:marRight w:val="0"/>
          <w:marTop w:val="0"/>
          <w:marBottom w:val="0"/>
          <w:divBdr>
            <w:top w:val="none" w:sz="0" w:space="0" w:color="auto"/>
            <w:left w:val="none" w:sz="0" w:space="0" w:color="auto"/>
            <w:bottom w:val="none" w:sz="0" w:space="0" w:color="auto"/>
            <w:right w:val="none" w:sz="0" w:space="0" w:color="auto"/>
          </w:divBdr>
        </w:div>
        <w:div w:id="1094204363">
          <w:marLeft w:val="0"/>
          <w:marRight w:val="0"/>
          <w:marTop w:val="0"/>
          <w:marBottom w:val="0"/>
          <w:divBdr>
            <w:top w:val="none" w:sz="0" w:space="0" w:color="auto"/>
            <w:left w:val="none" w:sz="0" w:space="0" w:color="auto"/>
            <w:bottom w:val="none" w:sz="0" w:space="0" w:color="auto"/>
            <w:right w:val="none" w:sz="0" w:space="0" w:color="auto"/>
          </w:divBdr>
        </w:div>
        <w:div w:id="1874883936">
          <w:marLeft w:val="0"/>
          <w:marRight w:val="0"/>
          <w:marTop w:val="0"/>
          <w:marBottom w:val="0"/>
          <w:divBdr>
            <w:top w:val="none" w:sz="0" w:space="0" w:color="auto"/>
            <w:left w:val="none" w:sz="0" w:space="0" w:color="auto"/>
            <w:bottom w:val="none" w:sz="0" w:space="0" w:color="auto"/>
            <w:right w:val="none" w:sz="0" w:space="0" w:color="auto"/>
          </w:divBdr>
        </w:div>
        <w:div w:id="2131585119">
          <w:marLeft w:val="0"/>
          <w:marRight w:val="0"/>
          <w:marTop w:val="0"/>
          <w:marBottom w:val="0"/>
          <w:divBdr>
            <w:top w:val="none" w:sz="0" w:space="0" w:color="auto"/>
            <w:left w:val="none" w:sz="0" w:space="0" w:color="auto"/>
            <w:bottom w:val="none" w:sz="0" w:space="0" w:color="auto"/>
            <w:right w:val="none" w:sz="0" w:space="0" w:color="auto"/>
          </w:divBdr>
        </w:div>
        <w:div w:id="452283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y.com/US/en/About-us/Our-people-and-culture/EY-infographic-millennials-generation-go" TargetMode="External"/><Relationship Id="rId18" Type="http://schemas.openxmlformats.org/officeDocument/2006/relationships/diagramData" Target="diagrams/data1.xml"/><Relationship Id="rId26" Type="http://schemas.openxmlformats.org/officeDocument/2006/relationships/hyperlink" Target="http://pcaobus.org/About/Pages/ExternalLink.aspx?redirectURL=http%3A%2F%2Fwww.aicpa.org%2FCareer%2FWomenintheProfession%2FPages%2FGenderIssues.aspx" TargetMode="Externa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yperlink" Target="http://www.ey.com/US/en/About-us/Our-people-and-culture/EY-infographic-millennials-generation-go" TargetMode="External"/><Relationship Id="rId33" Type="http://schemas.openxmlformats.org/officeDocument/2006/relationships/hyperlink" Target="http://www.aicpa.org/Career/WomenintheProfession/Pages/WomenintheProfession.aspx"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diagramQuickStyle" Target="diagrams/quickStyle1.xml"/><Relationship Id="rId29" Type="http://schemas.openxmlformats.org/officeDocument/2006/relationships/hyperlink" Target="http://goingconcern.com/post/here-s-another-lousy-stat-number-women-partners-accounting-fi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ingconcern.com/post/here-s-another-lousy-stat-number-women-partners-accounting-firms" TargetMode="External"/><Relationship Id="rId24" Type="http://schemas.openxmlformats.org/officeDocument/2006/relationships/hyperlink" Target="https://www.winterwyman.com/blog/top-10-reasons-consider-change-public-accounting-private-industry-now" TargetMode="External"/><Relationship Id="rId32" Type="http://schemas.openxmlformats.org/officeDocument/2006/relationships/hyperlink" Target="https://www.aicpa.org/interestareas/youngcpanetwork/resources/professionalissues/pages/tips-for-surviving-tax-season.asp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dupress.com/articles/understanding-millennials-generational-differences/" TargetMode="External"/><Relationship Id="rId28" Type="http://schemas.openxmlformats.org/officeDocument/2006/relationships/hyperlink" Target="http://www2.deloitte.com/global/en/pages/about-deloitte/articles/millennialsurvey.html" TargetMode="External"/><Relationship Id="rId36" Type="http://schemas.openxmlformats.org/officeDocument/2006/relationships/glossaryDocument" Target="glossary/document.xml"/><Relationship Id="rId10" Type="http://schemas.openxmlformats.org/officeDocument/2006/relationships/hyperlink" Target="http://goingconcern.com/post/here-s-another-lousy-stat-number-women-partners-accounting-firms" TargetMode="External"/><Relationship Id="rId19" Type="http://schemas.openxmlformats.org/officeDocument/2006/relationships/diagramLayout" Target="diagrams/layout1.xml"/><Relationship Id="rId31" Type="http://schemas.openxmlformats.org/officeDocument/2006/relationships/hyperlink" Target="https://www.aicpa.org/interestareas/youngcpanetwork/resources/career/pages/themostimportantissuesforwomenintheaccountingprofession.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y.com/US/en/About-us/Our-people-and-culture/EY-infographic-millennials-generation-go" TargetMode="External"/><Relationship Id="rId22" Type="http://schemas.microsoft.com/office/2007/relationships/diagramDrawing" Target="diagrams/drawing1.xml"/><Relationship Id="rId27" Type="http://schemas.openxmlformats.org/officeDocument/2006/relationships/hyperlink" Target="http://www.cpafma.org/articles/inside-public-accounting-releases-2015-national-benchmarking-report/" TargetMode="External"/><Relationship Id="rId30" Type="http://schemas.openxmlformats.org/officeDocument/2006/relationships/hyperlink" Target="http://www.aicpa.org/CAREER/CAREERPATHS/PUBLICACCOUNTING/Pages/default.aspx"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aicpa.org/CAREER/CAREERPATHS/PUBLICACCOUNTING/Pages/default.aspx" TargetMode="External"/><Relationship Id="rId13" Type="http://schemas.openxmlformats.org/officeDocument/2006/relationships/hyperlink" Target="https://www.aicpa.org/interestareas/youngcpanetwork/resources/career/pages/themostimportantissuesforwomenintheaccountingprofession.aspx" TargetMode="External"/><Relationship Id="rId3" Type="http://schemas.openxmlformats.org/officeDocument/2006/relationships/hyperlink" Target="http://pcaobus.org/About/Pages/ExternalLink.aspx?redirectURL=http%3A%2F%2Fwww.aicpa.org%2FCareer%2FWomenintheProfession%2FPages%2FGenderIssues.aspx" TargetMode="External"/><Relationship Id="rId7" Type="http://schemas.openxmlformats.org/officeDocument/2006/relationships/hyperlink" Target="http://www.ey.com/US/en/About-us/Our-people-and-culture/EY-infographic-millennials-generation-go" TargetMode="External"/><Relationship Id="rId12" Type="http://schemas.openxmlformats.org/officeDocument/2006/relationships/hyperlink" Target="http://dupress.com/articles/understanding-millennials-generational-differences/" TargetMode="External"/><Relationship Id="rId2" Type="http://schemas.openxmlformats.org/officeDocument/2006/relationships/hyperlink" Target="http://www2.deloitte.com/global/en/pages/about-deloitte/articles/millennialsurvey.html" TargetMode="External"/><Relationship Id="rId1" Type="http://schemas.openxmlformats.org/officeDocument/2006/relationships/hyperlink" Target="http://www.cpafma.org/articles/inside-public-accounting-releases-2015-national-benchmarking-report/" TargetMode="External"/><Relationship Id="rId6" Type="http://schemas.openxmlformats.org/officeDocument/2006/relationships/hyperlink" Target="http://www.aicpa.org/Career/WomenintheProfession/Pages/WomenintheProfession.aspx" TargetMode="External"/><Relationship Id="rId11" Type="http://schemas.openxmlformats.org/officeDocument/2006/relationships/hyperlink" Target="https://www.winterwyman.com/blog/top-10-reasons-consider-change-public-accounting-private-industry-now" TargetMode="External"/><Relationship Id="rId5" Type="http://schemas.openxmlformats.org/officeDocument/2006/relationships/hyperlink" Target="http://pcaobus.org/About/Pages/ExternalLink.aspx?redirectURL=http%3A%2F%2Fwww.aicpa.org%2FCareer%2FWomenintheProfession%2FPages%2FGenderIssues.aspx" TargetMode="External"/><Relationship Id="rId10" Type="http://schemas.openxmlformats.org/officeDocument/2006/relationships/hyperlink" Target="https://www.aicpa.org/interestareas/youngcpanetwork/resources/professionalissues/pages/tips-for-surviving-tax-season.aspx" TargetMode="External"/><Relationship Id="rId4" Type="http://schemas.openxmlformats.org/officeDocument/2006/relationships/hyperlink" Target="http://www.aicpa.org/Career/WomenintheProfession/Pages/WomenintheProfession.aspx" TargetMode="External"/><Relationship Id="rId9" Type="http://schemas.openxmlformats.org/officeDocument/2006/relationships/hyperlink" Target="http://www.aicpa.org/CAREER/CAREERPATHS/PUBLICACCOUNTING/Pages/default.asp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5A3179-3F7B-49AD-A88B-155E7E5FAFBA}" type="doc">
      <dgm:prSet loTypeId="urn:microsoft.com/office/officeart/2005/8/layout/hProcess9" loCatId="process" qsTypeId="urn:microsoft.com/office/officeart/2005/8/quickstyle/simple1" qsCatId="simple" csTypeId="urn:microsoft.com/office/officeart/2005/8/colors/accent1_2" csCatId="accent1" phldr="1"/>
      <dgm:spPr/>
    </dgm:pt>
    <dgm:pt modelId="{6F2FEDD2-B6A3-479E-A035-3219174C0C13}">
      <dgm:prSet phldrT="[Text]"/>
      <dgm:spPr>
        <a:xfrm>
          <a:off x="655153"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2000-2002:</a:t>
          </a:r>
        </a:p>
        <a:p>
          <a:r>
            <a:rPr lang="en-US" dirty="0" smtClean="0">
              <a:solidFill>
                <a:sysClr val="window" lastClr="FFFFFF"/>
              </a:solidFill>
              <a:latin typeface="Arial" panose="020B0604020202020204" pitchFamily="34" charset="0"/>
              <a:ea typeface="+mn-ea"/>
              <a:cs typeface="Arial" panose="020B0604020202020204" pitchFamily="34" charset="0"/>
            </a:rPr>
            <a:t>Major accounting scandals</a:t>
          </a:r>
        </a:p>
        <a:p>
          <a:endParaRPr lang="en-US" dirty="0" smtClean="0">
            <a:solidFill>
              <a:sysClr val="window" lastClr="FFFFFF"/>
            </a:solidFill>
            <a:latin typeface="Arial" panose="020B0604020202020204" pitchFamily="34" charset="0"/>
            <a:ea typeface="+mn-ea"/>
            <a:cs typeface="Arial" panose="020B0604020202020204" pitchFamily="34" charset="0"/>
          </a:endParaRPr>
        </a:p>
        <a:p>
          <a:r>
            <a:rPr lang="en-US" dirty="0" smtClean="0">
              <a:solidFill>
                <a:sysClr val="window" lastClr="FFFFFF"/>
              </a:solidFill>
              <a:latin typeface="Arial" panose="020B0604020202020204" pitchFamily="34" charset="0"/>
              <a:ea typeface="+mn-ea"/>
              <a:cs typeface="Arial" panose="020B0604020202020204" pitchFamily="34" charset="0"/>
            </a:rPr>
            <a:t>2002: </a:t>
          </a:r>
        </a:p>
        <a:p>
          <a:r>
            <a:rPr lang="en-US" dirty="0" smtClean="0">
              <a:solidFill>
                <a:sysClr val="window" lastClr="FFFFFF"/>
              </a:solidFill>
              <a:latin typeface="Arial" panose="020B0604020202020204" pitchFamily="34" charset="0"/>
              <a:ea typeface="+mn-ea"/>
              <a:cs typeface="Arial" panose="020B0604020202020204" pitchFamily="34" charset="0"/>
            </a:rPr>
            <a:t>SOX, PCAOB</a:t>
          </a:r>
          <a:endParaRPr lang="en-US" dirty="0">
            <a:solidFill>
              <a:sysClr val="window" lastClr="FFFFFF"/>
            </a:solidFill>
            <a:latin typeface="Arial" panose="020B0604020202020204" pitchFamily="34" charset="0"/>
            <a:ea typeface="+mn-ea"/>
            <a:cs typeface="Arial" panose="020B0604020202020204" pitchFamily="34" charset="0"/>
          </a:endParaRPr>
        </a:p>
      </dgm:t>
    </dgm:pt>
    <dgm:pt modelId="{EF7CA3D4-1138-47F1-9D07-21E0038816BF}" type="parTrans" cxnId="{E73062E7-A7B1-41C8-ADDC-07691498C920}">
      <dgm:prSet/>
      <dgm:spPr/>
      <dgm:t>
        <a:bodyPr/>
        <a:lstStyle/>
        <a:p>
          <a:endParaRPr lang="en-US"/>
        </a:p>
      </dgm:t>
    </dgm:pt>
    <dgm:pt modelId="{52969838-8004-4E0C-8F83-01104F2100AB}" type="sibTrans" cxnId="{E73062E7-A7B1-41C8-ADDC-07691498C920}">
      <dgm:prSet/>
      <dgm:spPr/>
      <dgm:t>
        <a:bodyPr/>
        <a:lstStyle/>
        <a:p>
          <a:endParaRPr lang="en-US"/>
        </a:p>
      </dgm:t>
    </dgm:pt>
    <dgm:pt modelId="{5CA350FA-D87C-4440-889B-3B13EA136461}">
      <dgm:prSet phldrT="[Text]"/>
      <dgm:spPr>
        <a:xfrm>
          <a:off x="1309917"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2004: </a:t>
          </a:r>
        </a:p>
        <a:p>
          <a:r>
            <a:rPr lang="en-US" dirty="0" smtClean="0">
              <a:solidFill>
                <a:sysClr val="window" lastClr="FFFFFF"/>
              </a:solidFill>
              <a:latin typeface="Arial" panose="020B0604020202020204" pitchFamily="34" charset="0"/>
              <a:ea typeface="+mn-ea"/>
              <a:cs typeface="Arial" panose="020B0604020202020204" pitchFamily="34" charset="0"/>
            </a:rPr>
            <a:t>404(B) IC audits</a:t>
          </a:r>
        </a:p>
        <a:p>
          <a:endParaRPr lang="en-US" dirty="0" smtClean="0">
            <a:solidFill>
              <a:sysClr val="window" lastClr="FFFFFF"/>
            </a:solidFill>
            <a:latin typeface="Arial" panose="020B0604020202020204" pitchFamily="34" charset="0"/>
            <a:ea typeface="+mn-ea"/>
            <a:cs typeface="Arial" panose="020B0604020202020204" pitchFamily="34" charset="0"/>
          </a:endParaRPr>
        </a:p>
        <a:p>
          <a:r>
            <a:rPr lang="en-US" dirty="0" smtClean="0">
              <a:solidFill>
                <a:sysClr val="window" lastClr="FFFFFF"/>
              </a:solidFill>
              <a:latin typeface="Arial" panose="020B0604020202020204" pitchFamily="34" charset="0"/>
              <a:ea typeface="+mn-ea"/>
              <a:cs typeface="Arial" panose="020B0604020202020204" pitchFamily="34" charset="0"/>
            </a:rPr>
            <a:t>PCAOB inspections of audit firms</a:t>
          </a:r>
          <a:endParaRPr lang="en-US" dirty="0">
            <a:solidFill>
              <a:sysClr val="window" lastClr="FFFFFF"/>
            </a:solidFill>
            <a:latin typeface="Arial" panose="020B0604020202020204" pitchFamily="34" charset="0"/>
            <a:ea typeface="+mn-ea"/>
            <a:cs typeface="Arial" panose="020B0604020202020204" pitchFamily="34" charset="0"/>
          </a:endParaRPr>
        </a:p>
      </dgm:t>
    </dgm:pt>
    <dgm:pt modelId="{C3BE2A56-D433-40D7-9250-DF327FB83EFB}" type="parTrans" cxnId="{BEE75DBE-7FA6-4A06-84EF-70F4EC57BC34}">
      <dgm:prSet/>
      <dgm:spPr/>
      <dgm:t>
        <a:bodyPr/>
        <a:lstStyle/>
        <a:p>
          <a:endParaRPr lang="en-US"/>
        </a:p>
      </dgm:t>
    </dgm:pt>
    <dgm:pt modelId="{1F4CD801-6756-4A85-9A55-243C5E0F35C1}" type="sibTrans" cxnId="{BEE75DBE-7FA6-4A06-84EF-70F4EC57BC34}">
      <dgm:prSet/>
      <dgm:spPr/>
      <dgm:t>
        <a:bodyPr/>
        <a:lstStyle/>
        <a:p>
          <a:endParaRPr lang="en-US"/>
        </a:p>
      </dgm:t>
    </dgm:pt>
    <dgm:pt modelId="{009CE8DB-2B70-4EF9-BF73-785D23E9D8EA}">
      <dgm:prSet phldrT="[Text]"/>
      <dgm:spPr>
        <a:xfrm>
          <a:off x="1964682"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2005: </a:t>
          </a:r>
        </a:p>
        <a:p>
          <a:r>
            <a:rPr lang="en-US" dirty="0" smtClean="0">
              <a:solidFill>
                <a:sysClr val="window" lastClr="FFFFFF"/>
              </a:solidFill>
              <a:latin typeface="Arial" panose="020B0604020202020204" pitchFamily="34" charset="0"/>
              <a:ea typeface="+mn-ea"/>
              <a:cs typeface="Arial" panose="020B0604020202020204" pitchFamily="34" charset="0"/>
            </a:rPr>
            <a:t>AS2 guidance on IC audits</a:t>
          </a:r>
          <a:endParaRPr lang="en-US" dirty="0">
            <a:solidFill>
              <a:sysClr val="window" lastClr="FFFFFF"/>
            </a:solidFill>
            <a:latin typeface="Arial" panose="020B0604020202020204" pitchFamily="34" charset="0"/>
            <a:ea typeface="+mn-ea"/>
            <a:cs typeface="Arial" panose="020B0604020202020204" pitchFamily="34" charset="0"/>
          </a:endParaRPr>
        </a:p>
      </dgm:t>
    </dgm:pt>
    <dgm:pt modelId="{3E5634C5-F7F0-4488-897F-2DB0538F1773}" type="parTrans" cxnId="{10B34D85-142E-40CA-83D0-0D654A0FC035}">
      <dgm:prSet/>
      <dgm:spPr/>
      <dgm:t>
        <a:bodyPr/>
        <a:lstStyle/>
        <a:p>
          <a:endParaRPr lang="en-US"/>
        </a:p>
      </dgm:t>
    </dgm:pt>
    <dgm:pt modelId="{52837F30-964F-47A1-8B5F-35D9C9747585}" type="sibTrans" cxnId="{10B34D85-142E-40CA-83D0-0D654A0FC035}">
      <dgm:prSet/>
      <dgm:spPr/>
      <dgm:t>
        <a:bodyPr/>
        <a:lstStyle/>
        <a:p>
          <a:endParaRPr lang="en-US"/>
        </a:p>
      </dgm:t>
    </dgm:pt>
    <dgm:pt modelId="{CF262D23-F066-421F-B814-B3448CF6702E}">
      <dgm:prSet phldrT="[Text]"/>
      <dgm:spPr>
        <a:xfrm>
          <a:off x="389"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1992: </a:t>
          </a:r>
        </a:p>
        <a:p>
          <a:r>
            <a:rPr lang="en-US" dirty="0" smtClean="0">
              <a:solidFill>
                <a:sysClr val="window" lastClr="FFFFFF"/>
              </a:solidFill>
              <a:latin typeface="Arial" panose="020B0604020202020204" pitchFamily="34" charset="0"/>
              <a:ea typeface="+mn-ea"/>
              <a:cs typeface="Arial" panose="020B0604020202020204" pitchFamily="34" charset="0"/>
            </a:rPr>
            <a:t>COSO Framework</a:t>
          </a:r>
          <a:endParaRPr lang="en-US" dirty="0">
            <a:solidFill>
              <a:sysClr val="window" lastClr="FFFFFF"/>
            </a:solidFill>
            <a:latin typeface="Arial" panose="020B0604020202020204" pitchFamily="34" charset="0"/>
            <a:ea typeface="+mn-ea"/>
            <a:cs typeface="Arial" panose="020B0604020202020204" pitchFamily="34" charset="0"/>
          </a:endParaRPr>
        </a:p>
      </dgm:t>
    </dgm:pt>
    <dgm:pt modelId="{A0E16C0E-27C4-48C7-AB71-E15C97760A0A}" type="parTrans" cxnId="{23DEA91F-9A3D-4909-AE57-87C8002C5082}">
      <dgm:prSet/>
      <dgm:spPr/>
      <dgm:t>
        <a:bodyPr/>
        <a:lstStyle/>
        <a:p>
          <a:endParaRPr lang="en-US"/>
        </a:p>
      </dgm:t>
    </dgm:pt>
    <dgm:pt modelId="{A1101C6D-12B1-4266-9269-AEFFAACD74E0}" type="sibTrans" cxnId="{23DEA91F-9A3D-4909-AE57-87C8002C5082}">
      <dgm:prSet/>
      <dgm:spPr/>
      <dgm:t>
        <a:bodyPr/>
        <a:lstStyle/>
        <a:p>
          <a:endParaRPr lang="en-US"/>
        </a:p>
      </dgm:t>
    </dgm:pt>
    <dgm:pt modelId="{E853E3D1-D785-4DF6-87F2-BFE50D4F0ABE}">
      <dgm:prSet phldrT="[Text]"/>
      <dgm:spPr>
        <a:xfrm>
          <a:off x="2619446"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2007: </a:t>
          </a:r>
        </a:p>
        <a:p>
          <a:r>
            <a:rPr lang="en-US" dirty="0" smtClean="0">
              <a:solidFill>
                <a:sysClr val="window" lastClr="FFFFFF"/>
              </a:solidFill>
              <a:latin typeface="Arial" panose="020B0604020202020204" pitchFamily="34" charset="0"/>
              <a:ea typeface="+mn-ea"/>
              <a:cs typeface="Arial" panose="020B0604020202020204" pitchFamily="34" charset="0"/>
            </a:rPr>
            <a:t>AS5 replaces guidance on </a:t>
          </a:r>
          <a:r>
            <a:rPr lang="en-US" u="none" dirty="0" smtClean="0">
              <a:solidFill>
                <a:sysClr val="window" lastClr="FFFFFF"/>
              </a:solidFill>
              <a:latin typeface="Arial" panose="020B0604020202020204" pitchFamily="34" charset="0"/>
              <a:ea typeface="+mn-ea"/>
              <a:cs typeface="Arial" panose="020B0604020202020204" pitchFamily="34" charset="0"/>
            </a:rPr>
            <a:t>IC audits</a:t>
          </a:r>
        </a:p>
        <a:p>
          <a:endParaRPr lang="en-US" u="sng" dirty="0" smtClean="0">
            <a:solidFill>
              <a:sysClr val="window" lastClr="FFFFFF"/>
            </a:solidFill>
            <a:latin typeface="Arial" panose="020B0604020202020204" pitchFamily="34" charset="0"/>
            <a:ea typeface="+mn-ea"/>
            <a:cs typeface="Arial" panose="020B0604020202020204" pitchFamily="34" charset="0"/>
          </a:endParaRPr>
        </a:p>
        <a:p>
          <a:r>
            <a:rPr lang="en-US" dirty="0" smtClean="0">
              <a:solidFill>
                <a:sysClr val="window" lastClr="FFFFFF"/>
              </a:solidFill>
              <a:latin typeface="Arial" panose="020B0604020202020204" pitchFamily="34" charset="0"/>
              <a:ea typeface="+mn-ea"/>
              <a:cs typeface="Arial" panose="020B0604020202020204" pitchFamily="34" charset="0"/>
            </a:rPr>
            <a:t>Beginning of Financial Crisis</a:t>
          </a:r>
        </a:p>
      </dgm:t>
    </dgm:pt>
    <dgm:pt modelId="{F5C6972E-8BF5-452E-9E8E-BAA0431D6524}" type="parTrans" cxnId="{DD4178F2-B6DF-4F0F-ABCD-2D0CCE36D221}">
      <dgm:prSet/>
      <dgm:spPr/>
      <dgm:t>
        <a:bodyPr/>
        <a:lstStyle/>
        <a:p>
          <a:endParaRPr lang="en-US"/>
        </a:p>
      </dgm:t>
    </dgm:pt>
    <dgm:pt modelId="{31767947-B2E9-419C-8D84-A9909AFCE840}" type="sibTrans" cxnId="{DD4178F2-B6DF-4F0F-ABCD-2D0CCE36D221}">
      <dgm:prSet/>
      <dgm:spPr/>
      <dgm:t>
        <a:bodyPr/>
        <a:lstStyle/>
        <a:p>
          <a:endParaRPr lang="en-US"/>
        </a:p>
      </dgm:t>
    </dgm:pt>
    <dgm:pt modelId="{11880619-42E7-4095-9C7C-9956DF135872}">
      <dgm:prSet phldrT="[Text]"/>
      <dgm:spPr>
        <a:xfrm>
          <a:off x="3274211"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2009:</a:t>
          </a:r>
        </a:p>
        <a:p>
          <a:r>
            <a:rPr lang="en-US" dirty="0" smtClean="0">
              <a:solidFill>
                <a:sysClr val="window" lastClr="FFFFFF"/>
              </a:solidFill>
              <a:latin typeface="Arial" panose="020B0604020202020204" pitchFamily="34" charset="0"/>
              <a:ea typeface="+mn-ea"/>
              <a:cs typeface="Arial" panose="020B0604020202020204" pitchFamily="34" charset="0"/>
            </a:rPr>
            <a:t>AS7 Quality Control </a:t>
          </a:r>
          <a:r>
            <a:rPr lang="en-US" u="none" dirty="0" smtClean="0">
              <a:solidFill>
                <a:sysClr val="window" lastClr="FFFFFF"/>
              </a:solidFill>
              <a:latin typeface="Arial" panose="020B0604020202020204" pitchFamily="34" charset="0"/>
              <a:ea typeface="+mn-ea"/>
              <a:cs typeface="Arial" panose="020B0604020202020204" pitchFamily="34" charset="0"/>
            </a:rPr>
            <a:t>Reviewers</a:t>
          </a:r>
        </a:p>
        <a:p>
          <a:endParaRPr lang="en-US" u="sng" dirty="0" smtClean="0">
            <a:solidFill>
              <a:sysClr val="window" lastClr="FFFFFF"/>
            </a:solidFill>
            <a:latin typeface="Arial" panose="020B0604020202020204" pitchFamily="34" charset="0"/>
            <a:ea typeface="+mn-ea"/>
            <a:cs typeface="Arial" panose="020B0604020202020204" pitchFamily="34" charset="0"/>
          </a:endParaRPr>
        </a:p>
        <a:p>
          <a:r>
            <a:rPr lang="en-US" dirty="0" smtClean="0">
              <a:solidFill>
                <a:sysClr val="window" lastClr="FFFFFF"/>
              </a:solidFill>
              <a:latin typeface="Arial" panose="020B0604020202020204" pitchFamily="34" charset="0"/>
              <a:ea typeface="+mn-ea"/>
              <a:cs typeface="Arial" panose="020B0604020202020204" pitchFamily="34" charset="0"/>
            </a:rPr>
            <a:t>Financial Crisis begins to recover </a:t>
          </a:r>
        </a:p>
      </dgm:t>
    </dgm:pt>
    <dgm:pt modelId="{A19CAC6C-C006-4628-A6F8-12ECAD372165}" type="parTrans" cxnId="{762A6275-D1CD-4B62-BCD9-4AF54E5DF94A}">
      <dgm:prSet/>
      <dgm:spPr/>
      <dgm:t>
        <a:bodyPr/>
        <a:lstStyle/>
        <a:p>
          <a:endParaRPr lang="en-US"/>
        </a:p>
      </dgm:t>
    </dgm:pt>
    <dgm:pt modelId="{7C79388D-5613-4E9E-8BFC-7DA6158D758B}" type="sibTrans" cxnId="{762A6275-D1CD-4B62-BCD9-4AF54E5DF94A}">
      <dgm:prSet/>
      <dgm:spPr/>
      <dgm:t>
        <a:bodyPr/>
        <a:lstStyle/>
        <a:p>
          <a:endParaRPr lang="en-US"/>
        </a:p>
      </dgm:t>
    </dgm:pt>
    <dgm:pt modelId="{BEF3E2C4-EC93-4926-83EA-BDDB77601B77}">
      <dgm:prSet phldrT="[Text]"/>
      <dgm:spPr>
        <a:xfrm>
          <a:off x="3928975" y="668083"/>
          <a:ext cx="623585" cy="8907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b="1" dirty="0" smtClean="0">
              <a:solidFill>
                <a:sysClr val="window" lastClr="FFFFFF"/>
              </a:solidFill>
              <a:latin typeface="Arial" panose="020B0604020202020204" pitchFamily="34" charset="0"/>
              <a:ea typeface="+mn-ea"/>
              <a:cs typeface="Arial" panose="020B0604020202020204" pitchFamily="34" charset="0"/>
            </a:rPr>
            <a:t>2010:</a:t>
          </a:r>
          <a:r>
            <a:rPr lang="en-US" dirty="0" smtClean="0">
              <a:solidFill>
                <a:sysClr val="window" lastClr="FFFFFF"/>
              </a:solidFill>
              <a:latin typeface="Arial" panose="020B0604020202020204" pitchFamily="34" charset="0"/>
              <a:ea typeface="+mn-ea"/>
              <a:cs typeface="Arial" panose="020B0604020202020204" pitchFamily="34" charset="0"/>
            </a:rPr>
            <a:t> </a:t>
          </a:r>
        </a:p>
        <a:p>
          <a:r>
            <a:rPr lang="en-US" dirty="0" smtClean="0">
              <a:solidFill>
                <a:sysClr val="window" lastClr="FFFFFF"/>
              </a:solidFill>
              <a:latin typeface="Arial" panose="020B0604020202020204" pitchFamily="34" charset="0"/>
              <a:ea typeface="+mn-ea"/>
              <a:cs typeface="Arial" panose="020B0604020202020204" pitchFamily="34" charset="0"/>
            </a:rPr>
            <a:t>Dodd-Frank Act</a:t>
          </a:r>
        </a:p>
        <a:p>
          <a:endParaRPr lang="en-US" dirty="0" smtClean="0">
            <a:solidFill>
              <a:sysClr val="window" lastClr="FFFFFF"/>
            </a:solidFill>
            <a:latin typeface="Arial" panose="020B0604020202020204" pitchFamily="34" charset="0"/>
            <a:ea typeface="+mn-ea"/>
            <a:cs typeface="Arial" panose="020B0604020202020204" pitchFamily="34" charset="0"/>
          </a:endParaRPr>
        </a:p>
        <a:p>
          <a:r>
            <a:rPr lang="en-US" b="1" dirty="0" smtClean="0">
              <a:solidFill>
                <a:sysClr val="window" lastClr="FFFFFF"/>
              </a:solidFill>
              <a:latin typeface="Arial" panose="020B0604020202020204" pitchFamily="34" charset="0"/>
              <a:ea typeface="+mn-ea"/>
              <a:cs typeface="Arial" panose="020B0604020202020204" pitchFamily="34" charset="0"/>
            </a:rPr>
            <a:t>2013:</a:t>
          </a:r>
        </a:p>
        <a:p>
          <a:r>
            <a:rPr lang="en-US" dirty="0" smtClean="0">
              <a:solidFill>
                <a:sysClr val="window" lastClr="FFFFFF"/>
              </a:solidFill>
              <a:latin typeface="Arial" panose="020B0604020202020204" pitchFamily="34" charset="0"/>
              <a:ea typeface="+mn-ea"/>
              <a:cs typeface="Arial" panose="020B0604020202020204" pitchFamily="34" charset="0"/>
            </a:rPr>
            <a:t>Updated COSO Framework</a:t>
          </a:r>
        </a:p>
      </dgm:t>
    </dgm:pt>
    <dgm:pt modelId="{229EFD09-B0C6-47FE-8E3D-F834C86D0587}" type="parTrans" cxnId="{46DFDA7D-2EAB-41DC-BB8E-380473E04200}">
      <dgm:prSet/>
      <dgm:spPr/>
      <dgm:t>
        <a:bodyPr/>
        <a:lstStyle/>
        <a:p>
          <a:endParaRPr lang="en-US"/>
        </a:p>
      </dgm:t>
    </dgm:pt>
    <dgm:pt modelId="{CB659F6A-E24A-474F-A26F-0FA42F3B773A}" type="sibTrans" cxnId="{46DFDA7D-2EAB-41DC-BB8E-380473E04200}">
      <dgm:prSet/>
      <dgm:spPr/>
      <dgm:t>
        <a:bodyPr/>
        <a:lstStyle/>
        <a:p>
          <a:endParaRPr lang="en-US"/>
        </a:p>
      </dgm:t>
    </dgm:pt>
    <dgm:pt modelId="{ECAEA220-3129-494A-9F32-9E716EB56806}" type="pres">
      <dgm:prSet presAssocID="{765A3179-3F7B-49AD-A88B-155E7E5FAFBA}" presName="CompostProcess" presStyleCnt="0">
        <dgm:presLayoutVars>
          <dgm:dir/>
          <dgm:resizeHandles val="exact"/>
        </dgm:presLayoutVars>
      </dgm:prSet>
      <dgm:spPr/>
    </dgm:pt>
    <dgm:pt modelId="{8FF1A06B-E6B8-4FC1-BA8C-B22A5B26EC5E}" type="pres">
      <dgm:prSet presAssocID="{765A3179-3F7B-49AD-A88B-155E7E5FAFBA}" presName="arrow" presStyleLbl="bgShp" presStyleIdx="0" presStyleCnt="1"/>
      <dgm:spPr>
        <a:xfrm>
          <a:off x="341471" y="0"/>
          <a:ext cx="3870007" cy="2226945"/>
        </a:xfrm>
        <a:prstGeom prst="rightArrow">
          <a:avLst/>
        </a:prstGeom>
        <a:solidFill>
          <a:srgbClr val="5B9BD5">
            <a:tint val="40000"/>
            <a:hueOff val="0"/>
            <a:satOff val="0"/>
            <a:lumOff val="0"/>
            <a:alphaOff val="0"/>
          </a:srgbClr>
        </a:solidFill>
        <a:ln>
          <a:noFill/>
        </a:ln>
        <a:effectLst/>
      </dgm:spPr>
    </dgm:pt>
    <dgm:pt modelId="{37482B97-DCFA-4DDB-BFF6-56DC6B78F4F9}" type="pres">
      <dgm:prSet presAssocID="{765A3179-3F7B-49AD-A88B-155E7E5FAFBA}" presName="linearProcess" presStyleCnt="0"/>
      <dgm:spPr/>
    </dgm:pt>
    <dgm:pt modelId="{6774AE57-4B4D-4326-B824-414AA595C191}" type="pres">
      <dgm:prSet presAssocID="{CF262D23-F066-421F-B814-B3448CF6702E}" presName="textNode" presStyleLbl="node1" presStyleIdx="0" presStyleCnt="7">
        <dgm:presLayoutVars>
          <dgm:bulletEnabled val="1"/>
        </dgm:presLayoutVars>
      </dgm:prSet>
      <dgm:spPr>
        <a:prstGeom prst="roundRect">
          <a:avLst/>
        </a:prstGeom>
      </dgm:spPr>
      <dgm:t>
        <a:bodyPr/>
        <a:lstStyle/>
        <a:p>
          <a:endParaRPr lang="en-US"/>
        </a:p>
      </dgm:t>
    </dgm:pt>
    <dgm:pt modelId="{A8CAB7C4-ACF2-47FE-A643-BFEBCAF3FA9E}" type="pres">
      <dgm:prSet presAssocID="{A1101C6D-12B1-4266-9269-AEFFAACD74E0}" presName="sibTrans" presStyleCnt="0"/>
      <dgm:spPr/>
    </dgm:pt>
    <dgm:pt modelId="{5EB892DD-6F3E-430C-A2E3-A3E40D6A2641}" type="pres">
      <dgm:prSet presAssocID="{6F2FEDD2-B6A3-479E-A035-3219174C0C13}" presName="textNode" presStyleLbl="node1" presStyleIdx="1" presStyleCnt="7">
        <dgm:presLayoutVars>
          <dgm:bulletEnabled val="1"/>
        </dgm:presLayoutVars>
      </dgm:prSet>
      <dgm:spPr>
        <a:prstGeom prst="roundRect">
          <a:avLst/>
        </a:prstGeom>
      </dgm:spPr>
      <dgm:t>
        <a:bodyPr/>
        <a:lstStyle/>
        <a:p>
          <a:endParaRPr lang="en-US"/>
        </a:p>
      </dgm:t>
    </dgm:pt>
    <dgm:pt modelId="{2E481F19-519D-4B4B-BF90-4E967E17C09E}" type="pres">
      <dgm:prSet presAssocID="{52969838-8004-4E0C-8F83-01104F2100AB}" presName="sibTrans" presStyleCnt="0"/>
      <dgm:spPr/>
    </dgm:pt>
    <dgm:pt modelId="{DD487383-6C13-45BE-8399-27E41107B00B}" type="pres">
      <dgm:prSet presAssocID="{5CA350FA-D87C-4440-889B-3B13EA136461}" presName="textNode" presStyleLbl="node1" presStyleIdx="2" presStyleCnt="7">
        <dgm:presLayoutVars>
          <dgm:bulletEnabled val="1"/>
        </dgm:presLayoutVars>
      </dgm:prSet>
      <dgm:spPr>
        <a:prstGeom prst="roundRect">
          <a:avLst/>
        </a:prstGeom>
      </dgm:spPr>
      <dgm:t>
        <a:bodyPr/>
        <a:lstStyle/>
        <a:p>
          <a:endParaRPr lang="en-US"/>
        </a:p>
      </dgm:t>
    </dgm:pt>
    <dgm:pt modelId="{F93CB776-45E8-4AD3-BF7D-DC437D9C5EA1}" type="pres">
      <dgm:prSet presAssocID="{1F4CD801-6756-4A85-9A55-243C5E0F35C1}" presName="sibTrans" presStyleCnt="0"/>
      <dgm:spPr/>
    </dgm:pt>
    <dgm:pt modelId="{5FE2C19F-4ADD-4888-A134-82E228F296ED}" type="pres">
      <dgm:prSet presAssocID="{009CE8DB-2B70-4EF9-BF73-785D23E9D8EA}" presName="textNode" presStyleLbl="node1" presStyleIdx="3" presStyleCnt="7">
        <dgm:presLayoutVars>
          <dgm:bulletEnabled val="1"/>
        </dgm:presLayoutVars>
      </dgm:prSet>
      <dgm:spPr>
        <a:prstGeom prst="roundRect">
          <a:avLst/>
        </a:prstGeom>
      </dgm:spPr>
      <dgm:t>
        <a:bodyPr/>
        <a:lstStyle/>
        <a:p>
          <a:endParaRPr lang="en-US"/>
        </a:p>
      </dgm:t>
    </dgm:pt>
    <dgm:pt modelId="{FEE61845-8911-4ADD-AC73-228F51C67844}" type="pres">
      <dgm:prSet presAssocID="{52837F30-964F-47A1-8B5F-35D9C9747585}" presName="sibTrans" presStyleCnt="0"/>
      <dgm:spPr/>
    </dgm:pt>
    <dgm:pt modelId="{E20D3479-DB30-4219-BCE6-A213D1D31314}" type="pres">
      <dgm:prSet presAssocID="{E853E3D1-D785-4DF6-87F2-BFE50D4F0ABE}" presName="textNode" presStyleLbl="node1" presStyleIdx="4" presStyleCnt="7">
        <dgm:presLayoutVars>
          <dgm:bulletEnabled val="1"/>
        </dgm:presLayoutVars>
      </dgm:prSet>
      <dgm:spPr>
        <a:prstGeom prst="roundRect">
          <a:avLst/>
        </a:prstGeom>
      </dgm:spPr>
      <dgm:t>
        <a:bodyPr/>
        <a:lstStyle/>
        <a:p>
          <a:endParaRPr lang="en-US"/>
        </a:p>
      </dgm:t>
    </dgm:pt>
    <dgm:pt modelId="{CF61F073-428A-48C9-AE0E-21F5D10DBA65}" type="pres">
      <dgm:prSet presAssocID="{31767947-B2E9-419C-8D84-A9909AFCE840}" presName="sibTrans" presStyleCnt="0"/>
      <dgm:spPr/>
    </dgm:pt>
    <dgm:pt modelId="{744C9F06-746D-4878-A9B0-0CE291BD72F0}" type="pres">
      <dgm:prSet presAssocID="{11880619-42E7-4095-9C7C-9956DF135872}" presName="textNode" presStyleLbl="node1" presStyleIdx="5" presStyleCnt="7">
        <dgm:presLayoutVars>
          <dgm:bulletEnabled val="1"/>
        </dgm:presLayoutVars>
      </dgm:prSet>
      <dgm:spPr>
        <a:prstGeom prst="roundRect">
          <a:avLst/>
        </a:prstGeom>
      </dgm:spPr>
      <dgm:t>
        <a:bodyPr/>
        <a:lstStyle/>
        <a:p>
          <a:endParaRPr lang="en-US"/>
        </a:p>
      </dgm:t>
    </dgm:pt>
    <dgm:pt modelId="{F18325E4-1B00-4322-B405-205FD04BFCAF}" type="pres">
      <dgm:prSet presAssocID="{7C79388D-5613-4E9E-8BFC-7DA6158D758B}" presName="sibTrans" presStyleCnt="0"/>
      <dgm:spPr/>
    </dgm:pt>
    <dgm:pt modelId="{E9598606-EA4B-4B88-B030-6AC536DA1BF2}" type="pres">
      <dgm:prSet presAssocID="{BEF3E2C4-EC93-4926-83EA-BDDB77601B77}" presName="textNode" presStyleLbl="node1" presStyleIdx="6" presStyleCnt="7">
        <dgm:presLayoutVars>
          <dgm:bulletEnabled val="1"/>
        </dgm:presLayoutVars>
      </dgm:prSet>
      <dgm:spPr>
        <a:prstGeom prst="roundRect">
          <a:avLst/>
        </a:prstGeom>
      </dgm:spPr>
      <dgm:t>
        <a:bodyPr/>
        <a:lstStyle/>
        <a:p>
          <a:endParaRPr lang="en-US"/>
        </a:p>
      </dgm:t>
    </dgm:pt>
  </dgm:ptLst>
  <dgm:cxnLst>
    <dgm:cxn modelId="{23DEA91F-9A3D-4909-AE57-87C8002C5082}" srcId="{765A3179-3F7B-49AD-A88B-155E7E5FAFBA}" destId="{CF262D23-F066-421F-B814-B3448CF6702E}" srcOrd="0" destOrd="0" parTransId="{A0E16C0E-27C4-48C7-AB71-E15C97760A0A}" sibTransId="{A1101C6D-12B1-4266-9269-AEFFAACD74E0}"/>
    <dgm:cxn modelId="{319FD45F-DE24-4278-8BCE-6B547271E42C}" type="presOf" srcId="{5CA350FA-D87C-4440-889B-3B13EA136461}" destId="{DD487383-6C13-45BE-8399-27E41107B00B}" srcOrd="0" destOrd="0" presId="urn:microsoft.com/office/officeart/2005/8/layout/hProcess9"/>
    <dgm:cxn modelId="{A48DE154-34BB-475A-AB86-03743C54853F}" type="presOf" srcId="{BEF3E2C4-EC93-4926-83EA-BDDB77601B77}" destId="{E9598606-EA4B-4B88-B030-6AC536DA1BF2}" srcOrd="0" destOrd="0" presId="urn:microsoft.com/office/officeart/2005/8/layout/hProcess9"/>
    <dgm:cxn modelId="{609968C4-C56D-4EB5-B7D1-60BBC7467709}" type="presOf" srcId="{765A3179-3F7B-49AD-A88B-155E7E5FAFBA}" destId="{ECAEA220-3129-494A-9F32-9E716EB56806}" srcOrd="0" destOrd="0" presId="urn:microsoft.com/office/officeart/2005/8/layout/hProcess9"/>
    <dgm:cxn modelId="{762A6275-D1CD-4B62-BCD9-4AF54E5DF94A}" srcId="{765A3179-3F7B-49AD-A88B-155E7E5FAFBA}" destId="{11880619-42E7-4095-9C7C-9956DF135872}" srcOrd="5" destOrd="0" parTransId="{A19CAC6C-C006-4628-A6F8-12ECAD372165}" sibTransId="{7C79388D-5613-4E9E-8BFC-7DA6158D758B}"/>
    <dgm:cxn modelId="{10B34D85-142E-40CA-83D0-0D654A0FC035}" srcId="{765A3179-3F7B-49AD-A88B-155E7E5FAFBA}" destId="{009CE8DB-2B70-4EF9-BF73-785D23E9D8EA}" srcOrd="3" destOrd="0" parTransId="{3E5634C5-F7F0-4488-897F-2DB0538F1773}" sibTransId="{52837F30-964F-47A1-8B5F-35D9C9747585}"/>
    <dgm:cxn modelId="{BEE75DBE-7FA6-4A06-84EF-70F4EC57BC34}" srcId="{765A3179-3F7B-49AD-A88B-155E7E5FAFBA}" destId="{5CA350FA-D87C-4440-889B-3B13EA136461}" srcOrd="2" destOrd="0" parTransId="{C3BE2A56-D433-40D7-9250-DF327FB83EFB}" sibTransId="{1F4CD801-6756-4A85-9A55-243C5E0F35C1}"/>
    <dgm:cxn modelId="{E73062E7-A7B1-41C8-ADDC-07691498C920}" srcId="{765A3179-3F7B-49AD-A88B-155E7E5FAFBA}" destId="{6F2FEDD2-B6A3-479E-A035-3219174C0C13}" srcOrd="1" destOrd="0" parTransId="{EF7CA3D4-1138-47F1-9D07-21E0038816BF}" sibTransId="{52969838-8004-4E0C-8F83-01104F2100AB}"/>
    <dgm:cxn modelId="{46DFDA7D-2EAB-41DC-BB8E-380473E04200}" srcId="{765A3179-3F7B-49AD-A88B-155E7E5FAFBA}" destId="{BEF3E2C4-EC93-4926-83EA-BDDB77601B77}" srcOrd="6" destOrd="0" parTransId="{229EFD09-B0C6-47FE-8E3D-F834C86D0587}" sibTransId="{CB659F6A-E24A-474F-A26F-0FA42F3B773A}"/>
    <dgm:cxn modelId="{985D0BCC-F7CC-4636-A0EB-39A61A2B54B0}" type="presOf" srcId="{009CE8DB-2B70-4EF9-BF73-785D23E9D8EA}" destId="{5FE2C19F-4ADD-4888-A134-82E228F296ED}" srcOrd="0" destOrd="0" presId="urn:microsoft.com/office/officeart/2005/8/layout/hProcess9"/>
    <dgm:cxn modelId="{B3F3A601-F4CA-4A5B-AD57-E709C5D80B86}" type="presOf" srcId="{11880619-42E7-4095-9C7C-9956DF135872}" destId="{744C9F06-746D-4878-A9B0-0CE291BD72F0}" srcOrd="0" destOrd="0" presId="urn:microsoft.com/office/officeart/2005/8/layout/hProcess9"/>
    <dgm:cxn modelId="{98C3A9F7-06BF-47C9-A755-808247850930}" type="presOf" srcId="{E853E3D1-D785-4DF6-87F2-BFE50D4F0ABE}" destId="{E20D3479-DB30-4219-BCE6-A213D1D31314}" srcOrd="0" destOrd="0" presId="urn:microsoft.com/office/officeart/2005/8/layout/hProcess9"/>
    <dgm:cxn modelId="{0EBB3443-6AEB-4BCB-96ED-529EBAAC5EF0}" type="presOf" srcId="{CF262D23-F066-421F-B814-B3448CF6702E}" destId="{6774AE57-4B4D-4326-B824-414AA595C191}" srcOrd="0" destOrd="0" presId="urn:microsoft.com/office/officeart/2005/8/layout/hProcess9"/>
    <dgm:cxn modelId="{49A48BA1-3B9C-4180-835A-DB5610179057}" type="presOf" srcId="{6F2FEDD2-B6A3-479E-A035-3219174C0C13}" destId="{5EB892DD-6F3E-430C-A2E3-A3E40D6A2641}" srcOrd="0" destOrd="0" presId="urn:microsoft.com/office/officeart/2005/8/layout/hProcess9"/>
    <dgm:cxn modelId="{DD4178F2-B6DF-4F0F-ABCD-2D0CCE36D221}" srcId="{765A3179-3F7B-49AD-A88B-155E7E5FAFBA}" destId="{E853E3D1-D785-4DF6-87F2-BFE50D4F0ABE}" srcOrd="4" destOrd="0" parTransId="{F5C6972E-8BF5-452E-9E8E-BAA0431D6524}" sibTransId="{31767947-B2E9-419C-8D84-A9909AFCE840}"/>
    <dgm:cxn modelId="{272639AF-1DE6-4D30-A6AB-AE547C389B18}" type="presParOf" srcId="{ECAEA220-3129-494A-9F32-9E716EB56806}" destId="{8FF1A06B-E6B8-4FC1-BA8C-B22A5B26EC5E}" srcOrd="0" destOrd="0" presId="urn:microsoft.com/office/officeart/2005/8/layout/hProcess9"/>
    <dgm:cxn modelId="{C4DB0EE8-0035-40B8-A672-F406EFEC9ADB}" type="presParOf" srcId="{ECAEA220-3129-494A-9F32-9E716EB56806}" destId="{37482B97-DCFA-4DDB-BFF6-56DC6B78F4F9}" srcOrd="1" destOrd="0" presId="urn:microsoft.com/office/officeart/2005/8/layout/hProcess9"/>
    <dgm:cxn modelId="{62F80175-42D1-4DD0-B776-64A63FCF48F5}" type="presParOf" srcId="{37482B97-DCFA-4DDB-BFF6-56DC6B78F4F9}" destId="{6774AE57-4B4D-4326-B824-414AA595C191}" srcOrd="0" destOrd="0" presId="urn:microsoft.com/office/officeart/2005/8/layout/hProcess9"/>
    <dgm:cxn modelId="{81B77053-6ABB-4DE2-ABC5-01B29460C391}" type="presParOf" srcId="{37482B97-DCFA-4DDB-BFF6-56DC6B78F4F9}" destId="{A8CAB7C4-ACF2-47FE-A643-BFEBCAF3FA9E}" srcOrd="1" destOrd="0" presId="urn:microsoft.com/office/officeart/2005/8/layout/hProcess9"/>
    <dgm:cxn modelId="{75ED6E89-5990-451A-B23B-58CC0D7B35EF}" type="presParOf" srcId="{37482B97-DCFA-4DDB-BFF6-56DC6B78F4F9}" destId="{5EB892DD-6F3E-430C-A2E3-A3E40D6A2641}" srcOrd="2" destOrd="0" presId="urn:microsoft.com/office/officeart/2005/8/layout/hProcess9"/>
    <dgm:cxn modelId="{CCD18CA7-DC07-4DD5-A056-F8C0F9EAEBAA}" type="presParOf" srcId="{37482B97-DCFA-4DDB-BFF6-56DC6B78F4F9}" destId="{2E481F19-519D-4B4B-BF90-4E967E17C09E}" srcOrd="3" destOrd="0" presId="urn:microsoft.com/office/officeart/2005/8/layout/hProcess9"/>
    <dgm:cxn modelId="{498680C4-6A19-4E83-9E62-65A58FA05177}" type="presParOf" srcId="{37482B97-DCFA-4DDB-BFF6-56DC6B78F4F9}" destId="{DD487383-6C13-45BE-8399-27E41107B00B}" srcOrd="4" destOrd="0" presId="urn:microsoft.com/office/officeart/2005/8/layout/hProcess9"/>
    <dgm:cxn modelId="{7B0D5A0B-53D4-41EF-8235-56CEB5768477}" type="presParOf" srcId="{37482B97-DCFA-4DDB-BFF6-56DC6B78F4F9}" destId="{F93CB776-45E8-4AD3-BF7D-DC437D9C5EA1}" srcOrd="5" destOrd="0" presId="urn:microsoft.com/office/officeart/2005/8/layout/hProcess9"/>
    <dgm:cxn modelId="{2DEF7F6A-C654-42AE-8EC1-767931D77EE7}" type="presParOf" srcId="{37482B97-DCFA-4DDB-BFF6-56DC6B78F4F9}" destId="{5FE2C19F-4ADD-4888-A134-82E228F296ED}" srcOrd="6" destOrd="0" presId="urn:microsoft.com/office/officeart/2005/8/layout/hProcess9"/>
    <dgm:cxn modelId="{46412DD9-4A3A-44C6-966D-FFB92233E98F}" type="presParOf" srcId="{37482B97-DCFA-4DDB-BFF6-56DC6B78F4F9}" destId="{FEE61845-8911-4ADD-AC73-228F51C67844}" srcOrd="7" destOrd="0" presId="urn:microsoft.com/office/officeart/2005/8/layout/hProcess9"/>
    <dgm:cxn modelId="{1E148AD7-EC69-4698-8500-875064EDD900}" type="presParOf" srcId="{37482B97-DCFA-4DDB-BFF6-56DC6B78F4F9}" destId="{E20D3479-DB30-4219-BCE6-A213D1D31314}" srcOrd="8" destOrd="0" presId="urn:microsoft.com/office/officeart/2005/8/layout/hProcess9"/>
    <dgm:cxn modelId="{EEE4130D-D7C2-47F4-9C30-2BBA94213D6E}" type="presParOf" srcId="{37482B97-DCFA-4DDB-BFF6-56DC6B78F4F9}" destId="{CF61F073-428A-48C9-AE0E-21F5D10DBA65}" srcOrd="9" destOrd="0" presId="urn:microsoft.com/office/officeart/2005/8/layout/hProcess9"/>
    <dgm:cxn modelId="{73C4A958-071F-4ACD-9F2D-3839D8F7E27C}" type="presParOf" srcId="{37482B97-DCFA-4DDB-BFF6-56DC6B78F4F9}" destId="{744C9F06-746D-4878-A9B0-0CE291BD72F0}" srcOrd="10" destOrd="0" presId="urn:microsoft.com/office/officeart/2005/8/layout/hProcess9"/>
    <dgm:cxn modelId="{BBC874C4-A3AB-40DE-963F-5948C93B3682}" type="presParOf" srcId="{37482B97-DCFA-4DDB-BFF6-56DC6B78F4F9}" destId="{F18325E4-1B00-4322-B405-205FD04BFCAF}" srcOrd="11" destOrd="0" presId="urn:microsoft.com/office/officeart/2005/8/layout/hProcess9"/>
    <dgm:cxn modelId="{FF419701-2E08-4FB6-A414-BCDF606EACE6}" type="presParOf" srcId="{37482B97-DCFA-4DDB-BFF6-56DC6B78F4F9}" destId="{E9598606-EA4B-4B88-B030-6AC536DA1BF2}" srcOrd="12"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F1A06B-E6B8-4FC1-BA8C-B22A5B26EC5E}">
      <dsp:nvSpPr>
        <dsp:cNvPr id="0" name=""/>
        <dsp:cNvSpPr/>
      </dsp:nvSpPr>
      <dsp:spPr>
        <a:xfrm>
          <a:off x="477535" y="0"/>
          <a:ext cx="5412073" cy="2499360"/>
        </a:xfrm>
        <a:prstGeom prst="rightArrow">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6774AE57-4B4D-4326-B824-414AA595C191}">
      <dsp:nvSpPr>
        <dsp:cNvPr id="0" name=""/>
        <dsp:cNvSpPr/>
      </dsp:nvSpPr>
      <dsp:spPr>
        <a:xfrm>
          <a:off x="544"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1992: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COSO Framework</a:t>
          </a:r>
          <a:endParaRPr lang="en-US" sz="700" kern="1200" dirty="0">
            <a:solidFill>
              <a:sysClr val="window" lastClr="FFFFFF"/>
            </a:solidFill>
            <a:latin typeface="Arial" panose="020B0604020202020204" pitchFamily="34" charset="0"/>
            <a:ea typeface="+mn-ea"/>
            <a:cs typeface="Arial" panose="020B0604020202020204" pitchFamily="34" charset="0"/>
          </a:endParaRPr>
        </a:p>
      </dsp:txBody>
      <dsp:txXfrm>
        <a:off x="43115" y="792378"/>
        <a:ext cx="786920" cy="914602"/>
      </dsp:txXfrm>
    </dsp:sp>
    <dsp:sp modelId="{5EB892DD-6F3E-430C-A2E3-A3E40D6A2641}">
      <dsp:nvSpPr>
        <dsp:cNvPr id="0" name=""/>
        <dsp:cNvSpPr/>
      </dsp:nvSpPr>
      <dsp:spPr>
        <a:xfrm>
          <a:off x="916209"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2000-2002:</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Major accounting scandals</a:t>
          </a:r>
        </a:p>
        <a:p>
          <a:pPr lvl="0" algn="ctr" defTabSz="311150">
            <a:lnSpc>
              <a:spcPct val="90000"/>
            </a:lnSpc>
            <a:spcBef>
              <a:spcPct val="0"/>
            </a:spcBef>
            <a:spcAft>
              <a:spcPct val="35000"/>
            </a:spcAft>
          </a:pPr>
          <a:endParaRPr lang="en-US" sz="700" kern="1200" dirty="0" smtClean="0">
            <a:solidFill>
              <a:sysClr val="window" lastClr="FFFFFF"/>
            </a:solidFill>
            <a:latin typeface="Arial" panose="020B0604020202020204" pitchFamily="34" charset="0"/>
            <a:ea typeface="+mn-ea"/>
            <a:cs typeface="Arial" panose="020B0604020202020204" pitchFamily="34" charset="0"/>
          </a:endParaRP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2002: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SOX, PCAOB</a:t>
          </a:r>
          <a:endParaRPr lang="en-US" sz="700" kern="1200" dirty="0">
            <a:solidFill>
              <a:sysClr val="window" lastClr="FFFFFF"/>
            </a:solidFill>
            <a:latin typeface="Arial" panose="020B0604020202020204" pitchFamily="34" charset="0"/>
            <a:ea typeface="+mn-ea"/>
            <a:cs typeface="Arial" panose="020B0604020202020204" pitchFamily="34" charset="0"/>
          </a:endParaRPr>
        </a:p>
      </dsp:txBody>
      <dsp:txXfrm>
        <a:off x="958780" y="792378"/>
        <a:ext cx="786920" cy="914602"/>
      </dsp:txXfrm>
    </dsp:sp>
    <dsp:sp modelId="{DD487383-6C13-45BE-8399-27E41107B00B}">
      <dsp:nvSpPr>
        <dsp:cNvPr id="0" name=""/>
        <dsp:cNvSpPr/>
      </dsp:nvSpPr>
      <dsp:spPr>
        <a:xfrm>
          <a:off x="1831875"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2004: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404(B) IC audits</a:t>
          </a:r>
        </a:p>
        <a:p>
          <a:pPr lvl="0" algn="ctr" defTabSz="311150">
            <a:lnSpc>
              <a:spcPct val="90000"/>
            </a:lnSpc>
            <a:spcBef>
              <a:spcPct val="0"/>
            </a:spcBef>
            <a:spcAft>
              <a:spcPct val="35000"/>
            </a:spcAft>
          </a:pPr>
          <a:endParaRPr lang="en-US" sz="700" kern="1200" dirty="0" smtClean="0">
            <a:solidFill>
              <a:sysClr val="window" lastClr="FFFFFF"/>
            </a:solidFill>
            <a:latin typeface="Arial" panose="020B0604020202020204" pitchFamily="34" charset="0"/>
            <a:ea typeface="+mn-ea"/>
            <a:cs typeface="Arial" panose="020B0604020202020204" pitchFamily="34" charset="0"/>
          </a:endParaRP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PCAOB inspections of audit firms</a:t>
          </a:r>
          <a:endParaRPr lang="en-US" sz="700" kern="1200" dirty="0">
            <a:solidFill>
              <a:sysClr val="window" lastClr="FFFFFF"/>
            </a:solidFill>
            <a:latin typeface="Arial" panose="020B0604020202020204" pitchFamily="34" charset="0"/>
            <a:ea typeface="+mn-ea"/>
            <a:cs typeface="Arial" panose="020B0604020202020204" pitchFamily="34" charset="0"/>
          </a:endParaRPr>
        </a:p>
      </dsp:txBody>
      <dsp:txXfrm>
        <a:off x="1874446" y="792378"/>
        <a:ext cx="786920" cy="914602"/>
      </dsp:txXfrm>
    </dsp:sp>
    <dsp:sp modelId="{5FE2C19F-4ADD-4888-A134-82E228F296ED}">
      <dsp:nvSpPr>
        <dsp:cNvPr id="0" name=""/>
        <dsp:cNvSpPr/>
      </dsp:nvSpPr>
      <dsp:spPr>
        <a:xfrm>
          <a:off x="2747541"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2005: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AS2 guidance on IC audits</a:t>
          </a:r>
          <a:endParaRPr lang="en-US" sz="700" kern="1200" dirty="0">
            <a:solidFill>
              <a:sysClr val="window" lastClr="FFFFFF"/>
            </a:solidFill>
            <a:latin typeface="Arial" panose="020B0604020202020204" pitchFamily="34" charset="0"/>
            <a:ea typeface="+mn-ea"/>
            <a:cs typeface="Arial" panose="020B0604020202020204" pitchFamily="34" charset="0"/>
          </a:endParaRPr>
        </a:p>
      </dsp:txBody>
      <dsp:txXfrm>
        <a:off x="2790112" y="792378"/>
        <a:ext cx="786920" cy="914602"/>
      </dsp:txXfrm>
    </dsp:sp>
    <dsp:sp modelId="{E20D3479-DB30-4219-BCE6-A213D1D31314}">
      <dsp:nvSpPr>
        <dsp:cNvPr id="0" name=""/>
        <dsp:cNvSpPr/>
      </dsp:nvSpPr>
      <dsp:spPr>
        <a:xfrm>
          <a:off x="3663206"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2007: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AS5 replaces guidance on </a:t>
          </a:r>
          <a:r>
            <a:rPr lang="en-US" sz="700" u="none" kern="1200" dirty="0" smtClean="0">
              <a:solidFill>
                <a:sysClr val="window" lastClr="FFFFFF"/>
              </a:solidFill>
              <a:latin typeface="Arial" panose="020B0604020202020204" pitchFamily="34" charset="0"/>
              <a:ea typeface="+mn-ea"/>
              <a:cs typeface="Arial" panose="020B0604020202020204" pitchFamily="34" charset="0"/>
            </a:rPr>
            <a:t>IC audits</a:t>
          </a:r>
        </a:p>
        <a:p>
          <a:pPr lvl="0" algn="ctr" defTabSz="311150">
            <a:lnSpc>
              <a:spcPct val="90000"/>
            </a:lnSpc>
            <a:spcBef>
              <a:spcPct val="0"/>
            </a:spcBef>
            <a:spcAft>
              <a:spcPct val="35000"/>
            </a:spcAft>
          </a:pPr>
          <a:endParaRPr lang="en-US" sz="700" u="sng" kern="1200" dirty="0" smtClean="0">
            <a:solidFill>
              <a:sysClr val="window" lastClr="FFFFFF"/>
            </a:solidFill>
            <a:latin typeface="Arial" panose="020B0604020202020204" pitchFamily="34" charset="0"/>
            <a:ea typeface="+mn-ea"/>
            <a:cs typeface="Arial" panose="020B0604020202020204" pitchFamily="34" charset="0"/>
          </a:endParaRP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Beginning of Financial Crisis</a:t>
          </a:r>
        </a:p>
      </dsp:txBody>
      <dsp:txXfrm>
        <a:off x="3705777" y="792378"/>
        <a:ext cx="786920" cy="914602"/>
      </dsp:txXfrm>
    </dsp:sp>
    <dsp:sp modelId="{744C9F06-746D-4878-A9B0-0CE291BD72F0}">
      <dsp:nvSpPr>
        <dsp:cNvPr id="0" name=""/>
        <dsp:cNvSpPr/>
      </dsp:nvSpPr>
      <dsp:spPr>
        <a:xfrm>
          <a:off x="4578872"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2009:</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AS7 Quality Control </a:t>
          </a:r>
          <a:r>
            <a:rPr lang="en-US" sz="700" u="none" kern="1200" dirty="0" smtClean="0">
              <a:solidFill>
                <a:sysClr val="window" lastClr="FFFFFF"/>
              </a:solidFill>
              <a:latin typeface="Arial" panose="020B0604020202020204" pitchFamily="34" charset="0"/>
              <a:ea typeface="+mn-ea"/>
              <a:cs typeface="Arial" panose="020B0604020202020204" pitchFamily="34" charset="0"/>
            </a:rPr>
            <a:t>Reviewers</a:t>
          </a:r>
        </a:p>
        <a:p>
          <a:pPr lvl="0" algn="ctr" defTabSz="311150">
            <a:lnSpc>
              <a:spcPct val="90000"/>
            </a:lnSpc>
            <a:spcBef>
              <a:spcPct val="0"/>
            </a:spcBef>
            <a:spcAft>
              <a:spcPct val="35000"/>
            </a:spcAft>
          </a:pPr>
          <a:endParaRPr lang="en-US" sz="700" u="sng" kern="1200" dirty="0" smtClean="0">
            <a:solidFill>
              <a:sysClr val="window" lastClr="FFFFFF"/>
            </a:solidFill>
            <a:latin typeface="Arial" panose="020B0604020202020204" pitchFamily="34" charset="0"/>
            <a:ea typeface="+mn-ea"/>
            <a:cs typeface="Arial" panose="020B0604020202020204" pitchFamily="34" charset="0"/>
          </a:endParaRP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Financial Crisis begins to recover </a:t>
          </a:r>
        </a:p>
      </dsp:txBody>
      <dsp:txXfrm>
        <a:off x="4621443" y="792378"/>
        <a:ext cx="786920" cy="914602"/>
      </dsp:txXfrm>
    </dsp:sp>
    <dsp:sp modelId="{E9598606-EA4B-4B88-B030-6AC536DA1BF2}">
      <dsp:nvSpPr>
        <dsp:cNvPr id="0" name=""/>
        <dsp:cNvSpPr/>
      </dsp:nvSpPr>
      <dsp:spPr>
        <a:xfrm>
          <a:off x="5494538" y="749807"/>
          <a:ext cx="872062" cy="99974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2010:</a:t>
          </a:r>
          <a:r>
            <a:rPr lang="en-US" sz="700" kern="1200" dirty="0" smtClean="0">
              <a:solidFill>
                <a:sysClr val="window" lastClr="FFFFFF"/>
              </a:solidFill>
              <a:latin typeface="Arial" panose="020B0604020202020204" pitchFamily="34" charset="0"/>
              <a:ea typeface="+mn-ea"/>
              <a:cs typeface="Arial" panose="020B0604020202020204" pitchFamily="34" charset="0"/>
            </a:rPr>
            <a:t> </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Dodd-Frank Act</a:t>
          </a:r>
        </a:p>
        <a:p>
          <a:pPr lvl="0" algn="ctr" defTabSz="311150">
            <a:lnSpc>
              <a:spcPct val="90000"/>
            </a:lnSpc>
            <a:spcBef>
              <a:spcPct val="0"/>
            </a:spcBef>
            <a:spcAft>
              <a:spcPct val="35000"/>
            </a:spcAft>
          </a:pPr>
          <a:endParaRPr lang="en-US" sz="700" kern="1200" dirty="0" smtClean="0">
            <a:solidFill>
              <a:sysClr val="window" lastClr="FFFFFF"/>
            </a:solidFill>
            <a:latin typeface="Arial" panose="020B0604020202020204" pitchFamily="34" charset="0"/>
            <a:ea typeface="+mn-ea"/>
            <a:cs typeface="Arial" panose="020B0604020202020204" pitchFamily="34" charset="0"/>
          </a:endParaRPr>
        </a:p>
        <a:p>
          <a:pPr lvl="0" algn="ctr" defTabSz="311150">
            <a:lnSpc>
              <a:spcPct val="90000"/>
            </a:lnSpc>
            <a:spcBef>
              <a:spcPct val="0"/>
            </a:spcBef>
            <a:spcAft>
              <a:spcPct val="35000"/>
            </a:spcAft>
          </a:pPr>
          <a:r>
            <a:rPr lang="en-US" sz="700" b="1" kern="1200" dirty="0" smtClean="0">
              <a:solidFill>
                <a:sysClr val="window" lastClr="FFFFFF"/>
              </a:solidFill>
              <a:latin typeface="Arial" panose="020B0604020202020204" pitchFamily="34" charset="0"/>
              <a:ea typeface="+mn-ea"/>
              <a:cs typeface="Arial" panose="020B0604020202020204" pitchFamily="34" charset="0"/>
            </a:rPr>
            <a:t>2013:</a:t>
          </a:r>
        </a:p>
        <a:p>
          <a:pPr lvl="0" algn="ctr" defTabSz="311150">
            <a:lnSpc>
              <a:spcPct val="90000"/>
            </a:lnSpc>
            <a:spcBef>
              <a:spcPct val="0"/>
            </a:spcBef>
            <a:spcAft>
              <a:spcPct val="35000"/>
            </a:spcAft>
          </a:pPr>
          <a:r>
            <a:rPr lang="en-US" sz="700" kern="1200" dirty="0" smtClean="0">
              <a:solidFill>
                <a:sysClr val="window" lastClr="FFFFFF"/>
              </a:solidFill>
              <a:latin typeface="Arial" panose="020B0604020202020204" pitchFamily="34" charset="0"/>
              <a:ea typeface="+mn-ea"/>
              <a:cs typeface="Arial" panose="020B0604020202020204" pitchFamily="34" charset="0"/>
            </a:rPr>
            <a:t>Updated COSO Framework</a:t>
          </a:r>
        </a:p>
      </dsp:txBody>
      <dsp:txXfrm>
        <a:off x="5537109" y="792378"/>
        <a:ext cx="786920" cy="91460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A4"/>
    <w:rsid w:val="00A71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A145ABFCDE4D1EBCD2CAEC5159F434">
    <w:name w:val="C0A145ABFCDE4D1EBCD2CAEC5159F434"/>
    <w:rsid w:val="00A712A4"/>
  </w:style>
  <w:style w:type="paragraph" w:customStyle="1" w:styleId="7C2A6D882A7F435B9DE62A3D7C88ABB6">
    <w:name w:val="7C2A6D882A7F435B9DE62A3D7C88ABB6"/>
    <w:rsid w:val="00A71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9E1C83-406D-4E4C-842F-5DC407B21949}">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ABB9-F0EC-4C00-9A96-514AD234B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6249</TotalTime>
  <Pages>29</Pages>
  <Words>5591</Words>
  <Characters>31870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Lexie Jankowski</dc:creator>
  <cp:keywords/>
  <dc:description/>
  <cp:lastModifiedBy>Lexie Jankowski</cp:lastModifiedBy>
  <cp:revision>29</cp:revision>
  <dcterms:created xsi:type="dcterms:W3CDTF">2015-12-17T17:50:00Z</dcterms:created>
  <dcterms:modified xsi:type="dcterms:W3CDTF">2016-05-08T18:17:00Z</dcterms:modified>
</cp:coreProperties>
</file>